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D4D16" w14:textId="77777777" w:rsidR="00BB58C4" w:rsidRDefault="00000000">
      <w:pPr>
        <w:spacing w:line="240" w:lineRule="auto"/>
        <w:jc w:val="center"/>
        <w:rPr>
          <w:rFonts w:ascii="Times New Roman" w:hAnsi="Times New Roman" w:cs="Times New Roman"/>
          <w:b/>
          <w:bCs/>
          <w:sz w:val="28"/>
          <w:szCs w:val="28"/>
        </w:rPr>
      </w:pPr>
      <w:bookmarkStart w:id="0" w:name="_Toc210205614"/>
      <w:bookmarkStart w:id="1" w:name="_Toc210632905"/>
      <w:bookmarkStart w:id="2" w:name="_Toc210623651"/>
      <w:bookmarkStart w:id="3" w:name="_Toc210205092"/>
      <w:bookmarkStart w:id="4" w:name="_Toc210257071"/>
      <w:bookmarkStart w:id="5" w:name="_Toc220995004"/>
      <w:bookmarkStart w:id="6" w:name="_Hlk210171033"/>
      <w:r>
        <w:rPr>
          <w:rStyle w:val="Heading1Char"/>
          <w:sz w:val="28"/>
          <w:szCs w:val="44"/>
        </w:rPr>
        <w:t xml:space="preserve">PENGARUH </w:t>
      </w:r>
      <w:r>
        <w:rPr>
          <w:rStyle w:val="Heading1Char"/>
          <w:i/>
          <w:iCs/>
          <w:sz w:val="28"/>
          <w:szCs w:val="44"/>
        </w:rPr>
        <w:t>TAX HAVEN</w:t>
      </w:r>
      <w:bookmarkEnd w:id="0"/>
      <w:bookmarkEnd w:id="1"/>
      <w:bookmarkEnd w:id="2"/>
      <w:bookmarkEnd w:id="3"/>
      <w:bookmarkEnd w:id="4"/>
      <w:bookmarkEnd w:id="5"/>
      <w:r>
        <w:rPr>
          <w:rFonts w:ascii="Times New Roman" w:hAnsi="Times New Roman" w:cs="Times New Roman"/>
          <w:b/>
          <w:bCs/>
          <w:sz w:val="28"/>
          <w:szCs w:val="28"/>
        </w:rPr>
        <w:t xml:space="preserve">, </w:t>
      </w:r>
      <w:r>
        <w:rPr>
          <w:rFonts w:ascii="Times New Roman" w:hAnsi="Times New Roman" w:cs="Times New Roman"/>
          <w:b/>
          <w:bCs/>
          <w:i/>
          <w:iCs/>
          <w:sz w:val="28"/>
          <w:szCs w:val="28"/>
        </w:rPr>
        <w:t>INTANGIBLE ASSET</w:t>
      </w:r>
      <w:r>
        <w:rPr>
          <w:rFonts w:ascii="Times New Roman" w:hAnsi="Times New Roman" w:cs="Times New Roman"/>
          <w:b/>
          <w:bCs/>
          <w:sz w:val="28"/>
          <w:szCs w:val="28"/>
        </w:rPr>
        <w:t xml:space="preserve"> DAN </w:t>
      </w:r>
      <w:r>
        <w:rPr>
          <w:rFonts w:ascii="Times New Roman" w:hAnsi="Times New Roman" w:cs="Times New Roman"/>
          <w:b/>
          <w:bCs/>
          <w:i/>
          <w:iCs/>
          <w:sz w:val="28"/>
          <w:szCs w:val="28"/>
        </w:rPr>
        <w:t>TAX MINIMIZATION</w:t>
      </w:r>
      <w:r>
        <w:rPr>
          <w:rFonts w:ascii="Times New Roman" w:hAnsi="Times New Roman" w:cs="Times New Roman"/>
          <w:b/>
          <w:bCs/>
          <w:sz w:val="28"/>
          <w:szCs w:val="28"/>
        </w:rPr>
        <w:t xml:space="preserve"> TERHADAP KEPUTUSAN PERUSAHAAN MELAKUKAN </w:t>
      </w:r>
      <w:r>
        <w:rPr>
          <w:rFonts w:ascii="Times New Roman" w:hAnsi="Times New Roman" w:cs="Times New Roman"/>
          <w:b/>
          <w:bCs/>
          <w:i/>
          <w:iCs/>
          <w:sz w:val="28"/>
          <w:szCs w:val="28"/>
        </w:rPr>
        <w:t>TRANSFER PRICING</w:t>
      </w:r>
      <w:r>
        <w:rPr>
          <w:rFonts w:ascii="Times New Roman" w:hAnsi="Times New Roman" w:cs="Times New Roman"/>
          <w:b/>
          <w:bCs/>
          <w:sz w:val="28"/>
          <w:szCs w:val="28"/>
        </w:rPr>
        <w:t xml:space="preserve"> </w:t>
      </w:r>
      <w:r>
        <w:rPr>
          <w:rFonts w:ascii="Times New Roman" w:hAnsi="Times New Roman" w:cs="Times New Roman"/>
          <w:b/>
          <w:bCs/>
          <w:sz w:val="28"/>
          <w:szCs w:val="28"/>
        </w:rPr>
        <w:br/>
        <w:t>( STUDI KASUS PADA PERUSAHAAN MULTINASIONAL SEKTOR PERTAMBANGAN YANG TERDAFTAR DI BURSA EFEK INDONESIA PERIODE 2019 - 2023 )</w:t>
      </w:r>
    </w:p>
    <w:p w14:paraId="02E320A2" w14:textId="77777777" w:rsidR="00BB58C4" w:rsidRDefault="00BB58C4">
      <w:pPr>
        <w:spacing w:line="480" w:lineRule="auto"/>
        <w:jc w:val="center"/>
        <w:rPr>
          <w:rFonts w:ascii="Times New Roman" w:hAnsi="Times New Roman" w:cs="Times New Roman"/>
          <w:b/>
          <w:bCs/>
          <w:sz w:val="16"/>
          <w:szCs w:val="16"/>
        </w:rPr>
      </w:pPr>
    </w:p>
    <w:p w14:paraId="5E679FF2" w14:textId="77777777" w:rsidR="00BB58C4"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486FF07D" w14:textId="77777777" w:rsidR="00BB58C4"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Sebagai salah satu persyaratan untuk memperoleh gelar Sarjana Akuntansi</w:t>
      </w:r>
    </w:p>
    <w:p w14:paraId="0969D9A2" w14:textId="77777777" w:rsidR="00BB58C4" w:rsidRDefault="00BB58C4">
      <w:pPr>
        <w:spacing w:line="480" w:lineRule="auto"/>
        <w:jc w:val="center"/>
        <w:rPr>
          <w:rFonts w:ascii="Times New Roman" w:hAnsi="Times New Roman" w:cs="Times New Roman"/>
          <w:b/>
          <w:bCs/>
          <w:sz w:val="24"/>
          <w:szCs w:val="24"/>
        </w:rPr>
      </w:pPr>
    </w:p>
    <w:p w14:paraId="3CCED6BF" w14:textId="77777777" w:rsidR="00BB58C4" w:rsidRDefault="00000000">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160D3BC" wp14:editId="1AA7A652">
            <wp:extent cx="1797050" cy="1797050"/>
            <wp:effectExtent l="0" t="0" r="0" b="0"/>
            <wp:docPr id="666811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117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97050" cy="1797050"/>
                    </a:xfrm>
                    <a:prstGeom prst="rect">
                      <a:avLst/>
                    </a:prstGeom>
                    <a:noFill/>
                    <a:ln>
                      <a:noFill/>
                    </a:ln>
                  </pic:spPr>
                </pic:pic>
              </a:graphicData>
            </a:graphic>
          </wp:inline>
        </w:drawing>
      </w:r>
    </w:p>
    <w:p w14:paraId="66112E62" w14:textId="77777777" w:rsidR="00BB58C4" w:rsidRDefault="00BB58C4">
      <w:pPr>
        <w:spacing w:line="240" w:lineRule="auto"/>
        <w:jc w:val="center"/>
        <w:rPr>
          <w:rFonts w:ascii="Times New Roman" w:hAnsi="Times New Roman" w:cs="Times New Roman"/>
          <w:b/>
          <w:bCs/>
          <w:sz w:val="24"/>
          <w:szCs w:val="24"/>
        </w:rPr>
      </w:pPr>
    </w:p>
    <w:p w14:paraId="3C2D4D01" w14:textId="77777777" w:rsidR="00BB58C4" w:rsidRDefault="00000000">
      <w:pPr>
        <w:spacing w:line="276" w:lineRule="auto"/>
        <w:jc w:val="center"/>
        <w:rPr>
          <w:rFonts w:ascii="Times New Roman" w:hAnsi="Times New Roman" w:cs="Times New Roman"/>
          <w:sz w:val="24"/>
          <w:szCs w:val="24"/>
        </w:rPr>
      </w:pPr>
      <w:r>
        <w:rPr>
          <w:rFonts w:ascii="Times New Roman" w:hAnsi="Times New Roman" w:cs="Times New Roman"/>
          <w:sz w:val="24"/>
          <w:szCs w:val="24"/>
        </w:rPr>
        <w:t>Oleh:</w:t>
      </w:r>
    </w:p>
    <w:p w14:paraId="30EFEC51" w14:textId="77777777" w:rsidR="00BB58C4"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KRISTAZIA PANGGUA</w:t>
      </w:r>
    </w:p>
    <w:p w14:paraId="7F49A7CE" w14:textId="77777777" w:rsidR="00BB58C4"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2101036094</w:t>
      </w:r>
    </w:p>
    <w:p w14:paraId="47B77582" w14:textId="77777777" w:rsidR="00BB58C4"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S1-AKUNTANSI</w:t>
      </w:r>
    </w:p>
    <w:p w14:paraId="6423D6D0" w14:textId="77777777" w:rsidR="00BB58C4" w:rsidRDefault="00BB58C4">
      <w:pPr>
        <w:spacing w:line="480" w:lineRule="auto"/>
        <w:jc w:val="center"/>
        <w:rPr>
          <w:rFonts w:ascii="Times New Roman" w:hAnsi="Times New Roman" w:cs="Times New Roman"/>
          <w:b/>
          <w:bCs/>
          <w:sz w:val="24"/>
          <w:szCs w:val="24"/>
        </w:rPr>
      </w:pPr>
    </w:p>
    <w:p w14:paraId="4DF4DA8E" w14:textId="77777777" w:rsidR="00BB58C4"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EKONOMI DAN BISNIS</w:t>
      </w:r>
    </w:p>
    <w:p w14:paraId="45715021" w14:textId="77777777" w:rsidR="00BB58C4"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MULAWARMAN</w:t>
      </w:r>
    </w:p>
    <w:p w14:paraId="271BD3F6" w14:textId="77777777" w:rsidR="00BB58C4" w:rsidRDefault="0000000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SAMARINDA</w:t>
      </w:r>
    </w:p>
    <w:p w14:paraId="719F5344" w14:textId="77777777" w:rsidR="00BB58C4" w:rsidRDefault="00000000">
      <w:pPr>
        <w:spacing w:line="240" w:lineRule="auto"/>
        <w:jc w:val="center"/>
        <w:rPr>
          <w:rFonts w:ascii="Times New Roman" w:hAnsi="Times New Roman" w:cs="Times New Roman"/>
          <w:b/>
          <w:bCs/>
          <w:sz w:val="24"/>
          <w:szCs w:val="24"/>
        </w:rPr>
        <w:sectPr w:rsidR="00BB58C4">
          <w:footerReference w:type="default" r:id="rId10"/>
          <w:pgSz w:w="11906" w:h="16838"/>
          <w:pgMar w:top="2268" w:right="1701" w:bottom="1701" w:left="2268" w:header="709" w:footer="709" w:gutter="0"/>
          <w:cols w:space="708"/>
          <w:docGrid w:linePitch="360"/>
        </w:sectPr>
      </w:pPr>
      <w:r>
        <w:rPr>
          <w:rFonts w:ascii="Times New Roman" w:hAnsi="Times New Roman" w:cs="Times New Roman"/>
          <w:b/>
          <w:bCs/>
          <w:sz w:val="24"/>
          <w:szCs w:val="24"/>
        </w:rPr>
        <w:t>2025</w:t>
      </w:r>
    </w:p>
    <w:p w14:paraId="084A3BD0" w14:textId="77777777" w:rsidR="00BB58C4" w:rsidRDefault="00000000">
      <w:pPr>
        <w:pStyle w:val="Heading1"/>
        <w:rPr>
          <w:rFonts w:cs="Times New Roman"/>
        </w:rPr>
        <w:sectPr w:rsidR="00BB58C4">
          <w:headerReference w:type="default" r:id="rId11"/>
          <w:headerReference w:type="first" r:id="rId12"/>
          <w:footerReference w:type="first" r:id="rId13"/>
          <w:pgSz w:w="11906" w:h="16838"/>
          <w:pgMar w:top="2268" w:right="1701" w:bottom="1701" w:left="2268" w:header="709" w:footer="709" w:gutter="0"/>
          <w:pgNumType w:fmt="lowerRoman" w:start="2"/>
          <w:cols w:space="708"/>
          <w:titlePg/>
          <w:docGrid w:linePitch="360"/>
        </w:sectPr>
      </w:pPr>
      <w:bookmarkStart w:id="7" w:name="_Toc220995005"/>
      <w:r>
        <w:rPr>
          <w:noProof/>
        </w:rPr>
        <w:lastRenderedPageBreak/>
        <w:drawing>
          <wp:anchor distT="0" distB="0" distL="114300" distR="114300" simplePos="0" relativeHeight="251694080" behindDoc="0" locked="0" layoutInCell="1" allowOverlap="1" wp14:anchorId="2CA45528" wp14:editId="3763B04E">
            <wp:simplePos x="0" y="0"/>
            <wp:positionH relativeFrom="column">
              <wp:posOffset>-1355090</wp:posOffset>
            </wp:positionH>
            <wp:positionV relativeFrom="paragraph">
              <wp:posOffset>377190</wp:posOffset>
            </wp:positionV>
            <wp:extent cx="7420610" cy="7900035"/>
            <wp:effectExtent l="0" t="0" r="8890" b="6350"/>
            <wp:wrapNone/>
            <wp:docPr id="1250481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81979" name="Picture 1"/>
                    <pic:cNvPicPr>
                      <a:picLocks noChangeAspect="1"/>
                    </pic:cNvPicPr>
                  </pic:nvPicPr>
                  <pic:blipFill>
                    <a:blip r:embed="rId14">
                      <a:extLst>
                        <a:ext uri="{28A0092B-C50C-407E-A947-70E740481C1C}">
                          <a14:useLocalDpi xmlns:a14="http://schemas.microsoft.com/office/drawing/2010/main" val="0"/>
                        </a:ext>
                      </a:extLst>
                    </a:blip>
                    <a:srcRect t="16395" b="10316"/>
                    <a:stretch>
                      <a:fillRect/>
                    </a:stretch>
                  </pic:blipFill>
                  <pic:spPr>
                    <a:xfrm>
                      <a:off x="0" y="0"/>
                      <a:ext cx="7420610" cy="7899990"/>
                    </a:xfrm>
                    <a:prstGeom prst="rect">
                      <a:avLst/>
                    </a:prstGeom>
                    <a:ln>
                      <a:noFill/>
                    </a:ln>
                  </pic:spPr>
                </pic:pic>
              </a:graphicData>
            </a:graphic>
          </wp:anchor>
        </w:drawing>
      </w:r>
      <w:r>
        <w:rPr>
          <w:rFonts w:cs="Times New Roman"/>
        </w:rPr>
        <w:t>HALAMAN PENGESAHAN</w:t>
      </w:r>
      <w:bookmarkEnd w:id="7"/>
    </w:p>
    <w:p w14:paraId="22E54174" w14:textId="77777777" w:rsidR="00BB58C4" w:rsidRDefault="00000000">
      <w:pPr>
        <w:pStyle w:val="Heading1"/>
        <w:rPr>
          <w:rFonts w:cs="Times New Roman"/>
          <w:lang w:val="en-US"/>
        </w:rPr>
      </w:pPr>
      <w:bookmarkStart w:id="8" w:name="_Toc220995006"/>
      <w:r>
        <w:rPr>
          <w:noProof/>
        </w:rPr>
        <w:lastRenderedPageBreak/>
        <w:drawing>
          <wp:anchor distT="0" distB="0" distL="114300" distR="114300" simplePos="0" relativeHeight="251695104" behindDoc="1" locked="0" layoutInCell="1" allowOverlap="1" wp14:anchorId="066F72D6" wp14:editId="7C952EB1">
            <wp:simplePos x="0" y="0"/>
            <wp:positionH relativeFrom="column">
              <wp:posOffset>-1096645</wp:posOffset>
            </wp:positionH>
            <wp:positionV relativeFrom="paragraph">
              <wp:posOffset>486410</wp:posOffset>
            </wp:positionV>
            <wp:extent cx="6750685" cy="7180580"/>
            <wp:effectExtent l="0" t="0" r="0" b="1270"/>
            <wp:wrapNone/>
            <wp:docPr id="19165040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04001" name="Picture 33"/>
                    <pic:cNvPicPr>
                      <a:picLocks noChangeAspect="1" noChangeArrowheads="1"/>
                    </pic:cNvPicPr>
                  </pic:nvPicPr>
                  <pic:blipFill>
                    <a:blip r:embed="rId15">
                      <a:extLst>
                        <a:ext uri="{28A0092B-C50C-407E-A947-70E740481C1C}">
                          <a14:useLocalDpi xmlns:a14="http://schemas.microsoft.com/office/drawing/2010/main" val="0"/>
                        </a:ext>
                      </a:extLst>
                    </a:blip>
                    <a:srcRect t="15859" b="12180"/>
                    <a:stretch>
                      <a:fillRect/>
                    </a:stretch>
                  </pic:blipFill>
                  <pic:spPr>
                    <a:xfrm>
                      <a:off x="0" y="0"/>
                      <a:ext cx="6750855" cy="7180829"/>
                    </a:xfrm>
                    <a:prstGeom prst="rect">
                      <a:avLst/>
                    </a:prstGeom>
                    <a:noFill/>
                    <a:ln>
                      <a:noFill/>
                    </a:ln>
                  </pic:spPr>
                </pic:pic>
              </a:graphicData>
            </a:graphic>
          </wp:anchor>
        </w:drawing>
      </w:r>
      <w:r>
        <w:rPr>
          <w:rFonts w:cs="Times New Roman"/>
          <w:lang w:val="en-US"/>
        </w:rPr>
        <w:t>PERNYATAAN KEASLIAN SKRIPSI</w:t>
      </w:r>
      <w:bookmarkEnd w:id="8"/>
    </w:p>
    <w:p w14:paraId="500CBD08" w14:textId="77777777" w:rsidR="00BB58C4" w:rsidRDefault="00BB58C4">
      <w:pPr>
        <w:rPr>
          <w:lang w:val="en-US"/>
        </w:rPr>
      </w:pPr>
    </w:p>
    <w:p w14:paraId="13BCB719" w14:textId="77777777" w:rsidR="00BB58C4" w:rsidRDefault="00BB58C4"/>
    <w:p w14:paraId="49C8EFBB" w14:textId="77777777" w:rsidR="00BB58C4" w:rsidRDefault="00BB58C4">
      <w:pPr>
        <w:sectPr w:rsidR="00BB58C4">
          <w:pgSz w:w="11906" w:h="16838"/>
          <w:pgMar w:top="2268" w:right="1701" w:bottom="1701" w:left="2268" w:header="709" w:footer="709" w:gutter="0"/>
          <w:pgNumType w:fmt="lowerRoman"/>
          <w:cols w:space="708"/>
          <w:titlePg/>
          <w:docGrid w:linePitch="360"/>
        </w:sectPr>
      </w:pPr>
    </w:p>
    <w:p w14:paraId="3CA1B4DF" w14:textId="77777777" w:rsidR="00BB58C4" w:rsidRDefault="00000000">
      <w:pPr>
        <w:pStyle w:val="Heading1"/>
      </w:pPr>
      <w:bookmarkStart w:id="9" w:name="_Toc220995007"/>
      <w:r>
        <w:lastRenderedPageBreak/>
        <w:t>KATA PENGANTAR</w:t>
      </w:r>
      <w:bookmarkEnd w:id="9"/>
    </w:p>
    <w:p w14:paraId="22A4A3FC" w14:textId="77777777" w:rsidR="00BB58C4" w:rsidRDefault="000000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Segala Puji dan Syukur kepada Tuhan Yesus Kristus atas berkat, kasih karunia dan anugerah-Nya yang tak pernah berhenti sehingga penulis dapat menyelesaikan skripsi yang berjudul “</w:t>
      </w:r>
      <w:r>
        <w:rPr>
          <w:rFonts w:ascii="Times New Roman" w:hAnsi="Times New Roman" w:cs="Times New Roman"/>
          <w:b/>
          <w:bCs/>
          <w:sz w:val="24"/>
          <w:szCs w:val="24"/>
        </w:rPr>
        <w:t xml:space="preserve">Pengaruh </w:t>
      </w:r>
      <w:r>
        <w:rPr>
          <w:rFonts w:ascii="Times New Roman" w:hAnsi="Times New Roman" w:cs="Times New Roman"/>
          <w:b/>
          <w:bCs/>
          <w:i/>
          <w:iCs/>
          <w:sz w:val="24"/>
          <w:szCs w:val="24"/>
        </w:rPr>
        <w:t>Tax Haven</w:t>
      </w:r>
      <w:r>
        <w:rPr>
          <w:rFonts w:ascii="Times New Roman" w:hAnsi="Times New Roman" w:cs="Times New Roman"/>
          <w:b/>
          <w:bCs/>
          <w:sz w:val="24"/>
          <w:szCs w:val="24"/>
        </w:rPr>
        <w:t xml:space="preserve">, </w:t>
      </w:r>
      <w:r>
        <w:rPr>
          <w:rFonts w:ascii="Times New Roman" w:hAnsi="Times New Roman" w:cs="Times New Roman"/>
          <w:b/>
          <w:bCs/>
          <w:i/>
          <w:iCs/>
          <w:sz w:val="24"/>
          <w:szCs w:val="24"/>
        </w:rPr>
        <w:t>Intangible Asset</w:t>
      </w:r>
      <w:r>
        <w:rPr>
          <w:rFonts w:ascii="Times New Roman" w:hAnsi="Times New Roman" w:cs="Times New Roman"/>
          <w:b/>
          <w:bCs/>
          <w:sz w:val="24"/>
          <w:szCs w:val="24"/>
        </w:rPr>
        <w:t xml:space="preserve">, dan </w:t>
      </w:r>
      <w:r>
        <w:rPr>
          <w:rFonts w:ascii="Times New Roman" w:hAnsi="Times New Roman" w:cs="Times New Roman"/>
          <w:b/>
          <w:bCs/>
          <w:i/>
          <w:iCs/>
          <w:sz w:val="24"/>
          <w:szCs w:val="24"/>
        </w:rPr>
        <w:t xml:space="preserve">Tax Minimization </w:t>
      </w:r>
      <w:r>
        <w:rPr>
          <w:rFonts w:ascii="Times New Roman" w:hAnsi="Times New Roman" w:cs="Times New Roman"/>
          <w:b/>
          <w:bCs/>
          <w:sz w:val="24"/>
          <w:szCs w:val="24"/>
        </w:rPr>
        <w:t xml:space="preserve">Terhadap Keputusan Perusahaan Melakukan </w:t>
      </w:r>
      <w:r>
        <w:rPr>
          <w:rFonts w:ascii="Times New Roman" w:hAnsi="Times New Roman" w:cs="Times New Roman"/>
          <w:b/>
          <w:bCs/>
          <w:i/>
          <w:iCs/>
          <w:sz w:val="24"/>
          <w:szCs w:val="24"/>
        </w:rPr>
        <w:t xml:space="preserve">Transfer Pricing </w:t>
      </w:r>
      <w:r>
        <w:rPr>
          <w:rFonts w:ascii="Times New Roman" w:hAnsi="Times New Roman" w:cs="Times New Roman"/>
          <w:b/>
          <w:bCs/>
          <w:sz w:val="24"/>
          <w:szCs w:val="24"/>
        </w:rPr>
        <w:t>(Studi Kasus Pada Perusahaan Multinasional Sektor Pertambangan Yang Terdaftar di Bursa Efek Indonesia Periode 2019-2023)</w:t>
      </w:r>
      <w:r>
        <w:rPr>
          <w:rFonts w:ascii="Times New Roman" w:hAnsi="Times New Roman" w:cs="Times New Roman"/>
          <w:sz w:val="24"/>
          <w:szCs w:val="24"/>
        </w:rPr>
        <w:t>. Skripsi ini ditulis dan diselesaikan untuk memenuhi tugas akhir dalam menempuh pendidikan perkuliahan di Program Studi S1- Akuntansi Fakultas Ekonomi dan Bisnis Universitas Mulawarman.</w:t>
      </w:r>
    </w:p>
    <w:p w14:paraId="2133AD47" w14:textId="77777777" w:rsidR="00BB58C4" w:rsidRDefault="000000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proses penulisan dan penyusunan skripsi sebagai tugas akhir tentunya tidak lepas dari doa, dukungan serta arahan dan bantuan  dari berbagai pihak. Oleh karena itu, pada kesempatan ini penulis ingin menyampaikan terima kasih yang sebesar-besarnya kepada yang terhormat:</w:t>
      </w:r>
    </w:p>
    <w:p w14:paraId="568B2F25"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Prof. Dr. Ir. H. Abdunnur., M.Si selaku Rektor Universitas Mulawarman.</w:t>
      </w:r>
    </w:p>
    <w:p w14:paraId="349C7AAE"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Zainal Abidin, S.E.,M.M selaku Dekan Fakultas Ekonomi dan Bisnis Universitas Mulawarman.</w:t>
      </w:r>
    </w:p>
    <w:p w14:paraId="721B2FB0"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Ibu Dr. Wulan Iyhig Ratna Sari, S.E.,M.M.Si.,CMA.,CSP selaku Ketua Jurusan Akuntansi Fakultas Ekonomi dan Bisnis Universitas Mulawarman.</w:t>
      </w:r>
    </w:p>
    <w:p w14:paraId="180161E9"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Dr.  Fibriyani Nur Khairin, </w:t>
      </w:r>
      <w:r>
        <w:rPr>
          <w:rFonts w:ascii="Times New Roman" w:hAnsi="Times New Roman" w:cs="Times New Roman"/>
          <w:sz w:val="24"/>
          <w:szCs w:val="24"/>
        </w:rPr>
        <w:tab/>
        <w:t>S.E.,Ak.,MSA.,CA.,CSP selaku Koordinator Program Studi Akuntansi Fakultas Ekonomi dan Bisnis Universitas Mulawarman.</w:t>
      </w:r>
    </w:p>
    <w:p w14:paraId="0815DB93"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Bapak Dr. Muhammad Ikbal, S.E.,M.S.A.,CSRA.,CSP selaku dosen pembimbing yang senantiasa memberikan arahan serta masukan dengan penuh kesabaran kepada penulis serta , sehingga skripsi ini dapat diselesaikan dengan baik.</w:t>
      </w:r>
    </w:p>
    <w:p w14:paraId="49954528"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Ibu Ferry Diyanti, S.E.,M.S.A.,Ak.,CA.,CSRS.,CSRA selaku dosen wali yang telah membimbing penulis dalam memberikan arahan terkait pelaksanaan studi di Jurusan Akuntansi Fakultas Ekonomi dan Bisnis Universitas Mulawarman.</w:t>
      </w:r>
    </w:p>
    <w:p w14:paraId="7E8AF68E"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dosen mata kuliah di Jurusan Akuntansi Fakultas Ekonomi dan Bisnis Universitas Mulawarman yang telah memberikan banyak ilmu pengetahuan yang berharga selama penulis menjalani masa perkuliahan.</w:t>
      </w:r>
    </w:p>
    <w:p w14:paraId="34219C6C"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staf akademik, staf kemahasiswaan dan staf Jurusan Akuntansi</w:t>
      </w:r>
      <w:r>
        <w:t xml:space="preserve"> </w:t>
      </w:r>
      <w:r>
        <w:rPr>
          <w:rFonts w:ascii="Times New Roman" w:hAnsi="Times New Roman" w:cs="Times New Roman"/>
          <w:sz w:val="24"/>
          <w:szCs w:val="24"/>
        </w:rPr>
        <w:t>Fakultas Ekonomi dan Bisnis Universitas Mulawarman yang turut membantu dalam menyelesaikan serangkaian proses administrasi selama masa perkuliahan.</w:t>
      </w:r>
    </w:p>
    <w:p w14:paraId="087AB860"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Yang tercinta, Ibunda Krisna Eva Sarapang. Terima kasih untuk setiap doa yang tiada henti dipanjatkan kepada penulis, kasih sayang yang tak pernah lekang oleh waktu, pengorbanan yang tak pernah usai, serta dukungan dan pelajaran moral yang senantiasa diberikan mulai dari penulis terlahir hingga menjadi seorang wanita dewasa dan mandiri yang akan segera menyandang gelar S.Ak. Terima kasih telah menjadi sumber kekuatan bagi penulis disaat semuanya terasa gelap dan tiada harapan tanpamu mungkin anak kecilmu ini tidak akan pernah bisa melangkah sampai sejauh ini. Terima kasih karena engkau tidak pernah menyerah atas kerasnya hidup bahkan penyakit yang sedang diderita </w:t>
      </w:r>
      <w:r>
        <w:rPr>
          <w:rFonts w:ascii="Times New Roman" w:hAnsi="Times New Roman" w:cs="Times New Roman"/>
          <w:sz w:val="24"/>
          <w:szCs w:val="24"/>
        </w:rPr>
        <w:lastRenderedPageBreak/>
        <w:t xml:space="preserve">engkau tetap kuat untuk kami anak-anakmu. Terima kasih banyak Ibu sehat, panjang umur dan bahagia selalu Ibuku. </w:t>
      </w:r>
    </w:p>
    <w:p w14:paraId="66FFE5E2"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Yang terkasih, Papa Enos Napoh Matasak. Terima kasih telah hadir dalam kehidupan penulis sehingga penulis bisa merasakan arti cinta seorang ayah. Terima kasih untuk setiap doa, dukungan serta motivasi yang diberikan. Kiranya rejeki, panjang umur, dan kebahagiaan senantiasa Tuhan berikan buat papa.</w:t>
      </w:r>
    </w:p>
    <w:p w14:paraId="0222F2FC"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Kedua Adik tersayang yaitu Alfan dan Mela. Walaupun perdebatan kecil sering menghampiri namun canda dan kasih sayang selalu ada untuk mewarnai persaudaraan ini. Terima kasih telah menjadi adik yang sangat baik, mengerti akan keadaan dan teman seperjuangan penulis untuk mencapai kesuksesan demi untuk membanggakan papa dan mama. Terima kasih telah hadir mewarnai kehidupan penulis kalian adalah sumber kekuatan penulis dan anugerah yang tak ternilai yang penulis miliki.</w:t>
      </w:r>
    </w:p>
    <w:p w14:paraId="11D065E5"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Seseorang yang telah membersamai penulis dalam 2 tahun terakhir. Terima kasih telah menjadi tempat ternyaman penulis dalam berkeluh kesah, menolong dalam setiap keadaan, dan menemani penulis dalam situasi dan kondisi apapun. </w:t>
      </w:r>
    </w:p>
    <w:p w14:paraId="02E1CC74"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Kepada Sahabat penulis Dela Marlinda dan Yulia Iriawanti yang telah membersamai, penulis  mulai dari awal perkuliahan hingga proses penyelesaian skripsi.</w:t>
      </w:r>
    </w:p>
    <w:p w14:paraId="2B6D227C"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Teman-teman seperjuang angkatan 2021, novi, endang, wina, tina, nurlia, eka, farach, yosten, yoas, okto, joy, ervina, indah dan semua teman-teman yang tidak bisa penulis sebutkan satu per satu. Terima kasih telah mewarnai </w:t>
      </w:r>
      <w:r>
        <w:rPr>
          <w:rFonts w:ascii="Times New Roman" w:hAnsi="Times New Roman" w:cs="Times New Roman"/>
          <w:sz w:val="24"/>
          <w:szCs w:val="24"/>
        </w:rPr>
        <w:lastRenderedPageBreak/>
        <w:t>kehidupan perkuliahan penulis kiranya teman-teman semua diberkati dan sukses dimanapun kalian berada.</w:t>
      </w:r>
    </w:p>
    <w:p w14:paraId="14D0A633"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Sebuah kendaraan, Opet yang senantiasa menemani penulis ketempat tujuan yang penulis inginkan ataupun sekedar untuk melepas penat dengan berkeliling di sekitar jalan samarinda.</w:t>
      </w:r>
    </w:p>
    <w:p w14:paraId="2384B105" w14:textId="77777777" w:rsidR="00BB58C4" w:rsidRDefault="00000000">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Kepada seorang anak yang bernama Kristazia Panggua, Terima kasih banyak telah berjuangan dan bekerja keras dari awal perkuliahan hingga sampai diproses penyusunan skripsi. Terima kasih telah membagi waktu untuk bisa kuliah sambil bekerja demi kelancaran perkuliahan dan untuk bertahan hidup selama diperantauan. Terima kasih karena tidak pernah menyerah melewati setiap tantangan dan rintangan yang ada kiranya selalu diberikan kekuatan, kesehatan dan berkat dalam mencapai kesuksesan serta dapat menjadi garam dan terang dimanapun engkau berada.</w:t>
      </w:r>
    </w:p>
    <w:p w14:paraId="3487D306" w14:textId="77777777" w:rsidR="00BB58C4" w:rsidRDefault="00000000">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Sekian yang dapat penulis sampaikan, penulis menyadari banyaknya kekurangan dalam skripsi ini,  maka dengan itu penulis terbuka dalam menerima kritik serta saran guna untuk perbaikan skripsi ini.  Semoga skripsi ini dapat memberikan manfaat serta menjadi tambahan referensi bagi pembacanya. Terima  kasih Tuhan Yesus Memberkati</w:t>
      </w:r>
    </w:p>
    <w:p w14:paraId="59B76E96" w14:textId="77777777" w:rsidR="00BB58C4" w:rsidRDefault="00000000">
      <w:pPr>
        <w:pStyle w:val="ListParagraph"/>
        <w:spacing w:line="480" w:lineRule="auto"/>
        <w:ind w:left="426"/>
        <w:jc w:val="right"/>
        <w:rPr>
          <w:rFonts w:ascii="Times New Roman" w:hAnsi="Times New Roman" w:cs="Times New Roman"/>
          <w:sz w:val="24"/>
          <w:szCs w:val="24"/>
        </w:rPr>
      </w:pPr>
      <w:r>
        <w:rPr>
          <w:rFonts w:ascii="Times New Roman" w:hAnsi="Times New Roman" w:cs="Times New Roman"/>
          <w:sz w:val="24"/>
          <w:szCs w:val="24"/>
        </w:rPr>
        <w:t>Samarinda, 02 Oktober 2025</w:t>
      </w:r>
    </w:p>
    <w:p w14:paraId="6D1A4F6D" w14:textId="77777777" w:rsidR="00BB58C4" w:rsidRDefault="00BB58C4">
      <w:pPr>
        <w:pStyle w:val="ListParagraph"/>
        <w:spacing w:line="480" w:lineRule="auto"/>
        <w:ind w:left="426"/>
        <w:jc w:val="right"/>
        <w:rPr>
          <w:rFonts w:ascii="Times New Roman" w:hAnsi="Times New Roman" w:cs="Times New Roman"/>
          <w:sz w:val="24"/>
          <w:szCs w:val="24"/>
        </w:rPr>
      </w:pPr>
    </w:p>
    <w:p w14:paraId="2565E7C2" w14:textId="77777777" w:rsidR="00BB58C4" w:rsidRDefault="00BB58C4">
      <w:pPr>
        <w:pStyle w:val="ListParagraph"/>
        <w:spacing w:line="480" w:lineRule="auto"/>
        <w:ind w:left="426"/>
        <w:jc w:val="right"/>
        <w:rPr>
          <w:rFonts w:ascii="Times New Roman" w:hAnsi="Times New Roman" w:cs="Times New Roman"/>
          <w:sz w:val="24"/>
          <w:szCs w:val="24"/>
        </w:rPr>
      </w:pPr>
    </w:p>
    <w:p w14:paraId="5178CB54" w14:textId="77777777" w:rsidR="00BB58C4" w:rsidRDefault="00000000">
      <w:pPr>
        <w:pStyle w:val="ListParagraph"/>
        <w:spacing w:line="480" w:lineRule="auto"/>
        <w:ind w:left="426"/>
        <w:jc w:val="right"/>
        <w:rPr>
          <w:rFonts w:ascii="Times New Roman" w:hAnsi="Times New Roman" w:cs="Times New Roman"/>
          <w:sz w:val="24"/>
          <w:szCs w:val="24"/>
        </w:rPr>
        <w:sectPr w:rsidR="00BB58C4">
          <w:footerReference w:type="default" r:id="rId16"/>
          <w:pgSz w:w="11906" w:h="16838"/>
          <w:pgMar w:top="2268" w:right="1701" w:bottom="1701" w:left="2268" w:header="709" w:footer="709" w:gutter="0"/>
          <w:pgNumType w:fmt="lowerRoman"/>
          <w:cols w:space="708"/>
          <w:titlePg/>
          <w:docGrid w:linePitch="360"/>
        </w:sectPr>
      </w:pPr>
      <w:r>
        <w:rPr>
          <w:rFonts w:ascii="Times New Roman" w:hAnsi="Times New Roman" w:cs="Times New Roman"/>
          <w:sz w:val="24"/>
          <w:szCs w:val="24"/>
        </w:rPr>
        <w:t>Penulis</w:t>
      </w:r>
    </w:p>
    <w:p w14:paraId="221D24CB" w14:textId="77777777" w:rsidR="00BB58C4" w:rsidRDefault="00000000">
      <w:pPr>
        <w:pStyle w:val="Heading1"/>
        <w:spacing w:before="0" w:after="0"/>
      </w:pPr>
      <w:bookmarkStart w:id="10" w:name="_Toc220995008"/>
      <w:r>
        <w:lastRenderedPageBreak/>
        <w:t>ABSTRAK</w:t>
      </w:r>
      <w:bookmarkEnd w:id="10"/>
    </w:p>
    <w:p w14:paraId="531939F7" w14:textId="77777777" w:rsidR="00BB58C4" w:rsidRDefault="00000000">
      <w:pPr>
        <w:spacing w:line="276"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Kristazia Panggua, 2025. Pengaruh </w:t>
      </w:r>
      <w:bookmarkStart w:id="11" w:name="_Hlk210623125"/>
      <w:r>
        <w:rPr>
          <w:rFonts w:ascii="Times New Roman" w:hAnsi="Times New Roman" w:cs="Times New Roman"/>
          <w:i/>
          <w:iCs/>
          <w:sz w:val="24"/>
          <w:szCs w:val="24"/>
        </w:rPr>
        <w:t>tax haven</w:t>
      </w:r>
      <w:r>
        <w:rPr>
          <w:rFonts w:ascii="Times New Roman" w:hAnsi="Times New Roman" w:cs="Times New Roman"/>
          <w:sz w:val="24"/>
          <w:szCs w:val="24"/>
        </w:rPr>
        <w:t xml:space="preserve">,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dan </w:t>
      </w:r>
      <w:r>
        <w:rPr>
          <w:rFonts w:ascii="Times New Roman" w:hAnsi="Times New Roman" w:cs="Times New Roman"/>
          <w:i/>
          <w:iCs/>
          <w:sz w:val="24"/>
          <w:szCs w:val="24"/>
        </w:rPr>
        <w:t>tax minimization</w:t>
      </w:r>
      <w:r>
        <w:rPr>
          <w:rFonts w:ascii="Times New Roman" w:hAnsi="Times New Roman" w:cs="Times New Roman"/>
          <w:sz w:val="24"/>
          <w:szCs w:val="24"/>
        </w:rPr>
        <w:t xml:space="preserve"> 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pada perusahaan multinasional sektor pertambangan yang terdaftar di bursa efek indonesia periode 2019-2023</w:t>
      </w:r>
      <w:bookmarkEnd w:id="11"/>
      <w:r>
        <w:rPr>
          <w:rFonts w:ascii="Times New Roman" w:hAnsi="Times New Roman" w:cs="Times New Roman"/>
          <w:sz w:val="24"/>
          <w:szCs w:val="24"/>
        </w:rPr>
        <w:t xml:space="preserve">. Dibimbing oleh Bapak Muhammad Ikbal selaku dosen pembimbing. Penelitian ini bertujuan untuk memperoleh bukti empiris pengaruh </w:t>
      </w:r>
      <w:r>
        <w:rPr>
          <w:rFonts w:ascii="Times New Roman" w:hAnsi="Times New Roman" w:cs="Times New Roman"/>
          <w:i/>
          <w:iCs/>
          <w:sz w:val="24"/>
          <w:szCs w:val="24"/>
        </w:rPr>
        <w:t>tax haven</w:t>
      </w:r>
      <w:r>
        <w:rPr>
          <w:rFonts w:ascii="Times New Roman" w:hAnsi="Times New Roman" w:cs="Times New Roman"/>
          <w:sz w:val="24"/>
          <w:szCs w:val="24"/>
        </w:rPr>
        <w:t xml:space="preserve">,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dan </w:t>
      </w:r>
      <w:r>
        <w:rPr>
          <w:rFonts w:ascii="Times New Roman" w:hAnsi="Times New Roman" w:cs="Times New Roman"/>
          <w:i/>
          <w:iCs/>
          <w:sz w:val="24"/>
          <w:szCs w:val="24"/>
        </w:rPr>
        <w:t>tax minimization</w:t>
      </w:r>
      <w:r>
        <w:rPr>
          <w:rFonts w:ascii="Times New Roman" w:hAnsi="Times New Roman" w:cs="Times New Roman"/>
          <w:sz w:val="24"/>
          <w:szCs w:val="24"/>
        </w:rPr>
        <w:t xml:space="preserve"> 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pada perusahaan multinasional sektor pertambangan yang terdaftar di bursa efek indonesia periode 2019-2023. Penelitian ini menggunakan metode </w:t>
      </w:r>
      <w:r>
        <w:rPr>
          <w:rFonts w:ascii="Times New Roman" w:hAnsi="Times New Roman" w:cs="Times New Roman"/>
          <w:i/>
          <w:iCs/>
          <w:sz w:val="24"/>
          <w:szCs w:val="24"/>
        </w:rPr>
        <w:t xml:space="preserve">purposive sampling </w:t>
      </w:r>
      <w:r>
        <w:rPr>
          <w:rFonts w:ascii="Times New Roman" w:hAnsi="Times New Roman" w:cs="Times New Roman"/>
          <w:sz w:val="24"/>
          <w:szCs w:val="24"/>
        </w:rPr>
        <w:t xml:space="preserve">terdapat 125 sampel data yang sesuai kriteria dari 25 perusahaan. Penelitian ini menggunakan model regresi linear dengan teknik analisis linear berganda dengan menggunakan alat analisis aplikasi STATA (Statistik dan Data) versi 17. Hasil pengujian hipotesis menunjukkan bahwa </w:t>
      </w:r>
      <w:r>
        <w:rPr>
          <w:rFonts w:ascii="Times New Roman" w:hAnsi="Times New Roman" w:cs="Times New Roman"/>
          <w:i/>
          <w:iCs/>
          <w:sz w:val="24"/>
          <w:szCs w:val="24"/>
        </w:rPr>
        <w:t>tax haven</w:t>
      </w:r>
      <w:r>
        <w:rPr>
          <w:rFonts w:ascii="Times New Roman" w:hAnsi="Times New Roman" w:cs="Times New Roman"/>
          <w:sz w:val="24"/>
          <w:szCs w:val="24"/>
        </w:rPr>
        <w:t xml:space="preserve">, </w:t>
      </w:r>
      <w:r>
        <w:rPr>
          <w:rFonts w:ascii="Times New Roman" w:hAnsi="Times New Roman" w:cs="Times New Roman"/>
          <w:i/>
          <w:iCs/>
          <w:sz w:val="24"/>
          <w:szCs w:val="24"/>
        </w:rPr>
        <w:t>intangible asset</w:t>
      </w:r>
      <w:r>
        <w:rPr>
          <w:rFonts w:ascii="Times New Roman" w:hAnsi="Times New Roman" w:cs="Times New Roman"/>
          <w:sz w:val="24"/>
          <w:szCs w:val="24"/>
        </w:rPr>
        <w:t xml:space="preserve">, dan </w:t>
      </w:r>
      <w:r>
        <w:rPr>
          <w:rFonts w:ascii="Times New Roman" w:hAnsi="Times New Roman" w:cs="Times New Roman"/>
          <w:i/>
          <w:iCs/>
          <w:sz w:val="24"/>
          <w:szCs w:val="24"/>
        </w:rPr>
        <w:t>tax minimization</w:t>
      </w:r>
      <w:r>
        <w:rPr>
          <w:rFonts w:ascii="Times New Roman" w:hAnsi="Times New Roman" w:cs="Times New Roman"/>
          <w:sz w:val="24"/>
          <w:szCs w:val="24"/>
        </w:rPr>
        <w:t xml:space="preserve"> berpengaruh positif dan signifikan terhadap keputusan perusahaan dalam melakukan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09D197BE"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 xml:space="preserve">Kata Kunci: </w:t>
      </w:r>
      <w:r>
        <w:rPr>
          <w:rFonts w:ascii="Times New Roman" w:hAnsi="Times New Roman" w:cs="Times New Roman"/>
          <w:i/>
          <w:iCs/>
          <w:sz w:val="24"/>
          <w:szCs w:val="24"/>
        </w:rPr>
        <w:t>Transfer Pricing, Tax Haven, Intangible Asset, dan Tax Minimization.</w:t>
      </w:r>
    </w:p>
    <w:p w14:paraId="48B713CA" w14:textId="77777777" w:rsidR="00BB58C4" w:rsidRDefault="00BB58C4">
      <w:pPr>
        <w:rPr>
          <w:rFonts w:ascii="Times New Roman" w:eastAsiaTheme="majorEastAsia" w:hAnsi="Times New Roman" w:cs="Times New Roman"/>
          <w:b/>
          <w:sz w:val="24"/>
          <w:szCs w:val="24"/>
        </w:rPr>
        <w:sectPr w:rsidR="00BB58C4">
          <w:pgSz w:w="11906" w:h="16838"/>
          <w:pgMar w:top="2268" w:right="1701" w:bottom="1701" w:left="2268" w:header="709" w:footer="709" w:gutter="0"/>
          <w:pgNumType w:fmt="lowerRoman"/>
          <w:cols w:space="708"/>
          <w:titlePg/>
          <w:docGrid w:linePitch="360"/>
        </w:sectPr>
      </w:pPr>
    </w:p>
    <w:p w14:paraId="327EF5F7" w14:textId="77777777" w:rsidR="00BB58C4" w:rsidRPr="00EC5645" w:rsidRDefault="00000000">
      <w:pPr>
        <w:pStyle w:val="Heading1"/>
        <w:spacing w:before="0"/>
        <w:rPr>
          <w:i/>
          <w:iCs/>
        </w:rPr>
      </w:pPr>
      <w:bookmarkStart w:id="12" w:name="_Toc220995009"/>
      <w:r w:rsidRPr="00EC5645">
        <w:rPr>
          <w:i/>
          <w:iCs/>
        </w:rPr>
        <w:lastRenderedPageBreak/>
        <w:t>ABSTRACT</w:t>
      </w:r>
      <w:bookmarkEnd w:id="12"/>
    </w:p>
    <w:p w14:paraId="4BAEC671" w14:textId="77777777" w:rsidR="00BB58C4" w:rsidRDefault="00000000">
      <w:pPr>
        <w:spacing w:line="276" w:lineRule="auto"/>
        <w:ind w:hanging="720"/>
        <w:jc w:val="both"/>
        <w:rPr>
          <w:rFonts w:ascii="Times New Roman" w:hAnsi="Times New Roman" w:cs="Times New Roman"/>
          <w:i/>
          <w:iCs/>
          <w:sz w:val="24"/>
          <w:szCs w:val="24"/>
        </w:rPr>
      </w:pPr>
      <w:r>
        <w:rPr>
          <w:rFonts w:ascii="Times New Roman" w:hAnsi="Times New Roman" w:cs="Times New Roman"/>
          <w:b/>
          <w:bCs/>
          <w:i/>
          <w:iCs/>
          <w:sz w:val="24"/>
          <w:szCs w:val="24"/>
        </w:rPr>
        <w:tab/>
      </w:r>
      <w:r>
        <w:rPr>
          <w:rFonts w:ascii="Times New Roman" w:hAnsi="Times New Roman" w:cs="Times New Roman"/>
          <w:b/>
          <w:bCs/>
          <w:i/>
          <w:iCs/>
          <w:sz w:val="24"/>
          <w:szCs w:val="24"/>
        </w:rPr>
        <w:tab/>
      </w:r>
      <w:r>
        <w:rPr>
          <w:rFonts w:ascii="Times New Roman" w:hAnsi="Times New Roman" w:cs="Times New Roman"/>
          <w:i/>
          <w:iCs/>
          <w:sz w:val="24"/>
          <w:szCs w:val="24"/>
        </w:rPr>
        <w:t xml:space="preserve">Kristazia Panggua, 2025. The effect of </w:t>
      </w:r>
      <w:bookmarkStart w:id="13" w:name="_Hlk210623355"/>
      <w:r>
        <w:rPr>
          <w:rFonts w:ascii="Times New Roman" w:hAnsi="Times New Roman" w:cs="Times New Roman"/>
          <w:i/>
          <w:iCs/>
          <w:sz w:val="24"/>
          <w:szCs w:val="24"/>
        </w:rPr>
        <w:t>tax haven, intangible asset, and tax minimization</w:t>
      </w:r>
      <w:bookmarkEnd w:id="13"/>
      <w:r>
        <w:rPr>
          <w:rFonts w:ascii="Times New Roman" w:hAnsi="Times New Roman" w:cs="Times New Roman"/>
          <w:i/>
          <w:iCs/>
          <w:sz w:val="24"/>
          <w:szCs w:val="24"/>
        </w:rPr>
        <w:t xml:space="preserve"> on corporate transfer pricing decision </w:t>
      </w:r>
      <w:bookmarkStart w:id="14" w:name="_Hlk210623464"/>
      <w:r>
        <w:rPr>
          <w:rFonts w:ascii="Times New Roman" w:hAnsi="Times New Roman" w:cs="Times New Roman"/>
          <w:i/>
          <w:iCs/>
          <w:sz w:val="24"/>
          <w:szCs w:val="24"/>
        </w:rPr>
        <w:t>in multinational mining companies</w:t>
      </w:r>
      <w:bookmarkEnd w:id="14"/>
      <w:r>
        <w:rPr>
          <w:rFonts w:ascii="Times New Roman" w:hAnsi="Times New Roman" w:cs="Times New Roman"/>
          <w:i/>
          <w:iCs/>
          <w:sz w:val="24"/>
          <w:szCs w:val="24"/>
        </w:rPr>
        <w:t>. Advised by Mr. Muhammad Ikbal as the advisor. The purpose of this research is to find out the influence of tax haven, intangible asset, and tax minimization on transfer pricing decision to the multinational mining companies, that were listed on the Indonesian Stock Exchange for the 2019-2023 period.This study used a purposive sampling method, with 125 data samples that fit the criteria from 25 companies. This study used a linear regression model with multiple linear analysis techniques using the STATA (Statistics and Data) version 17 application analysis tool. The result of hypothesis testing show that tax haven, intangible assets, dan tax minimization have a positive and significant effect on corporate transfer pricing decisions.</w:t>
      </w:r>
    </w:p>
    <w:p w14:paraId="0AFFC25B" w14:textId="77777777" w:rsidR="00BB58C4" w:rsidRDefault="00000000">
      <w:pPr>
        <w:spacing w:line="480" w:lineRule="auto"/>
        <w:ind w:left="720" w:hanging="72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Keywords: </w:t>
      </w:r>
      <w:r>
        <w:rPr>
          <w:rFonts w:ascii="Times New Roman" w:hAnsi="Times New Roman" w:cs="Times New Roman"/>
          <w:i/>
          <w:iCs/>
          <w:sz w:val="24"/>
          <w:szCs w:val="24"/>
        </w:rPr>
        <w:t>Transfer Pricing, Tax Haven, Intangible Asset, and Tax Minimization.</w:t>
      </w:r>
    </w:p>
    <w:p w14:paraId="10CFE6B7" w14:textId="77777777" w:rsidR="00BB58C4" w:rsidRDefault="00BB58C4">
      <w:pPr>
        <w:tabs>
          <w:tab w:val="left" w:pos="4458"/>
        </w:tabs>
        <w:sectPr w:rsidR="00BB58C4">
          <w:pgSz w:w="11906" w:h="16838"/>
          <w:pgMar w:top="2268" w:right="1701" w:bottom="1701" w:left="2268" w:header="709" w:footer="709" w:gutter="0"/>
          <w:pgNumType w:fmt="lowerRoman"/>
          <w:cols w:space="708"/>
          <w:titlePg/>
          <w:docGrid w:linePitch="360"/>
        </w:sectPr>
      </w:pPr>
    </w:p>
    <w:p w14:paraId="12D2C32A" w14:textId="77777777" w:rsidR="00BB58C4" w:rsidRDefault="00000000">
      <w:pPr>
        <w:pStyle w:val="Heading1"/>
        <w:rPr>
          <w:rFonts w:cs="Times New Roman"/>
          <w:szCs w:val="24"/>
        </w:rPr>
      </w:pPr>
      <w:bookmarkStart w:id="15" w:name="_Toc220995010"/>
      <w:r>
        <w:rPr>
          <w:rFonts w:cs="Times New Roman"/>
          <w:szCs w:val="24"/>
        </w:rPr>
        <w:lastRenderedPageBreak/>
        <w:t>DAFTAR ISI</w:t>
      </w:r>
      <w:bookmarkEnd w:id="15"/>
    </w:p>
    <w:sdt>
      <w:sdtPr>
        <w:rPr>
          <w:rFonts w:ascii="Times New Roman" w:eastAsiaTheme="minorHAnsi" w:hAnsi="Times New Roman" w:cs="Times New Roman"/>
          <w:color w:val="auto"/>
          <w:kern w:val="2"/>
          <w:sz w:val="24"/>
          <w:szCs w:val="24"/>
          <w:lang w:val="zh-CN"/>
          <w14:ligatures w14:val="standardContextual"/>
        </w:rPr>
        <w:id w:val="-1554763073"/>
        <w:docPartObj>
          <w:docPartGallery w:val="Table of Contents"/>
          <w:docPartUnique/>
        </w:docPartObj>
      </w:sdtPr>
      <w:sdtEndPr>
        <w:rPr>
          <w:b/>
          <w:bCs/>
          <w:sz w:val="22"/>
          <w:szCs w:val="22"/>
        </w:rPr>
      </w:sdtEndPr>
      <w:sdtContent>
        <w:p w14:paraId="3A95DD14" w14:textId="77777777" w:rsidR="00BB58C4" w:rsidRDefault="00000000">
          <w:pPr>
            <w:pStyle w:val="TOCHeading1"/>
            <w:spacing w:line="240" w:lineRule="auto"/>
            <w:jc w:val="right"/>
            <w:rPr>
              <w:rFonts w:ascii="Times New Roman" w:hAnsi="Times New Roman" w:cs="Times New Roman"/>
              <w:b/>
              <w:bCs/>
              <w:sz w:val="24"/>
              <w:szCs w:val="24"/>
            </w:rPr>
          </w:pPr>
          <w:r>
            <w:rPr>
              <w:rFonts w:ascii="Times New Roman" w:eastAsiaTheme="minorHAnsi" w:hAnsi="Times New Roman" w:cs="Times New Roman"/>
              <w:b/>
              <w:bCs/>
              <w:color w:val="auto"/>
              <w:kern w:val="2"/>
              <w:sz w:val="24"/>
              <w:szCs w:val="24"/>
              <w:lang w:val="zh-CN"/>
              <w14:ligatures w14:val="standardContextual"/>
            </w:rPr>
            <w:t>Halaman</w:t>
          </w:r>
        </w:p>
        <w:p w14:paraId="2524740B" w14:textId="52DF2159" w:rsidR="00DF09DF" w:rsidRPr="00DF09DF" w:rsidRDefault="00000000" w:rsidP="00DF09DF">
          <w:pPr>
            <w:pStyle w:val="TOC1"/>
            <w:spacing w:before="0"/>
            <w:rPr>
              <w:rFonts w:asciiTheme="minorHAnsi" w:eastAsiaTheme="minorEastAsia" w:hAnsiTheme="minorHAnsi" w:cstheme="minorBidi"/>
              <w:b w:val="0"/>
              <w:bCs w:val="0"/>
              <w:noProof/>
              <w:lang w:val="en-US" w:eastAsia="en-ID"/>
            </w:rPr>
          </w:pPr>
          <w:r>
            <w:fldChar w:fldCharType="begin"/>
          </w:r>
          <w:r>
            <w:instrText xml:space="preserve"> TOC \o "1-3" \h \z \u </w:instrText>
          </w:r>
          <w:r>
            <w:fldChar w:fldCharType="separate"/>
          </w:r>
          <w:hyperlink w:anchor="_Toc220995004" w:history="1">
            <w:r w:rsidR="00DF09DF">
              <w:rPr>
                <w:rStyle w:val="Hyperlink"/>
                <w:noProof/>
                <w:lang w:val="en-US"/>
              </w:rPr>
              <w:t>HALAMAN JUDUL</w:t>
            </w:r>
            <w:r w:rsidR="00DF09DF">
              <w:rPr>
                <w:noProof/>
                <w:webHidden/>
              </w:rPr>
              <w:tab/>
            </w:r>
            <w:r w:rsidR="00DF09DF">
              <w:rPr>
                <w:noProof/>
                <w:webHidden/>
                <w:lang w:val="en-US"/>
              </w:rPr>
              <w:t>i</w:t>
            </w:r>
          </w:hyperlink>
        </w:p>
        <w:p w14:paraId="028489C4" w14:textId="1828BED3" w:rsidR="00DF09DF" w:rsidRDefault="00DF09DF" w:rsidP="00DF09DF">
          <w:pPr>
            <w:pStyle w:val="TOC1"/>
            <w:spacing w:before="0"/>
            <w:rPr>
              <w:rFonts w:asciiTheme="minorHAnsi" w:eastAsiaTheme="minorEastAsia" w:hAnsiTheme="minorHAnsi" w:cstheme="minorBidi"/>
              <w:b w:val="0"/>
              <w:bCs w:val="0"/>
              <w:noProof/>
              <w:lang w:val="en-ID" w:eastAsia="en-ID"/>
            </w:rPr>
          </w:pPr>
          <w:hyperlink w:anchor="_Toc220995005" w:history="1">
            <w:r w:rsidRPr="00BE62CC">
              <w:rPr>
                <w:rStyle w:val="Hyperlink"/>
                <w:noProof/>
              </w:rPr>
              <w:t>HALAMAN PENGESAHAN</w:t>
            </w:r>
            <w:r>
              <w:rPr>
                <w:noProof/>
                <w:webHidden/>
              </w:rPr>
              <w:tab/>
            </w:r>
            <w:r>
              <w:rPr>
                <w:noProof/>
                <w:webHidden/>
              </w:rPr>
              <w:fldChar w:fldCharType="begin"/>
            </w:r>
            <w:r>
              <w:rPr>
                <w:noProof/>
                <w:webHidden/>
              </w:rPr>
              <w:instrText xml:space="preserve"> PAGEREF _Toc220995005 \h </w:instrText>
            </w:r>
            <w:r>
              <w:rPr>
                <w:noProof/>
                <w:webHidden/>
              </w:rPr>
            </w:r>
            <w:r>
              <w:rPr>
                <w:noProof/>
                <w:webHidden/>
              </w:rPr>
              <w:fldChar w:fldCharType="separate"/>
            </w:r>
            <w:r w:rsidR="00DB7568">
              <w:rPr>
                <w:noProof/>
                <w:webHidden/>
              </w:rPr>
              <w:t>ii</w:t>
            </w:r>
            <w:r>
              <w:rPr>
                <w:noProof/>
                <w:webHidden/>
              </w:rPr>
              <w:fldChar w:fldCharType="end"/>
            </w:r>
          </w:hyperlink>
        </w:p>
        <w:p w14:paraId="31A5C76C" w14:textId="110B2F50" w:rsidR="00DF09DF" w:rsidRDefault="00DF09DF" w:rsidP="00DF09DF">
          <w:pPr>
            <w:pStyle w:val="TOC1"/>
            <w:spacing w:before="0"/>
            <w:rPr>
              <w:rFonts w:asciiTheme="minorHAnsi" w:eastAsiaTheme="minorEastAsia" w:hAnsiTheme="minorHAnsi" w:cstheme="minorBidi"/>
              <w:b w:val="0"/>
              <w:bCs w:val="0"/>
              <w:noProof/>
              <w:lang w:val="en-ID" w:eastAsia="en-ID"/>
            </w:rPr>
          </w:pPr>
          <w:hyperlink w:anchor="_Toc220995006" w:history="1">
            <w:r w:rsidRPr="00BE62CC">
              <w:rPr>
                <w:rStyle w:val="Hyperlink"/>
                <w:noProof/>
                <w:lang w:val="en-US"/>
              </w:rPr>
              <w:t>PERNYATAAN KEASLIAN SKRIPSI</w:t>
            </w:r>
            <w:r>
              <w:rPr>
                <w:noProof/>
                <w:webHidden/>
              </w:rPr>
              <w:tab/>
            </w:r>
            <w:r>
              <w:rPr>
                <w:noProof/>
                <w:webHidden/>
              </w:rPr>
              <w:fldChar w:fldCharType="begin"/>
            </w:r>
            <w:r>
              <w:rPr>
                <w:noProof/>
                <w:webHidden/>
              </w:rPr>
              <w:instrText xml:space="preserve"> PAGEREF _Toc220995006 \h </w:instrText>
            </w:r>
            <w:r>
              <w:rPr>
                <w:noProof/>
                <w:webHidden/>
              </w:rPr>
            </w:r>
            <w:r>
              <w:rPr>
                <w:noProof/>
                <w:webHidden/>
              </w:rPr>
              <w:fldChar w:fldCharType="separate"/>
            </w:r>
            <w:r w:rsidR="00DB7568">
              <w:rPr>
                <w:noProof/>
                <w:webHidden/>
              </w:rPr>
              <w:t>iii</w:t>
            </w:r>
            <w:r>
              <w:rPr>
                <w:noProof/>
                <w:webHidden/>
              </w:rPr>
              <w:fldChar w:fldCharType="end"/>
            </w:r>
          </w:hyperlink>
        </w:p>
        <w:p w14:paraId="3FE03BF3" w14:textId="509AA37A" w:rsidR="00DF09DF" w:rsidRDefault="00DF09DF" w:rsidP="00DF09DF">
          <w:pPr>
            <w:pStyle w:val="TOC1"/>
            <w:spacing w:before="0"/>
            <w:rPr>
              <w:rFonts w:asciiTheme="minorHAnsi" w:eastAsiaTheme="minorEastAsia" w:hAnsiTheme="minorHAnsi" w:cstheme="minorBidi"/>
              <w:b w:val="0"/>
              <w:bCs w:val="0"/>
              <w:noProof/>
              <w:lang w:val="en-ID" w:eastAsia="en-ID"/>
            </w:rPr>
          </w:pPr>
          <w:hyperlink w:anchor="_Toc220995007" w:history="1">
            <w:r w:rsidRPr="00BE62CC">
              <w:rPr>
                <w:rStyle w:val="Hyperlink"/>
                <w:noProof/>
              </w:rPr>
              <w:t>KATA PENGANTAR</w:t>
            </w:r>
            <w:r>
              <w:rPr>
                <w:noProof/>
                <w:webHidden/>
              </w:rPr>
              <w:tab/>
            </w:r>
            <w:r>
              <w:rPr>
                <w:noProof/>
                <w:webHidden/>
              </w:rPr>
              <w:fldChar w:fldCharType="begin"/>
            </w:r>
            <w:r>
              <w:rPr>
                <w:noProof/>
                <w:webHidden/>
              </w:rPr>
              <w:instrText xml:space="preserve"> PAGEREF _Toc220995007 \h </w:instrText>
            </w:r>
            <w:r>
              <w:rPr>
                <w:noProof/>
                <w:webHidden/>
              </w:rPr>
            </w:r>
            <w:r>
              <w:rPr>
                <w:noProof/>
                <w:webHidden/>
              </w:rPr>
              <w:fldChar w:fldCharType="separate"/>
            </w:r>
            <w:r w:rsidR="00DB7568">
              <w:rPr>
                <w:noProof/>
                <w:webHidden/>
              </w:rPr>
              <w:t>iv</w:t>
            </w:r>
            <w:r>
              <w:rPr>
                <w:noProof/>
                <w:webHidden/>
              </w:rPr>
              <w:fldChar w:fldCharType="end"/>
            </w:r>
          </w:hyperlink>
        </w:p>
        <w:p w14:paraId="1868AF39" w14:textId="2826296D" w:rsidR="00DF09DF" w:rsidRDefault="00DF09DF" w:rsidP="00DF09DF">
          <w:pPr>
            <w:pStyle w:val="TOC1"/>
            <w:spacing w:before="0"/>
            <w:rPr>
              <w:rFonts w:asciiTheme="minorHAnsi" w:eastAsiaTheme="minorEastAsia" w:hAnsiTheme="minorHAnsi" w:cstheme="minorBidi"/>
              <w:b w:val="0"/>
              <w:bCs w:val="0"/>
              <w:noProof/>
              <w:lang w:val="en-ID" w:eastAsia="en-ID"/>
            </w:rPr>
          </w:pPr>
          <w:hyperlink w:anchor="_Toc220995008" w:history="1">
            <w:r w:rsidRPr="00BE62CC">
              <w:rPr>
                <w:rStyle w:val="Hyperlink"/>
                <w:noProof/>
              </w:rPr>
              <w:t>ABSTRAK</w:t>
            </w:r>
            <w:r>
              <w:rPr>
                <w:noProof/>
                <w:webHidden/>
              </w:rPr>
              <w:tab/>
            </w:r>
            <w:r>
              <w:rPr>
                <w:noProof/>
                <w:webHidden/>
              </w:rPr>
              <w:fldChar w:fldCharType="begin"/>
            </w:r>
            <w:r>
              <w:rPr>
                <w:noProof/>
                <w:webHidden/>
              </w:rPr>
              <w:instrText xml:space="preserve"> PAGEREF _Toc220995008 \h </w:instrText>
            </w:r>
            <w:r>
              <w:rPr>
                <w:noProof/>
                <w:webHidden/>
              </w:rPr>
            </w:r>
            <w:r>
              <w:rPr>
                <w:noProof/>
                <w:webHidden/>
              </w:rPr>
              <w:fldChar w:fldCharType="separate"/>
            </w:r>
            <w:r w:rsidR="00DB7568">
              <w:rPr>
                <w:noProof/>
                <w:webHidden/>
              </w:rPr>
              <w:t>viii</w:t>
            </w:r>
            <w:r>
              <w:rPr>
                <w:noProof/>
                <w:webHidden/>
              </w:rPr>
              <w:fldChar w:fldCharType="end"/>
            </w:r>
          </w:hyperlink>
        </w:p>
        <w:p w14:paraId="0316DE4D" w14:textId="10CAB6EF" w:rsidR="00DF09DF" w:rsidRPr="00EC5645" w:rsidRDefault="00DF09DF" w:rsidP="00DF09DF">
          <w:pPr>
            <w:pStyle w:val="TOC1"/>
            <w:spacing w:before="0"/>
            <w:rPr>
              <w:rFonts w:asciiTheme="minorHAnsi" w:eastAsiaTheme="minorEastAsia" w:hAnsiTheme="minorHAnsi" w:cstheme="minorBidi"/>
              <w:b w:val="0"/>
              <w:bCs w:val="0"/>
              <w:i/>
              <w:iCs/>
              <w:noProof/>
              <w:lang w:val="en-ID" w:eastAsia="en-ID"/>
            </w:rPr>
          </w:pPr>
          <w:hyperlink w:anchor="_Toc220995009" w:history="1">
            <w:r w:rsidRPr="00EC5645">
              <w:rPr>
                <w:rStyle w:val="Hyperlink"/>
                <w:i/>
                <w:iCs/>
                <w:noProof/>
              </w:rPr>
              <w:t>ABSTRACT</w:t>
            </w:r>
            <w:r w:rsidRPr="00EC5645">
              <w:rPr>
                <w:i/>
                <w:iCs/>
                <w:noProof/>
                <w:webHidden/>
              </w:rPr>
              <w:tab/>
            </w:r>
            <w:r w:rsidRPr="00EC5645">
              <w:rPr>
                <w:i/>
                <w:iCs/>
                <w:noProof/>
                <w:webHidden/>
              </w:rPr>
              <w:fldChar w:fldCharType="begin"/>
            </w:r>
            <w:r w:rsidRPr="00EC5645">
              <w:rPr>
                <w:i/>
                <w:iCs/>
                <w:noProof/>
                <w:webHidden/>
              </w:rPr>
              <w:instrText xml:space="preserve"> PAGEREF _Toc220995009 \h </w:instrText>
            </w:r>
            <w:r w:rsidRPr="00EC5645">
              <w:rPr>
                <w:i/>
                <w:iCs/>
                <w:noProof/>
                <w:webHidden/>
              </w:rPr>
            </w:r>
            <w:r w:rsidRPr="00EC5645">
              <w:rPr>
                <w:i/>
                <w:iCs/>
                <w:noProof/>
                <w:webHidden/>
              </w:rPr>
              <w:fldChar w:fldCharType="separate"/>
            </w:r>
            <w:r w:rsidR="00DB7568">
              <w:rPr>
                <w:i/>
                <w:iCs/>
                <w:noProof/>
                <w:webHidden/>
              </w:rPr>
              <w:t>ix</w:t>
            </w:r>
            <w:r w:rsidRPr="00EC5645">
              <w:rPr>
                <w:i/>
                <w:iCs/>
                <w:noProof/>
                <w:webHidden/>
              </w:rPr>
              <w:fldChar w:fldCharType="end"/>
            </w:r>
          </w:hyperlink>
        </w:p>
        <w:p w14:paraId="1F5AD31E" w14:textId="53219B43" w:rsidR="00DF09DF" w:rsidRDefault="00DF09DF" w:rsidP="00DF09DF">
          <w:pPr>
            <w:pStyle w:val="TOC1"/>
            <w:spacing w:before="0"/>
            <w:rPr>
              <w:rFonts w:asciiTheme="minorHAnsi" w:eastAsiaTheme="minorEastAsia" w:hAnsiTheme="minorHAnsi" w:cstheme="minorBidi"/>
              <w:b w:val="0"/>
              <w:bCs w:val="0"/>
              <w:noProof/>
              <w:lang w:val="en-ID" w:eastAsia="en-ID"/>
            </w:rPr>
          </w:pPr>
          <w:hyperlink w:anchor="_Toc220995010" w:history="1">
            <w:r w:rsidRPr="00BE62CC">
              <w:rPr>
                <w:rStyle w:val="Hyperlink"/>
                <w:noProof/>
              </w:rPr>
              <w:t>DAFTAR ISI</w:t>
            </w:r>
            <w:r>
              <w:rPr>
                <w:noProof/>
                <w:webHidden/>
              </w:rPr>
              <w:tab/>
            </w:r>
            <w:r>
              <w:rPr>
                <w:noProof/>
                <w:webHidden/>
              </w:rPr>
              <w:fldChar w:fldCharType="begin"/>
            </w:r>
            <w:r>
              <w:rPr>
                <w:noProof/>
                <w:webHidden/>
              </w:rPr>
              <w:instrText xml:space="preserve"> PAGEREF _Toc220995010 \h </w:instrText>
            </w:r>
            <w:r>
              <w:rPr>
                <w:noProof/>
                <w:webHidden/>
              </w:rPr>
            </w:r>
            <w:r>
              <w:rPr>
                <w:noProof/>
                <w:webHidden/>
              </w:rPr>
              <w:fldChar w:fldCharType="separate"/>
            </w:r>
            <w:r w:rsidR="00DB7568">
              <w:rPr>
                <w:noProof/>
                <w:webHidden/>
              </w:rPr>
              <w:t>x</w:t>
            </w:r>
            <w:r>
              <w:rPr>
                <w:noProof/>
                <w:webHidden/>
              </w:rPr>
              <w:fldChar w:fldCharType="end"/>
            </w:r>
          </w:hyperlink>
        </w:p>
        <w:p w14:paraId="7A61E0A4" w14:textId="127B7879" w:rsidR="00DF09DF" w:rsidRDefault="00DF09DF" w:rsidP="00DF09DF">
          <w:pPr>
            <w:pStyle w:val="TOC1"/>
            <w:spacing w:before="0"/>
            <w:rPr>
              <w:rFonts w:asciiTheme="minorHAnsi" w:eastAsiaTheme="minorEastAsia" w:hAnsiTheme="minorHAnsi" w:cstheme="minorBidi"/>
              <w:b w:val="0"/>
              <w:bCs w:val="0"/>
              <w:noProof/>
              <w:lang w:val="en-ID" w:eastAsia="en-ID"/>
            </w:rPr>
          </w:pPr>
          <w:hyperlink w:anchor="_Toc220995011" w:history="1">
            <w:r w:rsidRPr="00BE62CC">
              <w:rPr>
                <w:rStyle w:val="Hyperlink"/>
                <w:noProof/>
              </w:rPr>
              <w:t>DAFTAR TABEL</w:t>
            </w:r>
            <w:r>
              <w:rPr>
                <w:noProof/>
                <w:webHidden/>
              </w:rPr>
              <w:tab/>
            </w:r>
            <w:r>
              <w:rPr>
                <w:noProof/>
                <w:webHidden/>
              </w:rPr>
              <w:fldChar w:fldCharType="begin"/>
            </w:r>
            <w:r>
              <w:rPr>
                <w:noProof/>
                <w:webHidden/>
              </w:rPr>
              <w:instrText xml:space="preserve"> PAGEREF _Toc220995011 \h </w:instrText>
            </w:r>
            <w:r>
              <w:rPr>
                <w:noProof/>
                <w:webHidden/>
              </w:rPr>
            </w:r>
            <w:r>
              <w:rPr>
                <w:noProof/>
                <w:webHidden/>
              </w:rPr>
              <w:fldChar w:fldCharType="separate"/>
            </w:r>
            <w:r w:rsidR="00DB7568">
              <w:rPr>
                <w:noProof/>
                <w:webHidden/>
              </w:rPr>
              <w:t>xii</w:t>
            </w:r>
            <w:r>
              <w:rPr>
                <w:noProof/>
                <w:webHidden/>
              </w:rPr>
              <w:fldChar w:fldCharType="end"/>
            </w:r>
          </w:hyperlink>
        </w:p>
        <w:p w14:paraId="17F3F402" w14:textId="3AEE1334" w:rsidR="00DF09DF" w:rsidRDefault="00DF09DF" w:rsidP="00DF09DF">
          <w:pPr>
            <w:pStyle w:val="TOC1"/>
            <w:spacing w:before="0"/>
            <w:rPr>
              <w:rFonts w:asciiTheme="minorHAnsi" w:eastAsiaTheme="minorEastAsia" w:hAnsiTheme="minorHAnsi" w:cstheme="minorBidi"/>
              <w:b w:val="0"/>
              <w:bCs w:val="0"/>
              <w:noProof/>
              <w:lang w:val="en-ID" w:eastAsia="en-ID"/>
            </w:rPr>
          </w:pPr>
          <w:hyperlink w:anchor="_Toc220995012" w:history="1">
            <w:r w:rsidRPr="00BE62CC">
              <w:rPr>
                <w:rStyle w:val="Hyperlink"/>
                <w:noProof/>
              </w:rPr>
              <w:t>DAFTAR GAMBAR</w:t>
            </w:r>
            <w:r>
              <w:rPr>
                <w:noProof/>
                <w:webHidden/>
              </w:rPr>
              <w:tab/>
            </w:r>
            <w:r>
              <w:rPr>
                <w:noProof/>
                <w:webHidden/>
              </w:rPr>
              <w:fldChar w:fldCharType="begin"/>
            </w:r>
            <w:r>
              <w:rPr>
                <w:noProof/>
                <w:webHidden/>
              </w:rPr>
              <w:instrText xml:space="preserve"> PAGEREF _Toc220995012 \h </w:instrText>
            </w:r>
            <w:r>
              <w:rPr>
                <w:noProof/>
                <w:webHidden/>
              </w:rPr>
            </w:r>
            <w:r>
              <w:rPr>
                <w:noProof/>
                <w:webHidden/>
              </w:rPr>
              <w:fldChar w:fldCharType="separate"/>
            </w:r>
            <w:r w:rsidR="00DB7568">
              <w:rPr>
                <w:noProof/>
                <w:webHidden/>
              </w:rPr>
              <w:t>xiii</w:t>
            </w:r>
            <w:r>
              <w:rPr>
                <w:noProof/>
                <w:webHidden/>
              </w:rPr>
              <w:fldChar w:fldCharType="end"/>
            </w:r>
          </w:hyperlink>
        </w:p>
        <w:p w14:paraId="04E4B118" w14:textId="38C90D09" w:rsidR="00DF09DF" w:rsidRDefault="00DF09DF" w:rsidP="00DF09DF">
          <w:pPr>
            <w:pStyle w:val="TOC1"/>
            <w:spacing w:before="0" w:after="240"/>
            <w:rPr>
              <w:rFonts w:asciiTheme="minorHAnsi" w:eastAsiaTheme="minorEastAsia" w:hAnsiTheme="minorHAnsi" w:cstheme="minorBidi"/>
              <w:b w:val="0"/>
              <w:bCs w:val="0"/>
              <w:noProof/>
              <w:lang w:val="en-ID" w:eastAsia="en-ID"/>
            </w:rPr>
          </w:pPr>
          <w:hyperlink w:anchor="_Toc220995013" w:history="1">
            <w:r w:rsidRPr="00BE62CC">
              <w:rPr>
                <w:rStyle w:val="Hyperlink"/>
                <w:noProof/>
              </w:rPr>
              <w:t>DAFTAR LAMPIRAN</w:t>
            </w:r>
            <w:r>
              <w:rPr>
                <w:noProof/>
                <w:webHidden/>
              </w:rPr>
              <w:tab/>
            </w:r>
            <w:r>
              <w:rPr>
                <w:noProof/>
                <w:webHidden/>
              </w:rPr>
              <w:fldChar w:fldCharType="begin"/>
            </w:r>
            <w:r>
              <w:rPr>
                <w:noProof/>
                <w:webHidden/>
              </w:rPr>
              <w:instrText xml:space="preserve"> PAGEREF _Toc220995013 \h </w:instrText>
            </w:r>
            <w:r>
              <w:rPr>
                <w:noProof/>
                <w:webHidden/>
              </w:rPr>
            </w:r>
            <w:r>
              <w:rPr>
                <w:noProof/>
                <w:webHidden/>
              </w:rPr>
              <w:fldChar w:fldCharType="separate"/>
            </w:r>
            <w:r w:rsidR="00DB7568">
              <w:rPr>
                <w:noProof/>
                <w:webHidden/>
              </w:rPr>
              <w:t>xiv</w:t>
            </w:r>
            <w:r>
              <w:rPr>
                <w:noProof/>
                <w:webHidden/>
              </w:rPr>
              <w:fldChar w:fldCharType="end"/>
            </w:r>
          </w:hyperlink>
        </w:p>
        <w:p w14:paraId="546A9A51" w14:textId="42793D42" w:rsidR="00DF09DF" w:rsidRDefault="00DF09DF" w:rsidP="00DF09DF">
          <w:pPr>
            <w:pStyle w:val="TOC1"/>
            <w:spacing w:before="0"/>
            <w:rPr>
              <w:rFonts w:asciiTheme="minorHAnsi" w:eastAsiaTheme="minorEastAsia" w:hAnsiTheme="minorHAnsi" w:cstheme="minorBidi"/>
              <w:b w:val="0"/>
              <w:bCs w:val="0"/>
              <w:noProof/>
              <w:lang w:val="en-ID" w:eastAsia="en-ID"/>
            </w:rPr>
          </w:pPr>
          <w:hyperlink w:anchor="_Toc220995014" w:history="1">
            <w:r w:rsidRPr="00BE62CC">
              <w:rPr>
                <w:rStyle w:val="Hyperlink"/>
                <w:noProof/>
              </w:rPr>
              <w:t>BAB I PENDAHULUAN</w:t>
            </w:r>
            <w:r>
              <w:rPr>
                <w:noProof/>
                <w:webHidden/>
              </w:rPr>
              <w:tab/>
            </w:r>
            <w:r>
              <w:rPr>
                <w:noProof/>
                <w:webHidden/>
              </w:rPr>
              <w:fldChar w:fldCharType="begin"/>
            </w:r>
            <w:r>
              <w:rPr>
                <w:noProof/>
                <w:webHidden/>
              </w:rPr>
              <w:instrText xml:space="preserve"> PAGEREF _Toc220995014 \h </w:instrText>
            </w:r>
            <w:r>
              <w:rPr>
                <w:noProof/>
                <w:webHidden/>
              </w:rPr>
            </w:r>
            <w:r>
              <w:rPr>
                <w:noProof/>
                <w:webHidden/>
              </w:rPr>
              <w:fldChar w:fldCharType="separate"/>
            </w:r>
            <w:r w:rsidR="00DB7568">
              <w:rPr>
                <w:noProof/>
                <w:webHidden/>
              </w:rPr>
              <w:t>1</w:t>
            </w:r>
            <w:r>
              <w:rPr>
                <w:noProof/>
                <w:webHidden/>
              </w:rPr>
              <w:fldChar w:fldCharType="end"/>
            </w:r>
          </w:hyperlink>
        </w:p>
        <w:p w14:paraId="18AF02E6" w14:textId="07CAFC35" w:rsidR="00DF09DF" w:rsidRPr="00DF09DF" w:rsidRDefault="00DF09DF" w:rsidP="00DF09DF">
          <w:pPr>
            <w:pStyle w:val="TOC2"/>
            <w:rPr>
              <w:rFonts w:ascii="Times New Roman" w:eastAsiaTheme="minorEastAsia" w:hAnsi="Times New Roman" w:cs="Times New Roman"/>
              <w:noProof/>
              <w:sz w:val="24"/>
              <w:szCs w:val="24"/>
              <w:lang w:val="en-ID" w:eastAsia="en-ID"/>
            </w:rPr>
          </w:pPr>
          <w:hyperlink w:anchor="_Toc220995015" w:history="1">
            <w:r w:rsidRPr="00DF09DF">
              <w:rPr>
                <w:rStyle w:val="Hyperlink"/>
                <w:rFonts w:ascii="Times New Roman" w:hAnsi="Times New Roman" w:cs="Times New Roman"/>
                <w:noProof/>
              </w:rPr>
              <w:t>1.1.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Latar Belakang</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_Toc220995015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w:t>
            </w:r>
            <w:r w:rsidRPr="00DF09DF">
              <w:rPr>
                <w:rFonts w:ascii="Times New Roman" w:hAnsi="Times New Roman" w:cs="Times New Roman"/>
                <w:noProof/>
                <w:webHidden/>
              </w:rPr>
              <w:fldChar w:fldCharType="end"/>
            </w:r>
          </w:hyperlink>
        </w:p>
        <w:p w14:paraId="0D0EF37F" w14:textId="7F41550D" w:rsidR="00DF09DF" w:rsidRPr="00DF09DF" w:rsidRDefault="00DF09DF" w:rsidP="00DF09DF">
          <w:pPr>
            <w:pStyle w:val="TOC2"/>
            <w:rPr>
              <w:rFonts w:ascii="Times New Roman" w:eastAsiaTheme="minorEastAsia" w:hAnsi="Times New Roman" w:cs="Times New Roman"/>
              <w:noProof/>
              <w:sz w:val="24"/>
              <w:szCs w:val="24"/>
              <w:lang w:val="en-ID" w:eastAsia="en-ID"/>
            </w:rPr>
          </w:pPr>
          <w:hyperlink w:anchor="_Toc220995016" w:history="1">
            <w:r w:rsidRPr="00DF09DF">
              <w:rPr>
                <w:rStyle w:val="Hyperlink"/>
                <w:rFonts w:ascii="Times New Roman" w:hAnsi="Times New Roman" w:cs="Times New Roman"/>
                <w:noProof/>
              </w:rPr>
              <w:t>1.2.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Rumusan Masalah</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_Toc220995016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11</w:t>
            </w:r>
            <w:r w:rsidRPr="00DF09DF">
              <w:rPr>
                <w:rFonts w:ascii="Times New Roman" w:hAnsi="Times New Roman" w:cs="Times New Roman"/>
                <w:noProof/>
                <w:webHidden/>
              </w:rPr>
              <w:fldChar w:fldCharType="end"/>
            </w:r>
          </w:hyperlink>
        </w:p>
        <w:p w14:paraId="119FFC9F" w14:textId="3982B23E" w:rsidR="00DF09DF" w:rsidRPr="00DF09DF" w:rsidRDefault="00DF09DF" w:rsidP="00DF09DF">
          <w:pPr>
            <w:pStyle w:val="TOC2"/>
            <w:rPr>
              <w:rFonts w:ascii="Times New Roman" w:eastAsiaTheme="minorEastAsia" w:hAnsi="Times New Roman" w:cs="Times New Roman"/>
              <w:noProof/>
              <w:sz w:val="24"/>
              <w:szCs w:val="24"/>
              <w:lang w:val="en-ID" w:eastAsia="en-ID"/>
            </w:rPr>
          </w:pPr>
          <w:hyperlink w:anchor="_Toc220995017" w:history="1">
            <w:r w:rsidRPr="00DF09DF">
              <w:rPr>
                <w:rStyle w:val="Hyperlink"/>
                <w:rFonts w:ascii="Times New Roman" w:hAnsi="Times New Roman" w:cs="Times New Roman"/>
                <w:noProof/>
              </w:rPr>
              <w:t>1.3.</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Tujuan Penelitian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_Toc220995017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11</w:t>
            </w:r>
            <w:r w:rsidRPr="00DF09DF">
              <w:rPr>
                <w:rFonts w:ascii="Times New Roman" w:hAnsi="Times New Roman" w:cs="Times New Roman"/>
                <w:noProof/>
                <w:webHidden/>
              </w:rPr>
              <w:fldChar w:fldCharType="end"/>
            </w:r>
          </w:hyperlink>
        </w:p>
        <w:p w14:paraId="41AB1D0E" w14:textId="2AD9A1C0" w:rsidR="00DF09DF" w:rsidRPr="00DF09DF" w:rsidRDefault="00DF09DF" w:rsidP="00DF09DF">
          <w:pPr>
            <w:pStyle w:val="TOC2"/>
            <w:rPr>
              <w:rFonts w:ascii="Times New Roman" w:eastAsiaTheme="minorEastAsia" w:hAnsi="Times New Roman" w:cs="Times New Roman"/>
              <w:noProof/>
              <w:sz w:val="24"/>
              <w:szCs w:val="24"/>
              <w:lang w:val="en-ID" w:eastAsia="en-ID"/>
            </w:rPr>
          </w:pPr>
          <w:hyperlink w:anchor="_Toc220995018" w:history="1">
            <w:r w:rsidRPr="00DF09DF">
              <w:rPr>
                <w:rStyle w:val="Hyperlink"/>
                <w:rFonts w:ascii="Times New Roman" w:hAnsi="Times New Roman" w:cs="Times New Roman"/>
                <w:noProof/>
              </w:rPr>
              <w:t>1.4.</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Manfaat Penelitian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_Toc220995018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12</w:t>
            </w:r>
            <w:r w:rsidRPr="00DF09DF">
              <w:rPr>
                <w:rFonts w:ascii="Times New Roman" w:hAnsi="Times New Roman" w:cs="Times New Roman"/>
                <w:noProof/>
                <w:webHidden/>
              </w:rPr>
              <w:fldChar w:fldCharType="end"/>
            </w:r>
          </w:hyperlink>
        </w:p>
        <w:p w14:paraId="5C866BE4" w14:textId="1182791D" w:rsidR="00DF09DF" w:rsidRDefault="00DF09DF">
          <w:pPr>
            <w:pStyle w:val="TOC1"/>
            <w:rPr>
              <w:rFonts w:asciiTheme="minorHAnsi" w:eastAsiaTheme="minorEastAsia" w:hAnsiTheme="minorHAnsi" w:cstheme="minorBidi"/>
              <w:b w:val="0"/>
              <w:bCs w:val="0"/>
              <w:noProof/>
              <w:lang w:val="en-ID" w:eastAsia="en-ID"/>
            </w:rPr>
          </w:pPr>
          <w:hyperlink w:anchor="_Toc220995019" w:history="1">
            <w:r w:rsidRPr="00BE62CC">
              <w:rPr>
                <w:rStyle w:val="Hyperlink"/>
                <w:noProof/>
              </w:rPr>
              <w:t>BAB II KAJIAN PUSTAKA</w:t>
            </w:r>
            <w:r>
              <w:rPr>
                <w:noProof/>
                <w:webHidden/>
              </w:rPr>
              <w:tab/>
            </w:r>
            <w:r>
              <w:rPr>
                <w:noProof/>
                <w:webHidden/>
              </w:rPr>
              <w:fldChar w:fldCharType="begin"/>
            </w:r>
            <w:r>
              <w:rPr>
                <w:noProof/>
                <w:webHidden/>
              </w:rPr>
              <w:instrText xml:space="preserve"> PAGEREF _Toc220995019 \h </w:instrText>
            </w:r>
            <w:r>
              <w:rPr>
                <w:noProof/>
                <w:webHidden/>
              </w:rPr>
            </w:r>
            <w:r>
              <w:rPr>
                <w:noProof/>
                <w:webHidden/>
              </w:rPr>
              <w:fldChar w:fldCharType="separate"/>
            </w:r>
            <w:r w:rsidR="00DB7568">
              <w:rPr>
                <w:noProof/>
                <w:webHidden/>
              </w:rPr>
              <w:t>13</w:t>
            </w:r>
            <w:r>
              <w:rPr>
                <w:noProof/>
                <w:webHidden/>
              </w:rPr>
              <w:fldChar w:fldCharType="end"/>
            </w:r>
          </w:hyperlink>
        </w:p>
        <w:p w14:paraId="2BE5E072" w14:textId="558CB691"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20" w:history="1">
            <w:r w:rsidRPr="00DF09DF">
              <w:rPr>
                <w:rStyle w:val="Hyperlink"/>
                <w:rFonts w:ascii="Times New Roman" w:hAnsi="Times New Roman" w:cs="Times New Roman"/>
                <w:noProof/>
              </w:rPr>
              <w:t>2.1.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Konsep Teori</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_Toc220995020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13</w:t>
            </w:r>
            <w:r w:rsidRPr="00DF09DF">
              <w:rPr>
                <w:rFonts w:ascii="Times New Roman" w:hAnsi="Times New Roman" w:cs="Times New Roman"/>
                <w:noProof/>
                <w:webHidden/>
              </w:rPr>
              <w:fldChar w:fldCharType="end"/>
            </w:r>
          </w:hyperlink>
        </w:p>
        <w:p w14:paraId="2CE04E5B" w14:textId="71223C61"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21" w:history="1">
            <w:r w:rsidRPr="00DF09DF">
              <w:rPr>
                <w:rStyle w:val="Hyperlink"/>
                <w:rFonts w:ascii="Times New Roman" w:hAnsi="Times New Roman" w:cs="Times New Roman"/>
                <w:noProof/>
              </w:rPr>
              <w:t>2.1.1.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Teori Internalisasi (</w:t>
            </w:r>
            <w:r w:rsidRPr="00DF09DF">
              <w:rPr>
                <w:rStyle w:val="Hyperlink"/>
                <w:rFonts w:ascii="Times New Roman" w:hAnsi="Times New Roman" w:cs="Times New Roman"/>
                <w:i/>
                <w:iCs/>
                <w:noProof/>
              </w:rPr>
              <w:t>Internalization</w:t>
            </w:r>
            <w:r w:rsidRPr="00DF09DF">
              <w:rPr>
                <w:rStyle w:val="Hyperlink"/>
                <w:rFonts w:ascii="Times New Roman" w:hAnsi="Times New Roman" w:cs="Times New Roman"/>
                <w:noProof/>
              </w:rPr>
              <w:t xml:space="preserve"> </w:t>
            </w:r>
            <w:r w:rsidRPr="00DF09DF">
              <w:rPr>
                <w:rStyle w:val="Hyperlink"/>
                <w:rFonts w:ascii="Times New Roman" w:hAnsi="Times New Roman" w:cs="Times New Roman"/>
                <w:i/>
                <w:iCs/>
                <w:noProof/>
              </w:rPr>
              <w:t>Theory</w:t>
            </w:r>
            <w:r w:rsidRPr="00DF09DF">
              <w:rPr>
                <w:rStyle w:val="Hyperlink"/>
                <w:rFonts w:ascii="Times New Roman" w:hAnsi="Times New Roman" w:cs="Times New Roman"/>
                <w:noProof/>
              </w:rPr>
              <w:t>)</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_Toc220995021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13</w:t>
            </w:r>
            <w:r w:rsidRPr="00DF09DF">
              <w:rPr>
                <w:rFonts w:ascii="Times New Roman" w:hAnsi="Times New Roman" w:cs="Times New Roman"/>
                <w:noProof/>
                <w:webHidden/>
              </w:rPr>
              <w:fldChar w:fldCharType="end"/>
            </w:r>
          </w:hyperlink>
        </w:p>
        <w:p w14:paraId="342AC3D7" w14:textId="6879639B"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22" w:history="1">
            <w:r w:rsidRPr="00DF09DF">
              <w:rPr>
                <w:rStyle w:val="Hyperlink"/>
                <w:rFonts w:ascii="Times New Roman" w:hAnsi="Times New Roman" w:cs="Times New Roman"/>
                <w:noProof/>
              </w:rPr>
              <w:t>2.1.2.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i/>
                <w:iCs/>
                <w:noProof/>
              </w:rPr>
              <w:t>Transfer Pricing</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_Toc220995022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14</w:t>
            </w:r>
            <w:r w:rsidRPr="00DF09DF">
              <w:rPr>
                <w:rFonts w:ascii="Times New Roman" w:hAnsi="Times New Roman" w:cs="Times New Roman"/>
                <w:noProof/>
                <w:webHidden/>
              </w:rPr>
              <w:fldChar w:fldCharType="end"/>
            </w:r>
          </w:hyperlink>
        </w:p>
        <w:p w14:paraId="67A7CD38" w14:textId="586B35DC"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23" w:history="1">
            <w:r w:rsidRPr="00DF09DF">
              <w:rPr>
                <w:rStyle w:val="Hyperlink"/>
                <w:rFonts w:ascii="Times New Roman" w:hAnsi="Times New Roman" w:cs="Times New Roman"/>
                <w:noProof/>
              </w:rPr>
              <w:t>2.1.3.</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i/>
                <w:iCs/>
                <w:noProof/>
              </w:rPr>
              <w:t>Tax Haven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_Toc220995023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15</w:t>
            </w:r>
            <w:r w:rsidRPr="00DF09DF">
              <w:rPr>
                <w:rFonts w:ascii="Times New Roman" w:hAnsi="Times New Roman" w:cs="Times New Roman"/>
                <w:noProof/>
                <w:webHidden/>
              </w:rPr>
              <w:fldChar w:fldCharType="end"/>
            </w:r>
          </w:hyperlink>
        </w:p>
        <w:p w14:paraId="2B78CD70" w14:textId="64B8394B"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24" w:history="1">
            <w:r w:rsidRPr="00DF09DF">
              <w:rPr>
                <w:rStyle w:val="Hyperlink"/>
                <w:rFonts w:ascii="Times New Roman" w:hAnsi="Times New Roman" w:cs="Times New Roman"/>
                <w:noProof/>
              </w:rPr>
              <w:t>2.1.4.</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i/>
                <w:iCs/>
                <w:noProof/>
              </w:rPr>
              <w:t>Intangible Asset</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_Toc220995024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16</w:t>
            </w:r>
            <w:r w:rsidRPr="00DF09DF">
              <w:rPr>
                <w:rFonts w:ascii="Times New Roman" w:hAnsi="Times New Roman" w:cs="Times New Roman"/>
                <w:noProof/>
                <w:webHidden/>
              </w:rPr>
              <w:fldChar w:fldCharType="end"/>
            </w:r>
          </w:hyperlink>
        </w:p>
        <w:p w14:paraId="546E1156" w14:textId="297D59E8"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25" w:history="1">
            <w:r w:rsidRPr="00DF09DF">
              <w:rPr>
                <w:rStyle w:val="Hyperlink"/>
                <w:rFonts w:ascii="Times New Roman" w:hAnsi="Times New Roman" w:cs="Times New Roman"/>
                <w:noProof/>
              </w:rPr>
              <w:t>2.1.5.</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i/>
                <w:iCs/>
                <w:noProof/>
              </w:rPr>
              <w:t>Tax Minimization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_Toc220995025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17</w:t>
            </w:r>
            <w:r w:rsidRPr="00DF09DF">
              <w:rPr>
                <w:rFonts w:ascii="Times New Roman" w:hAnsi="Times New Roman" w:cs="Times New Roman"/>
                <w:noProof/>
                <w:webHidden/>
              </w:rPr>
              <w:fldChar w:fldCharType="end"/>
            </w:r>
          </w:hyperlink>
        </w:p>
        <w:p w14:paraId="1D9BED4E" w14:textId="121CDBFF"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26" w:history="1">
            <w:r w:rsidRPr="00DF09DF">
              <w:rPr>
                <w:rStyle w:val="Hyperlink"/>
                <w:rFonts w:ascii="Times New Roman" w:hAnsi="Times New Roman" w:cs="Times New Roman"/>
                <w:noProof/>
              </w:rPr>
              <w:t>2.2.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Penelitian Terdahulu</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_Toc220995026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17</w:t>
            </w:r>
            <w:r w:rsidRPr="00DF09DF">
              <w:rPr>
                <w:rFonts w:ascii="Times New Roman" w:hAnsi="Times New Roman" w:cs="Times New Roman"/>
                <w:noProof/>
                <w:webHidden/>
              </w:rPr>
              <w:fldChar w:fldCharType="end"/>
            </w:r>
          </w:hyperlink>
        </w:p>
        <w:p w14:paraId="01EB93BE" w14:textId="78CDE63E"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27" w:history="1">
            <w:r w:rsidRPr="00DF09DF">
              <w:rPr>
                <w:rStyle w:val="Hyperlink"/>
                <w:rFonts w:ascii="Times New Roman" w:hAnsi="Times New Roman" w:cs="Times New Roman"/>
                <w:noProof/>
              </w:rPr>
              <w:t>2.3.</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Kerangka Konseptual dan Model Penelitian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_Toc220995027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23</w:t>
            </w:r>
            <w:r w:rsidRPr="00DF09DF">
              <w:rPr>
                <w:rFonts w:ascii="Times New Roman" w:hAnsi="Times New Roman" w:cs="Times New Roman"/>
                <w:noProof/>
                <w:webHidden/>
              </w:rPr>
              <w:fldChar w:fldCharType="end"/>
            </w:r>
          </w:hyperlink>
        </w:p>
        <w:p w14:paraId="458FA1A9" w14:textId="3930983F"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28" w:history="1">
            <w:r w:rsidRPr="00DF09DF">
              <w:rPr>
                <w:rStyle w:val="Hyperlink"/>
                <w:rFonts w:ascii="Times New Roman" w:hAnsi="Times New Roman" w:cs="Times New Roman"/>
                <w:noProof/>
              </w:rPr>
              <w:t>2.3.1.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 xml:space="preserve"> Kerangka Konseptual</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_Toc220995028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23</w:t>
            </w:r>
            <w:r w:rsidRPr="00DF09DF">
              <w:rPr>
                <w:rFonts w:ascii="Times New Roman" w:hAnsi="Times New Roman" w:cs="Times New Roman"/>
                <w:noProof/>
                <w:webHidden/>
              </w:rPr>
              <w:fldChar w:fldCharType="end"/>
            </w:r>
          </w:hyperlink>
        </w:p>
        <w:p w14:paraId="3239AEBC" w14:textId="708E8BE3"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29" w:history="1">
            <w:r w:rsidRPr="00DF09DF">
              <w:rPr>
                <w:rStyle w:val="Hyperlink"/>
                <w:rFonts w:ascii="Times New Roman" w:hAnsi="Times New Roman" w:cs="Times New Roman"/>
                <w:noProof/>
              </w:rPr>
              <w:t>2.3.2.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 xml:space="preserve">  Model Penelitian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_Toc220995029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24</w:t>
            </w:r>
            <w:r w:rsidRPr="00DF09DF">
              <w:rPr>
                <w:rFonts w:ascii="Times New Roman" w:hAnsi="Times New Roman" w:cs="Times New Roman"/>
                <w:noProof/>
                <w:webHidden/>
              </w:rPr>
              <w:fldChar w:fldCharType="end"/>
            </w:r>
          </w:hyperlink>
        </w:p>
        <w:p w14:paraId="69F120B6" w14:textId="44A28838"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30" w:history="1">
            <w:r w:rsidRPr="00DF09DF">
              <w:rPr>
                <w:rStyle w:val="Hyperlink"/>
                <w:rFonts w:ascii="Times New Roman" w:hAnsi="Times New Roman" w:cs="Times New Roman"/>
                <w:noProof/>
              </w:rPr>
              <w:t>2.4.</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Pengembangan Hipotesis</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_Toc220995030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24</w:t>
            </w:r>
            <w:r w:rsidRPr="00DF09DF">
              <w:rPr>
                <w:rFonts w:ascii="Times New Roman" w:hAnsi="Times New Roman" w:cs="Times New Roman"/>
                <w:noProof/>
                <w:webHidden/>
              </w:rPr>
              <w:fldChar w:fldCharType="end"/>
            </w:r>
          </w:hyperlink>
        </w:p>
        <w:p w14:paraId="6280CBB8" w14:textId="738B44AA"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31" w:history="1">
            <w:r w:rsidRPr="00DF09DF">
              <w:rPr>
                <w:rStyle w:val="Hyperlink"/>
                <w:rFonts w:ascii="Times New Roman" w:hAnsi="Times New Roman" w:cs="Times New Roman"/>
                <w:noProof/>
              </w:rPr>
              <w:t>2.4.1.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 xml:space="preserve">Pengaruh </w:t>
            </w:r>
            <w:r w:rsidRPr="00DF09DF">
              <w:rPr>
                <w:rStyle w:val="Hyperlink"/>
                <w:rFonts w:ascii="Times New Roman" w:hAnsi="Times New Roman" w:cs="Times New Roman"/>
                <w:i/>
                <w:iCs/>
                <w:noProof/>
              </w:rPr>
              <w:t xml:space="preserve">Tax Haven </w:t>
            </w:r>
            <w:r w:rsidRPr="00DF09DF">
              <w:rPr>
                <w:rStyle w:val="Hyperlink"/>
                <w:rFonts w:ascii="Times New Roman" w:hAnsi="Times New Roman" w:cs="Times New Roman"/>
                <w:noProof/>
              </w:rPr>
              <w:t xml:space="preserve">terhadap Keputusan Perusahaan Melakukan </w:t>
            </w:r>
            <w:r w:rsidRPr="00DF09DF">
              <w:rPr>
                <w:rStyle w:val="Hyperlink"/>
                <w:rFonts w:ascii="Times New Roman" w:hAnsi="Times New Roman" w:cs="Times New Roman"/>
                <w:i/>
                <w:iCs/>
                <w:noProof/>
              </w:rPr>
              <w:t>Transfer Pricing</w:t>
            </w:r>
            <w:r w:rsidRPr="00DF09DF">
              <w:rPr>
                <w:rFonts w:ascii="Times New Roman" w:hAnsi="Times New Roman" w:cs="Times New Roman"/>
                <w:noProof/>
                <w:webHidden/>
              </w:rPr>
              <w:tab/>
            </w:r>
            <w:r>
              <w:rPr>
                <w:rFonts w:ascii="Times New Roman" w:hAnsi="Times New Roman" w:cs="Times New Roman"/>
                <w:noProof/>
                <w:webHidden/>
                <w:lang w:val="en-US"/>
              </w:rPr>
              <w:t>…………………………………………………………………………….</w:t>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_Toc220995031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24</w:t>
            </w:r>
            <w:r w:rsidRPr="00DF09DF">
              <w:rPr>
                <w:rFonts w:ascii="Times New Roman" w:hAnsi="Times New Roman" w:cs="Times New Roman"/>
                <w:noProof/>
                <w:webHidden/>
              </w:rPr>
              <w:fldChar w:fldCharType="end"/>
            </w:r>
          </w:hyperlink>
        </w:p>
        <w:p w14:paraId="02143760" w14:textId="7354EC0C"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32" w:history="1">
            <w:r w:rsidRPr="00DF09DF">
              <w:rPr>
                <w:rStyle w:val="Hyperlink"/>
                <w:rFonts w:ascii="Times New Roman" w:hAnsi="Times New Roman" w:cs="Times New Roman"/>
                <w:noProof/>
              </w:rPr>
              <w:t>2.4.2.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 xml:space="preserve">Pengaruh </w:t>
            </w:r>
            <w:r w:rsidRPr="00DF09DF">
              <w:rPr>
                <w:rStyle w:val="Hyperlink"/>
                <w:rFonts w:ascii="Times New Roman" w:hAnsi="Times New Roman" w:cs="Times New Roman"/>
                <w:i/>
                <w:iCs/>
                <w:noProof/>
              </w:rPr>
              <w:t xml:space="preserve">Intangible Asset </w:t>
            </w:r>
            <w:r w:rsidRPr="00DF09DF">
              <w:rPr>
                <w:rStyle w:val="Hyperlink"/>
                <w:rFonts w:ascii="Times New Roman" w:hAnsi="Times New Roman" w:cs="Times New Roman"/>
                <w:noProof/>
              </w:rPr>
              <w:t xml:space="preserve">terhadap Keputusan Perusahaan Melakukan </w:t>
            </w:r>
            <w:r w:rsidRPr="00DF09DF">
              <w:rPr>
                <w:rStyle w:val="Hyperlink"/>
                <w:rFonts w:ascii="Times New Roman" w:hAnsi="Times New Roman" w:cs="Times New Roman"/>
                <w:i/>
                <w:iCs/>
                <w:noProof/>
              </w:rPr>
              <w:t>Transfer Pricing</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_Toc220995032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26</w:t>
            </w:r>
            <w:r w:rsidRPr="00DF09DF">
              <w:rPr>
                <w:rFonts w:ascii="Times New Roman" w:hAnsi="Times New Roman" w:cs="Times New Roman"/>
                <w:noProof/>
                <w:webHidden/>
              </w:rPr>
              <w:fldChar w:fldCharType="end"/>
            </w:r>
          </w:hyperlink>
        </w:p>
        <w:p w14:paraId="5C9D1612" w14:textId="71C89B44"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33" w:history="1">
            <w:r w:rsidRPr="00DF09DF">
              <w:rPr>
                <w:rStyle w:val="Hyperlink"/>
                <w:rFonts w:ascii="Times New Roman" w:hAnsi="Times New Roman" w:cs="Times New Roman"/>
                <w:noProof/>
              </w:rPr>
              <w:t>2.4.3.</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 xml:space="preserve">Pengaruh </w:t>
            </w:r>
            <w:r w:rsidRPr="00DF09DF">
              <w:rPr>
                <w:rStyle w:val="Hyperlink"/>
                <w:rFonts w:ascii="Times New Roman" w:hAnsi="Times New Roman" w:cs="Times New Roman"/>
                <w:i/>
                <w:iCs/>
                <w:noProof/>
              </w:rPr>
              <w:t xml:space="preserve">Tax Minimization </w:t>
            </w:r>
            <w:r w:rsidRPr="00DF09DF">
              <w:rPr>
                <w:rStyle w:val="Hyperlink"/>
                <w:rFonts w:ascii="Times New Roman" w:hAnsi="Times New Roman" w:cs="Times New Roman"/>
                <w:noProof/>
              </w:rPr>
              <w:t xml:space="preserve">terhadap Keputusan Perusahaan Melakukan </w:t>
            </w:r>
            <w:r w:rsidRPr="00DF09DF">
              <w:rPr>
                <w:rStyle w:val="Hyperlink"/>
                <w:rFonts w:ascii="Times New Roman" w:hAnsi="Times New Roman" w:cs="Times New Roman"/>
                <w:i/>
                <w:iCs/>
                <w:noProof/>
              </w:rPr>
              <w:t>Transfer Pricing</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_Toc220995033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28</w:t>
            </w:r>
            <w:r w:rsidRPr="00DF09DF">
              <w:rPr>
                <w:rFonts w:ascii="Times New Roman" w:hAnsi="Times New Roman" w:cs="Times New Roman"/>
                <w:noProof/>
                <w:webHidden/>
              </w:rPr>
              <w:fldChar w:fldCharType="end"/>
            </w:r>
          </w:hyperlink>
        </w:p>
        <w:p w14:paraId="1164933A" w14:textId="78C3E393" w:rsidR="00DF09DF" w:rsidRDefault="00DF09DF">
          <w:pPr>
            <w:pStyle w:val="TOC1"/>
            <w:rPr>
              <w:rFonts w:asciiTheme="minorHAnsi" w:eastAsiaTheme="minorEastAsia" w:hAnsiTheme="minorHAnsi" w:cstheme="minorBidi"/>
              <w:b w:val="0"/>
              <w:bCs w:val="0"/>
              <w:noProof/>
              <w:lang w:val="en-ID" w:eastAsia="en-ID"/>
            </w:rPr>
          </w:pPr>
          <w:hyperlink w:anchor="_Toc220995034" w:history="1">
            <w:r w:rsidRPr="00BE62CC">
              <w:rPr>
                <w:rStyle w:val="Hyperlink"/>
                <w:noProof/>
              </w:rPr>
              <w:t>BAB III METODE PENELITIAN</w:t>
            </w:r>
            <w:r>
              <w:rPr>
                <w:noProof/>
                <w:webHidden/>
              </w:rPr>
              <w:tab/>
            </w:r>
            <w:r>
              <w:rPr>
                <w:noProof/>
                <w:webHidden/>
              </w:rPr>
              <w:fldChar w:fldCharType="begin"/>
            </w:r>
            <w:r>
              <w:rPr>
                <w:noProof/>
                <w:webHidden/>
              </w:rPr>
              <w:instrText xml:space="preserve"> PAGEREF _Toc220995034 \h </w:instrText>
            </w:r>
            <w:r>
              <w:rPr>
                <w:noProof/>
                <w:webHidden/>
              </w:rPr>
            </w:r>
            <w:r>
              <w:rPr>
                <w:noProof/>
                <w:webHidden/>
              </w:rPr>
              <w:fldChar w:fldCharType="separate"/>
            </w:r>
            <w:r w:rsidR="00DB7568">
              <w:rPr>
                <w:noProof/>
                <w:webHidden/>
              </w:rPr>
              <w:t>30</w:t>
            </w:r>
            <w:r>
              <w:rPr>
                <w:noProof/>
                <w:webHidden/>
              </w:rPr>
              <w:fldChar w:fldCharType="end"/>
            </w:r>
          </w:hyperlink>
        </w:p>
        <w:p w14:paraId="5A70C4A7" w14:textId="77996EA3"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35" w:history="1">
            <w:r w:rsidRPr="00DF09DF">
              <w:rPr>
                <w:rStyle w:val="Hyperlink"/>
                <w:rFonts w:ascii="Times New Roman" w:hAnsi="Times New Roman" w:cs="Times New Roman"/>
                <w:noProof/>
              </w:rPr>
              <w:t>3.1.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Definisi Operasional dan Pengukuran Variabel</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_Toc220995035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30</w:t>
            </w:r>
            <w:r w:rsidRPr="00DF09DF">
              <w:rPr>
                <w:rFonts w:ascii="Times New Roman" w:hAnsi="Times New Roman" w:cs="Times New Roman"/>
                <w:noProof/>
                <w:webHidden/>
              </w:rPr>
              <w:fldChar w:fldCharType="end"/>
            </w:r>
          </w:hyperlink>
        </w:p>
        <w:p w14:paraId="3335176E" w14:textId="42691609"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36" w:history="1">
            <w:r w:rsidRPr="00DF09DF">
              <w:rPr>
                <w:rStyle w:val="Hyperlink"/>
                <w:rFonts w:ascii="Times New Roman" w:hAnsi="Times New Roman" w:cs="Times New Roman"/>
                <w:noProof/>
              </w:rPr>
              <w:t>3.1.1.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bCs/>
                <w:noProof/>
              </w:rPr>
              <w:t>Variabel Dependen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_Toc220995036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30</w:t>
            </w:r>
            <w:r w:rsidRPr="00DF09DF">
              <w:rPr>
                <w:rFonts w:ascii="Times New Roman" w:hAnsi="Times New Roman" w:cs="Times New Roman"/>
                <w:noProof/>
                <w:webHidden/>
              </w:rPr>
              <w:fldChar w:fldCharType="end"/>
            </w:r>
          </w:hyperlink>
        </w:p>
        <w:p w14:paraId="16D0ABDC" w14:textId="2BE28F7F"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37" w:history="1">
            <w:r w:rsidRPr="00DF09DF">
              <w:rPr>
                <w:rStyle w:val="Hyperlink"/>
                <w:rFonts w:ascii="Times New Roman" w:hAnsi="Times New Roman" w:cs="Times New Roman"/>
                <w:noProof/>
              </w:rPr>
              <w:t>3.1.2.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Variabel Independen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_Toc220995037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30</w:t>
            </w:r>
            <w:r w:rsidRPr="00DF09DF">
              <w:rPr>
                <w:rFonts w:ascii="Times New Roman" w:hAnsi="Times New Roman" w:cs="Times New Roman"/>
                <w:noProof/>
                <w:webHidden/>
              </w:rPr>
              <w:fldChar w:fldCharType="end"/>
            </w:r>
          </w:hyperlink>
        </w:p>
        <w:p w14:paraId="5E5DC2AE" w14:textId="1774D118"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38" w:history="1">
            <w:r w:rsidRPr="00DF09DF">
              <w:rPr>
                <w:rStyle w:val="Hyperlink"/>
                <w:rFonts w:ascii="Times New Roman" w:hAnsi="Times New Roman" w:cs="Times New Roman"/>
                <w:noProof/>
              </w:rPr>
              <w:t>3.2.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Populasi dan Sampel Penelitian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_Toc220995038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32</w:t>
            </w:r>
            <w:r w:rsidRPr="00DF09DF">
              <w:rPr>
                <w:rFonts w:ascii="Times New Roman" w:hAnsi="Times New Roman" w:cs="Times New Roman"/>
                <w:noProof/>
                <w:webHidden/>
              </w:rPr>
              <w:fldChar w:fldCharType="end"/>
            </w:r>
          </w:hyperlink>
        </w:p>
        <w:p w14:paraId="4E026A0C" w14:textId="75890B19"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39" w:history="1">
            <w:r w:rsidRPr="00DF09DF">
              <w:rPr>
                <w:rStyle w:val="Hyperlink"/>
                <w:rFonts w:ascii="Times New Roman" w:hAnsi="Times New Roman" w:cs="Times New Roman"/>
                <w:noProof/>
              </w:rPr>
              <w:t>3.3.</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Jenis dan Sumber Data</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_Toc220995039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34</w:t>
            </w:r>
            <w:r w:rsidRPr="00DF09DF">
              <w:rPr>
                <w:rFonts w:ascii="Times New Roman" w:hAnsi="Times New Roman" w:cs="Times New Roman"/>
                <w:noProof/>
                <w:webHidden/>
              </w:rPr>
              <w:fldChar w:fldCharType="end"/>
            </w:r>
          </w:hyperlink>
        </w:p>
        <w:p w14:paraId="4DAB2A39" w14:textId="1506A1E0"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40" w:history="1">
            <w:r w:rsidRPr="00DF09DF">
              <w:rPr>
                <w:rStyle w:val="Hyperlink"/>
                <w:rFonts w:ascii="Times New Roman" w:hAnsi="Times New Roman" w:cs="Times New Roman"/>
                <w:noProof/>
              </w:rPr>
              <w:t>3.4.</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bCs/>
                <w:noProof/>
              </w:rPr>
              <w:t>Metode Pengumpulan Data</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_Toc220995040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34</w:t>
            </w:r>
            <w:r w:rsidRPr="00DF09DF">
              <w:rPr>
                <w:rFonts w:ascii="Times New Roman" w:hAnsi="Times New Roman" w:cs="Times New Roman"/>
                <w:noProof/>
                <w:webHidden/>
              </w:rPr>
              <w:fldChar w:fldCharType="end"/>
            </w:r>
          </w:hyperlink>
        </w:p>
        <w:p w14:paraId="3A7F9AB5" w14:textId="61AC5CC4"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41" w:history="1">
            <w:r w:rsidRPr="00DF09DF">
              <w:rPr>
                <w:rStyle w:val="Hyperlink"/>
                <w:rFonts w:ascii="Times New Roman" w:hAnsi="Times New Roman" w:cs="Times New Roman"/>
                <w:noProof/>
              </w:rPr>
              <w:t>3.5.</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Alat Analisis Data</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_Toc220995041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34</w:t>
            </w:r>
            <w:r w:rsidRPr="00DF09DF">
              <w:rPr>
                <w:rFonts w:ascii="Times New Roman" w:hAnsi="Times New Roman" w:cs="Times New Roman"/>
                <w:noProof/>
                <w:webHidden/>
              </w:rPr>
              <w:fldChar w:fldCharType="end"/>
            </w:r>
          </w:hyperlink>
        </w:p>
        <w:p w14:paraId="4C5EEEF7" w14:textId="56CFD27B"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42" w:history="1">
            <w:r w:rsidRPr="00DF09DF">
              <w:rPr>
                <w:rStyle w:val="Hyperlink"/>
                <w:rFonts w:ascii="Times New Roman" w:hAnsi="Times New Roman" w:cs="Times New Roman"/>
                <w:noProof/>
              </w:rPr>
              <w:t>3.5.1.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 xml:space="preserve"> Analisis Statistik Deskriptif</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_Toc220995042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35</w:t>
            </w:r>
            <w:r w:rsidRPr="00DF09DF">
              <w:rPr>
                <w:rFonts w:ascii="Times New Roman" w:hAnsi="Times New Roman" w:cs="Times New Roman"/>
                <w:noProof/>
                <w:webHidden/>
              </w:rPr>
              <w:fldChar w:fldCharType="end"/>
            </w:r>
          </w:hyperlink>
        </w:p>
        <w:p w14:paraId="71025211" w14:textId="5F4451C6"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43" w:history="1">
            <w:r w:rsidRPr="00DF09DF">
              <w:rPr>
                <w:rStyle w:val="Hyperlink"/>
                <w:rFonts w:ascii="Times New Roman" w:hAnsi="Times New Roman" w:cs="Times New Roman"/>
                <w:noProof/>
              </w:rPr>
              <w:t>3.5.2.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 xml:space="preserve"> Model Regresi Data Panel</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_Toc220995043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35</w:t>
            </w:r>
            <w:r w:rsidRPr="00DF09DF">
              <w:rPr>
                <w:rFonts w:ascii="Times New Roman" w:hAnsi="Times New Roman" w:cs="Times New Roman"/>
                <w:noProof/>
                <w:webHidden/>
              </w:rPr>
              <w:fldChar w:fldCharType="end"/>
            </w:r>
          </w:hyperlink>
        </w:p>
        <w:p w14:paraId="01135C4D" w14:textId="75C835DB"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44" w:history="1">
            <w:r w:rsidRPr="00DF09DF">
              <w:rPr>
                <w:rStyle w:val="Hyperlink"/>
                <w:rFonts w:ascii="Times New Roman" w:hAnsi="Times New Roman" w:cs="Times New Roman"/>
                <w:noProof/>
              </w:rPr>
              <w:t xml:space="preserve">3.5.3. </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Uji Asumsi Klasik</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_Toc220995044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38</w:t>
            </w:r>
            <w:r w:rsidRPr="00DF09DF">
              <w:rPr>
                <w:rFonts w:ascii="Times New Roman" w:hAnsi="Times New Roman" w:cs="Times New Roman"/>
                <w:noProof/>
                <w:webHidden/>
              </w:rPr>
              <w:fldChar w:fldCharType="end"/>
            </w:r>
          </w:hyperlink>
        </w:p>
        <w:p w14:paraId="5EC8AED7" w14:textId="197B735E"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45" w:history="1">
            <w:r w:rsidRPr="00DF09DF">
              <w:rPr>
                <w:rStyle w:val="Hyperlink"/>
                <w:rFonts w:ascii="Times New Roman" w:hAnsi="Times New Roman" w:cs="Times New Roman"/>
                <w:noProof/>
              </w:rPr>
              <w:t>3.5.4.</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Uji Kelayakan Model</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_Toc220995045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39</w:t>
            </w:r>
            <w:r w:rsidRPr="00DF09DF">
              <w:rPr>
                <w:rFonts w:ascii="Times New Roman" w:hAnsi="Times New Roman" w:cs="Times New Roman"/>
                <w:noProof/>
                <w:webHidden/>
              </w:rPr>
              <w:fldChar w:fldCharType="end"/>
            </w:r>
          </w:hyperlink>
        </w:p>
        <w:p w14:paraId="53E86923" w14:textId="64C5CB0A"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46" w:history="1">
            <w:r w:rsidRPr="00DF09DF">
              <w:rPr>
                <w:rStyle w:val="Hyperlink"/>
                <w:rFonts w:ascii="Times New Roman" w:hAnsi="Times New Roman" w:cs="Times New Roman"/>
                <w:noProof/>
              </w:rPr>
              <w:t>3.5.5.</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Analisis Regresi Linear Berganda</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_Toc220995046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40</w:t>
            </w:r>
            <w:r w:rsidRPr="00DF09DF">
              <w:rPr>
                <w:rFonts w:ascii="Times New Roman" w:hAnsi="Times New Roman" w:cs="Times New Roman"/>
                <w:noProof/>
                <w:webHidden/>
              </w:rPr>
              <w:fldChar w:fldCharType="end"/>
            </w:r>
          </w:hyperlink>
        </w:p>
        <w:p w14:paraId="161652C3" w14:textId="2E882B2B"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47" w:history="1">
            <w:r w:rsidRPr="00DF09DF">
              <w:rPr>
                <w:rStyle w:val="Hyperlink"/>
                <w:rFonts w:ascii="Times New Roman" w:hAnsi="Times New Roman" w:cs="Times New Roman"/>
                <w:noProof/>
              </w:rPr>
              <w:t>3.5.6 Uji t</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_Toc220995047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41</w:t>
            </w:r>
            <w:r w:rsidRPr="00DF09DF">
              <w:rPr>
                <w:rFonts w:ascii="Times New Roman" w:hAnsi="Times New Roman" w:cs="Times New Roman"/>
                <w:noProof/>
                <w:webHidden/>
              </w:rPr>
              <w:fldChar w:fldCharType="end"/>
            </w:r>
          </w:hyperlink>
        </w:p>
        <w:p w14:paraId="7171BDA8" w14:textId="7410E0DB" w:rsidR="00DF09DF" w:rsidRDefault="00DF09DF">
          <w:pPr>
            <w:pStyle w:val="TOC1"/>
            <w:rPr>
              <w:rFonts w:asciiTheme="minorHAnsi" w:eastAsiaTheme="minorEastAsia" w:hAnsiTheme="minorHAnsi" w:cstheme="minorBidi"/>
              <w:b w:val="0"/>
              <w:bCs w:val="0"/>
              <w:noProof/>
              <w:lang w:val="en-ID" w:eastAsia="en-ID"/>
            </w:rPr>
          </w:pPr>
          <w:hyperlink w:anchor="_Toc220995048" w:history="1">
            <w:r w:rsidRPr="00BE62CC">
              <w:rPr>
                <w:rStyle w:val="Hyperlink"/>
                <w:noProof/>
              </w:rPr>
              <w:t>BAB IV   HASIL DAN PEMBAHASAN</w:t>
            </w:r>
            <w:r>
              <w:rPr>
                <w:noProof/>
                <w:webHidden/>
              </w:rPr>
              <w:tab/>
            </w:r>
            <w:r>
              <w:rPr>
                <w:noProof/>
                <w:webHidden/>
              </w:rPr>
              <w:fldChar w:fldCharType="begin"/>
            </w:r>
            <w:r>
              <w:rPr>
                <w:noProof/>
                <w:webHidden/>
              </w:rPr>
              <w:instrText xml:space="preserve"> PAGEREF _Toc220995048 \h </w:instrText>
            </w:r>
            <w:r>
              <w:rPr>
                <w:noProof/>
                <w:webHidden/>
              </w:rPr>
            </w:r>
            <w:r>
              <w:rPr>
                <w:noProof/>
                <w:webHidden/>
              </w:rPr>
              <w:fldChar w:fldCharType="separate"/>
            </w:r>
            <w:r w:rsidR="00DB7568">
              <w:rPr>
                <w:noProof/>
                <w:webHidden/>
              </w:rPr>
              <w:t>42</w:t>
            </w:r>
            <w:r>
              <w:rPr>
                <w:noProof/>
                <w:webHidden/>
              </w:rPr>
              <w:fldChar w:fldCharType="end"/>
            </w:r>
          </w:hyperlink>
        </w:p>
        <w:p w14:paraId="3385C66D" w14:textId="7C1C12B0"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53" w:history="1">
            <w:r w:rsidRPr="00DF09DF">
              <w:rPr>
                <w:rStyle w:val="Hyperlink"/>
                <w:rFonts w:ascii="Times New Roman" w:hAnsi="Times New Roman" w:cs="Times New Roman"/>
                <w:noProof/>
              </w:rPr>
              <w:t>4.1.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Deskripsi dan Data Penelitian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_Toc220995053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42</w:t>
            </w:r>
            <w:r w:rsidRPr="00DF09DF">
              <w:rPr>
                <w:rFonts w:ascii="Times New Roman" w:hAnsi="Times New Roman" w:cs="Times New Roman"/>
                <w:noProof/>
                <w:webHidden/>
              </w:rPr>
              <w:fldChar w:fldCharType="end"/>
            </w:r>
          </w:hyperlink>
        </w:p>
        <w:p w14:paraId="2E1A08C2" w14:textId="68D1E5F6"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58" w:history="1">
            <w:r w:rsidRPr="00DF09DF">
              <w:rPr>
                <w:rStyle w:val="Hyperlink"/>
                <w:rFonts w:ascii="Times New Roman" w:hAnsi="Times New Roman" w:cs="Times New Roman"/>
                <w:noProof/>
              </w:rPr>
              <w:t>4.2.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Hasil Penelitian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_Toc220995058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42</w:t>
            </w:r>
            <w:r w:rsidRPr="00DF09DF">
              <w:rPr>
                <w:rFonts w:ascii="Times New Roman" w:hAnsi="Times New Roman" w:cs="Times New Roman"/>
                <w:noProof/>
                <w:webHidden/>
              </w:rPr>
              <w:fldChar w:fldCharType="end"/>
            </w:r>
          </w:hyperlink>
        </w:p>
        <w:p w14:paraId="37CEC70E" w14:textId="7C541D9A"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59" w:history="1">
            <w:r w:rsidRPr="00DF09DF">
              <w:rPr>
                <w:rStyle w:val="Hyperlink"/>
                <w:rFonts w:ascii="Times New Roman" w:hAnsi="Times New Roman" w:cs="Times New Roman"/>
                <w:noProof/>
              </w:rPr>
              <w:t>4.2.1.  Analisis Statistik Deskriptif</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_Toc220995059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42</w:t>
            </w:r>
            <w:r w:rsidRPr="00DF09DF">
              <w:rPr>
                <w:rFonts w:ascii="Times New Roman" w:hAnsi="Times New Roman" w:cs="Times New Roman"/>
                <w:noProof/>
                <w:webHidden/>
              </w:rPr>
              <w:fldChar w:fldCharType="end"/>
            </w:r>
          </w:hyperlink>
        </w:p>
        <w:p w14:paraId="12B72FFE" w14:textId="2C297186"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60" w:history="1">
            <w:r w:rsidRPr="00DF09DF">
              <w:rPr>
                <w:rStyle w:val="Hyperlink"/>
                <w:rFonts w:ascii="Times New Roman" w:hAnsi="Times New Roman" w:cs="Times New Roman"/>
                <w:noProof/>
                <w:lang w:val="en-US"/>
              </w:rPr>
              <w:t>4.2.2.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lang w:val="en-US"/>
              </w:rPr>
              <w:t>Hasil Regresi Data Panel</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_Toc220995060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43</w:t>
            </w:r>
            <w:r w:rsidRPr="00DF09DF">
              <w:rPr>
                <w:rFonts w:ascii="Times New Roman" w:hAnsi="Times New Roman" w:cs="Times New Roman"/>
                <w:noProof/>
                <w:webHidden/>
              </w:rPr>
              <w:fldChar w:fldCharType="end"/>
            </w:r>
          </w:hyperlink>
        </w:p>
        <w:p w14:paraId="18B8D6D4" w14:textId="68A7C56F"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61" w:history="1">
            <w:r w:rsidRPr="00DF09DF">
              <w:rPr>
                <w:rStyle w:val="Hyperlink"/>
                <w:rFonts w:ascii="Times New Roman" w:hAnsi="Times New Roman" w:cs="Times New Roman"/>
                <w:noProof/>
                <w:lang w:val="en-US"/>
              </w:rPr>
              <w:t>4.2.3.</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lang w:val="en-US"/>
              </w:rPr>
              <w:t>Uji Asumsi Klasik</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_Toc220995061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46</w:t>
            </w:r>
            <w:r w:rsidRPr="00DF09DF">
              <w:rPr>
                <w:rFonts w:ascii="Times New Roman" w:hAnsi="Times New Roman" w:cs="Times New Roman"/>
                <w:noProof/>
                <w:webHidden/>
              </w:rPr>
              <w:fldChar w:fldCharType="end"/>
            </w:r>
          </w:hyperlink>
        </w:p>
        <w:p w14:paraId="0616354C" w14:textId="599527D5"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62" w:history="1">
            <w:r w:rsidRPr="00DF09DF">
              <w:rPr>
                <w:rStyle w:val="Hyperlink"/>
                <w:rFonts w:ascii="Times New Roman" w:hAnsi="Times New Roman" w:cs="Times New Roman"/>
                <w:noProof/>
              </w:rPr>
              <w:t>4.2.4. Uji Kelayakan Model</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_Toc220995062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49</w:t>
            </w:r>
            <w:r w:rsidRPr="00DF09DF">
              <w:rPr>
                <w:rFonts w:ascii="Times New Roman" w:hAnsi="Times New Roman" w:cs="Times New Roman"/>
                <w:noProof/>
                <w:webHidden/>
              </w:rPr>
              <w:fldChar w:fldCharType="end"/>
            </w:r>
          </w:hyperlink>
        </w:p>
        <w:p w14:paraId="1D075384" w14:textId="2E187386"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63" w:history="1">
            <w:r w:rsidRPr="00DF09DF">
              <w:rPr>
                <w:rStyle w:val="Hyperlink"/>
                <w:rFonts w:ascii="Times New Roman" w:hAnsi="Times New Roman" w:cs="Times New Roman"/>
                <w:noProof/>
              </w:rPr>
              <w:t>4.2.5. Analisis Regresi Linear Berganda</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_Toc220995063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50</w:t>
            </w:r>
            <w:r w:rsidRPr="00DF09DF">
              <w:rPr>
                <w:rFonts w:ascii="Times New Roman" w:hAnsi="Times New Roman" w:cs="Times New Roman"/>
                <w:noProof/>
                <w:webHidden/>
              </w:rPr>
              <w:fldChar w:fldCharType="end"/>
            </w:r>
          </w:hyperlink>
        </w:p>
        <w:p w14:paraId="3D1BBD8E" w14:textId="625F79B0"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64" w:history="1">
            <w:r w:rsidRPr="00DF09DF">
              <w:rPr>
                <w:rStyle w:val="Hyperlink"/>
                <w:rFonts w:ascii="Times New Roman" w:hAnsi="Times New Roman" w:cs="Times New Roman"/>
                <w:noProof/>
                <w:lang w:val="en-US"/>
              </w:rPr>
              <w:t>4.3.</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lang w:val="en-US"/>
              </w:rPr>
              <w:t>Pembahasan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_Toc220995064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53</w:t>
            </w:r>
            <w:r w:rsidRPr="00DF09DF">
              <w:rPr>
                <w:rFonts w:ascii="Times New Roman" w:hAnsi="Times New Roman" w:cs="Times New Roman"/>
                <w:noProof/>
                <w:webHidden/>
              </w:rPr>
              <w:fldChar w:fldCharType="end"/>
            </w:r>
          </w:hyperlink>
        </w:p>
        <w:p w14:paraId="6C43B8D0" w14:textId="4E16B857"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65" w:history="1">
            <w:r w:rsidRPr="00DF09DF">
              <w:rPr>
                <w:rStyle w:val="Hyperlink"/>
                <w:rFonts w:ascii="Times New Roman" w:hAnsi="Times New Roman" w:cs="Times New Roman"/>
                <w:noProof/>
                <w:lang w:val="en-US"/>
              </w:rPr>
              <w:t xml:space="preserve">4.3.1. Pengaruh </w:t>
            </w:r>
            <w:r w:rsidRPr="00DF09DF">
              <w:rPr>
                <w:rStyle w:val="Hyperlink"/>
                <w:rFonts w:ascii="Times New Roman" w:hAnsi="Times New Roman" w:cs="Times New Roman"/>
                <w:i/>
                <w:iCs/>
                <w:noProof/>
                <w:lang w:val="en-US"/>
              </w:rPr>
              <w:t>Tax Haven</w:t>
            </w:r>
            <w:r w:rsidRPr="00DF09DF">
              <w:rPr>
                <w:rStyle w:val="Hyperlink"/>
                <w:rFonts w:ascii="Times New Roman" w:hAnsi="Times New Roman" w:cs="Times New Roman"/>
                <w:noProof/>
                <w:lang w:val="en-US"/>
              </w:rPr>
              <w:t xml:space="preserve"> terhadap </w:t>
            </w:r>
            <w:r w:rsidRPr="00DF09DF">
              <w:rPr>
                <w:rStyle w:val="Hyperlink"/>
                <w:rFonts w:ascii="Times New Roman" w:hAnsi="Times New Roman" w:cs="Times New Roman"/>
                <w:i/>
                <w:iCs/>
                <w:noProof/>
                <w:lang w:val="en-US"/>
              </w:rPr>
              <w:t>Transfer Pricing</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_Toc220995065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53</w:t>
            </w:r>
            <w:r w:rsidRPr="00DF09DF">
              <w:rPr>
                <w:rFonts w:ascii="Times New Roman" w:hAnsi="Times New Roman" w:cs="Times New Roman"/>
                <w:noProof/>
                <w:webHidden/>
              </w:rPr>
              <w:fldChar w:fldCharType="end"/>
            </w:r>
          </w:hyperlink>
        </w:p>
        <w:p w14:paraId="7D1607A8" w14:textId="293C1235"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66" w:history="1">
            <w:r w:rsidRPr="00DF09DF">
              <w:rPr>
                <w:rStyle w:val="Hyperlink"/>
                <w:rFonts w:ascii="Times New Roman" w:hAnsi="Times New Roman" w:cs="Times New Roman"/>
                <w:noProof/>
                <w:lang w:val="en-US"/>
              </w:rPr>
              <w:t xml:space="preserve">4.3.2. Pengaruh </w:t>
            </w:r>
            <w:r w:rsidRPr="00DF09DF">
              <w:rPr>
                <w:rStyle w:val="Hyperlink"/>
                <w:rFonts w:ascii="Times New Roman" w:hAnsi="Times New Roman" w:cs="Times New Roman"/>
                <w:i/>
                <w:iCs/>
                <w:noProof/>
                <w:lang w:val="en-US"/>
              </w:rPr>
              <w:t>Intangible Asset</w:t>
            </w:r>
            <w:r w:rsidRPr="00DF09DF">
              <w:rPr>
                <w:rStyle w:val="Hyperlink"/>
                <w:rFonts w:ascii="Times New Roman" w:hAnsi="Times New Roman" w:cs="Times New Roman"/>
                <w:noProof/>
                <w:lang w:val="en-US"/>
              </w:rPr>
              <w:t xml:space="preserve"> terhadap </w:t>
            </w:r>
            <w:r w:rsidRPr="00DF09DF">
              <w:rPr>
                <w:rStyle w:val="Hyperlink"/>
                <w:rFonts w:ascii="Times New Roman" w:hAnsi="Times New Roman" w:cs="Times New Roman"/>
                <w:i/>
                <w:iCs/>
                <w:noProof/>
                <w:lang w:val="en-US"/>
              </w:rPr>
              <w:t>Transfer Pricing</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_Toc220995066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55</w:t>
            </w:r>
            <w:r w:rsidRPr="00DF09DF">
              <w:rPr>
                <w:rFonts w:ascii="Times New Roman" w:hAnsi="Times New Roman" w:cs="Times New Roman"/>
                <w:noProof/>
                <w:webHidden/>
              </w:rPr>
              <w:fldChar w:fldCharType="end"/>
            </w:r>
          </w:hyperlink>
        </w:p>
        <w:p w14:paraId="5130C139" w14:textId="2DDB5AE9" w:rsidR="00DF09DF" w:rsidRPr="00DF09DF" w:rsidRDefault="00DF09DF">
          <w:pPr>
            <w:pStyle w:val="TOC3"/>
            <w:rPr>
              <w:rFonts w:ascii="Times New Roman" w:eastAsiaTheme="minorEastAsia" w:hAnsi="Times New Roman" w:cs="Times New Roman"/>
              <w:noProof/>
              <w:sz w:val="24"/>
              <w:szCs w:val="24"/>
              <w:lang w:val="en-ID" w:eastAsia="en-ID"/>
            </w:rPr>
          </w:pPr>
          <w:hyperlink w:anchor="_Toc220995067" w:history="1">
            <w:r w:rsidRPr="00DF09DF">
              <w:rPr>
                <w:rStyle w:val="Hyperlink"/>
                <w:rFonts w:ascii="Times New Roman" w:hAnsi="Times New Roman" w:cs="Times New Roman"/>
                <w:noProof/>
                <w:lang w:val="en-US"/>
              </w:rPr>
              <w:t xml:space="preserve">4.3.3. Pengaruh </w:t>
            </w:r>
            <w:r w:rsidRPr="00DF09DF">
              <w:rPr>
                <w:rStyle w:val="Hyperlink"/>
                <w:rFonts w:ascii="Times New Roman" w:hAnsi="Times New Roman" w:cs="Times New Roman"/>
                <w:i/>
                <w:iCs/>
                <w:noProof/>
                <w:lang w:val="en-US"/>
              </w:rPr>
              <w:t>Tax Minimization</w:t>
            </w:r>
            <w:r w:rsidRPr="00DF09DF">
              <w:rPr>
                <w:rStyle w:val="Hyperlink"/>
                <w:rFonts w:ascii="Times New Roman" w:hAnsi="Times New Roman" w:cs="Times New Roman"/>
                <w:noProof/>
                <w:lang w:val="en-US"/>
              </w:rPr>
              <w:t xml:space="preserve"> terhadap </w:t>
            </w:r>
            <w:r w:rsidRPr="00DF09DF">
              <w:rPr>
                <w:rStyle w:val="Hyperlink"/>
                <w:rFonts w:ascii="Times New Roman" w:hAnsi="Times New Roman" w:cs="Times New Roman"/>
                <w:i/>
                <w:iCs/>
                <w:noProof/>
                <w:lang w:val="en-US"/>
              </w:rPr>
              <w:t>Transfer Pricing</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_Toc220995067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56</w:t>
            </w:r>
            <w:r w:rsidRPr="00DF09DF">
              <w:rPr>
                <w:rFonts w:ascii="Times New Roman" w:hAnsi="Times New Roman" w:cs="Times New Roman"/>
                <w:noProof/>
                <w:webHidden/>
              </w:rPr>
              <w:fldChar w:fldCharType="end"/>
            </w:r>
          </w:hyperlink>
        </w:p>
        <w:p w14:paraId="56719806" w14:textId="2A8B183D" w:rsidR="00DF09DF" w:rsidRPr="004D07CE" w:rsidRDefault="00DF09DF">
          <w:pPr>
            <w:pStyle w:val="TOC1"/>
            <w:rPr>
              <w:rFonts w:asciiTheme="minorHAnsi" w:eastAsiaTheme="minorEastAsia" w:hAnsiTheme="minorHAnsi" w:cstheme="minorBidi"/>
              <w:b w:val="0"/>
              <w:bCs w:val="0"/>
              <w:noProof/>
              <w:lang w:val="en-US" w:eastAsia="en-ID"/>
            </w:rPr>
          </w:pPr>
          <w:hyperlink w:anchor="_Toc220995068" w:history="1">
            <w:r w:rsidRPr="00BE62CC">
              <w:rPr>
                <w:rStyle w:val="Hyperlink"/>
                <w:noProof/>
              </w:rPr>
              <w:t>BAB V  PENUTUP</w:t>
            </w:r>
            <w:r>
              <w:rPr>
                <w:noProof/>
                <w:webHidden/>
              </w:rPr>
              <w:tab/>
            </w:r>
            <w:r>
              <w:rPr>
                <w:noProof/>
                <w:webHidden/>
              </w:rPr>
              <w:fldChar w:fldCharType="begin"/>
            </w:r>
            <w:r>
              <w:rPr>
                <w:noProof/>
                <w:webHidden/>
              </w:rPr>
              <w:instrText xml:space="preserve"> PAGEREF _Toc220995068 \h </w:instrText>
            </w:r>
            <w:r>
              <w:rPr>
                <w:noProof/>
                <w:webHidden/>
              </w:rPr>
            </w:r>
            <w:r>
              <w:rPr>
                <w:noProof/>
                <w:webHidden/>
              </w:rPr>
              <w:fldChar w:fldCharType="separate"/>
            </w:r>
            <w:r w:rsidR="00DB7568">
              <w:rPr>
                <w:noProof/>
                <w:webHidden/>
              </w:rPr>
              <w:t>58</w:t>
            </w:r>
            <w:r>
              <w:rPr>
                <w:noProof/>
                <w:webHidden/>
              </w:rPr>
              <w:fldChar w:fldCharType="end"/>
            </w:r>
          </w:hyperlink>
        </w:p>
        <w:p w14:paraId="5EE202BB" w14:textId="35D70DBC" w:rsidR="00DF09DF" w:rsidRPr="004D07CE" w:rsidRDefault="00DF09DF">
          <w:pPr>
            <w:pStyle w:val="TOC2"/>
            <w:rPr>
              <w:rFonts w:ascii="Times New Roman" w:eastAsiaTheme="minorEastAsia" w:hAnsi="Times New Roman" w:cs="Times New Roman"/>
              <w:noProof/>
              <w:sz w:val="24"/>
              <w:szCs w:val="24"/>
              <w:lang w:val="en-US" w:eastAsia="en-ID"/>
            </w:rPr>
          </w:pPr>
          <w:hyperlink w:anchor="_Toc220995070" w:history="1">
            <w:r w:rsidRPr="00DF09DF">
              <w:rPr>
                <w:rStyle w:val="Hyperlink"/>
                <w:rFonts w:ascii="Times New Roman" w:hAnsi="Times New Roman" w:cs="Times New Roman"/>
                <w:noProof/>
              </w:rPr>
              <w:t>5.1.</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Kesimpulan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_Toc220995070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58</w:t>
            </w:r>
            <w:r w:rsidRPr="00DF09DF">
              <w:rPr>
                <w:rFonts w:ascii="Times New Roman" w:hAnsi="Times New Roman" w:cs="Times New Roman"/>
                <w:noProof/>
                <w:webHidden/>
              </w:rPr>
              <w:fldChar w:fldCharType="end"/>
            </w:r>
          </w:hyperlink>
        </w:p>
        <w:p w14:paraId="1F8FB6FF" w14:textId="49BA7CA4"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71" w:history="1">
            <w:r w:rsidRPr="00DF09DF">
              <w:rPr>
                <w:rStyle w:val="Hyperlink"/>
                <w:rFonts w:ascii="Times New Roman" w:hAnsi="Times New Roman" w:cs="Times New Roman"/>
                <w:noProof/>
              </w:rPr>
              <w:t>5.2.</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Saran</w:t>
            </w:r>
            <w:r w:rsidRPr="00DF09DF">
              <w:rPr>
                <w:rFonts w:ascii="Times New Roman" w:hAnsi="Times New Roman" w:cs="Times New Roman"/>
                <w:noProof/>
                <w:webHidden/>
              </w:rPr>
              <w:tab/>
            </w:r>
            <w:r w:rsidRPr="00DF09DF">
              <w:rPr>
                <w:rFonts w:ascii="Times New Roman" w:hAnsi="Times New Roman" w:cs="Times New Roman"/>
                <w:noProof/>
                <w:webHidden/>
              </w:rPr>
              <w:fldChar w:fldCharType="begin"/>
            </w:r>
            <w:r w:rsidRPr="00DF09DF">
              <w:rPr>
                <w:rFonts w:ascii="Times New Roman" w:hAnsi="Times New Roman" w:cs="Times New Roman"/>
                <w:noProof/>
                <w:webHidden/>
              </w:rPr>
              <w:instrText xml:space="preserve"> PAGEREF _Toc220995071 \h </w:instrText>
            </w:r>
            <w:r w:rsidRPr="00DF09DF">
              <w:rPr>
                <w:rFonts w:ascii="Times New Roman" w:hAnsi="Times New Roman" w:cs="Times New Roman"/>
                <w:noProof/>
                <w:webHidden/>
              </w:rPr>
            </w:r>
            <w:r w:rsidRPr="00DF09DF">
              <w:rPr>
                <w:rFonts w:ascii="Times New Roman" w:hAnsi="Times New Roman" w:cs="Times New Roman"/>
                <w:noProof/>
                <w:webHidden/>
              </w:rPr>
              <w:fldChar w:fldCharType="separate"/>
            </w:r>
            <w:r w:rsidR="00DB7568">
              <w:rPr>
                <w:rFonts w:ascii="Times New Roman" w:hAnsi="Times New Roman" w:cs="Times New Roman"/>
                <w:noProof/>
                <w:webHidden/>
              </w:rPr>
              <w:t>58</w:t>
            </w:r>
            <w:r w:rsidRPr="00DF09DF">
              <w:rPr>
                <w:rFonts w:ascii="Times New Roman" w:hAnsi="Times New Roman" w:cs="Times New Roman"/>
                <w:noProof/>
                <w:webHidden/>
              </w:rPr>
              <w:fldChar w:fldCharType="end"/>
            </w:r>
          </w:hyperlink>
        </w:p>
        <w:p w14:paraId="676C202A" w14:textId="216ACCA1" w:rsidR="00DF09DF" w:rsidRPr="00DF09DF" w:rsidRDefault="00DF09DF">
          <w:pPr>
            <w:pStyle w:val="TOC2"/>
            <w:rPr>
              <w:rFonts w:ascii="Times New Roman" w:eastAsiaTheme="minorEastAsia" w:hAnsi="Times New Roman" w:cs="Times New Roman"/>
              <w:noProof/>
              <w:sz w:val="24"/>
              <w:szCs w:val="24"/>
              <w:lang w:val="en-ID" w:eastAsia="en-ID"/>
            </w:rPr>
          </w:pPr>
          <w:hyperlink w:anchor="_Toc220995072" w:history="1">
            <w:r w:rsidRPr="00DF09DF">
              <w:rPr>
                <w:rStyle w:val="Hyperlink"/>
                <w:rFonts w:ascii="Times New Roman" w:hAnsi="Times New Roman" w:cs="Times New Roman"/>
                <w:noProof/>
              </w:rPr>
              <w:t>5.3.</w:t>
            </w:r>
            <w:r w:rsidRPr="00DF09DF">
              <w:rPr>
                <w:rFonts w:ascii="Times New Roman" w:eastAsiaTheme="minorEastAsia" w:hAnsi="Times New Roman" w:cs="Times New Roman"/>
                <w:noProof/>
                <w:sz w:val="24"/>
                <w:szCs w:val="24"/>
                <w:lang w:val="en-ID" w:eastAsia="en-ID"/>
              </w:rPr>
              <w:tab/>
            </w:r>
            <w:r w:rsidRPr="00DF09DF">
              <w:rPr>
                <w:rStyle w:val="Hyperlink"/>
                <w:rFonts w:ascii="Times New Roman" w:hAnsi="Times New Roman" w:cs="Times New Roman"/>
                <w:noProof/>
              </w:rPr>
              <w:t>Keterbatasan Penelitian</w:t>
            </w:r>
            <w:r w:rsidRPr="00DF09DF">
              <w:rPr>
                <w:rFonts w:ascii="Times New Roman" w:hAnsi="Times New Roman" w:cs="Times New Roman"/>
                <w:noProof/>
                <w:webHidden/>
              </w:rPr>
              <w:tab/>
            </w:r>
            <w:r w:rsidR="004D07CE">
              <w:rPr>
                <w:rFonts w:ascii="Times New Roman" w:hAnsi="Times New Roman" w:cs="Times New Roman"/>
                <w:noProof/>
                <w:webHidden/>
                <w:lang w:val="en-US"/>
              </w:rPr>
              <w:t>59</w:t>
            </w:r>
          </w:hyperlink>
        </w:p>
        <w:p w14:paraId="3A1AC8B2" w14:textId="1C535E9B" w:rsidR="00DF09DF" w:rsidRDefault="00DF09DF">
          <w:pPr>
            <w:pStyle w:val="TOC1"/>
            <w:rPr>
              <w:rFonts w:asciiTheme="minorHAnsi" w:eastAsiaTheme="minorEastAsia" w:hAnsiTheme="minorHAnsi" w:cstheme="minorBidi"/>
              <w:b w:val="0"/>
              <w:bCs w:val="0"/>
              <w:noProof/>
              <w:lang w:val="en-ID" w:eastAsia="en-ID"/>
            </w:rPr>
          </w:pPr>
          <w:hyperlink w:anchor="_Toc220995073" w:history="1">
            <w:r w:rsidRPr="00BE62CC">
              <w:rPr>
                <w:rStyle w:val="Hyperlink"/>
                <w:noProof/>
              </w:rPr>
              <w:t>DAFTAR PUSTAKA</w:t>
            </w:r>
            <w:r>
              <w:rPr>
                <w:noProof/>
                <w:webHidden/>
              </w:rPr>
              <w:tab/>
            </w:r>
            <w:r>
              <w:rPr>
                <w:noProof/>
                <w:webHidden/>
              </w:rPr>
              <w:fldChar w:fldCharType="begin"/>
            </w:r>
            <w:r>
              <w:rPr>
                <w:noProof/>
                <w:webHidden/>
              </w:rPr>
              <w:instrText xml:space="preserve"> PAGEREF _Toc220995073 \h </w:instrText>
            </w:r>
            <w:r>
              <w:rPr>
                <w:noProof/>
                <w:webHidden/>
              </w:rPr>
            </w:r>
            <w:r>
              <w:rPr>
                <w:noProof/>
                <w:webHidden/>
              </w:rPr>
              <w:fldChar w:fldCharType="separate"/>
            </w:r>
            <w:r w:rsidR="00DB7568">
              <w:rPr>
                <w:noProof/>
                <w:webHidden/>
              </w:rPr>
              <w:t>60</w:t>
            </w:r>
            <w:r>
              <w:rPr>
                <w:noProof/>
                <w:webHidden/>
              </w:rPr>
              <w:fldChar w:fldCharType="end"/>
            </w:r>
          </w:hyperlink>
        </w:p>
        <w:p w14:paraId="30921B8C" w14:textId="37C53D41" w:rsidR="00DF09DF" w:rsidRDefault="00DF09DF">
          <w:pPr>
            <w:pStyle w:val="TOC1"/>
            <w:rPr>
              <w:rFonts w:asciiTheme="minorHAnsi" w:eastAsiaTheme="minorEastAsia" w:hAnsiTheme="minorHAnsi" w:cstheme="minorBidi"/>
              <w:b w:val="0"/>
              <w:bCs w:val="0"/>
              <w:noProof/>
              <w:lang w:val="en-ID" w:eastAsia="en-ID"/>
            </w:rPr>
          </w:pPr>
          <w:hyperlink w:anchor="_Toc220995074" w:history="1">
            <w:r w:rsidRPr="00BE62CC">
              <w:rPr>
                <w:rStyle w:val="Hyperlink"/>
                <w:noProof/>
              </w:rPr>
              <w:t>LAMPIRAN</w:t>
            </w:r>
            <w:r>
              <w:rPr>
                <w:noProof/>
                <w:webHidden/>
              </w:rPr>
              <w:tab/>
            </w:r>
            <w:r>
              <w:rPr>
                <w:noProof/>
                <w:webHidden/>
              </w:rPr>
              <w:fldChar w:fldCharType="begin"/>
            </w:r>
            <w:r>
              <w:rPr>
                <w:noProof/>
                <w:webHidden/>
              </w:rPr>
              <w:instrText xml:space="preserve"> PAGEREF _Toc220995074 \h </w:instrText>
            </w:r>
            <w:r>
              <w:rPr>
                <w:noProof/>
                <w:webHidden/>
              </w:rPr>
            </w:r>
            <w:r>
              <w:rPr>
                <w:noProof/>
                <w:webHidden/>
              </w:rPr>
              <w:fldChar w:fldCharType="separate"/>
            </w:r>
            <w:r w:rsidR="00DB7568">
              <w:rPr>
                <w:noProof/>
                <w:webHidden/>
              </w:rPr>
              <w:t>65</w:t>
            </w:r>
            <w:r>
              <w:rPr>
                <w:noProof/>
                <w:webHidden/>
              </w:rPr>
              <w:fldChar w:fldCharType="end"/>
            </w:r>
          </w:hyperlink>
        </w:p>
        <w:p w14:paraId="5FC75A60" w14:textId="70379D40" w:rsidR="00BB58C4" w:rsidRDefault="00000000">
          <w:pPr>
            <w:spacing w:line="240" w:lineRule="auto"/>
            <w:jc w:val="both"/>
            <w:rPr>
              <w:rFonts w:ascii="Times New Roman" w:hAnsi="Times New Roman" w:cs="Times New Roman"/>
            </w:rPr>
            <w:sectPr w:rsidR="00BB58C4">
              <w:pgSz w:w="11906" w:h="16838"/>
              <w:pgMar w:top="2268" w:right="1701" w:bottom="1701" w:left="2268" w:header="709" w:footer="709" w:gutter="0"/>
              <w:pgNumType w:fmt="lowerRoman"/>
              <w:cols w:space="708"/>
              <w:titlePg/>
              <w:docGrid w:linePitch="360"/>
            </w:sectPr>
          </w:pPr>
          <w:r>
            <w:rPr>
              <w:rFonts w:ascii="Times New Roman" w:hAnsi="Times New Roman" w:cs="Times New Roman"/>
              <w:b/>
              <w:bCs/>
              <w:sz w:val="24"/>
              <w:szCs w:val="24"/>
            </w:rPr>
            <w:fldChar w:fldCharType="end"/>
          </w:r>
        </w:p>
      </w:sdtContent>
    </w:sdt>
    <w:p w14:paraId="7DE30EA1" w14:textId="77777777" w:rsidR="00BB58C4" w:rsidRDefault="00000000">
      <w:pPr>
        <w:pStyle w:val="Heading1"/>
        <w:rPr>
          <w:rFonts w:cs="Times New Roman"/>
        </w:rPr>
      </w:pPr>
      <w:bookmarkStart w:id="16" w:name="_Toc220995011"/>
      <w:r>
        <w:rPr>
          <w:rFonts w:cs="Times New Roman"/>
        </w:rPr>
        <w:lastRenderedPageBreak/>
        <w:t>DAFTAR TABEL</w:t>
      </w:r>
      <w:bookmarkEnd w:id="16"/>
    </w:p>
    <w:p w14:paraId="0AB53D10" w14:textId="77777777" w:rsidR="00BB58C4" w:rsidRDefault="00000000">
      <w:pPr>
        <w:jc w:val="right"/>
        <w:rPr>
          <w:rFonts w:ascii="Times New Roman" w:hAnsi="Times New Roman" w:cs="Times New Roman"/>
          <w:b/>
          <w:bCs/>
          <w:sz w:val="24"/>
          <w:szCs w:val="24"/>
        </w:rPr>
      </w:pPr>
      <w:r>
        <w:rPr>
          <w:rFonts w:ascii="Times New Roman" w:hAnsi="Times New Roman" w:cs="Times New Roman"/>
          <w:b/>
          <w:bCs/>
          <w:sz w:val="24"/>
          <w:szCs w:val="24"/>
        </w:rPr>
        <w:t>Halaman</w:t>
      </w:r>
    </w:p>
    <w:p w14:paraId="65F44AFA" w14:textId="21084DA8" w:rsidR="00BB58C4" w:rsidRDefault="00000000">
      <w:pPr>
        <w:pStyle w:val="TableofFigures"/>
        <w:tabs>
          <w:tab w:val="right" w:leader="dot" w:pos="7927"/>
        </w:tabs>
        <w:spacing w:line="360" w:lineRule="auto"/>
        <w:rPr>
          <w:rFonts w:ascii="Times New Roman" w:eastAsiaTheme="minorEastAsia" w:hAnsi="Times New Roman" w:cs="Times New Roman"/>
          <w:sz w:val="24"/>
          <w:szCs w:val="24"/>
          <w:lang w:eastAsia="zh-C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2." </w:instrText>
      </w:r>
      <w:r>
        <w:rPr>
          <w:rFonts w:ascii="Times New Roman" w:hAnsi="Times New Roman" w:cs="Times New Roman"/>
          <w:sz w:val="24"/>
          <w:szCs w:val="24"/>
        </w:rPr>
        <w:fldChar w:fldCharType="separate"/>
      </w:r>
      <w:hyperlink w:anchor="_Toc196817490" w:history="1">
        <w:r w:rsidR="00BB58C4">
          <w:rPr>
            <w:rStyle w:val="Hyperlink"/>
            <w:rFonts w:ascii="Times New Roman" w:hAnsi="Times New Roman" w:cs="Times New Roman"/>
            <w:sz w:val="24"/>
            <w:szCs w:val="24"/>
          </w:rPr>
          <w:t>Tabel 2.1 Penelitian Terdahulu</w:t>
        </w:r>
        <w:r w:rsidR="00BB58C4">
          <w:rPr>
            <w:rFonts w:ascii="Times New Roman" w:hAnsi="Times New Roman" w:cs="Times New Roman"/>
            <w:sz w:val="24"/>
            <w:szCs w:val="24"/>
          </w:rPr>
          <w:tab/>
        </w:r>
        <w:r w:rsidR="00BB58C4">
          <w:rPr>
            <w:rFonts w:ascii="Times New Roman" w:hAnsi="Times New Roman" w:cs="Times New Roman"/>
            <w:sz w:val="24"/>
            <w:szCs w:val="24"/>
          </w:rPr>
          <w:fldChar w:fldCharType="begin"/>
        </w:r>
        <w:r w:rsidR="00BB58C4">
          <w:rPr>
            <w:rFonts w:ascii="Times New Roman" w:hAnsi="Times New Roman" w:cs="Times New Roman"/>
            <w:sz w:val="24"/>
            <w:szCs w:val="24"/>
          </w:rPr>
          <w:instrText xml:space="preserve"> PAGEREF _Toc196817490 \h </w:instrText>
        </w:r>
        <w:r w:rsidR="00BB58C4">
          <w:rPr>
            <w:rFonts w:ascii="Times New Roman" w:hAnsi="Times New Roman" w:cs="Times New Roman"/>
            <w:sz w:val="24"/>
            <w:szCs w:val="24"/>
          </w:rPr>
        </w:r>
        <w:r w:rsidR="00BB58C4">
          <w:rPr>
            <w:rFonts w:ascii="Times New Roman" w:hAnsi="Times New Roman" w:cs="Times New Roman"/>
            <w:sz w:val="24"/>
            <w:szCs w:val="24"/>
          </w:rPr>
          <w:fldChar w:fldCharType="separate"/>
        </w:r>
        <w:r w:rsidR="00DB7568">
          <w:rPr>
            <w:rFonts w:ascii="Times New Roman" w:hAnsi="Times New Roman" w:cs="Times New Roman"/>
            <w:noProof/>
            <w:sz w:val="24"/>
            <w:szCs w:val="24"/>
          </w:rPr>
          <w:t>18</w:t>
        </w:r>
        <w:r w:rsidR="00BB58C4">
          <w:rPr>
            <w:rFonts w:ascii="Times New Roman" w:hAnsi="Times New Roman" w:cs="Times New Roman"/>
            <w:sz w:val="24"/>
            <w:szCs w:val="24"/>
          </w:rPr>
          <w:fldChar w:fldCharType="end"/>
        </w:r>
      </w:hyperlink>
    </w:p>
    <w:p w14:paraId="67ED538D" w14:textId="1EF54E8F" w:rsidR="00BB58C4" w:rsidRDefault="00000000">
      <w:pPr>
        <w:pStyle w:val="TableofFigures"/>
        <w:tabs>
          <w:tab w:val="right" w:leader="dot" w:pos="7927"/>
        </w:tabs>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3." </w:instrText>
      </w:r>
      <w:r>
        <w:rPr>
          <w:rFonts w:ascii="Times New Roman" w:hAnsi="Times New Roman" w:cs="Times New Roman"/>
          <w:sz w:val="24"/>
          <w:szCs w:val="24"/>
        </w:rPr>
        <w:fldChar w:fldCharType="separate"/>
      </w:r>
      <w:hyperlink w:anchor="_Toc196817465" w:history="1">
        <w:r w:rsidR="00BB58C4">
          <w:rPr>
            <w:rStyle w:val="Hyperlink"/>
            <w:rFonts w:ascii="Times New Roman" w:hAnsi="Times New Roman" w:cs="Times New Roman"/>
            <w:sz w:val="24"/>
            <w:szCs w:val="24"/>
          </w:rPr>
          <w:t>Tabel 3.1 Penyaringan Sampel Penelitian</w:t>
        </w:r>
        <w:r w:rsidR="00BB58C4">
          <w:rPr>
            <w:rFonts w:ascii="Times New Roman" w:hAnsi="Times New Roman" w:cs="Times New Roman"/>
            <w:sz w:val="24"/>
            <w:szCs w:val="24"/>
          </w:rPr>
          <w:tab/>
        </w:r>
        <w:r w:rsidR="00BB58C4">
          <w:rPr>
            <w:rFonts w:ascii="Times New Roman" w:hAnsi="Times New Roman" w:cs="Times New Roman"/>
            <w:sz w:val="24"/>
            <w:szCs w:val="24"/>
          </w:rPr>
          <w:fldChar w:fldCharType="begin"/>
        </w:r>
        <w:r w:rsidR="00BB58C4">
          <w:rPr>
            <w:rFonts w:ascii="Times New Roman" w:hAnsi="Times New Roman" w:cs="Times New Roman"/>
            <w:sz w:val="24"/>
            <w:szCs w:val="24"/>
          </w:rPr>
          <w:instrText xml:space="preserve"> PAGEREF _Toc196817465 \h </w:instrText>
        </w:r>
        <w:r w:rsidR="00BB58C4">
          <w:rPr>
            <w:rFonts w:ascii="Times New Roman" w:hAnsi="Times New Roman" w:cs="Times New Roman"/>
            <w:sz w:val="24"/>
            <w:szCs w:val="24"/>
          </w:rPr>
        </w:r>
        <w:r w:rsidR="00BB58C4">
          <w:rPr>
            <w:rFonts w:ascii="Times New Roman" w:hAnsi="Times New Roman" w:cs="Times New Roman"/>
            <w:sz w:val="24"/>
            <w:szCs w:val="24"/>
          </w:rPr>
          <w:fldChar w:fldCharType="separate"/>
        </w:r>
        <w:r w:rsidR="00DB7568">
          <w:rPr>
            <w:rFonts w:ascii="Times New Roman" w:hAnsi="Times New Roman" w:cs="Times New Roman"/>
            <w:noProof/>
            <w:sz w:val="24"/>
            <w:szCs w:val="24"/>
          </w:rPr>
          <w:t>33</w:t>
        </w:r>
        <w:r w:rsidR="00BB58C4">
          <w:rPr>
            <w:rFonts w:ascii="Times New Roman" w:hAnsi="Times New Roman" w:cs="Times New Roman"/>
            <w:sz w:val="24"/>
            <w:szCs w:val="24"/>
          </w:rPr>
          <w:fldChar w:fldCharType="end"/>
        </w:r>
      </w:hyperlink>
    </w:p>
    <w:p w14:paraId="16AB364C" w14:textId="24906BA4" w:rsidR="00BB58C4" w:rsidRDefault="00000000">
      <w:pPr>
        <w:pStyle w:val="TableofFigures"/>
        <w:tabs>
          <w:tab w:val="right" w:leader="dot" w:pos="7927"/>
        </w:tabs>
        <w:spacing w:line="360" w:lineRule="auto"/>
        <w:rPr>
          <w:rFonts w:ascii="Times New Roman" w:eastAsiaTheme="minorEastAsia" w:hAnsi="Times New Roman" w:cs="Times New Roman"/>
          <w:sz w:val="24"/>
          <w:szCs w:val="24"/>
          <w:lang w:eastAsia="zh-CN"/>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4" </w:instrText>
      </w:r>
      <w:r>
        <w:rPr>
          <w:rFonts w:ascii="Times New Roman" w:hAnsi="Times New Roman" w:cs="Times New Roman"/>
          <w:sz w:val="24"/>
          <w:szCs w:val="24"/>
        </w:rPr>
        <w:fldChar w:fldCharType="separate"/>
      </w:r>
      <w:hyperlink w:anchor="_Toc210177609" w:history="1">
        <w:r w:rsidR="00BB58C4">
          <w:rPr>
            <w:rStyle w:val="Hyperlink"/>
            <w:rFonts w:ascii="Times New Roman" w:hAnsi="Times New Roman" w:cs="Times New Roman"/>
            <w:sz w:val="24"/>
            <w:szCs w:val="24"/>
          </w:rPr>
          <w:t>Tabel 4.1 Tabel Analisis Statistik Deskriptif</w:t>
        </w:r>
        <w:r w:rsidR="00BB58C4">
          <w:rPr>
            <w:rFonts w:ascii="Times New Roman" w:hAnsi="Times New Roman" w:cs="Times New Roman"/>
            <w:sz w:val="24"/>
            <w:szCs w:val="24"/>
          </w:rPr>
          <w:tab/>
        </w:r>
        <w:r w:rsidR="00BB58C4">
          <w:rPr>
            <w:rFonts w:ascii="Times New Roman" w:hAnsi="Times New Roman" w:cs="Times New Roman"/>
            <w:sz w:val="24"/>
            <w:szCs w:val="24"/>
          </w:rPr>
          <w:fldChar w:fldCharType="begin"/>
        </w:r>
        <w:r w:rsidR="00BB58C4">
          <w:rPr>
            <w:rFonts w:ascii="Times New Roman" w:hAnsi="Times New Roman" w:cs="Times New Roman"/>
            <w:sz w:val="24"/>
            <w:szCs w:val="24"/>
          </w:rPr>
          <w:instrText xml:space="preserve"> PAGEREF _Toc210177609 \h </w:instrText>
        </w:r>
        <w:r w:rsidR="00BB58C4">
          <w:rPr>
            <w:rFonts w:ascii="Times New Roman" w:hAnsi="Times New Roman" w:cs="Times New Roman"/>
            <w:sz w:val="24"/>
            <w:szCs w:val="24"/>
          </w:rPr>
        </w:r>
        <w:r w:rsidR="00BB58C4">
          <w:rPr>
            <w:rFonts w:ascii="Times New Roman" w:hAnsi="Times New Roman" w:cs="Times New Roman"/>
            <w:sz w:val="24"/>
            <w:szCs w:val="24"/>
          </w:rPr>
          <w:fldChar w:fldCharType="separate"/>
        </w:r>
        <w:r w:rsidR="00DB7568">
          <w:rPr>
            <w:rFonts w:ascii="Times New Roman" w:hAnsi="Times New Roman" w:cs="Times New Roman"/>
            <w:noProof/>
            <w:sz w:val="24"/>
            <w:szCs w:val="24"/>
          </w:rPr>
          <w:t>43</w:t>
        </w:r>
        <w:r w:rsidR="00BB58C4">
          <w:rPr>
            <w:rFonts w:ascii="Times New Roman" w:hAnsi="Times New Roman" w:cs="Times New Roman"/>
            <w:sz w:val="24"/>
            <w:szCs w:val="24"/>
          </w:rPr>
          <w:fldChar w:fldCharType="end"/>
        </w:r>
      </w:hyperlink>
    </w:p>
    <w:p w14:paraId="414EAE91" w14:textId="2A9D8C37"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0" w:history="1">
        <w:r>
          <w:rPr>
            <w:rStyle w:val="Hyperlink"/>
            <w:rFonts w:ascii="Times New Roman" w:hAnsi="Times New Roman" w:cs="Times New Roman"/>
            <w:sz w:val="24"/>
            <w:szCs w:val="24"/>
          </w:rPr>
          <w:t xml:space="preserve">Tabel 4.2 Tabel </w:t>
        </w:r>
        <w:r w:rsidRPr="00DF09DF">
          <w:rPr>
            <w:rStyle w:val="Hyperlink"/>
            <w:rFonts w:ascii="Times New Roman" w:hAnsi="Times New Roman" w:cs="Times New Roman"/>
            <w:i/>
            <w:iCs/>
            <w:sz w:val="24"/>
            <w:szCs w:val="24"/>
          </w:rPr>
          <w:t>Common Effect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_Toc210177610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44</w:t>
        </w:r>
        <w:r>
          <w:rPr>
            <w:rFonts w:ascii="Times New Roman" w:hAnsi="Times New Roman" w:cs="Times New Roman"/>
            <w:sz w:val="24"/>
            <w:szCs w:val="24"/>
          </w:rPr>
          <w:fldChar w:fldCharType="end"/>
        </w:r>
      </w:hyperlink>
    </w:p>
    <w:p w14:paraId="028BC9EB" w14:textId="4AD34D8B"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1" w:history="1">
        <w:r>
          <w:rPr>
            <w:rStyle w:val="Hyperlink"/>
            <w:rFonts w:ascii="Times New Roman" w:hAnsi="Times New Roman" w:cs="Times New Roman"/>
            <w:sz w:val="24"/>
            <w:szCs w:val="24"/>
          </w:rPr>
          <w:t xml:space="preserve">Tabel 4.3 </w:t>
        </w:r>
        <w:r>
          <w:rPr>
            <w:rStyle w:val="Hyperlink"/>
            <w:rFonts w:ascii="Times New Roman" w:hAnsi="Times New Roman" w:cs="Times New Roman"/>
            <w:sz w:val="24"/>
            <w:szCs w:val="24"/>
            <w:lang w:val="en-US"/>
          </w:rPr>
          <w:t xml:space="preserve">Tabel </w:t>
        </w:r>
        <w:r>
          <w:rPr>
            <w:rStyle w:val="Hyperlink"/>
            <w:rFonts w:ascii="Times New Roman" w:hAnsi="Times New Roman" w:cs="Times New Roman"/>
            <w:i/>
            <w:sz w:val="24"/>
            <w:szCs w:val="24"/>
            <w:lang w:val="en-US"/>
          </w:rPr>
          <w:t>Fixed Effect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_Toc210177611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44</w:t>
        </w:r>
        <w:r>
          <w:rPr>
            <w:rFonts w:ascii="Times New Roman" w:hAnsi="Times New Roman" w:cs="Times New Roman"/>
            <w:sz w:val="24"/>
            <w:szCs w:val="24"/>
          </w:rPr>
          <w:fldChar w:fldCharType="end"/>
        </w:r>
      </w:hyperlink>
    </w:p>
    <w:p w14:paraId="47CDFCA9" w14:textId="275DB1C3"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2" w:history="1">
        <w:r>
          <w:rPr>
            <w:rStyle w:val="Hyperlink"/>
            <w:rFonts w:ascii="Times New Roman" w:hAnsi="Times New Roman" w:cs="Times New Roman"/>
            <w:sz w:val="24"/>
            <w:szCs w:val="24"/>
          </w:rPr>
          <w:t xml:space="preserve">Tabel 4.4 </w:t>
        </w:r>
        <w:r>
          <w:rPr>
            <w:rStyle w:val="Hyperlink"/>
            <w:rFonts w:ascii="Times New Roman" w:hAnsi="Times New Roman" w:cs="Times New Roman"/>
            <w:sz w:val="24"/>
            <w:szCs w:val="24"/>
            <w:lang w:val="en-US"/>
          </w:rPr>
          <w:t xml:space="preserve">Tabel </w:t>
        </w:r>
        <w:r>
          <w:rPr>
            <w:rStyle w:val="Hyperlink"/>
            <w:rFonts w:ascii="Times New Roman" w:hAnsi="Times New Roman" w:cs="Times New Roman"/>
            <w:i/>
            <w:sz w:val="24"/>
            <w:szCs w:val="24"/>
            <w:lang w:val="en-US"/>
          </w:rPr>
          <w:t>Random Effect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_Toc210177612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45</w:t>
        </w:r>
        <w:r>
          <w:rPr>
            <w:rFonts w:ascii="Times New Roman" w:hAnsi="Times New Roman" w:cs="Times New Roman"/>
            <w:sz w:val="24"/>
            <w:szCs w:val="24"/>
          </w:rPr>
          <w:fldChar w:fldCharType="end"/>
        </w:r>
      </w:hyperlink>
    </w:p>
    <w:p w14:paraId="4462B364" w14:textId="5A44744C"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3" w:history="1">
        <w:r>
          <w:rPr>
            <w:rStyle w:val="Hyperlink"/>
            <w:rFonts w:ascii="Times New Roman" w:hAnsi="Times New Roman" w:cs="Times New Roman"/>
            <w:sz w:val="24"/>
            <w:szCs w:val="24"/>
          </w:rPr>
          <w:t xml:space="preserve">Tabel 4.5 </w:t>
        </w:r>
        <w:r>
          <w:rPr>
            <w:rStyle w:val="Hyperlink"/>
            <w:rFonts w:ascii="Times New Roman" w:hAnsi="Times New Roman" w:cs="Times New Roman"/>
            <w:sz w:val="24"/>
            <w:szCs w:val="24"/>
            <w:lang w:val="en-US"/>
          </w:rPr>
          <w:t xml:space="preserve">Tabel Uji </w:t>
        </w:r>
        <w:r>
          <w:rPr>
            <w:rStyle w:val="Hyperlink"/>
            <w:rFonts w:ascii="Times New Roman" w:hAnsi="Times New Roman" w:cs="Times New Roman"/>
            <w:i/>
            <w:sz w:val="24"/>
            <w:szCs w:val="24"/>
            <w:lang w:val="en-US"/>
          </w:rPr>
          <w:t>Chow</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_Toc210177613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45</w:t>
        </w:r>
        <w:r>
          <w:rPr>
            <w:rFonts w:ascii="Times New Roman" w:hAnsi="Times New Roman" w:cs="Times New Roman"/>
            <w:sz w:val="24"/>
            <w:szCs w:val="24"/>
          </w:rPr>
          <w:fldChar w:fldCharType="end"/>
        </w:r>
      </w:hyperlink>
    </w:p>
    <w:p w14:paraId="1988E590" w14:textId="0317F689"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4" w:history="1">
        <w:r>
          <w:rPr>
            <w:rStyle w:val="Hyperlink"/>
            <w:rFonts w:ascii="Times New Roman" w:hAnsi="Times New Roman" w:cs="Times New Roman"/>
            <w:sz w:val="24"/>
            <w:szCs w:val="24"/>
          </w:rPr>
          <w:t xml:space="preserve">Tabel 4.6 </w:t>
        </w:r>
        <w:r>
          <w:rPr>
            <w:rStyle w:val="Hyperlink"/>
            <w:rFonts w:ascii="Times New Roman" w:hAnsi="Times New Roman" w:cs="Times New Roman"/>
            <w:sz w:val="24"/>
            <w:szCs w:val="24"/>
            <w:lang w:val="en-US"/>
          </w:rPr>
          <w:t xml:space="preserve">Tabel Uji </w:t>
        </w:r>
        <w:r>
          <w:rPr>
            <w:rStyle w:val="Hyperlink"/>
            <w:rFonts w:ascii="Times New Roman" w:hAnsi="Times New Roman" w:cs="Times New Roman"/>
            <w:i/>
            <w:sz w:val="24"/>
            <w:szCs w:val="24"/>
            <w:lang w:val="en-US"/>
          </w:rPr>
          <w:t>Hausman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_Toc210177614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45</w:t>
        </w:r>
        <w:r>
          <w:rPr>
            <w:rFonts w:ascii="Times New Roman" w:hAnsi="Times New Roman" w:cs="Times New Roman"/>
            <w:sz w:val="24"/>
            <w:szCs w:val="24"/>
          </w:rPr>
          <w:fldChar w:fldCharType="end"/>
        </w:r>
      </w:hyperlink>
    </w:p>
    <w:p w14:paraId="33DB7DCF" w14:textId="0FE83A14"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5" w:history="1">
        <w:r>
          <w:rPr>
            <w:rStyle w:val="Hyperlink"/>
            <w:rFonts w:ascii="Times New Roman" w:hAnsi="Times New Roman" w:cs="Times New Roman"/>
            <w:sz w:val="24"/>
            <w:szCs w:val="24"/>
          </w:rPr>
          <w:t xml:space="preserve">Tabel 4.7 </w:t>
        </w:r>
        <w:r>
          <w:rPr>
            <w:rStyle w:val="Hyperlink"/>
            <w:rFonts w:ascii="Times New Roman" w:hAnsi="Times New Roman" w:cs="Times New Roman"/>
            <w:sz w:val="24"/>
            <w:szCs w:val="24"/>
            <w:lang w:val="en-US"/>
          </w:rPr>
          <w:t>Tabel Uji</w:t>
        </w:r>
        <w:r>
          <w:rPr>
            <w:rStyle w:val="Hyperlink"/>
            <w:rFonts w:ascii="Times New Roman" w:hAnsi="Times New Roman" w:cs="Times New Roman"/>
            <w:i/>
            <w:iCs/>
            <w:sz w:val="24"/>
            <w:szCs w:val="24"/>
            <w:lang w:val="en-US"/>
          </w:rPr>
          <w:t xml:space="preserve"> Lagrange Multiplier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_Toc210177615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46</w:t>
        </w:r>
        <w:r>
          <w:rPr>
            <w:rFonts w:ascii="Times New Roman" w:hAnsi="Times New Roman" w:cs="Times New Roman"/>
            <w:sz w:val="24"/>
            <w:szCs w:val="24"/>
          </w:rPr>
          <w:fldChar w:fldCharType="end"/>
        </w:r>
      </w:hyperlink>
    </w:p>
    <w:p w14:paraId="06764665" w14:textId="7AFD585B"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6" w:history="1">
        <w:r>
          <w:rPr>
            <w:rStyle w:val="Hyperlink"/>
            <w:rFonts w:ascii="Times New Roman" w:hAnsi="Times New Roman" w:cs="Times New Roman"/>
            <w:sz w:val="24"/>
            <w:szCs w:val="24"/>
          </w:rPr>
          <w:t xml:space="preserve">Tabel 4.8 </w:t>
        </w:r>
        <w:r>
          <w:rPr>
            <w:rStyle w:val="Hyperlink"/>
            <w:rFonts w:ascii="Times New Roman" w:hAnsi="Times New Roman" w:cs="Times New Roman"/>
            <w:sz w:val="24"/>
            <w:szCs w:val="24"/>
            <w:lang w:val="en-US"/>
          </w:rPr>
          <w:t>Tabel Uji Normalitas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_Toc210177616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47</w:t>
        </w:r>
        <w:r>
          <w:rPr>
            <w:rFonts w:ascii="Times New Roman" w:hAnsi="Times New Roman" w:cs="Times New Roman"/>
            <w:sz w:val="24"/>
            <w:szCs w:val="24"/>
          </w:rPr>
          <w:fldChar w:fldCharType="end"/>
        </w:r>
      </w:hyperlink>
    </w:p>
    <w:p w14:paraId="02773C27" w14:textId="2942DD66"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7" w:history="1">
        <w:r>
          <w:rPr>
            <w:rStyle w:val="Hyperlink"/>
            <w:rFonts w:ascii="Times New Roman" w:hAnsi="Times New Roman" w:cs="Times New Roman"/>
            <w:sz w:val="24"/>
            <w:szCs w:val="24"/>
          </w:rPr>
          <w:t xml:space="preserve">Tabel 4.9 </w:t>
        </w:r>
        <w:r>
          <w:rPr>
            <w:rStyle w:val="Hyperlink"/>
            <w:rFonts w:ascii="Times New Roman" w:hAnsi="Times New Roman" w:cs="Times New Roman"/>
            <w:sz w:val="24"/>
            <w:szCs w:val="24"/>
            <w:lang w:val="en-US"/>
          </w:rPr>
          <w:t>Tabel Uji Multikolinearitas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_Toc210177617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47</w:t>
        </w:r>
        <w:r>
          <w:rPr>
            <w:rFonts w:ascii="Times New Roman" w:hAnsi="Times New Roman" w:cs="Times New Roman"/>
            <w:sz w:val="24"/>
            <w:szCs w:val="24"/>
          </w:rPr>
          <w:fldChar w:fldCharType="end"/>
        </w:r>
      </w:hyperlink>
    </w:p>
    <w:p w14:paraId="334B6522" w14:textId="4439431A"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8" w:history="1">
        <w:r>
          <w:rPr>
            <w:rStyle w:val="Hyperlink"/>
            <w:rFonts w:ascii="Times New Roman" w:hAnsi="Times New Roman" w:cs="Times New Roman"/>
            <w:sz w:val="24"/>
            <w:szCs w:val="24"/>
          </w:rPr>
          <w:t xml:space="preserve">Tabel 4.10 </w:t>
        </w:r>
        <w:r>
          <w:rPr>
            <w:rStyle w:val="Hyperlink"/>
            <w:rFonts w:ascii="Times New Roman" w:hAnsi="Times New Roman" w:cs="Times New Roman"/>
            <w:sz w:val="24"/>
            <w:szCs w:val="24"/>
            <w:lang w:val="en-US"/>
          </w:rPr>
          <w:t>Tabel Uji Autokorelasi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_Toc210177618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48</w:t>
        </w:r>
        <w:r>
          <w:rPr>
            <w:rFonts w:ascii="Times New Roman" w:hAnsi="Times New Roman" w:cs="Times New Roman"/>
            <w:sz w:val="24"/>
            <w:szCs w:val="24"/>
          </w:rPr>
          <w:fldChar w:fldCharType="end"/>
        </w:r>
      </w:hyperlink>
    </w:p>
    <w:p w14:paraId="6E738F56" w14:textId="3EA0BAF6"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19" w:history="1">
        <w:r>
          <w:rPr>
            <w:rStyle w:val="Hyperlink"/>
            <w:rFonts w:ascii="Times New Roman" w:hAnsi="Times New Roman" w:cs="Times New Roman"/>
            <w:sz w:val="24"/>
            <w:szCs w:val="24"/>
          </w:rPr>
          <w:t>Tabel 4.11 Tabel Uji Heteroskedastisitas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_Toc210177619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49</w:t>
        </w:r>
        <w:r>
          <w:rPr>
            <w:rFonts w:ascii="Times New Roman" w:hAnsi="Times New Roman" w:cs="Times New Roman"/>
            <w:sz w:val="24"/>
            <w:szCs w:val="24"/>
          </w:rPr>
          <w:fldChar w:fldCharType="end"/>
        </w:r>
      </w:hyperlink>
    </w:p>
    <w:p w14:paraId="624EB9BF" w14:textId="7A1CD90D"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20" w:history="1">
        <w:r>
          <w:rPr>
            <w:rStyle w:val="Hyperlink"/>
            <w:rFonts w:ascii="Times New Roman" w:hAnsi="Times New Roman" w:cs="Times New Roman"/>
            <w:sz w:val="24"/>
            <w:szCs w:val="24"/>
          </w:rPr>
          <w:t>Tabel 4.12 Tabel Koefisien Determinasi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_Toc210177620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49</w:t>
        </w:r>
        <w:r>
          <w:rPr>
            <w:rFonts w:ascii="Times New Roman" w:hAnsi="Times New Roman" w:cs="Times New Roman"/>
            <w:sz w:val="24"/>
            <w:szCs w:val="24"/>
          </w:rPr>
          <w:fldChar w:fldCharType="end"/>
        </w:r>
      </w:hyperlink>
    </w:p>
    <w:p w14:paraId="0138B69F" w14:textId="394C18F4"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21" w:history="1">
        <w:r>
          <w:rPr>
            <w:rStyle w:val="Hyperlink"/>
            <w:rFonts w:ascii="Times New Roman" w:hAnsi="Times New Roman" w:cs="Times New Roman"/>
            <w:sz w:val="24"/>
            <w:szCs w:val="24"/>
          </w:rPr>
          <w:t>Tabel 4.13 Tabel Uji F</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_Toc210177621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50</w:t>
        </w:r>
        <w:r>
          <w:rPr>
            <w:rFonts w:ascii="Times New Roman" w:hAnsi="Times New Roman" w:cs="Times New Roman"/>
            <w:sz w:val="24"/>
            <w:szCs w:val="24"/>
          </w:rPr>
          <w:fldChar w:fldCharType="end"/>
        </w:r>
      </w:hyperlink>
    </w:p>
    <w:p w14:paraId="77C2AA41" w14:textId="64B5B54F"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22" w:history="1">
        <w:r>
          <w:rPr>
            <w:rStyle w:val="Hyperlink"/>
            <w:rFonts w:ascii="Times New Roman" w:hAnsi="Times New Roman" w:cs="Times New Roman"/>
            <w:sz w:val="24"/>
            <w:szCs w:val="24"/>
          </w:rPr>
          <w:t>Tabel 4.14 Tabel Analisis Regresi Linear Berganda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_Toc210177622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50</w:t>
        </w:r>
        <w:r>
          <w:rPr>
            <w:rFonts w:ascii="Times New Roman" w:hAnsi="Times New Roman" w:cs="Times New Roman"/>
            <w:sz w:val="24"/>
            <w:szCs w:val="24"/>
          </w:rPr>
          <w:fldChar w:fldCharType="end"/>
        </w:r>
      </w:hyperlink>
    </w:p>
    <w:p w14:paraId="020A7E2C" w14:textId="661D37E9"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177623" w:history="1">
        <w:r>
          <w:rPr>
            <w:rStyle w:val="Hyperlink"/>
            <w:rFonts w:ascii="Times New Roman" w:hAnsi="Times New Roman" w:cs="Times New Roman"/>
            <w:sz w:val="24"/>
            <w:szCs w:val="24"/>
          </w:rPr>
          <w:t>Tabel 4.15 Tabel Uji 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_Toc210177623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52</w:t>
        </w:r>
        <w:r>
          <w:rPr>
            <w:rFonts w:ascii="Times New Roman" w:hAnsi="Times New Roman" w:cs="Times New Roman"/>
            <w:sz w:val="24"/>
            <w:szCs w:val="24"/>
          </w:rPr>
          <w:fldChar w:fldCharType="end"/>
        </w:r>
      </w:hyperlink>
    </w:p>
    <w:p w14:paraId="6797150E" w14:textId="77777777" w:rsidR="00BB58C4" w:rsidRDefault="00000000">
      <w:pPr>
        <w:spacing w:line="360" w:lineRule="auto"/>
      </w:pPr>
      <w:r>
        <w:rPr>
          <w:rFonts w:ascii="Times New Roman" w:hAnsi="Times New Roman" w:cs="Times New Roman"/>
          <w:sz w:val="24"/>
          <w:szCs w:val="24"/>
        </w:rPr>
        <w:fldChar w:fldCharType="end"/>
      </w:r>
    </w:p>
    <w:p w14:paraId="2A0FA756" w14:textId="77777777" w:rsidR="00BB58C4" w:rsidRDefault="00BB58C4">
      <w:pPr>
        <w:spacing w:line="240" w:lineRule="auto"/>
        <w:rPr>
          <w:rFonts w:ascii="Times New Roman" w:hAnsi="Times New Roman" w:cs="Times New Roman"/>
        </w:rPr>
        <w:sectPr w:rsidR="00BB58C4">
          <w:footerReference w:type="first" r:id="rId17"/>
          <w:pgSz w:w="11906" w:h="16838"/>
          <w:pgMar w:top="2268" w:right="1701" w:bottom="1701" w:left="2268" w:header="709" w:footer="709" w:gutter="0"/>
          <w:pgNumType w:fmt="lowerRoman"/>
          <w:cols w:space="708"/>
          <w:titlePg/>
          <w:docGrid w:linePitch="360"/>
        </w:sectPr>
      </w:pPr>
    </w:p>
    <w:p w14:paraId="35935247" w14:textId="77777777" w:rsidR="00BB58C4" w:rsidRDefault="00000000">
      <w:pPr>
        <w:pStyle w:val="Heading1"/>
        <w:rPr>
          <w:rFonts w:cs="Times New Roman"/>
        </w:rPr>
      </w:pPr>
      <w:bookmarkStart w:id="17" w:name="_Toc220995012"/>
      <w:r>
        <w:rPr>
          <w:rFonts w:cs="Times New Roman"/>
        </w:rPr>
        <w:lastRenderedPageBreak/>
        <w:t>DAFTAR GAMBAR</w:t>
      </w:r>
      <w:bookmarkEnd w:id="17"/>
    </w:p>
    <w:p w14:paraId="6FC844EF" w14:textId="77777777" w:rsidR="00BB58C4" w:rsidRDefault="00000000">
      <w:pPr>
        <w:jc w:val="right"/>
        <w:rPr>
          <w:rFonts w:ascii="Times New Roman" w:hAnsi="Times New Roman" w:cs="Times New Roman"/>
          <w:b/>
          <w:bCs/>
        </w:rPr>
      </w:pPr>
      <w:r>
        <w:rPr>
          <w:rFonts w:ascii="Times New Roman" w:hAnsi="Times New Roman" w:cs="Times New Roman"/>
          <w:b/>
          <w:bCs/>
        </w:rPr>
        <w:t>Halaman</w:t>
      </w:r>
    </w:p>
    <w:p w14:paraId="7109682D" w14:textId="5A6A663A" w:rsidR="00BB58C4" w:rsidRDefault="00000000">
      <w:pPr>
        <w:pStyle w:val="TableofFigures"/>
        <w:tabs>
          <w:tab w:val="right" w:leader="dot" w:pos="7927"/>
        </w:tabs>
        <w:spacing w:line="480" w:lineRule="auto"/>
        <w:rPr>
          <w:rFonts w:ascii="Times New Roman" w:eastAsiaTheme="minorEastAsia" w:hAnsi="Times New Roman" w:cs="Times New Roman"/>
          <w:sz w:val="28"/>
          <w:szCs w:val="28"/>
          <w:lang w:eastAsia="zh-C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2." </w:instrText>
      </w:r>
      <w:r>
        <w:rPr>
          <w:rFonts w:ascii="Times New Roman" w:hAnsi="Times New Roman" w:cs="Times New Roman"/>
          <w:sz w:val="24"/>
          <w:szCs w:val="24"/>
        </w:rPr>
        <w:fldChar w:fldCharType="separate"/>
      </w:r>
      <w:hyperlink w:anchor="_Toc196817620" w:history="1">
        <w:r w:rsidR="00BB58C4">
          <w:rPr>
            <w:rStyle w:val="Hyperlink"/>
            <w:rFonts w:ascii="Times New Roman" w:hAnsi="Times New Roman" w:cs="Times New Roman"/>
            <w:sz w:val="24"/>
            <w:szCs w:val="24"/>
          </w:rPr>
          <w:t>Gambar 2.1 Kerangka Konsep Penelitian</w:t>
        </w:r>
        <w:r w:rsidR="00BB58C4">
          <w:rPr>
            <w:rFonts w:ascii="Times New Roman" w:hAnsi="Times New Roman" w:cs="Times New Roman"/>
            <w:sz w:val="24"/>
            <w:szCs w:val="24"/>
          </w:rPr>
          <w:tab/>
        </w:r>
        <w:r w:rsidR="00BB58C4">
          <w:rPr>
            <w:rFonts w:ascii="Times New Roman" w:hAnsi="Times New Roman" w:cs="Times New Roman"/>
            <w:sz w:val="24"/>
            <w:szCs w:val="24"/>
          </w:rPr>
          <w:fldChar w:fldCharType="begin"/>
        </w:r>
        <w:r w:rsidR="00BB58C4">
          <w:rPr>
            <w:rFonts w:ascii="Times New Roman" w:hAnsi="Times New Roman" w:cs="Times New Roman"/>
            <w:sz w:val="24"/>
            <w:szCs w:val="24"/>
          </w:rPr>
          <w:instrText xml:space="preserve"> PAGEREF _Toc196817620 \h </w:instrText>
        </w:r>
        <w:r w:rsidR="00BB58C4">
          <w:rPr>
            <w:rFonts w:ascii="Times New Roman" w:hAnsi="Times New Roman" w:cs="Times New Roman"/>
            <w:sz w:val="24"/>
            <w:szCs w:val="24"/>
          </w:rPr>
        </w:r>
        <w:r w:rsidR="00BB58C4">
          <w:rPr>
            <w:rFonts w:ascii="Times New Roman" w:hAnsi="Times New Roman" w:cs="Times New Roman"/>
            <w:sz w:val="24"/>
            <w:szCs w:val="24"/>
          </w:rPr>
          <w:fldChar w:fldCharType="separate"/>
        </w:r>
        <w:r w:rsidR="00DB7568">
          <w:rPr>
            <w:rFonts w:ascii="Times New Roman" w:hAnsi="Times New Roman" w:cs="Times New Roman"/>
            <w:noProof/>
            <w:sz w:val="24"/>
            <w:szCs w:val="24"/>
          </w:rPr>
          <w:t>23</w:t>
        </w:r>
        <w:r w:rsidR="00BB58C4">
          <w:rPr>
            <w:rFonts w:ascii="Times New Roman" w:hAnsi="Times New Roman" w:cs="Times New Roman"/>
            <w:sz w:val="24"/>
            <w:szCs w:val="24"/>
          </w:rPr>
          <w:fldChar w:fldCharType="end"/>
        </w:r>
      </w:hyperlink>
    </w:p>
    <w:p w14:paraId="10EE8129" w14:textId="49D84E7F" w:rsidR="00BB58C4" w:rsidRDefault="00BB58C4">
      <w:pPr>
        <w:pStyle w:val="TableofFigures"/>
        <w:tabs>
          <w:tab w:val="right" w:leader="dot" w:pos="7927"/>
        </w:tabs>
        <w:spacing w:line="480" w:lineRule="auto"/>
      </w:pPr>
      <w:hyperlink w:anchor="_Toc196817621" w:history="1">
        <w:r>
          <w:rPr>
            <w:rStyle w:val="Hyperlink"/>
            <w:rFonts w:ascii="Times New Roman" w:hAnsi="Times New Roman" w:cs="Times New Roman"/>
            <w:sz w:val="24"/>
            <w:szCs w:val="24"/>
          </w:rPr>
          <w:t>Gambar 2.2 Model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_Toc196817621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7568">
          <w:rPr>
            <w:rFonts w:ascii="Times New Roman" w:hAnsi="Times New Roman" w:cs="Times New Roman"/>
            <w:noProof/>
            <w:sz w:val="24"/>
            <w:szCs w:val="24"/>
          </w:rPr>
          <w:t>24</w:t>
        </w:r>
        <w:r>
          <w:rPr>
            <w:rFonts w:ascii="Times New Roman" w:hAnsi="Times New Roman" w:cs="Times New Roman"/>
            <w:sz w:val="24"/>
            <w:szCs w:val="24"/>
          </w:rPr>
          <w:fldChar w:fldCharType="end"/>
        </w:r>
      </w:hyperlink>
    </w:p>
    <w:p w14:paraId="28DDAA48" w14:textId="77777777" w:rsidR="00BB58C4" w:rsidRDefault="00BB58C4"/>
    <w:p w14:paraId="5ADA6253" w14:textId="77777777" w:rsidR="00BB58C4" w:rsidRDefault="00BB58C4"/>
    <w:p w14:paraId="06FADFA6" w14:textId="77777777" w:rsidR="00BB58C4" w:rsidRDefault="00BB58C4">
      <w:pPr>
        <w:sectPr w:rsidR="00BB58C4">
          <w:pgSz w:w="11906" w:h="16838"/>
          <w:pgMar w:top="2268" w:right="1701" w:bottom="1701" w:left="2268" w:header="709" w:footer="709" w:gutter="0"/>
          <w:pgNumType w:fmt="lowerRoman"/>
          <w:cols w:space="708"/>
          <w:titlePg/>
          <w:docGrid w:linePitch="360"/>
        </w:sectPr>
      </w:pPr>
    </w:p>
    <w:p w14:paraId="6162A072" w14:textId="77777777" w:rsidR="00BB58C4" w:rsidRDefault="00000000">
      <w:pPr>
        <w:pStyle w:val="Heading1"/>
      </w:pPr>
      <w:bookmarkStart w:id="18" w:name="_Toc220995013"/>
      <w:r>
        <w:lastRenderedPageBreak/>
        <w:t>DAFTAR LAMPIRAN</w:t>
      </w:r>
      <w:bookmarkEnd w:id="18"/>
    </w:p>
    <w:p w14:paraId="1FB217A6" w14:textId="77777777" w:rsidR="00BB58C4" w:rsidRDefault="00000000">
      <w:pPr>
        <w:tabs>
          <w:tab w:val="left" w:pos="2267"/>
        </w:tabs>
        <w:spacing w:after="0" w:line="480" w:lineRule="auto"/>
        <w:jc w:val="right"/>
        <w:rPr>
          <w:rFonts w:ascii="Times New Roman" w:hAnsi="Times New Roman" w:cs="Times New Roman"/>
          <w:b/>
          <w:bCs/>
        </w:rPr>
      </w:pPr>
      <w:r>
        <w:rPr>
          <w:rFonts w:ascii="Times New Roman" w:hAnsi="Times New Roman" w:cs="Times New Roman"/>
          <w:sz w:val="24"/>
          <w:szCs w:val="24"/>
        </w:rPr>
        <w:fldChar w:fldCharType="end"/>
      </w:r>
      <w:r>
        <w:rPr>
          <w:rFonts w:ascii="Times New Roman" w:hAnsi="Times New Roman" w:cs="Times New Roman"/>
          <w:b/>
          <w:bCs/>
        </w:rPr>
        <w:t xml:space="preserve"> Halaman</w:t>
      </w:r>
    </w:p>
    <w:p w14:paraId="0E41F3CE" w14:textId="107B5947" w:rsidR="00BB58C4" w:rsidRDefault="00000000">
      <w:pPr>
        <w:pStyle w:val="TableofFigures"/>
        <w:tabs>
          <w:tab w:val="right" w:leader="dot" w:pos="7927"/>
        </w:tabs>
        <w:spacing w:line="360" w:lineRule="auto"/>
        <w:rPr>
          <w:rFonts w:ascii="Times New Roman" w:eastAsiaTheme="minorEastAsia" w:hAnsi="Times New Roman" w:cs="Times New Roman"/>
          <w:sz w:val="24"/>
          <w:szCs w:val="24"/>
          <w:lang w:eastAsia="zh-CN"/>
        </w:rPr>
      </w:pPr>
      <w:r>
        <w:rPr>
          <w:rFonts w:ascii="Times New Roman" w:hAnsi="Times New Roman" w:cs="Times New Roman"/>
        </w:rPr>
        <w:fldChar w:fldCharType="begin"/>
      </w:r>
      <w:r>
        <w:rPr>
          <w:rFonts w:ascii="Times New Roman" w:hAnsi="Times New Roman" w:cs="Times New Roman"/>
        </w:rPr>
        <w:instrText xml:space="preserve"> TOC \h \z \c "Lampiran" </w:instrText>
      </w:r>
      <w:r>
        <w:rPr>
          <w:rFonts w:ascii="Times New Roman" w:hAnsi="Times New Roman" w:cs="Times New Roman"/>
        </w:rPr>
        <w:fldChar w:fldCharType="separate"/>
      </w:r>
      <w:hyperlink w:anchor="_Toc210632774" w:history="1">
        <w:r w:rsidR="00BB58C4">
          <w:rPr>
            <w:rStyle w:val="Hyperlink"/>
            <w:rFonts w:ascii="Times New Roman" w:hAnsi="Times New Roman" w:cs="Times New Roman"/>
          </w:rPr>
          <w:t>Lampiran 1: Daftar Sampel Perusahaan Multinasional Sektor Pertambangan Yang Terdaftar di Bursa Efek Indonesia Pada Tahun 2019 – 2023</w:t>
        </w:r>
        <w:r w:rsidR="00BB58C4">
          <w:rPr>
            <w:rFonts w:ascii="Times New Roman" w:hAnsi="Times New Roman" w:cs="Times New Roman"/>
          </w:rPr>
          <w:tab/>
        </w:r>
        <w:r w:rsidR="00BB58C4">
          <w:rPr>
            <w:rFonts w:ascii="Times New Roman" w:hAnsi="Times New Roman" w:cs="Times New Roman"/>
          </w:rPr>
          <w:fldChar w:fldCharType="begin"/>
        </w:r>
        <w:r w:rsidR="00BB58C4">
          <w:rPr>
            <w:rFonts w:ascii="Times New Roman" w:hAnsi="Times New Roman" w:cs="Times New Roman"/>
          </w:rPr>
          <w:instrText xml:space="preserve"> PAGEREF _Toc210632774 \h </w:instrText>
        </w:r>
        <w:r w:rsidR="00BB58C4">
          <w:rPr>
            <w:rFonts w:ascii="Times New Roman" w:hAnsi="Times New Roman" w:cs="Times New Roman"/>
          </w:rPr>
        </w:r>
        <w:r w:rsidR="00BB58C4">
          <w:rPr>
            <w:rFonts w:ascii="Times New Roman" w:hAnsi="Times New Roman" w:cs="Times New Roman"/>
          </w:rPr>
          <w:fldChar w:fldCharType="separate"/>
        </w:r>
        <w:r w:rsidR="00DB7568">
          <w:rPr>
            <w:rFonts w:ascii="Times New Roman" w:hAnsi="Times New Roman" w:cs="Times New Roman"/>
            <w:noProof/>
          </w:rPr>
          <w:t>66</w:t>
        </w:r>
        <w:r w:rsidR="00BB58C4">
          <w:rPr>
            <w:rFonts w:ascii="Times New Roman" w:hAnsi="Times New Roman" w:cs="Times New Roman"/>
          </w:rPr>
          <w:fldChar w:fldCharType="end"/>
        </w:r>
      </w:hyperlink>
    </w:p>
    <w:p w14:paraId="1332D7AB" w14:textId="54EC6380"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632775" w:history="1">
        <w:r>
          <w:rPr>
            <w:rStyle w:val="Hyperlink"/>
            <w:rFonts w:ascii="Times New Roman" w:hAnsi="Times New Roman" w:cs="Times New Roman"/>
          </w:rPr>
          <w:t>Lampiran 2</w:t>
        </w:r>
        <w:r>
          <w:rPr>
            <w:rStyle w:val="Hyperlink"/>
            <w:rFonts w:ascii="Times New Roman" w:eastAsia="Times New Roman" w:hAnsi="Times New Roman" w:cs="Times New Roman"/>
            <w:kern w:val="0"/>
            <w:lang w:val="id"/>
            <w14:ligatures w14:val="none"/>
          </w:rPr>
          <w:t>:</w:t>
        </w:r>
        <w:r>
          <w:rPr>
            <w:rStyle w:val="Hyperlink"/>
            <w:rFonts w:ascii="Times New Roman" w:eastAsia="Times New Roman" w:hAnsi="Times New Roman" w:cs="Times New Roman"/>
            <w:spacing w:val="-9"/>
            <w:kern w:val="0"/>
            <w:lang w:val="id"/>
            <w14:ligatures w14:val="none"/>
          </w:rPr>
          <w:t xml:space="preserve"> </w:t>
        </w:r>
        <w:r>
          <w:rPr>
            <w:rStyle w:val="Hyperlink"/>
            <w:rFonts w:ascii="Times New Roman" w:eastAsia="Times New Roman" w:hAnsi="Times New Roman" w:cs="Times New Roman"/>
            <w:kern w:val="0"/>
            <w:lang w:val="id"/>
            <w14:ligatures w14:val="none"/>
          </w:rPr>
          <w:t>Hasil</w:t>
        </w:r>
        <w:r>
          <w:rPr>
            <w:rStyle w:val="Hyperlink"/>
            <w:rFonts w:ascii="Times New Roman" w:eastAsia="Times New Roman" w:hAnsi="Times New Roman" w:cs="Times New Roman"/>
            <w:spacing w:val="-12"/>
            <w:kern w:val="0"/>
            <w:lang w:val="id"/>
            <w14:ligatures w14:val="none"/>
          </w:rPr>
          <w:t xml:space="preserve"> </w:t>
        </w:r>
        <w:r>
          <w:rPr>
            <w:rStyle w:val="Hyperlink"/>
            <w:rFonts w:ascii="Times New Roman" w:eastAsia="Times New Roman" w:hAnsi="Times New Roman" w:cs="Times New Roman"/>
            <w:kern w:val="0"/>
            <w:lang w:val="id"/>
            <w14:ligatures w14:val="none"/>
          </w:rPr>
          <w:t>Tabulasi</w:t>
        </w:r>
        <w:r>
          <w:rPr>
            <w:rStyle w:val="Hyperlink"/>
            <w:rFonts w:ascii="Times New Roman" w:eastAsia="Times New Roman" w:hAnsi="Times New Roman" w:cs="Times New Roman"/>
            <w:spacing w:val="-7"/>
            <w:kern w:val="0"/>
            <w:lang w:val="id"/>
            <w14:ligatures w14:val="none"/>
          </w:rPr>
          <w:t xml:space="preserve"> </w:t>
        </w:r>
        <w:r>
          <w:rPr>
            <w:rStyle w:val="Hyperlink"/>
            <w:rFonts w:ascii="Times New Roman" w:eastAsia="Times New Roman" w:hAnsi="Times New Roman" w:cs="Times New Roman"/>
            <w:kern w:val="0"/>
            <w:lang w:val="id"/>
            <w14:ligatures w14:val="none"/>
          </w:rPr>
          <w:t>Perhitungan</w:t>
        </w:r>
        <w:r>
          <w:rPr>
            <w:rStyle w:val="Hyperlink"/>
            <w:rFonts w:ascii="Times New Roman" w:eastAsia="Times New Roman" w:hAnsi="Times New Roman" w:cs="Times New Roman"/>
            <w:spacing w:val="-8"/>
            <w:kern w:val="0"/>
            <w:lang w:val="id"/>
            <w14:ligatures w14:val="none"/>
          </w:rPr>
          <w:t xml:space="preserve"> </w:t>
        </w:r>
        <w:r>
          <w:rPr>
            <w:rStyle w:val="Hyperlink"/>
            <w:rFonts w:ascii="Times New Roman" w:eastAsia="Times New Roman" w:hAnsi="Times New Roman" w:cs="Times New Roman"/>
            <w:kern w:val="0"/>
            <w:lang w:val="id"/>
            <w14:ligatures w14:val="none"/>
          </w:rPr>
          <w:t>Data</w:t>
        </w:r>
        <w:r>
          <w:rPr>
            <w:rStyle w:val="Hyperlink"/>
            <w:rFonts w:ascii="Times New Roman" w:eastAsia="Times New Roman" w:hAnsi="Times New Roman" w:cs="Times New Roman"/>
            <w:spacing w:val="-8"/>
            <w:kern w:val="0"/>
            <w:lang w:val="id"/>
            <w14:ligatures w14:val="none"/>
          </w:rPr>
          <w:t xml:space="preserve"> </w:t>
        </w:r>
        <w:r>
          <w:rPr>
            <w:rStyle w:val="Hyperlink"/>
            <w:rFonts w:ascii="Times New Roman" w:eastAsia="Times New Roman" w:hAnsi="Times New Roman" w:cs="Times New Roman"/>
            <w:kern w:val="0"/>
            <w:lang w:val="id"/>
            <w14:ligatures w14:val="none"/>
          </w:rPr>
          <w:t>Sampel</w:t>
        </w:r>
        <w:r>
          <w:rPr>
            <w:rStyle w:val="Hyperlink"/>
            <w:rFonts w:ascii="Times New Roman" w:eastAsia="Times New Roman" w:hAnsi="Times New Roman" w:cs="Times New Roman"/>
            <w:spacing w:val="-7"/>
            <w:kern w:val="0"/>
            <w:lang w:val="id"/>
            <w14:ligatures w14:val="none"/>
          </w:rPr>
          <w:t xml:space="preserve"> </w:t>
        </w:r>
        <w:r>
          <w:rPr>
            <w:rStyle w:val="Hyperlink"/>
            <w:rFonts w:ascii="Times New Roman" w:eastAsia="Times New Roman" w:hAnsi="Times New Roman" w:cs="Times New Roman"/>
            <w:spacing w:val="-2"/>
            <w:kern w:val="0"/>
            <w:lang w:val="id"/>
            <w14:ligatures w14:val="none"/>
          </w:rPr>
          <w:t>Penelitian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_Toc210632775 \h </w:instrText>
        </w:r>
        <w:r>
          <w:rPr>
            <w:rFonts w:ascii="Times New Roman" w:hAnsi="Times New Roman" w:cs="Times New Roman"/>
          </w:rPr>
        </w:r>
        <w:r>
          <w:rPr>
            <w:rFonts w:ascii="Times New Roman" w:hAnsi="Times New Roman" w:cs="Times New Roman"/>
          </w:rPr>
          <w:fldChar w:fldCharType="separate"/>
        </w:r>
        <w:r w:rsidR="00DB7568">
          <w:rPr>
            <w:rFonts w:ascii="Times New Roman" w:hAnsi="Times New Roman" w:cs="Times New Roman"/>
            <w:noProof/>
          </w:rPr>
          <w:t>66</w:t>
        </w:r>
        <w:r>
          <w:rPr>
            <w:rFonts w:ascii="Times New Roman" w:hAnsi="Times New Roman" w:cs="Times New Roman"/>
          </w:rPr>
          <w:fldChar w:fldCharType="end"/>
        </w:r>
      </w:hyperlink>
    </w:p>
    <w:p w14:paraId="20886695" w14:textId="1841677D" w:rsidR="00BB58C4" w:rsidRDefault="00BB58C4">
      <w:pPr>
        <w:pStyle w:val="TableofFigures"/>
        <w:tabs>
          <w:tab w:val="right" w:leader="dot" w:pos="7927"/>
        </w:tabs>
        <w:spacing w:line="360" w:lineRule="auto"/>
        <w:rPr>
          <w:rFonts w:ascii="Times New Roman" w:eastAsiaTheme="minorEastAsia" w:hAnsi="Times New Roman" w:cs="Times New Roman"/>
          <w:sz w:val="24"/>
          <w:szCs w:val="24"/>
          <w:lang w:eastAsia="zh-CN"/>
        </w:rPr>
      </w:pPr>
      <w:hyperlink w:anchor="_Toc210632776" w:history="1">
        <w:r>
          <w:rPr>
            <w:rStyle w:val="Hyperlink"/>
            <w:rFonts w:ascii="Times New Roman" w:hAnsi="Times New Roman" w:cs="Times New Roman"/>
          </w:rPr>
          <w:t>Lampiran 3: Hasil Olah Data Menggunakan STATA 17</w:t>
        </w:r>
        <w:r>
          <w:rPr>
            <w:rFonts w:ascii="Times New Roman" w:hAnsi="Times New Roman" w:cs="Times New Roman"/>
          </w:rPr>
          <w:tab/>
        </w:r>
        <w:r>
          <w:rPr>
            <w:rFonts w:ascii="Times New Roman" w:hAnsi="Times New Roman" w:cs="Times New Roman"/>
            <w:lang w:val="en-US"/>
          </w:rPr>
          <w:t>69</w:t>
        </w:r>
      </w:hyperlink>
    </w:p>
    <w:p w14:paraId="2BD42318" w14:textId="77777777" w:rsidR="00BB58C4" w:rsidRDefault="00000000">
      <w:pPr>
        <w:tabs>
          <w:tab w:val="left" w:pos="2267"/>
        </w:tabs>
        <w:spacing w:line="360" w:lineRule="auto"/>
        <w:rPr>
          <w:rFonts w:ascii="Times New Roman" w:hAnsi="Times New Roman" w:cs="Times New Roman"/>
        </w:rPr>
        <w:sectPr w:rsidR="00BB58C4">
          <w:pgSz w:w="11906" w:h="16838"/>
          <w:pgMar w:top="2268" w:right="1701" w:bottom="1701" w:left="2268" w:header="709" w:footer="709" w:gutter="0"/>
          <w:pgNumType w:fmt="lowerRoman"/>
          <w:cols w:space="708"/>
          <w:titlePg/>
          <w:docGrid w:linePitch="360"/>
        </w:sectPr>
      </w:pPr>
      <w:r>
        <w:rPr>
          <w:rFonts w:ascii="Times New Roman" w:hAnsi="Times New Roman" w:cs="Times New Roman"/>
        </w:rPr>
        <w:fldChar w:fldCharType="end"/>
      </w:r>
    </w:p>
    <w:p w14:paraId="045315B5" w14:textId="77777777" w:rsidR="00BB58C4" w:rsidRDefault="00000000">
      <w:pPr>
        <w:pStyle w:val="Heading1"/>
        <w:rPr>
          <w:rFonts w:cs="Times New Roman"/>
        </w:rPr>
      </w:pPr>
      <w:bookmarkStart w:id="19" w:name="_Toc220995014"/>
      <w:r>
        <w:rPr>
          <w:rFonts w:cs="Times New Roman"/>
        </w:rPr>
        <w:lastRenderedPageBreak/>
        <w:t>BAB I</w:t>
      </w:r>
      <w:r>
        <w:rPr>
          <w:rFonts w:cs="Times New Roman"/>
        </w:rPr>
        <w:br/>
        <w:t>PENDAHULUAN</w:t>
      </w:r>
      <w:bookmarkEnd w:id="19"/>
    </w:p>
    <w:p w14:paraId="027466E6" w14:textId="77777777" w:rsidR="00BB58C4" w:rsidRDefault="00000000">
      <w:pPr>
        <w:pStyle w:val="Heading2"/>
      </w:pPr>
      <w:bookmarkStart w:id="20" w:name="_Toc220995015"/>
      <w:r>
        <w:t>Latar Belakang</w:t>
      </w:r>
      <w:bookmarkEnd w:id="20"/>
    </w:p>
    <w:p w14:paraId="469C2420"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Sebagaimana yang diutarakan oleh teori ekonomi neoklasik, maksimalisasi laba mendorong perilaku perusahaan untuk memaksimalkan labanya melalui efisiensi ekonomi. Meminimalkan biaya, antara lain biaya pajak dengan menggunakan penghindaran pajak, dapat menjadi salah satu instrumen untuk mencapai efisiensi ekonomi tersebut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{"citationItems":[{"id":"ITEM-1","itemData":{"DOI":"10.21002/jaki.2023.10","ISSN":"18298494","abstract":"To counter tax avoidance using transfer mispricing practices, Indonesia introduced a transfer pricing documentation policy. This policy requires taxpayers to be transparent with their transfer pricing decisions. Treating the implementation of this policy as a shock to the taxpayers, this paper examines how the transfer pricing documentation policy affects a firm's tax avoidance behaviour by employing regression discontinuity design and difference-in-difference. Immediately after introducing the policy, a regression discontinuity analysis results indicate a 0.9 percentage point increase in tax/sales among taxpayers obligated to prepare transfer pricing documentation. A 0.3 to 0.7 percentage point increase in the tax/sales of the treatment group is observed when difference-in-difference is established. These findings show that such policy implementation can discourage taxpayers' tax avoidance behaviour. In light of these results, the Indonesian tax authority may consider taking several actions to improve the implementation of TP docs, such as amending summary of TP docs so that it contains more valuable information regarding taxpayer’s arm’s length principle application, requiring simple TP docs for taxpayers below the threshold, providing continuously providing assistance and capacity building to the taxpayers regarding appropriate TP docs preparation and arm’s length principle application.","author":[{"dropping-particle":"","family":"Saputra","given":"Dwi Anggari","non-dropping-particle":"","parse-names":false,"suffix":""}],"container-title":"Jurnal Akuntansi dan Keuangan Indonesia","id":"ITEM-1","issue":"2","issued":{"date-parts":[["2023"]]},"page":"186-205","title":"Unraveling the Effects of Transfer Pricing Documentation Regulation: Indonesia’ Evidence","type":"article-journal","volume":"20"},"uris":["http://www.mendeley.com/documents/?uuid=50ae9b35-1d83-4321-8b06-62a1bd50365a"]}],"mendeley":{"formattedCitation":"(Saputra, 2023)","plainTextFormattedCitation":"(Saputra, 2023)","previouslyFormattedCitation":"(Saputra,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(Saputra, 2023)</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{"citationItems":[{"id":"ITEM-1","itemData":{"DOI":"10.15294/aaj.v9i2.36469","ISSN":"2252-6765","abstract":"The aims of this research are to analyze and to find empirical evidence about the effect of tax minimization and exchange rate on company decision of transfer pricing with leverage as moderating variable. The population of this research was mining companies which listed in Indonesia Stock Exchange (IDX) over the period 2013 to 2018 from 45 companies. The sampling technique used purposive sampling. Eighteen companies were selected with 65 units analysis were obtained. In addition, data was analyzed using descriptive statistics and inferential statistics using Moderated Regression Analysis (MRA). The data was processed by IBM SPSS Statistics 21 software. The results show that tax minimization and exchange rate have positive and significant effect on transfer pricing. Leverage does not moderate the effect of tax minimization on transfer pricing but leverage significantly moderate the effect of exchange rate on transfer pricing. The conclusion of this research is transfer pricing decision will be higher when tax minimization and exchange rate be higher, but leverage can moderate the effect of exchange rate to transfer pricing.","author":[{"dropping-particle":"","family":"Devi","given":"Diah Kumala","non-dropping-particle":"","parse-names":false,"suffix":""},{"dropping-particle":"","family":"Suryarini","given":"Trisni","non-dropping-particle":"","parse-names":false,"suffix":""}],"container-title":"Accounting Analysis Journal","id":"ITEM-1","issue":"2","issued":{"date-parts":[["2020"]]},"page":"110-115","title":"The Effect of Tax Minimization and Exchange Rate on Transfer Pricing Decisions with Leverage as Moderating","type":"article","volume":"9"},"uris":["http://www.mendeley.com/documents/?uuid=30276047-531a-4d4d-91ff-504c4b05dec6"]}],"mendeley":{"formattedCitation":"(D. K. Devi &amp; Suryarini, 2020)","manualFormatting":"Devi dan Suryarini (2020)","plainTextFormattedCitation":"(D. K. Devi &amp; Suryarini, 2020)","previouslyFormattedCitation":"(D. K. Devi &amp; Suryarini,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Devi dan Suryarini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merupakan salah satu upaya perencanaan pajak yang dapat digunakan perusahaan dalam menghindari pajak dengan tarif yang tinggi. Bagi perusahaan, pajak dianggap sebagai salah satu komponen biaya yang akan mengurangi laba bersih perusahaan, oleh karena itu perusahaan akan berusaha semaksimal mungkin untuk menekan pembayaran pajak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{"citationItems":[{"id":"ITEM-1","itemData":{"DOI":"10.22219/jrak.v11i3.17660","ISSN":"2088-0685","abstract":"Tax avoidance is commonly considered as an act which can make a country suffering a great loss. Transfer pricing scheme is one of the most common activity that usually multinational enterprises do regarding to the tax avoidance. The aims of this research are to test and find an emphirical evidence regarding to the effect of transfer pricing on tax avoidance and the effect of transfer pricing on tax avoidance with executive characteristics as a moderate variable. The population of this research is all of the manufacturing companies that are listed in Indonesia Stock Exchange (IDX) during the years of 2017-2019. This research sample is determined by the purposive sampling technique. The method of analysis used in this research is regression analysis method. The results shows that transfer pricing has an effect to tax avoidance and executive characteristic can positively moderate the effect of transfer pricing on tax avoidance.  ","author":[{"dropping-particle":"","family":"Amanda","given":"Verna Budi","non-dropping-particle":"","parse-names":false,"suffix":""},{"dropping-particle":"","family":"Carolina","given":"Verani","non-dropping-particle":"","parse-names":false,"suffix":""}],"container-title":"Jurnal Reviu Akuntansi dan Keuangan","id":"ITEM-1","issue":"3","issued":{"date-parts":[["2021"]]},"page":"679-693","title":"Moderating Effect Of Executive Characteristics In The Effect Of Transfer Pricing On Tax Avoidance","type":"article-journal","volume":"11"},"uris":["http://www.mendeley.com/documents/?uuid=b776e887-4603-4226-93de-1fe208547206"]}],"mendeley":{"formattedCitation":"(Amanda &amp; Carolina, 2021)","plainTextFormattedCitation":"(Amanda &amp; Carolina, 2021)","previouslyFormattedCitation":"(Amanda &amp; Carolina, 2021)"},"properties":{"noteIndex":0},"schema":"https://github.com/citation-style-language/schema/raw/master/csl-citation.json"}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(Amanda &amp; Carolina, 2021)</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14:paraId="6F22BDA9"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Suandy (2016) menyatakan bahwa </w:t>
      </w:r>
      <w:r>
        <w:rPr>
          <w:rFonts w:ascii="Times New Roman" w:hAnsi="Times New Roman" w:cs="Times New Roman"/>
          <w:i/>
          <w:iCs/>
          <w:sz w:val="24"/>
          <w:szCs w:val="24"/>
        </w:rPr>
        <w:t xml:space="preserve">transfer pricing </w:t>
      </w:r>
      <w:r>
        <w:rPr>
          <w:rFonts w:ascii="Times New Roman" w:hAnsi="Times New Roman" w:cs="Times New Roman"/>
          <w:sz w:val="24"/>
          <w:szCs w:val="24"/>
        </w:rPr>
        <w:t>dapat didefinisikan</w:t>
      </w:r>
      <w:r>
        <w:rPr>
          <w:rFonts w:ascii="Times New Roman" w:hAnsi="Times New Roman" w:cs="Times New Roman"/>
          <w:i/>
          <w:iCs/>
          <w:sz w:val="24"/>
          <w:szCs w:val="24"/>
        </w:rPr>
        <w:t xml:space="preserve"> </w:t>
      </w:r>
      <w:r>
        <w:rPr>
          <w:rFonts w:ascii="Times New Roman" w:hAnsi="Times New Roman" w:cs="Times New Roman"/>
          <w:sz w:val="24"/>
          <w:szCs w:val="24"/>
        </w:rPr>
        <w:t xml:space="preserve">menjadi 2 pengertian yaitu pengertian bersifat netral dan pengertian bersifat peyoratif. Pengertian netral mengasumsikan bahwa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adalah murni merupakan strategi dan taktik bisnis tanpa motif pengurangan beban pajak. Sedangkan, pengertian peyoratif mengasumsikan </w:t>
      </w:r>
      <w:r>
        <w:rPr>
          <w:rFonts w:ascii="Times New Roman" w:hAnsi="Times New Roman" w:cs="Times New Roman"/>
          <w:i/>
          <w:iCs/>
          <w:sz w:val="24"/>
          <w:szCs w:val="24"/>
        </w:rPr>
        <w:t xml:space="preserve">transfer pricing </w:t>
      </w:r>
      <w:r>
        <w:rPr>
          <w:rFonts w:ascii="Times New Roman" w:hAnsi="Times New Roman" w:cs="Times New Roman"/>
          <w:sz w:val="24"/>
          <w:szCs w:val="24"/>
        </w:rPr>
        <w:t>sebagai upaya untuk menghemat beban pajak dengan taktik, antara lain menggeser laba ke negara yang tarif pajaknya rendah.</w:t>
      </w:r>
    </w:p>
    <w:p w14:paraId="22D2EBAA"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menjadi satu dari berbagai taktik perusahaan dalam menerapkan manajemen laba dengan cara mengatur harga transfer barang atau jasa </w:t>
      </w:r>
      <w:r>
        <w:rPr>
          <w:rFonts w:ascii="Times New Roman" w:hAnsi="Times New Roman" w:cs="Times New Roman"/>
          <w:sz w:val="24"/>
          <w:szCs w:val="24"/>
        </w:rPr>
        <w:lastRenderedPageBreak/>
        <w:t xml:space="preserve">antara unit usaha yang berbeda dalam perusahaan yang sama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{"citationItems":[{"id":"ITEM-1","itemData":{"DOI":"https://doi.org/10.60090/kar.v5i1.1049.24-46","author":[{"dropping-particle":"","family":"Soetardjo","given":"Messyi Augesti Wijaya dan Mulyadi Noto","non-dropping-particle":"","parse-names":false,"suffix":""}],"container-title":"Klabat Accounting Review","id":"ITEM-1","issue":"1","issued":{"date-parts":[["2024"]]},"page":"24-46","title":"PENGARUH BEBAN PAJAK , ASET TIDAK BERWUJUD DAN KUALITAS AUDIT TERHADAP KEPUTUSAN TRANSFER PRICING","type":"article-journal","volume":"5"},"uris":["http://www.mendeley.com/documents/?uuid=9375451c-1661-45a4-97bc-277bb803a346"]}],"mendeley":{"formattedCitation":"(Soetardjo, 2024)","plainTextFormattedCitation":"(Soetardjo, 2024)","previouslyFormattedCitation":"(Soetardjo,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(Soetardjo, 2024)</w:t>
      </w:r>
      <w:r>
        <w:rPr>
          <w:rFonts w:ascii="Times New Roman" w:hAnsi="Times New Roman" w:cs="Times New Roman"/>
          <w:sz w:val="24"/>
          <w:szCs w:val="24"/>
        </w:rPr>
        <w:fldChar w:fldCharType="end"/>
      </w:r>
      <w:r>
        <w:rPr>
          <w:rFonts w:ascii="Times New Roman" w:hAnsi="Times New Roman" w:cs="Times New Roman"/>
          <w:sz w:val="24"/>
          <w:szCs w:val="24"/>
        </w:rPr>
        <w:t>. Pengaturan ini termasuk dalam strategi perencanaan pajak yang mana perusahaan mengelola laporan keuangannya dan mengalihkan laba ke unit bisnis yang beroperasi di negara suaka pajak</w:t>
      </w:r>
      <w:r>
        <w:rPr>
          <w:rFonts w:ascii="Times New Roman" w:hAnsi="Times New Roman" w:cs="Times New Roman"/>
          <w:i/>
          <w:iCs/>
          <w:sz w:val="24"/>
          <w:szCs w:val="24"/>
        </w:rPr>
        <w:t xml:space="preserve"> </w:t>
      </w:r>
      <w:r>
        <w:rPr>
          <w:rFonts w:ascii="Times New Roman" w:hAnsi="Times New Roman" w:cs="Times New Roman"/>
          <w:sz w:val="24"/>
          <w:szCs w:val="24"/>
        </w:rPr>
        <w:t xml:space="preserve">atau yurisdiksi tarif pajak lebih rendah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{"citationItems":[{"id":"ITEM-1","itemData":{"DOI":"10.1111/fcre.12621","ISBN":"9789264526914","ISSN":"17441617","author":[{"dropping-particle":"","family":"OECD","given":"","non-dropping-particle":"","parse-names":false,"suffix":""}],"container-title":"OECD Publishing, Paris","id":"ITEM-1","issue":"1","issued":{"date-parts":[["2022"]]},"number-of-pages":"5-6","title":"OECD Transfer Pricing Guidelines for Multinational Enterprises and Tax Administrations","type":"book","volume":"60"},"uris":["http://www.mendeley.com/documents/?uuid=90eccb6c-5f78-4b7a-ad61-4a6ada3890e4"]}],"mendeley":{"formattedCitation":"(OECD, 2022)","plainTextFormattedCitation":"(OECD, 2022)","previouslyFormattedCitation":"(OECD,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(OECD, 2022)</w:t>
      </w:r>
      <w:r>
        <w:rPr>
          <w:rFonts w:ascii="Times New Roman" w:hAnsi="Times New Roman" w:cs="Times New Roman"/>
          <w:sz w:val="24"/>
          <w:szCs w:val="24"/>
        </w:rPr>
        <w:fldChar w:fldCharType="end"/>
      </w:r>
      <w:r>
        <w:rPr>
          <w:rFonts w:ascii="Times New Roman" w:hAnsi="Times New Roman" w:cs="Times New Roman"/>
          <w:sz w:val="24"/>
          <w:szCs w:val="24"/>
        </w:rPr>
        <w:t xml:space="preserve">. Perbedaan dalam ketentuan tarif pajak pada setiap negara dimanfaatkan perusahaan multinasional untuk mengurangi pajak yang harus dibayarkan oleh perusahaan. Semakin tinggi tarif pajak yang berlaku di suatu negara berbanding lurus dengan kemungkinan perusahaan multinasional menjalankan praktik </w:t>
      </w:r>
      <w:r>
        <w:rPr>
          <w:rFonts w:ascii="Times New Roman" w:hAnsi="Times New Roman" w:cs="Times New Roman"/>
          <w:i/>
          <w:iCs/>
          <w:sz w:val="24"/>
          <w:szCs w:val="24"/>
        </w:rPr>
        <w:t xml:space="preserve">transfer pricing </w:t>
      </w: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{"citationItems":[{"id":"ITEM-1","itemData":{"DOI":"https://doi.org/10.60090/kar.v5i1.1049.24-46","author":[{"dropping-particle":"","family":"Soetardjo","given":"Messyi Augesti Wijaya dan Mulyadi Noto","non-dropping-particle":"","parse-names":false,"suffix":""}],"container-title":"Klabat Accounting Review","id":"ITEM-1","issue":"1","issued":{"date-parts":[["2024"]]},"page":"24-46","title":"PENGARUH BEBAN PAJAK , ASET TIDAK BERWUJUD DAN KUALITAS AUDIT TERHADAP KEPUTUSAN TRANSFER PRICING","type":"article-journal","volume":"5"},"uris":["http://www.mendeley.com/documents/?uuid=9375451c-1661-45a4-97bc-277bb803a346"]}],"mendeley":{"formattedCitation":"(Soetardjo, 2024)","plainTextFormattedCitation":"(Soetardjo, 2024)","previouslyFormattedCitation":"(Soetardjo, 2024)"},"properties":{"noteIndex":0},"schema":"https://github.com/citation-style-language/schema/raw/master/csl-citation.json"}</w:instrText>
      </w:r>
      <w:r>
        <w:rPr>
          <w:rFonts w:ascii="Times New Roman" w:hAnsi="Times New Roman" w:cs="Times New Roman"/>
          <w:i/>
          <w:iCs/>
          <w:sz w:val="24"/>
          <w:szCs w:val="24"/>
        </w:rPr>
        <w:fldChar w:fldCharType="separate"/>
      </w:r>
      <w:r>
        <w:rPr>
          <w:rFonts w:ascii="Times New Roman" w:hAnsi="Times New Roman" w:cs="Times New Roman"/>
          <w:iCs/>
          <w:sz w:val="24"/>
          <w:szCs w:val="24"/>
        </w:rPr>
        <w:t>(Soetardjo, 2024)</w:t>
      </w:r>
      <w:r>
        <w:rPr>
          <w:rFonts w:ascii="Times New Roman" w:hAnsi="Times New Roman" w:cs="Times New Roman"/>
          <w:i/>
          <w:iCs/>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w:t>
      </w:r>
    </w:p>
    <w:p w14:paraId="10A7A88F"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Peraturan Menteri Keuangan Nomor 172 Tahun 2023 tentang penerapan prinsip kewajaran dan kelaziman usaha dalam transaksi yang dipengaruhi hubungan istimewa yang merupakan pedoman resmi dari pemerintah Indonesia yang menjelaskan terkait langkah-langkah dan prosedur untuk mencapai kesepakatan harga transfer dengan perusahaan multinasional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{"citationItems":[{"id":"ITEM-1","itemData":{"author":[{"dropping-particle":"","family":"Kemenkeu RI","given":"","non-dropping-particle":"","parse-names":false,"suffix":""}],"id":"ITEM-1","issue":"2","issued":{"date-parts":[["2023"]]},"page":"1-80","title":"Peraturan Menteri Keuangan Nomor 172 Tahun 2023 tentang Penerapan Prinsip Kewajaran dan Kelaziman Usaha dalam Transaksi yang Dipengaruhi Hubungan Istimewa","type":"article-journal"},"uris":["http://www.mendeley.com/documents/?uuid=af602c66-f93d-4e2c-a094-6976a0ff8d0f"]}],"mendeley":{"formattedCitation":"(Kemenkeu RI, 2023)","plainTextFormattedCitation":"(Kemenkeu RI, 2023)","previouslyFormattedCitation":"(Kemenkeu RI,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(Kemenkeu RI, 2023)</w:t>
      </w:r>
      <w:r>
        <w:rPr>
          <w:rFonts w:ascii="Times New Roman" w:hAnsi="Times New Roman" w:cs="Times New Roman"/>
          <w:sz w:val="24"/>
          <w:szCs w:val="24"/>
        </w:rPr>
        <w:fldChar w:fldCharType="end"/>
      </w:r>
      <w:r>
        <w:rPr>
          <w:rFonts w:ascii="Times New Roman" w:hAnsi="Times New Roman" w:cs="Times New Roman"/>
          <w:sz w:val="24"/>
          <w:szCs w:val="24"/>
        </w:rPr>
        <w:t xml:space="preserve">. Sementara itu, Transfer pricing Guidelines for Multinational Enterprises and Tax Administrations 2022 merupakan panduan yang dikeluarkan oleh Organisasi Kerjasama Ekonomi dan Pembangunan (OECD) yang memberikan prinsip dan pedoman untuk mengatur praktik harga transfer antar perusahaan multinasional dan administrasi perpajakan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{"citationItems":[{"id":"ITEM-1","itemData":{"DOI":"10.1111/fcre.12621","ISBN":"9789264526914","ISSN":"17441617","author":[{"dropping-particle":"","family":"OECD","given":"","non-dropping-particle":"","parse-names":false,"suffix":""}],"container-title":"OECD Publishing, Paris","id":"ITEM-1","issue":"1","issued":{"date-parts":[["2022"]]},"number-of-pages":"5-6","title":"OECD Transfer Pricing Guidelines for Multinational Enterprises and Tax Administrations","type":"book","volume":"60"},"uris":["http://www.mendeley.com/documents/?uuid=90eccb6c-5f78-4b7a-ad61-4a6ada3890e4"]}],"mendeley":{"formattedCitation":"(OECD, 2022)","plainTextFormattedCitation":"(OECD, 2022)","previouslyFormattedCitation":"(OECD,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(OECD, 2022)</w:t>
      </w:r>
      <w:r>
        <w:rPr>
          <w:rFonts w:ascii="Times New Roman" w:hAnsi="Times New Roman" w:cs="Times New Roman"/>
          <w:sz w:val="24"/>
          <w:szCs w:val="24"/>
        </w:rPr>
        <w:fldChar w:fldCharType="end"/>
      </w:r>
      <w:r>
        <w:rPr>
          <w:rFonts w:ascii="Times New Roman" w:hAnsi="Times New Roman" w:cs="Times New Roman"/>
          <w:sz w:val="24"/>
          <w:szCs w:val="24"/>
        </w:rPr>
        <w:t xml:space="preserve">. Kualifikasi ini memperjelas bahwa perusahaan memiliki keleluasaan yang substansial dalam menentukan harga mereka karena dalam kebanyakan kasus transaksi yang sebanding tidak mudah diidentifikasi kecuali untuk pasar komoditas yang sangat kompetitif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{"citationItems":[{"id":"ITEM-1","itemData":{"DOI":"10.1016/S1751-3243(06)02009-8","ISBN":"9780080447544","ISSN":"17513243","abstract":"This chapter reviews the recent economic literature on transfer pricing. As a starting point, we take Hirshleifer's transfer pricing model and discuss the basic structure of the most widely used model extensions. We review transfer pricing models with asymmetric information, transfer pricing models in incomplete contracting settings, strategic transfer pricing models, and international transfer pricing models with firms operating in different tax jurisdictions. The results offer a rich set of different explanations for the wide variety of transfer pricing methods in practice but they also show that it is impossible to give a general recommendation about \"the\" best transfer pricing method. By contrast, only limited progress has been made in arriving at a sufficient theory of decentralization. The models are either silent about organizational issues, or the advantages of decentralization are based on more or less restrictive informational assumptions. We conclude that the economic transfer pricing research has certainly improved the understanding of the relative usefulness of alternative transfer pricing methods for a carefully selected set of assumptions. Further theoretical and empirical research seems necessary for a better understanding of the economic reasons for decentralization and for explaining some unresolved empirical puzzles. © 2007 Elsevier Ltd. All rights reserved.","author":[{"dropping-particle":"","family":"Göx","given":"Robert F.","non-dropping-particle":"","parse-names":false,"suffix":""},{"dropping-particle":"","family":"Schiller","given":"Ulf","non-dropping-particle":"","parse-names":false,"suffix":""}],"container-title":"Handbooks of Management Accounting Research","id":"ITEM-1","issue":"06","issued":{"date-parts":[["2006"]]},"page":"673-695","title":"An Economic Perspective on Transfer Pricing","type":"article-journal","volume":"2"},"uris":["http://www.mendeley.com/documents/?uuid=df3e47a1-b8b0-473e-b3c0-79af4d1a8828"]}],"mendeley":{"formattedCitation":"(Göx &amp; Schiller, 2006)","plainTextFormattedCitation":"(Göx &amp; Schiller, 2006)","previouslyFormattedCitation":"(Göx &amp; Schiller, 2006)"},"properties":{"noteIndex":0},"schema":"https://github.com/citation-style-language/schema/raw/master/csl-citation.json"}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(Göx &amp; Schiller, 2006)</w:t>
      </w:r>
      <w:r>
        <w:rPr>
          <w:rFonts w:ascii="Times New Roman" w:hAnsi="Times New Roman" w:cs="Times New Roman"/>
          <w:sz w:val="24"/>
          <w:szCs w:val="24"/>
        </w:rPr>
        <w:fldChar w:fldCharType="end"/>
      </w:r>
      <w:r>
        <w:rPr>
          <w:rFonts w:ascii="Times New Roman" w:hAnsi="Times New Roman" w:cs="Times New Roman"/>
          <w:sz w:val="24"/>
          <w:szCs w:val="24"/>
        </w:rPr>
        <w:t xml:space="preserve">. Kedua peraturan ini bersifat penting dalam mengatur dan </w:t>
      </w:r>
      <w:r>
        <w:rPr>
          <w:rFonts w:ascii="Times New Roman" w:hAnsi="Times New Roman" w:cs="Times New Roman"/>
          <w:sz w:val="24"/>
          <w:szCs w:val="24"/>
        </w:rPr>
        <w:lastRenderedPageBreak/>
        <w:t xml:space="preserve">memastikan transaksi antar perusahaan yang terafiliasi secara internasional sesuai dengan prinsip-prinsip yang adil dan berdasarkan nilai pasar, untuk mencegah potensi penghindaran pajak dan kerugian bagi pihak-pihak terlibat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{"citationItems":[{"id":"ITEM-1","itemData":{"DOI":"10.1111/fcre.12621","ISBN":"9789264526914","ISSN":"17441617","author":[{"dropping-particle":"","family":"OECD","given":"","non-dropping-particle":"","parse-names":false,"suffix":""}],"container-title":"OECD Publishing, Paris","id":"ITEM-1","issue":"1","issued":{"date-parts":[["2022"]]},"number-of-pages":"5-6","title":"OECD Transfer Pricing Guidelines for Multinational Enterprises and Tax Administrations","type":"book","volume":"60"},"uris":["http://www.mendeley.com/documents/?uuid=90eccb6c-5f78-4b7a-ad61-4a6ada3890e4"]}],"mendeley":{"formattedCitation":"(OECD, 2022)","plainTextFormattedCitation":"(OECD, 2022)","previouslyFormattedCitation":"(OECD, 2022)"},"properties":{"noteIndex":0},"schema":"https://github.com/citation-style-language/schema/raw/master/csl-citation.json"}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(OECD, 2022)</w:t>
      </w:r>
      <w:r>
        <w:rPr>
          <w:rFonts w:ascii="Times New Roman" w:hAnsi="Times New Roman" w:cs="Times New Roman"/>
          <w:b/>
          <w:bCs/>
          <w:sz w:val="24"/>
          <w:szCs w:val="24"/>
        </w:rPr>
        <w:fldChar w:fldCharType="end"/>
      </w:r>
      <w:r>
        <w:rPr>
          <w:rFonts w:ascii="Times New Roman" w:hAnsi="Times New Roman" w:cs="Times New Roman"/>
          <w:b/>
          <w:bCs/>
          <w:sz w:val="24"/>
          <w:szCs w:val="24"/>
        </w:rPr>
        <w:t>.</w:t>
      </w:r>
    </w:p>
    <w:p w14:paraId="0AFA3A96"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Prosedur penetapan praktik </w:t>
      </w:r>
      <w:r>
        <w:rPr>
          <w:rFonts w:ascii="Times New Roman" w:hAnsi="Times New Roman" w:cs="Times New Roman"/>
          <w:i/>
          <w:iCs/>
          <w:sz w:val="24"/>
          <w:szCs w:val="24"/>
        </w:rPr>
        <w:t>transfer pricing</w:t>
      </w:r>
      <w:r>
        <w:rPr>
          <w:rFonts w:ascii="Times New Roman" w:hAnsi="Times New Roman" w:cs="Times New Roman"/>
          <w:sz w:val="24"/>
          <w:szCs w:val="24"/>
        </w:rPr>
        <w:t xml:space="preserve"> juga dikaitkan dengan bentuk-bentuk penghindaran pajak lainnya, seperti intervensi perusahaan, dimana perusahaan multinasional memindahkan perusahaan asal mereka ke negara asing untuk mendapatkan keuntungan dari tarif pajak yang lebih rendah dan memaksimalkan laba yang diterima (Afzal, 2023). Adanya perbedaan tarif pajak antar suatu negara membuat celah bagi perusahaan untuk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Perusahaan yang banyak melakukan praktik </w:t>
      </w:r>
      <w:r>
        <w:rPr>
          <w:rFonts w:ascii="Times New Roman" w:hAnsi="Times New Roman" w:cs="Times New Roman"/>
          <w:i/>
          <w:iCs/>
          <w:sz w:val="24"/>
          <w:szCs w:val="24"/>
        </w:rPr>
        <w:t>transfer pricing</w:t>
      </w:r>
      <w:r>
        <w:rPr>
          <w:rFonts w:ascii="Times New Roman" w:hAnsi="Times New Roman" w:cs="Times New Roman"/>
          <w:sz w:val="24"/>
          <w:szCs w:val="24"/>
        </w:rPr>
        <w:t xml:space="preserve"> adalah perusahaan multinasional dengan cara transaksi barang dan/atau jasa hasil produksi kepada perusahaan afiliasi yang beroperasi di negara dengan yurisdiksi pajak yang rendah, sehingga laba perusahaan dengan yurisdiksi pajak yang tinggi menjadi rendah dan sebaliknya laba perusahaan dengan yurisdiksi pajak yang rendah menjadi tinggi</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uthor":[{"dropping-particle":"","family":"Barker","given":"Joel","non-dropping-particle":"","parse-names":false,"suffix":""},{"dropping-particle":"","family":"Asare","given":"Kwadwo","non-dropping-particle":"","parse-names":false,"suffix":""},{"dropping-particle":"","family":"Brickman","given":"Sharon","non-dropping-particle":"","parse-names":false,"suffix":""}],"container-title":"The Journal of Applied Business Research","id":"ITEM-1","issue":"February","issued":{"date-parts":[["2017"]]},"page":"9-16","title":"Transfer Pricing As A Vehicle In Corporate Tax Avoidance","type":"article-journal"},"uris":["http://www.mendeley.com/documents/?uuid=4bb441aa-dd85-437b-b35c-0719280bd0a3"]}],"mendeley":{"formattedCitation":"(Barker, Asare, &amp; Brickman, 2017)","plainTextFormattedCitation":"(Barker, Asare, &amp; Brickman, 2017)","previouslyFormattedCitation":"(Barker, Asare, &amp; Brickman, 2017)"},"properties":{"noteIndex":0},"schema":"https://github.com/citation-style-language/schema/raw/master/csl-citation.json"}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(Barker, Asare, &amp; Brickman, 2017)</w:t>
      </w:r>
      <w:r>
        <w:rPr>
          <w:rFonts w:ascii="Times New Roman" w:hAnsi="Times New Roman" w:cs="Times New Roman"/>
          <w:b/>
          <w:bCs/>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Hal ini membuat laba yang diperoleh perusahaan secara keseluruhan menjadi lebih tinggi karena total pajak yang dibayarkan lebih rendah dari yang seharusnya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{"citationItems":[{"id":"ITEM-1","itemData":{"DOI":"10.15294/aaj.v9i2.36469","ISSN":"2252-6765","abstract":"The aims of this research are to analyze and to find empirical evidence about the effect of tax minimization and exchange rate on company decision of transfer pricing with leverage as moderating variable. The population of this research was mining companies which listed in Indonesia Stock Exchange (IDX) over the period 2013 to 2018 from 45 companies. The sampling technique used purposive sampling. Eighteen companies were selected with 65 units analysis were obtained. In addition, data was analyzed using descriptive statistics and inferential statistics using Moderated Regression Analysis (MRA). The data was processed by IBM SPSS Statistics 21 software. The results show that tax minimization and exchange rate have positive and significant effect on transfer pricing. Leverage does not moderate the effect of tax minimization on transfer pricing but leverage significantly moderate the effect of exchange rate on transfer pricing. The conclusion of this research is transfer pricing decision will be higher when tax minimization and exchange rate be higher, but leverage can moderate the effect of exchange rate to transfer pricing.","author":[{"dropping-particle":"","family":"Devi","given":"Diah Kumala","non-dropping-particle":"","parse-names":false,"suffix":""},{"dropping-particle":"","family":"Suryarini","given":"Trisni","non-dropping-particle":"","parse-names":false,"suffix":""}],"container-title":"Accounting Analysis Journal","id":"ITEM-1","issue":"2","issued":{"date-parts":[["2020"]]},"page":"110-115","title":"The Effect of Tax Minimization and Exchange Rate on Transfer Pricing Decisions with Leverage as Moderating","type":"article","volume":"9"},"uris":["http://www.mendeley.com/documents/?uuid=30276047-531a-4d4d-91ff-504c4b05dec6"]}],"mendeley":{"formattedCitation":"(D. K. Devi &amp; Suryarini, 2020)","manualFormatting":"(Devi &amp; Suryarini, 2020)","plainTextFormattedCitation":"(D. K. Devi &amp; Suryarini, 2020)","previouslyFormattedCitation":"(D. K. Devi &amp; Suryarini,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(Devi &amp; Suryarini, 2020)</w:t>
      </w:r>
      <w:r>
        <w:rPr>
          <w:rFonts w:ascii="Times New Roman" w:hAnsi="Times New Roman" w:cs="Times New Roman"/>
          <w:sz w:val="24"/>
          <w:szCs w:val="24"/>
        </w:rPr>
        <w:fldChar w:fldCharType="end"/>
      </w:r>
      <w:r>
        <w:rPr>
          <w:rFonts w:ascii="Times New Roman" w:hAnsi="Times New Roman" w:cs="Times New Roman"/>
          <w:sz w:val="24"/>
          <w:szCs w:val="24"/>
        </w:rPr>
        <w:t>.</w:t>
      </w:r>
    </w:p>
    <w:p w14:paraId="3CA64EA8"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Dampak yang ditimbulkan dari adanya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dapat merugikan penerimaan Negara terutama dunia perpajakan. Karena adanya ketidakwajaran harga, biaya atau imbalan yang akhirnya menjadi penyebab munculnya hubungan istimewa yang bertujuan untuk memanipulasi pajak melalui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Terjadinya manipulasi dari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disebabkan </w:t>
      </w:r>
      <w:r>
        <w:rPr>
          <w:rFonts w:ascii="Times New Roman" w:hAnsi="Times New Roman" w:cs="Times New Roman"/>
          <w:sz w:val="24"/>
          <w:szCs w:val="24"/>
        </w:rPr>
        <w:lastRenderedPageBreak/>
        <w:t xml:space="preserve">karena kurangnya tingkat kesadaran wajib pajak yang berakibat pada kurang optimalnya pengendali kinerja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ska","given":"Amilia","non-dropping-particle":"","parse-names":false,"suffix":""},{"dropping-particle":"","family":"Anwar","given":"Saiful","non-dropping-particle":"","parse-names":false,"suffix":""}],"container-title":"Jurnal Akuntansi Berkelanjutan Indonesia","id":"ITEM-1","issue":"3","issued":{"date-parts":[["2021"]]},"page":"266-280","title":"PENGARUH TUNNELING INCENTIVE , BONUS MECHANISM , DEBT COVENANT DAN TAX MINIMIZATION TERHADAP KEPUTUSAN TRANSFER PRICING Abstrack Abstrak","type":"article-journal","volume":"4"},"uris":["http://www.mendeley.com/documents/?uuid=c7389544-506d-4b61-8826-e95b132c1889"]}],"mendeley":{"formattedCitation":"(Riska &amp; Anwar, 2021)","plainTextFormattedCitation":"(Riska &amp; Anwar, 2021)","previouslyFormattedCitation":"(Riska &amp; Anwar,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(Riska &amp; Anwar, 2021)</w:t>
      </w:r>
      <w:r>
        <w:rPr>
          <w:rFonts w:ascii="Times New Roman" w:hAnsi="Times New Roman" w:cs="Times New Roman"/>
          <w:sz w:val="24"/>
          <w:szCs w:val="24"/>
        </w:rPr>
        <w:fldChar w:fldCharType="end"/>
      </w:r>
    </w:p>
    <w:p w14:paraId="5324456B"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Fenomena </w:t>
      </w:r>
      <w:r>
        <w:rPr>
          <w:rFonts w:ascii="Times New Roman" w:hAnsi="Times New Roman" w:cs="Times New Roman"/>
          <w:i/>
          <w:iCs/>
          <w:sz w:val="24"/>
          <w:szCs w:val="24"/>
        </w:rPr>
        <w:t xml:space="preserve">transfer pricing </w:t>
      </w:r>
      <w:r>
        <w:rPr>
          <w:rFonts w:ascii="Times New Roman" w:hAnsi="Times New Roman" w:cs="Times New Roman"/>
          <w:sz w:val="24"/>
          <w:szCs w:val="24"/>
        </w:rPr>
        <w:t>terjadi karena adanya dorongan dalam menghindari beban pajak yang tinggi dan upaya dalam memaksimalkan laba yang diterima oleh perusahaan. Salah satu kasus yang terjadi di Indonesia yaitu PT Adaro Energy Tbk (ADRO) yang merupakan perusahaan pertambangan terbesar di Indonesia. Dikutip dari globalwitness, PT Adaro memindahkan sejumlah besar uang perusahaan kepada salah satu anak perusahaannya yang berada di Singapura dan berhasil mengurangi tagihan pajaknya di Indonesia yang kemudian mengurangi pendapatan pajak bagi pemerintah di Indonesia sebesar hampir 14 juta dolar AS setiap tahunnya. Kemudian pada tahun 2017, sebagian besar keuntungan yang diperoleh PT Adaro di Singapura dipindahkan ke salah satu anak perusahaan adaro yang berada di negeri suaka pajak lain yaitu di Mauritius, dimana perusahaan tidak dikenakan pajak apa pun.</w:t>
      </w:r>
    </w:p>
    <w:p w14:paraId="3187F12A"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kasus </w:t>
      </w:r>
      <w:r>
        <w:rPr>
          <w:rFonts w:ascii="Times New Roman" w:hAnsi="Times New Roman" w:cs="Times New Roman"/>
          <w:i/>
          <w:iCs/>
          <w:sz w:val="24"/>
          <w:szCs w:val="24"/>
        </w:rPr>
        <w:t>transfer pricing</w:t>
      </w:r>
      <w:r>
        <w:rPr>
          <w:rFonts w:ascii="Times New Roman" w:hAnsi="Times New Roman" w:cs="Times New Roman"/>
          <w:sz w:val="24"/>
          <w:szCs w:val="24"/>
        </w:rPr>
        <w:t xml:space="preserve"> yang terjadi di luar Indonesia, yaitu perusahaan besar pertambangan multinasional dikenal dengan Rio Tinto yang berada di Australia. Chief Financial Officer Rio Tinto Peter Cunningham menyatakan bahwa sengketa pajak atas perusahaan Rio Tinto timbul atas pajak yang belum dibayar, karena menggunakan negara Singapura sebagai pusat dalam memasarkan produk perusahaan, salah satunya yaitu aluminium dan bijih besi untuk mengurangi tagihan pajak Australia. Praktik transfer pricing yang terjadi yaitu pengalihan beban pajak perusahaan dari Australia yang memiliki tarif pajak sebesar 25% – 30% ke negara dengan tarif pajak yang lebih rendah yaitu Singapura </w:t>
      </w:r>
      <w:r>
        <w:rPr>
          <w:rFonts w:ascii="Times New Roman" w:hAnsi="Times New Roman" w:cs="Times New Roman"/>
          <w:sz w:val="24"/>
          <w:szCs w:val="24"/>
        </w:rPr>
        <w:lastRenderedPageBreak/>
        <w:t>dengan tarif pajak hanya 17%. Dan untuk mengakhiri kasus ini maka Perusahaan Rio Tinto harus membayar hampir AUD 1 miliar atau sekitar 10 triliun kepada Australian Taxation Officer yang telah berlangsung selama 10 tahun.</w:t>
      </w:r>
    </w:p>
    <w:p w14:paraId="473BA330"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Fenomena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juga terjadi melalui kegiatan perusahaan dalam mentransfer seluruh keuntungan yang dimiliki kepada negara yang memiliki hubungan istimewa yang menerapkan tarif pajak lebih rendah serta melakukan penjualan dengan harga wajar yang lebih rendah dari harga pasar. Studi yang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{"citationItems":[{"id":"ITEM-1","itemData":{"DOI":"10.15294/aaj.v9i2.36469","ISSN":"2252-6765","abstract":"The aims of this research are to analyze and to find empirical evidence about the effect of tax minimization and exchange rate on company decision of transfer pricing with leverage as moderating variable. The population of this research was mining companies which listed in Indonesia Stock Exchange (IDX) over the period 2013 to 2018 from 45 companies. The sampling technique used purposive sampling. Eighteen companies were selected with 65 units analysis were obtained. In addition, data was analyzed using descriptive statistics and inferential statistics using Moderated Regression Analysis (MRA). The data was processed by IBM SPSS Statistics 21 software. The results show that tax minimization and exchange rate have positive and significant effect on transfer pricing. Leverage does not moderate the effect of tax minimization on transfer pricing but leverage significantly moderate the effect of exchange rate on transfer pricing. The conclusion of this research is transfer pricing decision will be higher when tax minimization and exchange rate be higher, but leverage can moderate the effect of exchange rate to transfer pricing.","author":[{"dropping-particle":"","family":"Devi","given":"Diah Kumala","non-dropping-particle":"","parse-names":false,"suffix":""},{"dropping-particle":"","family":"Suryarini","given":"Trisni","non-dropping-particle":"","parse-names":false,"suffix":""}],"container-title":"Accounting Analysis Journal","id":"ITEM-1","issue":"2","issued":{"date-parts":[["2020"]]},"page":"110-115","title":"The Effect of Tax Minimization and Exchange Rate on Transfer Pricing Decisions with Leverage as Moderating","type":"article","volume":"9"},"uris":["http://www.mendeley.com/documents/?uuid=30276047-531a-4d4d-91ff-504c4b05dec6"]}],"mendeley":{"formattedCitation":"(D. K. Devi &amp; Suryarini, 2020)","manualFormatting":"Devi &amp; Suryarini (2020)","plainTextFormattedCitation":"(D. K. Devi &amp; Suryarini, 2020)","previouslyFormattedCitation":"(D. K. Devi &amp; Suryarini,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Devi &amp; Suryarini (2020)</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menunjukkan bahwa salah satu perusahaan di Indonesia yang melakukan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adalah perusahaan PT Kaltim Prima Coal. Prosesnya melalui penjualan terlebih dahulu dialihkan kepada pembeli yang berada di luar negeri yaitu PT Indocoal Resource Limited di Cayman Islands, dan hanya dinilai setengah dari harga wajarnya. Selanjutnya penjualan kepada pembeli lain dilakukan oleh Indocoal dengan harga wajar. Akibat dari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tersebut, negara mengalami kerugian sebesar 1,7 triliun. </w:t>
      </w:r>
    </w:p>
    <w:p w14:paraId="55F0347D"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Transaksi </w:t>
      </w:r>
      <w:r>
        <w:rPr>
          <w:rFonts w:ascii="Times New Roman" w:hAnsi="Times New Roman" w:cs="Times New Roman"/>
          <w:i/>
          <w:iCs/>
          <w:sz w:val="24"/>
          <w:szCs w:val="24"/>
        </w:rPr>
        <w:t xml:space="preserve">intercompany </w:t>
      </w:r>
      <w:r>
        <w:rPr>
          <w:rFonts w:ascii="Times New Roman" w:hAnsi="Times New Roman" w:cs="Times New Roman"/>
          <w:sz w:val="24"/>
          <w:szCs w:val="24"/>
        </w:rPr>
        <w:t xml:space="preserve">yang semakin mudah membuat isu </w:t>
      </w:r>
      <w:r>
        <w:rPr>
          <w:rFonts w:ascii="Times New Roman" w:hAnsi="Times New Roman" w:cs="Times New Roman"/>
          <w:i/>
          <w:iCs/>
          <w:sz w:val="24"/>
          <w:szCs w:val="24"/>
        </w:rPr>
        <w:t xml:space="preserve">transfer pricing </w:t>
      </w:r>
      <w:r>
        <w:rPr>
          <w:rFonts w:ascii="Times New Roman" w:hAnsi="Times New Roman" w:cs="Times New Roman"/>
          <w:sz w:val="24"/>
          <w:szCs w:val="24"/>
        </w:rPr>
        <w:t>menjadi perhatian bagi pemeriksa pajak (</w:t>
      </w:r>
      <w:r>
        <w:fldChar w:fldCharType="begin"/>
      </w:r>
      <w:r>
        <w:instrText xml:space="preserve"> HYPERLINK "https://news.ddtc.co.id/" </w:instrText>
      </w:r>
      <w:r>
        <w:fldChar w:fldCharType="separate"/>
      </w:r>
      <w:r>
        <w:rPr>
          <w:rStyle w:val="Hyperlink"/>
          <w:rFonts w:ascii="Times New Roman" w:hAnsi="Times New Roman" w:cs="Times New Roman"/>
          <w:color w:val="auto"/>
          <w:sz w:val="24"/>
          <w:szCs w:val="24"/>
        </w:rPr>
        <w:t>https://news.ddtc.co.id/</w:t>
      </w:r>
      <w:r>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Berdasarkan data dari Direktorat Pemeriksaan dan Penagihan Direktorat Jenderal Pajak, transaksi </w:t>
      </w:r>
      <w:r>
        <w:rPr>
          <w:rFonts w:ascii="Times New Roman" w:hAnsi="Times New Roman" w:cs="Times New Roman"/>
          <w:i/>
          <w:iCs/>
          <w:sz w:val="24"/>
          <w:szCs w:val="24"/>
        </w:rPr>
        <w:t xml:space="preserve">intercompany </w:t>
      </w:r>
      <w:r>
        <w:rPr>
          <w:rFonts w:ascii="Times New Roman" w:hAnsi="Times New Roman" w:cs="Times New Roman"/>
          <w:sz w:val="24"/>
          <w:szCs w:val="24"/>
        </w:rPr>
        <w:t xml:space="preserve">terus mengalami peningkatan, pada tahun 2021 nilainya mencapai Rp6.248 triliun kemudian mengalami peningkatan di tahun 2022 menjadi Rp10.360 triliun. Hasilnya bahwa pemeriksaan pajak dengan pengujian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terus meningkat lebih dari Rp6 triliun (</w:t>
      </w:r>
      <w:r>
        <w:fldChar w:fldCharType="begin"/>
      </w:r>
      <w:r>
        <w:instrText xml:space="preserve"> HYPERLINK "https://news.ddtc.co.id/" </w:instrText>
      </w:r>
      <w:r>
        <w:fldChar w:fldCharType="separate"/>
      </w:r>
      <w:r>
        <w:rPr>
          <w:rStyle w:val="Hyperlink"/>
          <w:rFonts w:ascii="Times New Roman" w:hAnsi="Times New Roman" w:cs="Times New Roman"/>
          <w:color w:val="auto"/>
          <w:sz w:val="24"/>
          <w:szCs w:val="24"/>
        </w:rPr>
        <w:t>https://news.ddtc.co.id/</w:t>
      </w:r>
      <w:r>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Selain itu, jumlah sengketa yang diputuskan terkait dengan adanya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juga terbilang tinggi. Pada tahun 2020, jumlah sengketa mencapai 310 kasus </w:t>
      </w:r>
      <w:r>
        <w:rPr>
          <w:rFonts w:ascii="Times New Roman" w:hAnsi="Times New Roman" w:cs="Times New Roman"/>
          <w:sz w:val="24"/>
          <w:szCs w:val="24"/>
        </w:rPr>
        <w:lastRenderedPageBreak/>
        <w:t>dan mengalami penurunan ditahun 2021 menjadi 249 kasus dan 186 kasus ditahun 2023 (</w:t>
      </w:r>
      <w:r>
        <w:fldChar w:fldCharType="begin"/>
      </w:r>
      <w:r>
        <w:instrText xml:space="preserve"> HYPERLINK "https://news.ddtc.co.id/" </w:instrText>
      </w:r>
      <w:r>
        <w:fldChar w:fldCharType="separate"/>
      </w:r>
      <w:r>
        <w:rPr>
          <w:rStyle w:val="Hyperlink"/>
          <w:rFonts w:ascii="Times New Roman" w:hAnsi="Times New Roman" w:cs="Times New Roman"/>
          <w:color w:val="auto"/>
          <w:sz w:val="24"/>
          <w:szCs w:val="24"/>
        </w:rPr>
        <w:t>https://news.ddtc.co.id/</w:t>
      </w:r>
      <w:r>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w:t>
      </w:r>
    </w:p>
    <w:p w14:paraId="7B1A8742"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Internalization theory </w:t>
      </w:r>
      <w:r>
        <w:rPr>
          <w:rFonts w:ascii="Times New Roman" w:hAnsi="Times New Roman" w:cs="Times New Roman"/>
          <w:sz w:val="24"/>
          <w:szCs w:val="24"/>
        </w:rPr>
        <w:t>menyatakan bahwa perusahaan multinasional memilih transaksi bisnis secara internal di dalam struktur korporasi suatu perusahaan yang bertujuan untuk mengatasi kegagalan pasar seperti adanya asimetri informasi antara pihak manajemen dengan prinsipal, risiko oportunisme dan biaya transaksi yang sering terjadi. Kesimpulannya, teori internalisasi merupakan bagaimana perusahaan melakukan berbagai cara untuk memaksimalkan laba yang dihasilkan perusahaan secara internal .</w:t>
      </w:r>
    </w:p>
    <w:p w14:paraId="43C3E5BD"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 beberapa faktor yang mempengaruhi perusahaan melakukan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yang pertama yaitu </w:t>
      </w:r>
      <w:r>
        <w:rPr>
          <w:rFonts w:ascii="Times New Roman" w:hAnsi="Times New Roman" w:cs="Times New Roman"/>
          <w:i/>
          <w:iCs/>
          <w:sz w:val="24"/>
          <w:szCs w:val="24"/>
        </w:rPr>
        <w:t>tax haven</w:t>
      </w:r>
      <w:r>
        <w:rPr>
          <w:rFonts w:ascii="Times New Roman" w:hAnsi="Times New Roman" w:cs="Times New Roman"/>
          <w:sz w:val="24"/>
          <w:szCs w:val="24"/>
        </w:rPr>
        <w:t xml:space="preserve">. Richardson et al, 2013, mengatakan bahwa praktik penghindaran pajak melalui skema transfer pricing yang umum dilakukan oleh perusahaan multinasional adalah mengalihkan pendapatan kelompok kepada anggota perusahaan yang berlokasi di negara </w:t>
      </w:r>
      <w:r w:rsidRPr="00DC0847">
        <w:rPr>
          <w:rFonts w:ascii="Times New Roman" w:hAnsi="Times New Roman" w:cs="Times New Roman"/>
          <w:i/>
          <w:iCs/>
          <w:sz w:val="24"/>
          <w:szCs w:val="24"/>
        </w:rPr>
        <w:t>tax haven</w:t>
      </w:r>
      <w:r>
        <w:rPr>
          <w:rFonts w:ascii="Times New Roman" w:hAnsi="Times New Roman" w:cs="Times New Roman"/>
          <w:sz w:val="24"/>
          <w:szCs w:val="24"/>
        </w:rPr>
        <w:t>. Perusahaan multinasional seringkali mengakses negara-negara dengan tarif pajak yang lebih rendah atau bahkan nol (</w:t>
      </w:r>
      <w:r w:rsidRPr="00DC0847">
        <w:rPr>
          <w:rFonts w:ascii="Times New Roman" w:hAnsi="Times New Roman" w:cs="Times New Roman"/>
          <w:i/>
          <w:iCs/>
          <w:sz w:val="24"/>
          <w:szCs w:val="24"/>
        </w:rPr>
        <w:t>tax haven</w:t>
      </w:r>
      <w:r>
        <w:rPr>
          <w:rFonts w:ascii="Times New Roman" w:hAnsi="Times New Roman" w:cs="Times New Roman"/>
          <w:sz w:val="24"/>
          <w:szCs w:val="24"/>
        </w:rPr>
        <w:t>) seperti Singapura, Mauritius, dan Yaman sehingga mengurangi kewajiban pajak mereka kepada negara (Sumaryati, 2023). Hal ini bertujuan untuk meminimalkan beban pajak yang akan dikenakan pada perusahaan, sehingga perusahaan dapat tetap mempertahankan tingkat laba konsolidasi yang lebih tinggi (Sumaryati, 2023).</w:t>
      </w:r>
    </w:p>
    <w:p w14:paraId="4D5159C1"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yang dilakukan Devi &amp; Noviari (2022); Bhudiyanti &amp; Suryarini (2022) dan Sumaryati (2023) menyatakan bahwa </w:t>
      </w:r>
      <w:r w:rsidRPr="00DC0847">
        <w:rPr>
          <w:rFonts w:ascii="Times New Roman" w:hAnsi="Times New Roman" w:cs="Times New Roman"/>
          <w:i/>
          <w:iCs/>
          <w:sz w:val="24"/>
          <w:szCs w:val="24"/>
        </w:rPr>
        <w:t>tax haven</w:t>
      </w:r>
      <w:r>
        <w:rPr>
          <w:rFonts w:ascii="Times New Roman" w:hAnsi="Times New Roman" w:cs="Times New Roman"/>
          <w:sz w:val="24"/>
          <w:szCs w:val="24"/>
        </w:rPr>
        <w:t xml:space="preserve"> memiliki arah positif yang signifikan terhadap keputusan perusahaan melakukan praktik transfer </w:t>
      </w:r>
      <w:r>
        <w:rPr>
          <w:rFonts w:ascii="Times New Roman" w:hAnsi="Times New Roman" w:cs="Times New Roman"/>
          <w:sz w:val="24"/>
          <w:szCs w:val="24"/>
        </w:rPr>
        <w:lastRenderedPageBreak/>
        <w:t xml:space="preserve">pricing. Sebaliknya, Purwitasari (2022) dan Samalagi et al, (2024) menyatakan bahwa </w:t>
      </w:r>
      <w:r w:rsidRPr="00DC0847">
        <w:rPr>
          <w:rFonts w:ascii="Times New Roman" w:hAnsi="Times New Roman" w:cs="Times New Roman"/>
          <w:i/>
          <w:iCs/>
          <w:sz w:val="24"/>
          <w:szCs w:val="24"/>
        </w:rPr>
        <w:t xml:space="preserve">tax haven </w:t>
      </w:r>
      <w:r>
        <w:rPr>
          <w:rFonts w:ascii="Times New Roman" w:hAnsi="Times New Roman" w:cs="Times New Roman"/>
          <w:sz w:val="24"/>
          <w:szCs w:val="24"/>
        </w:rPr>
        <w:t xml:space="preserve">tidak menunjukkan adanya pengaruh secara signifikan terhadap keputusan perusahaan melakukan </w:t>
      </w:r>
      <w:r w:rsidRPr="00DC0847">
        <w:rPr>
          <w:rFonts w:ascii="Times New Roman" w:hAnsi="Times New Roman" w:cs="Times New Roman"/>
          <w:i/>
          <w:iCs/>
          <w:sz w:val="24"/>
          <w:szCs w:val="24"/>
        </w:rPr>
        <w:t>transfer pricing</w:t>
      </w:r>
      <w:r>
        <w:rPr>
          <w:rFonts w:ascii="Times New Roman" w:hAnsi="Times New Roman" w:cs="Times New Roman"/>
          <w:sz w:val="24"/>
          <w:szCs w:val="24"/>
        </w:rPr>
        <w:t xml:space="preserve">. Berbeda dengan penelitian yang dilakukan oleh Sari Apriliyani (2024) yang menyatakan bahwa </w:t>
      </w:r>
      <w:r w:rsidRPr="00DC0847">
        <w:rPr>
          <w:rFonts w:ascii="Times New Roman" w:hAnsi="Times New Roman" w:cs="Times New Roman"/>
          <w:i/>
          <w:iCs/>
          <w:sz w:val="24"/>
          <w:szCs w:val="24"/>
        </w:rPr>
        <w:t>tax haven</w:t>
      </w:r>
      <w:r>
        <w:rPr>
          <w:rFonts w:ascii="Times New Roman" w:hAnsi="Times New Roman" w:cs="Times New Roman"/>
          <w:sz w:val="24"/>
          <w:szCs w:val="24"/>
        </w:rPr>
        <w:t xml:space="preserve"> berpengaruh secara negatif terhadap keputusan perusahaan dalam melakukan praktik </w:t>
      </w:r>
      <w:r w:rsidRPr="00DC0847">
        <w:rPr>
          <w:rFonts w:ascii="Times New Roman" w:hAnsi="Times New Roman" w:cs="Times New Roman"/>
          <w:i/>
          <w:iCs/>
          <w:sz w:val="24"/>
          <w:szCs w:val="24"/>
        </w:rPr>
        <w:t>transfer pricing</w:t>
      </w:r>
      <w:r>
        <w:rPr>
          <w:rFonts w:ascii="Times New Roman" w:hAnsi="Times New Roman" w:cs="Times New Roman"/>
          <w:sz w:val="24"/>
          <w:szCs w:val="24"/>
        </w:rPr>
        <w:t>.</w:t>
      </w:r>
    </w:p>
    <w:p w14:paraId="44ED0FA3"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Faktor yang kedua yaitu pengalihan laba melalui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atau aset tidak berwujud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{"citationItems":[{"id":"ITEM-1","itemData":{"DOI":"10.1108/ITPD-04-2023-0011","author":[{"dropping-particle":"","family":"Afzal","given":"Akash Kalra and Munshi Naser Ibne","non-dropping-particle":"","parse-names":false,"suffix":""}],"id":"ITEM-1","issued":{"date-parts":[["2023"]]},"title":"Transfer pricing practices in multinational corporations and their effects on developing countries ’ tax revenue : a systematic literature review","type":"article-journal"},"uris":["http://www.mendeley.com/documents/?uuid=38691b67-fa99-4814-9b94-c041b41a7cad"]}],"mendeley":{"formattedCitation":"(Afzal, 2023)","plainTextFormattedCitation":"(Afzal, 2023)","previouslyFormattedCitation":"(Afzal,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(Afzal, 2023)</w:t>
      </w:r>
      <w:r>
        <w:rPr>
          <w:rFonts w:ascii="Times New Roman" w:hAnsi="Times New Roman" w:cs="Times New Roman"/>
          <w:sz w:val="24"/>
          <w:szCs w:val="24"/>
        </w:rPr>
        <w:fldChar w:fldCharType="end"/>
      </w:r>
      <w:r>
        <w:rPr>
          <w:rFonts w:ascii="Times New Roman" w:hAnsi="Times New Roman" w:cs="Times New Roman"/>
          <w:sz w:val="24"/>
          <w:szCs w:val="24"/>
        </w:rPr>
        <w:t xml:space="preserve">. Menurut Thanjunpong &amp; Awirothananon (2019), </w:t>
      </w:r>
      <w:r>
        <w:rPr>
          <w:rFonts w:ascii="Times New Roman" w:hAnsi="Times New Roman" w:cs="Times New Roman"/>
          <w:i/>
          <w:iCs/>
          <w:sz w:val="24"/>
          <w:szCs w:val="24"/>
        </w:rPr>
        <w:t>Transfer pricing</w:t>
      </w:r>
      <w:r>
        <w:rPr>
          <w:rFonts w:ascii="Times New Roman" w:hAnsi="Times New Roman" w:cs="Times New Roman"/>
          <w:sz w:val="24"/>
          <w:szCs w:val="24"/>
        </w:rPr>
        <w:t xml:space="preserve"> merupakan harga yang dihitung atas pengalihan barang tidak berwujud dan barang serta jasa lainnya antar perusahaan yang mempunyai hubungan istimewa berdasarkan asas nilai pasar wajar. Aset tidak berwujud merupakan salah satu hal yang mempengaruhi transaksi yang melibatkan perusahaan, terutama perusahaan multinasional di sektor pertambangan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{"citationItems":[{"id":"ITEM-1","itemData":{"author":[{"dropping-particle":"","family":"Sari","given":"Jenny Puspita","non-dropping-particle":"","parse-names":false,"suffix":""}],"container-title":"Jurnal Akuntansi","id":"ITEM-1","issue":"2","issued":{"date-parts":[["2024"]]},"page":"422-435","title":"Debt Covenant, Tax Expense, and Intangible Assets on Transfer Pricing","type":"article-journal","volume":"16"},"uris":["http://www.mendeley.com/documents/?uuid=a2ff017e-a7f7-4d94-a58b-09cfd5747740"]}],"mendeley":{"formattedCitation":"(Sari, 2024)","manualFormatting":"(Sari, 2024)","plainTextFormattedCitation":"(Sari, 2024)","previouslyFormattedCitation":"(Sari,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(Sari,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sering dimanfaatkan suatu perusahaan untuk melakukan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karena aset ini memiliki karakteristik nilai yang tidak pasti yang menyebabkan sulit untuk mendeteksi serta mengukur nilai harga wajarnya (Novira et al, 2020). </w:t>
      </w:r>
    </w:p>
    <w:p w14:paraId="557DC7D7"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Intangible asset</w:t>
      </w:r>
      <w:r>
        <w:rPr>
          <w:rFonts w:ascii="Times New Roman" w:hAnsi="Times New Roman" w:cs="Times New Roman"/>
          <w:sz w:val="24"/>
          <w:szCs w:val="24"/>
        </w:rPr>
        <w:t xml:space="preserve"> merupakan salah satu faktor yang menyebabkan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Semakin besar transaksi yang melibatkan aset tak berwujud maka akan meningkatkan agresivitas perusahaan dalam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Pandangan ini didukung oleh penelitian yang dilakukan oleh Novira et al, (2020); Khasanah &amp; Suryarini (2020) dan Wahyudi &amp; Fitriah (2021) yang menemukan hubungan positif antara </w:t>
      </w:r>
      <w:r>
        <w:rPr>
          <w:rFonts w:ascii="Times New Roman" w:hAnsi="Times New Roman" w:cs="Times New Roman"/>
          <w:i/>
          <w:iCs/>
          <w:sz w:val="24"/>
          <w:szCs w:val="24"/>
        </w:rPr>
        <w:t>intangible asset</w:t>
      </w:r>
      <w:r>
        <w:rPr>
          <w:rFonts w:ascii="Times New Roman" w:hAnsi="Times New Roman" w:cs="Times New Roman"/>
          <w:sz w:val="24"/>
          <w:szCs w:val="24"/>
        </w:rPr>
        <w:t xml:space="preserve"> terhadap </w:t>
      </w:r>
      <w:r>
        <w:rPr>
          <w:rFonts w:ascii="Times New Roman" w:hAnsi="Times New Roman" w:cs="Times New Roman"/>
          <w:sz w:val="24"/>
          <w:szCs w:val="24"/>
        </w:rPr>
        <w:lastRenderedPageBreak/>
        <w:t xml:space="preserve">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Namun, penelitian lain yang dilakukan oleh Sulistya et al, (2021) menyatakan bahwa </w:t>
      </w:r>
      <w:r>
        <w:rPr>
          <w:rFonts w:ascii="Times New Roman" w:hAnsi="Times New Roman" w:cs="Times New Roman"/>
          <w:i/>
          <w:iCs/>
          <w:sz w:val="24"/>
          <w:szCs w:val="24"/>
        </w:rPr>
        <w:t>intangible asset</w:t>
      </w:r>
      <w:r>
        <w:rPr>
          <w:rFonts w:ascii="Times New Roman" w:hAnsi="Times New Roman" w:cs="Times New Roman"/>
          <w:sz w:val="24"/>
          <w:szCs w:val="24"/>
        </w:rPr>
        <w:t xml:space="preserve"> berpengaruh secara negatif terhadap </w:t>
      </w:r>
      <w:r>
        <w:rPr>
          <w:rFonts w:ascii="Times New Roman" w:hAnsi="Times New Roman" w:cs="Times New Roman"/>
          <w:i/>
          <w:iCs/>
          <w:sz w:val="24"/>
          <w:szCs w:val="24"/>
        </w:rPr>
        <w:t>transfer pricing</w:t>
      </w:r>
      <w:r>
        <w:rPr>
          <w:rFonts w:ascii="Times New Roman" w:hAnsi="Times New Roman" w:cs="Times New Roman"/>
          <w:sz w:val="24"/>
          <w:szCs w:val="24"/>
        </w:rPr>
        <w:t xml:space="preserve"> sedangkan hasil penelitian dari Aisah et al, (2024) dan Sari (2024) menyatakan </w:t>
      </w:r>
      <w:r>
        <w:rPr>
          <w:rFonts w:ascii="Times New Roman" w:hAnsi="Times New Roman" w:cs="Times New Roman"/>
          <w:i/>
          <w:iCs/>
          <w:sz w:val="24"/>
          <w:szCs w:val="24"/>
        </w:rPr>
        <w:t>intangible asset</w:t>
      </w:r>
      <w:r>
        <w:rPr>
          <w:rFonts w:ascii="Times New Roman" w:hAnsi="Times New Roman" w:cs="Times New Roman"/>
          <w:sz w:val="24"/>
          <w:szCs w:val="24"/>
        </w:rPr>
        <w:t xml:space="preserve"> tidak berpengaruh terhadap </w:t>
      </w:r>
      <w:r>
        <w:rPr>
          <w:rFonts w:ascii="Times New Roman" w:hAnsi="Times New Roman" w:cs="Times New Roman"/>
          <w:i/>
          <w:iCs/>
          <w:sz w:val="24"/>
          <w:szCs w:val="24"/>
        </w:rPr>
        <w:t>transfer pricing</w:t>
      </w:r>
      <w:r>
        <w:rPr>
          <w:rFonts w:ascii="Times New Roman" w:hAnsi="Times New Roman" w:cs="Times New Roman"/>
          <w:sz w:val="24"/>
          <w:szCs w:val="24"/>
        </w:rPr>
        <w:t>.</w:t>
      </w:r>
    </w:p>
    <w:p w14:paraId="556864F6"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Faktor ketiga yang mendasari perusahaan multinasional dalam menerapkan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adalah </w:t>
      </w:r>
      <w:r>
        <w:rPr>
          <w:rFonts w:ascii="Times New Roman" w:hAnsi="Times New Roman" w:cs="Times New Roman"/>
          <w:i/>
          <w:iCs/>
          <w:sz w:val="24"/>
          <w:szCs w:val="24"/>
        </w:rPr>
        <w:t>tax minimization</w:t>
      </w:r>
      <w:r>
        <w:rPr>
          <w:rFonts w:ascii="Times New Roman" w:hAnsi="Times New Roman" w:cs="Times New Roman"/>
          <w:sz w:val="24"/>
          <w:szCs w:val="24"/>
        </w:rPr>
        <w:t xml:space="preserve"> yaitu meminimalkan total beban pajak mereka secara global. Ini dilakukan dengan mengalokasikan keuntungan ke yurisdiksi dengan tarif pajak yang lebih rendah dan mengurangkan biaya di yurisdiksi dengan tarif pajak yang lebih tinggi melalui penetapan harga transfer antar perusahaan afiliasi atau pihak berelasi. Ketiga elemen ini saling terkait, dimana perusahaan dapat menggunakan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untuk memanfaatkan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dan mengimplementasikan strategi </w:t>
      </w:r>
      <w:r>
        <w:rPr>
          <w:rFonts w:ascii="Times New Roman" w:hAnsi="Times New Roman" w:cs="Times New Roman"/>
          <w:i/>
          <w:iCs/>
          <w:sz w:val="24"/>
          <w:szCs w:val="24"/>
        </w:rPr>
        <w:t>tax minimization</w:t>
      </w:r>
      <w:r>
        <w:rPr>
          <w:rFonts w:ascii="Times New Roman" w:hAnsi="Times New Roman" w:cs="Times New Roman"/>
          <w:sz w:val="24"/>
          <w:szCs w:val="24"/>
        </w:rPr>
        <w:t>.</w:t>
      </w:r>
    </w:p>
    <w:p w14:paraId="20F613C0"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Faktor lain yaitu </w:t>
      </w:r>
      <w:r>
        <w:rPr>
          <w:rFonts w:ascii="Times New Roman" w:hAnsi="Times New Roman" w:cs="Times New Roman"/>
          <w:i/>
          <w:iCs/>
          <w:sz w:val="24"/>
          <w:szCs w:val="24"/>
        </w:rPr>
        <w:t xml:space="preserve">tax minimization. </w:t>
      </w:r>
      <w:r>
        <w:rPr>
          <w:rFonts w:ascii="Times New Roman" w:hAnsi="Times New Roman" w:cs="Times New Roman"/>
          <w:sz w:val="24"/>
          <w:szCs w:val="24"/>
        </w:rPr>
        <w:t>Hasil penelitian yang dilakukan oleh</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{"citationItems":[{"id":"ITEM-1","itemData":{"DOI":"10.24123/jbt.v5i1.4079","ISSN":"2580-4928","abstract":"Abstract\r The purpose of this study was to determine the effect of tax minimization, bonus mechanisms, foreign ownership, exchange rates, and audit quality on transfer pricing in manufacturing companies in Indonesia. The population of this research was all manufacturing companies listed on the Indonesia Stock Exchange from 2017 to 2019. By using the purposive sampling method, 81 companies were selected as the research sample. Based on logistic regression analysis, it was proven that the tax minimization variable has a significant positive effect on transfer pricing decisions. Likewise, the audit quality variable is proven to have a significant negative effect on transfer pricing decisions in manufacturing companies in Indonesia. Meanwhile, the bonus mechanism, foreign ownership, and exchange rate variables were not proven to have a significant effect on the company's transfer pricing decision. These results indicated that the greater the tax minimization carried out by the company and the lower the audit quality will increase the probability of the company in conducting transfer pricing, and vice versa. The results of this study have implications for encouraging the government to make regulations that can prevent transfer pricing practices between companies that have a special relationship that might harm the government from tax revenue.\r  Keywords: bonus mechanism; foreign ownership; tax minimization; transfer pricing","author":[{"dropping-particle":"","family":"Marfuah","given":"Marfuah","non-dropping-particle":"","parse-names":false,"suffix":""},{"dropping-particle":"","family":"Sanintya Mayantya","given":"","non-dropping-particle":"","parse-names":false,"suffix":""},{"dropping-particle":"","family":"Priyono Puji Prasetyo","given":"","non-dropping-particle":"","parse-names":false,"suffix":""}],"container-title":"Jurnal Bisnis Terapan","id":"ITEM-1","issue":"1","issued":{"date-parts":[["2021"]]},"page":"57-72","title":"the Effect of Tax Minimization, Bonus Mechanism, Foreign Ownership, Exchange Rate, Audit Quality on Transfer Pricing Decisions","type":"article-journal","volume":"5"},"uris":["http://www.mendeley.com/documents/?uuid=585f3e42-702a-4a8a-9d48-2a9b7a37c2a6"]}],"mendeley":{"formattedCitation":"(Marfuah, Sanintya Mayantya, &amp; Priyono Puji Prasetyo, 2021)","manualFormatting":"Marfuah et al, (2021)","plainTextFormattedCitation":"(Marfuah, Sanintya Mayantya, &amp; Priyono Puji Prasetyo, 2021)","previouslyFormattedCitation":"(Marfuah, Sanintya Mayantya, &amp; Priyono Puji Prasetyo, 2021)"},"properties":{"noteIndex":0},"schema":"https://github.com/citation-style-language/schema/raw/master/csl-citation.json"}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Marfuah et al, (2021)</w:t>
      </w:r>
      <w:r>
        <w:rPr>
          <w:rFonts w:ascii="Times New Roman" w:hAnsi="Times New Roman" w:cs="Times New Roman"/>
          <w:b/>
          <w:bCs/>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{"citationItems":[{"id":"ITEM-1","itemData":{"DOI":"10.15294/aaj.v9i2.36469","ISSN":"2252-6765","abstract":"The aims of this research are to analyze and to find empirical evidence about the effect of tax minimization and exchange rate on company decision of transfer pricing with leverage as moderating variable. The population of this research was mining companies which listed in Indonesia Stock Exchange (IDX) over the period 2013 to 2018 from 45 companies. The sampling technique used purposive sampling. Eighteen companies were selected with 65 units analysis were obtained. In addition, data was analyzed using descriptive statistics and inferential statistics using Moderated Regression Analysis (MRA). The data was processed by IBM SPSS Statistics 21 software. The results show that tax minimization and exchange rate have positive and significant effect on transfer pricing. Leverage does not moderate the effect of tax minimization on transfer pricing but leverage significantly moderate the effect of exchange rate on transfer pricing. The conclusion of this research is transfer pricing decision will be higher when tax minimization and exchange rate be higher, but leverage can moderate the effect of exchange rate to transfer pricing.","author":[{"dropping-particle":"","family":"Devi","given":"Diah Kumala","non-dropping-particle":"","parse-names":false,"suffix":""},{"dropping-particle":"","family":"Suryarini","given":"Trisni","non-dropping-particle":"","parse-names":false,"suffix":""}],"container-title":"Accounting Analysis Journal","id":"ITEM-1","issue":"2","issued":{"date-parts":[["2020"]]},"page":"110-115","title":"The Effect of Tax Minimization and Exchange Rate on Transfer Pricing Decisions with Leverage as Moderating","type":"article","volume":"9"},"uris":["http://www.mendeley.com/documents/?uuid=30276047-531a-4d4d-91ff-504c4b05dec6"]}],"mendeley":{"formattedCitation":"(D. K. Devi &amp; Suryarini, 2020)","manualFormatting":"Devi &amp; Suryarini (2020)","plainTextFormattedCitation":"(D. K. Devi &amp; Suryarini, 2020)","previouslyFormattedCitation":"(D. K. Devi &amp; Suryarini, 2020)"},"properties":{"noteIndex":0},"schema":"https://github.com/citation-style-language/schema/raw/master/csl-citation.json"}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Devi &amp; Suryarini (2020)</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{"citationItems":[{"id":"ITEM-1","itemData":{"DOI":"10.47505/IJRSS.2023.V4.4.1","ISSN":"25826220","abstract":"Profit is the main orientation for every business entitybecause profit is one of the company's performance indicators in order to maintain its sustainability, therefore various strategies are designed and implemented so that the company continues to exist and is able to compete along with increasingly competitive and massive developments. Transfer pricing is a strategy that is oftenimplemented by companies in order to manage resources while achieving profit optimization and as a strategy is certainly influenced by several determinants including Tax minimization, leverage and Good Corporate Governance. This study intends to examine the effect of tax minimization and leverage through the interaction of Good Corporate Governance which is proxied by the number of audit committees with educational backgrounds and accounting experience. The population used are all entities in the industrial sector listed on the Indonesia Stock Exchange, using purposive sampling obtained from 17 selected companies with the observation period 2019 –2021 so that a total sample data of 51 is obtained. Moderating Regression Analysis (MRA) is used as a technique to examine the relationship between variables. The test results show that partially Tax minimization, leverage, and Good Corporate Governance have a significant effect on transfer pricing. The test results also show that GCG is able to moderate both tax minimization and leverage on transfer pricing.","author":[{"dropping-particle":"","family":"Fatmi","given":"Aulia Arie","non-dropping-particle":"","parse-names":false,"suffix":""},{"dropping-particle":"","family":"Amin","given":"Aminul","non-dropping-particle":"","parse-names":false,"suffix":""}],"container-title":"International Journal of Research in Social Science and Humanities (IJRSS)","id":"ITEM-1","issue":"04","issued":{"date-parts":[["2023"]]},"page":"01-15","title":"The Effect of Tax Minimization and Leverage on Transfer Pricing Decisions With GCG as Moderation","type":"article-journal","volume":"09"},"uris":["http://www.mendeley.com/documents/?uuid=3d469e8b-bc9f-4dc0-9ffc-78030bea2052"]}],"mendeley":{"formattedCitation":"(Fatmi &amp; Amin, 2023)","manualFormatting":"Fatmi &amp; Amin (2023)","plainTextFormattedCitation":"(Fatmi &amp; Amin, 2023)","previouslyFormattedCitation":"(Fatmi &amp; Amin,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Fatmi &amp; Amin (2023)</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menunjukkan bahwa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berpengaruh signifikan positif 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Hal ini dikarenakan semakin besar beban pajak yang menjadi kewajiban perusahaan akan mendorong perusahaan untuk mengelola berbagai strategi guna meminimalisir beban pajaknya. Hasil penelitian ini berbanding terbalik dengan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{"citationItems":[{"id":"ITEM-1","itemData":{"DOI":"10.24167/jab.v19i1.3551","ISSN":"1412-775X","abstract":"The purpose of this study is to analyze the effect of tax minimization, bonus mechanism, and tunneling incentive on transfer pricing with leverage as a moderating variable. The population of this study are mining companies listed on the Indonesia Stock Exchange (IDX) in 2017-2019.The sample selection uses a purposive side technique. Samples that meet the criteria are 18 companies with 54 units of analysis, there are 8 outliers so that the number of samples is 46 units of analysis. The data analysis technique is Moderated Regression Analysis (MRA) with IBM SPSS Statistics Version 24 software. This study shows a negative effect of tax minimization, a positive effect of tunneling incentive, and no effect bonus mechanism on transfer pricing decisions. Leverage does not moderate the effect of tax minimization and bonus mechanism on transfer pricing decisions and only significantly moderates the effect of tunneling incentives on transfer pricing decisions.","author":[{"dropping-particle":"","family":"Lutfia","given":"Mei Dewi","non-dropping-particle":"","parse-names":false,"suffix":""},{"dropping-particle":"","family":"Sukirman","given":"Sukirman","non-dropping-particle":"","parse-names":false,"suffix":""}],"container-title":"Jurnal Akuntansi Bisnis","id":"ITEM-1","issue":"1","issued":{"date-parts":[["2021"]]},"page":"79","title":"Leverage Sebagai Pemoderasi Pada Transfer Pricing Yang Dipengaruhi Tax Minimiziation, Bonus Mechanism , dan Tunneling Incentive","type":"article-journal","volume":"19"},"uris":["http://www.mendeley.com/documents/?uuid=51a1b074-8d5f-4d60-825b-42fbf89e0658"]}],"mendeley":{"formattedCitation":"(Lutfia &amp; Sukirman, 2021)","manualFormatting":"Lutfia &amp; Sukirman (2021)","plainTextFormattedCitation":"(Lutfia &amp; Sukirman, 2021)","previouslyFormattedCitation":"(Lutfia &amp; Sukirman,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Lutfia &amp; Sukirman (2021)</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uthor":[{"dropping-particle":"","family":"Riska","given":"Amilia","non-dropping-particle":"","parse-names":false,"suffix":""},{"dropping-particle":"","family":"Anwar","given":"Saiful","non-dropping-particle":"","parse-names":false,"suffix":""}],"container-title":"Jurnal Akuntansi Berkelanjutan Indonesia","id":"ITEM-1","issue":"3","issued":{"date-parts":[["2021"]]},"page":"266-280","title":"PENGARUH TUNNELING INCENTIVE , BONUS MECHANISM , DEBT COVENANT DAN TAX MINIMIZATION TERHADAP KEPUTUSAN TRANSFER PRICING Abstrack Abstrak","type":"article-journal","volume":"4"},"uris":["http://www.mendeley.com/documents/?uuid=c7389544-506d-4b61-8826-e95b132c1889"]}],"mendeley":{"formattedCitation":"(Riska &amp; Anwar, 2021)","manualFormatting":"Riska &amp; Anwar (2021)","plainTextFormattedCitation":"(Riska &amp; Anwar, 2021)","previouslyFormattedCitation":"(Riska &amp; Anwar, 2021)"},"properties":{"noteIndex":0},"schema":"https://github.com/citation-style-language/schema/raw/master/csl-citation.json"}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Riska &amp; Anwar (2021)</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{"citationItems":[{"id":"ITEM-1","itemData":{"DOI":"10.37481/sjr.v6i1.634","ISSN":"2615-3009","abstract":"This study aims to find out and test empirically the effect of tax minimization, exchange rates and tunneling incentives on transfer tricing decisions in manufacturing companies listed on the Indonesia Stock Exchange in 2015-2020. The type of research used is associative quantitative which uses secondary data in the form of financial reports that have been published by the company on the Indonesia Stock Exchange. The population of this study were 138 companies and the selected sample was 11 companies using purposive sampling method, with 61 data analyzed. The data analysis technique for testing this hypothesis was carried out using the Eviews 9 application. The results of this study show that simultaneously tax minimization, exchange rate and tunneling incentives have a significant effect on transfer pricing. Partially, tax minimization has no effect on transfer pricing, the exchange rate has a significant positive effect on transfer pricing. Tunneling incentive has a significant positive effect on transfer pricing.","author":[{"dropping-particle":"","family":"Putri","given":"Wulandari Cahyani","non-dropping-particle":"","parse-names":false,"suffix":""},{"dropping-particle":"","family":"Lindawati","given":"Lindawati","non-dropping-particle":"","parse-names":false,"suffix":""}],"container-title":"SCIENTIFIC JOURNAL OF REFLECTION : Economic, Accounting, Management and Business","id":"ITEM-1","issue":"1","issued":{"date-parts":[["2023"]]},"page":"195-204","title":"Pengaruh Tax Minimization, Exchange Rate Dan Tunneling Incentive Terhadap Keputusan Transfer Pricing","type":"article-journal","volume":"6"},"uris":["http://www.mendeley.com/documents/?uuid=737bddbc-edfa-4071-9c61-e6720a578abf"]}],"mendeley":{"formattedCitation":"(Putri &amp; Lindawati, 2023)","manualFormatting":"Putri &amp; Lindawati (2023)","plainTextFormattedCitation":"(Putri &amp; Lindawati, 2023)","previouslyFormattedCitation":"(Putri &amp; Lindawati,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Putri &amp; Lindawati (2023)</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yang memiliki hasil penelitian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tidak berpengaruh 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Penelitian yang menganalisis mengenai </w:t>
      </w:r>
      <w:r>
        <w:rPr>
          <w:rFonts w:ascii="Times New Roman" w:hAnsi="Times New Roman" w:cs="Times New Roman"/>
          <w:sz w:val="24"/>
          <w:szCs w:val="24"/>
        </w:rPr>
        <w:lastRenderedPageBreak/>
        <w:t xml:space="preserve">faktor-faktor yang telah dijelaskan diatas masih terbatas. Oleh karena itu, penelitian ini akan melengkapi literatur yang ada dengan menganalisis faktor-faktor tersebut dalam konteks Indonesia dan hubungannya dengan perilaku perusahaan dalam menerapkan praktik </w:t>
      </w:r>
      <w:r>
        <w:rPr>
          <w:rFonts w:ascii="Times New Roman" w:hAnsi="Times New Roman" w:cs="Times New Roman"/>
          <w:i/>
          <w:iCs/>
          <w:sz w:val="24"/>
          <w:szCs w:val="24"/>
        </w:rPr>
        <w:t>transfer pricing</w:t>
      </w:r>
      <w:r>
        <w:rPr>
          <w:rFonts w:ascii="Times New Roman" w:hAnsi="Times New Roman" w:cs="Times New Roman"/>
          <w:sz w:val="24"/>
          <w:szCs w:val="24"/>
        </w:rPr>
        <w:t>.</w:t>
      </w:r>
    </w:p>
    <w:p w14:paraId="1B60732F"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Pengaturan harga transfer akan terus menjadi salah satu problematika penting dalam dunia internasional sebagai akibat dari praktik penghindaran atau pengurangan kewajiban perpajakan ke negara dengan cara memindahkan laba perusahaan ke pihak afiliasi yang berada di negara </w:t>
      </w:r>
      <w:r>
        <w:rPr>
          <w:rFonts w:ascii="Times New Roman" w:hAnsi="Times New Roman" w:cs="Times New Roman"/>
          <w:i/>
          <w:iCs/>
          <w:sz w:val="24"/>
          <w:szCs w:val="24"/>
        </w:rPr>
        <w:t>tax haven</w:t>
      </w:r>
      <w:r>
        <w:rPr>
          <w:rFonts w:ascii="Times New Roman" w:hAnsi="Times New Roman" w:cs="Times New Roman"/>
          <w:sz w:val="24"/>
          <w:szCs w:val="24"/>
        </w:rPr>
        <w:t xml:space="preserve">. Berdasarkan fenomena tersebut, praktik </w:t>
      </w:r>
      <w:r>
        <w:rPr>
          <w:rFonts w:ascii="Times New Roman" w:hAnsi="Times New Roman" w:cs="Times New Roman"/>
          <w:i/>
          <w:iCs/>
          <w:sz w:val="24"/>
          <w:szCs w:val="24"/>
        </w:rPr>
        <w:t>transfer pricing</w:t>
      </w:r>
      <w:r>
        <w:rPr>
          <w:rFonts w:ascii="Times New Roman" w:hAnsi="Times New Roman" w:cs="Times New Roman"/>
          <w:sz w:val="24"/>
          <w:szCs w:val="24"/>
        </w:rPr>
        <w:t xml:space="preserve"> menjadi skema perusahaan dalam mencapai keuntungan maksimalnya dan hal ini menarik perhatian peneliti untuk mencari informasi terkait faktor-faktor yang memiliki pengaruh 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{"citationItems":[{"id":"ITEM-1","itemData":{"DOI":"https://doi.org/10.60090/kar.v5i1.1049.24-46","author":[{"dropping-particle":"","family":"Soetardjo","given":"Messyi Augesti Wijaya dan Mulyadi Noto","non-dropping-particle":"","parse-names":false,"suffix":""}],"container-title":"Klabat Accounting Review","id":"ITEM-1","issue":"1","issued":{"date-parts":[["2024"]]},"page":"24-46","title":"PENGARUH BEBAN PAJAK , ASET TIDAK BERWUJUD DAN KUALITAS AUDIT TERHADAP KEPUTUSAN TRANSFER PRICING","type":"article-journal","volume":"5"},"uris":["http://www.mendeley.com/documents/?uuid=9375451c-1661-45a4-97bc-277bb803a346"]}],"mendeley":{"formattedCitation":"(Soetardjo, 2024)","plainTextFormattedCitation":"(Soetardjo, 2024)","previouslyFormattedCitation":"(Soetardjo,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(Soetardjo, 2024)</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w:t>
      </w:r>
    </w:p>
    <w:p w14:paraId="5E2FA205"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sampel yang di ambil adalah perusahaan pertambangan yang terdaftar di Bursa Efek Indonesia (BEI). Peneliti memilih perusahaan perusahaan pertambangan karena merupakan salah satu perusahaan terbesar di Indonesia yang menjadi simbol dijulukinya negara Indonesia sebagai negara pertambangan dimana hampir seluruh bahan tambang tersedia di negara ini seperti emas, perak, minyak bumi, tembaga, batubara, nikel dan lain-lain. Aktivitas pertambangan Indonesia berpotensi untuk mendukung pemberdayaan ekonomi yang sangat besar bagi peningkatan perekonomian nasional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{"citationItems":[{"id":"ITEM-1","itemData":{"DOI":"10.30871/jaat.v5i1.1852","abstract":"Transfer pricing is the price for the delivery of goods, services, or other intangible assets at related parties transact with each other based on the arm’s lenght principle. The purpose of this study to examine the influence factors of tax, intangible assets, and bonus mechanism on transfer pricing decisions. The population in this study are mining sector companies listed on the Indonesian Stock Exchange from 2015-2018. Sample selection technique used in purposive sampling and acquired 13 sample companies. The data used in this study was obtained from financial statement. Methods of data analysis in this research in logistic regression analysis using SPSS software version 23. The result showed that simultaneous tax, intangible assets, and bonus mechanism have a significant effect on transfer pricing decision. Tax partially have no significant effect on transfer pricing decision, while intangible assets has a significant positive effect on transfer pricing, and bonus mechanism have no significant effect on transfer pricing decision.","author":[{"dropping-particle":"","family":"Novira","given":"Anggun Rizki","non-dropping-particle":"","parse-names":false,"suffix":""},{"dropping-particle":"","family":"Suzan","given":"Leny","non-dropping-particle":"","parse-names":false,"suffix":""},{"dropping-particle":"","family":"Asalam","given":"Ardan Gani","non-dropping-particle":"","parse-names":false,"suffix":""}],"container-title":"Journal of Applied Accounting and Taxation","id":"ITEM-1","issue":"1","issued":{"date-parts":[["2020"]]},"page":"17-23","title":"Pengaruh Pajak, Intangible Assets, dan Mekanisme Bonus Terhadap Keputusan Transfer Pricing","type":"article-journal","volume":"5"},"uris":["http://www.mendeley.com/documents/?uuid=a5fcbd1b-d4a9-4648-a32b-21587efd0bd9"]}],"mendeley":{"formattedCitation":"(Novira, Suzan, &amp; Asalam, 2020)","plainTextFormattedCitation":"(Novira, Suzan, &amp; Asalam, 2020)","previouslyFormattedCitation":"(Novira, Suzan, &amp; Asalam,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(Novira, Suzan, &amp; Asalam, 2020)</w:t>
      </w:r>
      <w:r>
        <w:rPr>
          <w:rFonts w:ascii="Times New Roman" w:hAnsi="Times New Roman" w:cs="Times New Roman"/>
          <w:sz w:val="24"/>
          <w:szCs w:val="24"/>
        </w:rPr>
        <w:fldChar w:fldCharType="end"/>
      </w:r>
      <w:r>
        <w:rPr>
          <w:rFonts w:ascii="Times New Roman" w:hAnsi="Times New Roman" w:cs="Times New Roman"/>
          <w:sz w:val="24"/>
          <w:szCs w:val="24"/>
        </w:rPr>
        <w:t>.</w:t>
      </w:r>
    </w:p>
    <w:p w14:paraId="646792C0"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sebelumnya menemukan bukti empiris tentang faktor-faktor yang mempengaruhi </w:t>
      </w:r>
      <w:r>
        <w:rPr>
          <w:rFonts w:ascii="Times New Roman" w:hAnsi="Times New Roman" w:cs="Times New Roman"/>
          <w:i/>
          <w:iCs/>
          <w:sz w:val="24"/>
          <w:szCs w:val="24"/>
        </w:rPr>
        <w:t>transfer pricing</w:t>
      </w:r>
      <w:r>
        <w:rPr>
          <w:rFonts w:ascii="Times New Roman" w:hAnsi="Times New Roman" w:cs="Times New Roman"/>
          <w:sz w:val="24"/>
          <w:szCs w:val="24"/>
        </w:rPr>
        <w:t xml:space="preserve">, namun hasil penelitian menunjukkan hasil yang </w:t>
      </w:r>
      <w:r>
        <w:rPr>
          <w:rFonts w:ascii="Times New Roman" w:hAnsi="Times New Roman" w:cs="Times New Roman"/>
          <w:sz w:val="24"/>
          <w:szCs w:val="24"/>
        </w:rPr>
        <w:lastRenderedPageBreak/>
        <w:t xml:space="preserve">tidak konsisten. Ketidakkonsistenan hasil penelitian sebelumnya mengindikasi perlunya variabel lain untuk hadir. Sulitnya penyelesaian masalah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akibat adanya perbedaan kepentingan antara perusahaan dan pemerintah menjadikan kasus </w:t>
      </w:r>
      <w:r>
        <w:rPr>
          <w:rFonts w:ascii="Times New Roman" w:hAnsi="Times New Roman" w:cs="Times New Roman"/>
          <w:i/>
          <w:iCs/>
          <w:sz w:val="24"/>
          <w:szCs w:val="24"/>
        </w:rPr>
        <w:t xml:space="preserve">transfer pricing </w:t>
      </w:r>
      <w:r>
        <w:rPr>
          <w:rFonts w:ascii="Times New Roman" w:hAnsi="Times New Roman" w:cs="Times New Roman"/>
          <w:sz w:val="24"/>
          <w:szCs w:val="24"/>
        </w:rPr>
        <w:t>sebagai isu yang masih tergolong menarik. </w:t>
      </w:r>
    </w:p>
    <w:p w14:paraId="7475B008"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paparan yang telah dikemukakan, maka penting untuk mengetahui seberapa besar pengaruh </w:t>
      </w:r>
      <w:r>
        <w:rPr>
          <w:rFonts w:ascii="Times New Roman" w:hAnsi="Times New Roman" w:cs="Times New Roman"/>
          <w:i/>
          <w:iCs/>
          <w:sz w:val="24"/>
          <w:szCs w:val="24"/>
        </w:rPr>
        <w:t>tax haven</w:t>
      </w:r>
      <w:r>
        <w:rPr>
          <w:rFonts w:ascii="Times New Roman" w:hAnsi="Times New Roman" w:cs="Times New Roman"/>
          <w:sz w:val="24"/>
          <w:szCs w:val="24"/>
        </w:rPr>
        <w:t xml:space="preserve">, </w:t>
      </w:r>
      <w:r>
        <w:rPr>
          <w:rFonts w:ascii="Times New Roman" w:hAnsi="Times New Roman" w:cs="Times New Roman"/>
          <w:i/>
          <w:iCs/>
          <w:sz w:val="24"/>
          <w:szCs w:val="24"/>
        </w:rPr>
        <w:t>intangible asset</w:t>
      </w:r>
      <w:r>
        <w:rPr>
          <w:rFonts w:ascii="Times New Roman" w:hAnsi="Times New Roman" w:cs="Times New Roman"/>
          <w:sz w:val="24"/>
          <w:szCs w:val="24"/>
        </w:rPr>
        <w:t xml:space="preserve"> dan </w:t>
      </w:r>
      <w:r>
        <w:rPr>
          <w:rFonts w:ascii="Times New Roman" w:hAnsi="Times New Roman" w:cs="Times New Roman"/>
          <w:i/>
          <w:iCs/>
          <w:sz w:val="24"/>
          <w:szCs w:val="24"/>
        </w:rPr>
        <w:t>tax minimizatio</w:t>
      </w:r>
      <w:r>
        <w:rPr>
          <w:rFonts w:ascii="Times New Roman" w:hAnsi="Times New Roman" w:cs="Times New Roman"/>
          <w:sz w:val="24"/>
          <w:szCs w:val="24"/>
        </w:rPr>
        <w:t xml:space="preserve">n terhadap keputusan perusahaan multinasional sektor pertambangan melakukan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61EF0C67" w14:textId="77777777" w:rsidR="00BB58C4" w:rsidRDefault="00BB58C4">
      <w:pPr>
        <w:spacing w:after="0" w:line="480" w:lineRule="auto"/>
        <w:ind w:firstLine="720"/>
        <w:jc w:val="both"/>
        <w:rPr>
          <w:rFonts w:ascii="Times New Roman" w:hAnsi="Times New Roman" w:cs="Times New Roman"/>
          <w:sz w:val="24"/>
          <w:szCs w:val="24"/>
        </w:rPr>
      </w:pPr>
    </w:p>
    <w:p w14:paraId="2ABBC208" w14:textId="77777777" w:rsidR="00BB58C4" w:rsidRDefault="00BB58C4">
      <w:pPr>
        <w:spacing w:after="0" w:line="480" w:lineRule="auto"/>
        <w:ind w:firstLine="720"/>
        <w:jc w:val="both"/>
        <w:rPr>
          <w:rFonts w:ascii="Times New Roman" w:hAnsi="Times New Roman" w:cs="Times New Roman"/>
          <w:sz w:val="24"/>
          <w:szCs w:val="24"/>
        </w:rPr>
      </w:pPr>
    </w:p>
    <w:p w14:paraId="000F74FE" w14:textId="77777777" w:rsidR="00BB58C4" w:rsidRDefault="00BB58C4">
      <w:pPr>
        <w:spacing w:after="0" w:line="480" w:lineRule="auto"/>
        <w:ind w:firstLine="720"/>
        <w:jc w:val="both"/>
        <w:rPr>
          <w:rFonts w:ascii="Times New Roman" w:hAnsi="Times New Roman" w:cs="Times New Roman"/>
          <w:sz w:val="24"/>
          <w:szCs w:val="24"/>
        </w:rPr>
      </w:pPr>
    </w:p>
    <w:p w14:paraId="6C07DDB5" w14:textId="77777777" w:rsidR="00BB58C4" w:rsidRDefault="00BB58C4">
      <w:pPr>
        <w:spacing w:after="0" w:line="480" w:lineRule="auto"/>
        <w:ind w:firstLine="720"/>
        <w:jc w:val="both"/>
        <w:rPr>
          <w:rFonts w:ascii="Times New Roman" w:hAnsi="Times New Roman" w:cs="Times New Roman"/>
          <w:sz w:val="24"/>
          <w:szCs w:val="24"/>
        </w:rPr>
      </w:pPr>
    </w:p>
    <w:p w14:paraId="04D153C2" w14:textId="77777777" w:rsidR="00BB58C4" w:rsidRDefault="00BB58C4">
      <w:pPr>
        <w:spacing w:after="0" w:line="480" w:lineRule="auto"/>
        <w:ind w:firstLine="720"/>
        <w:jc w:val="both"/>
        <w:rPr>
          <w:rFonts w:ascii="Times New Roman" w:hAnsi="Times New Roman" w:cs="Times New Roman"/>
          <w:sz w:val="24"/>
          <w:szCs w:val="24"/>
        </w:rPr>
      </w:pPr>
    </w:p>
    <w:p w14:paraId="6D86E30F" w14:textId="77777777" w:rsidR="00BB58C4" w:rsidRDefault="00BB58C4">
      <w:pPr>
        <w:spacing w:after="0" w:line="480" w:lineRule="auto"/>
        <w:ind w:firstLine="720"/>
        <w:jc w:val="both"/>
        <w:rPr>
          <w:rFonts w:ascii="Times New Roman" w:hAnsi="Times New Roman" w:cs="Times New Roman"/>
          <w:sz w:val="24"/>
          <w:szCs w:val="24"/>
        </w:rPr>
      </w:pPr>
    </w:p>
    <w:p w14:paraId="6AC1AF62" w14:textId="77777777" w:rsidR="00BB58C4" w:rsidRDefault="00BB58C4">
      <w:pPr>
        <w:spacing w:after="0" w:line="480" w:lineRule="auto"/>
        <w:ind w:firstLine="720"/>
        <w:jc w:val="both"/>
        <w:rPr>
          <w:rFonts w:ascii="Times New Roman" w:hAnsi="Times New Roman" w:cs="Times New Roman"/>
          <w:sz w:val="24"/>
          <w:szCs w:val="24"/>
        </w:rPr>
      </w:pPr>
    </w:p>
    <w:p w14:paraId="23722309" w14:textId="77777777" w:rsidR="00BB58C4" w:rsidRDefault="00BB58C4">
      <w:pPr>
        <w:spacing w:after="0" w:line="480" w:lineRule="auto"/>
        <w:ind w:firstLine="720"/>
        <w:jc w:val="both"/>
        <w:rPr>
          <w:rFonts w:ascii="Times New Roman" w:hAnsi="Times New Roman" w:cs="Times New Roman"/>
          <w:sz w:val="24"/>
          <w:szCs w:val="24"/>
        </w:rPr>
      </w:pPr>
    </w:p>
    <w:p w14:paraId="6CB6E157" w14:textId="77777777" w:rsidR="00BB58C4" w:rsidRDefault="00BB58C4">
      <w:pPr>
        <w:spacing w:after="0" w:line="480" w:lineRule="auto"/>
        <w:ind w:firstLine="720"/>
        <w:jc w:val="both"/>
        <w:rPr>
          <w:rFonts w:ascii="Times New Roman" w:hAnsi="Times New Roman" w:cs="Times New Roman"/>
          <w:sz w:val="24"/>
          <w:szCs w:val="24"/>
        </w:rPr>
      </w:pPr>
    </w:p>
    <w:p w14:paraId="3EEFB4FA" w14:textId="77777777" w:rsidR="00BB58C4" w:rsidRDefault="00BB58C4">
      <w:pPr>
        <w:spacing w:after="0" w:line="480" w:lineRule="auto"/>
        <w:ind w:firstLine="720"/>
        <w:jc w:val="both"/>
        <w:rPr>
          <w:rFonts w:ascii="Times New Roman" w:hAnsi="Times New Roman" w:cs="Times New Roman"/>
          <w:sz w:val="24"/>
          <w:szCs w:val="24"/>
        </w:rPr>
      </w:pPr>
    </w:p>
    <w:p w14:paraId="0CFEA3BB" w14:textId="77777777" w:rsidR="00BB58C4" w:rsidRDefault="00BB58C4">
      <w:pPr>
        <w:spacing w:after="0" w:line="480" w:lineRule="auto"/>
        <w:ind w:firstLine="720"/>
        <w:jc w:val="both"/>
        <w:rPr>
          <w:rFonts w:ascii="Times New Roman" w:hAnsi="Times New Roman" w:cs="Times New Roman"/>
          <w:sz w:val="24"/>
          <w:szCs w:val="24"/>
        </w:rPr>
      </w:pPr>
    </w:p>
    <w:p w14:paraId="1FDBE64C" w14:textId="77777777" w:rsidR="00BB58C4" w:rsidRDefault="00BB58C4">
      <w:pPr>
        <w:spacing w:after="0" w:line="480" w:lineRule="auto"/>
        <w:ind w:firstLine="720"/>
        <w:jc w:val="both"/>
        <w:rPr>
          <w:rFonts w:ascii="Times New Roman" w:hAnsi="Times New Roman" w:cs="Times New Roman"/>
          <w:sz w:val="24"/>
          <w:szCs w:val="24"/>
        </w:rPr>
      </w:pPr>
    </w:p>
    <w:p w14:paraId="521EAF46" w14:textId="77777777" w:rsidR="00BB58C4" w:rsidRDefault="00BB58C4">
      <w:pPr>
        <w:spacing w:after="0" w:line="480" w:lineRule="auto"/>
        <w:ind w:firstLine="720"/>
        <w:jc w:val="both"/>
        <w:rPr>
          <w:rFonts w:ascii="Times New Roman" w:hAnsi="Times New Roman" w:cs="Times New Roman"/>
          <w:sz w:val="24"/>
          <w:szCs w:val="24"/>
        </w:rPr>
      </w:pPr>
    </w:p>
    <w:p w14:paraId="7E36FD12" w14:textId="77777777" w:rsidR="00BB58C4" w:rsidRDefault="00BB58C4">
      <w:pPr>
        <w:spacing w:after="0" w:line="480" w:lineRule="auto"/>
        <w:ind w:firstLine="720"/>
        <w:jc w:val="both"/>
        <w:rPr>
          <w:rFonts w:ascii="Times New Roman" w:hAnsi="Times New Roman" w:cs="Times New Roman"/>
          <w:sz w:val="24"/>
          <w:szCs w:val="24"/>
        </w:rPr>
      </w:pPr>
    </w:p>
    <w:p w14:paraId="1E97AA48" w14:textId="77777777" w:rsidR="00BB58C4" w:rsidRDefault="00BB58C4">
      <w:pPr>
        <w:spacing w:after="0" w:line="480" w:lineRule="auto"/>
        <w:ind w:firstLine="720"/>
        <w:jc w:val="both"/>
        <w:rPr>
          <w:rFonts w:ascii="Times New Roman" w:hAnsi="Times New Roman" w:cs="Times New Roman"/>
          <w:sz w:val="24"/>
          <w:szCs w:val="24"/>
        </w:rPr>
      </w:pPr>
    </w:p>
    <w:p w14:paraId="3B6C40AE" w14:textId="77777777" w:rsidR="00BB58C4" w:rsidRDefault="00000000">
      <w:pPr>
        <w:pStyle w:val="Heading2"/>
      </w:pPr>
      <w:bookmarkStart w:id="21" w:name="_Toc220995016"/>
      <w:r>
        <w:lastRenderedPageBreak/>
        <w:t>Rumusan Masalah</w:t>
      </w:r>
      <w:bookmarkEnd w:id="21"/>
      <w:r>
        <w:t> </w:t>
      </w:r>
    </w:p>
    <w:p w14:paraId="42FA39B7"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Berdasarkan latar belakang yang telah diuraikan, maka rumusan masalah yang ingin dikaji dalam penelitian ini adalah:</w:t>
      </w:r>
    </w:p>
    <w:p w14:paraId="1484E78B" w14:textId="77777777" w:rsidR="00BB58C4" w:rsidRDefault="00000000">
      <w:pPr>
        <w:pStyle w:val="ListParagraph"/>
        <w:numPr>
          <w:ilvl w:val="0"/>
          <w:numId w:val="7"/>
        </w:numPr>
        <w:tabs>
          <w:tab w:val="clear" w:pos="720"/>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w:t>
      </w:r>
      <w:r>
        <w:rPr>
          <w:rFonts w:ascii="Times New Roman" w:hAnsi="Times New Roman" w:cs="Times New Roman"/>
          <w:i/>
          <w:iCs/>
          <w:sz w:val="24"/>
          <w:szCs w:val="24"/>
        </w:rPr>
        <w:t>tax haven</w:t>
      </w:r>
      <w:r>
        <w:rPr>
          <w:rFonts w:ascii="Times New Roman" w:hAnsi="Times New Roman" w:cs="Times New Roman"/>
          <w:sz w:val="24"/>
          <w:szCs w:val="24"/>
        </w:rPr>
        <w:t xml:space="preserve"> memiliki pengaruh 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49B36C9A" w14:textId="77777777" w:rsidR="00BB58C4" w:rsidRDefault="00000000">
      <w:pPr>
        <w:pStyle w:val="ListParagraph"/>
        <w:numPr>
          <w:ilvl w:val="0"/>
          <w:numId w:val="7"/>
        </w:numPr>
        <w:tabs>
          <w:tab w:val="clear" w:pos="720"/>
          <w:tab w:val="left" w:pos="42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memiliki pengaruh 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035A3720" w14:textId="77777777" w:rsidR="00BB58C4" w:rsidRDefault="00000000">
      <w:pPr>
        <w:pStyle w:val="ListParagraph"/>
        <w:numPr>
          <w:ilvl w:val="0"/>
          <w:numId w:val="7"/>
        </w:numPr>
        <w:tabs>
          <w:tab w:val="clear" w:pos="720"/>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memiliki pengaruh 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37017EAC" w14:textId="77777777" w:rsidR="00BB58C4" w:rsidRDefault="00000000">
      <w:pPr>
        <w:pStyle w:val="Heading2"/>
      </w:pPr>
      <w:bookmarkStart w:id="22" w:name="_Toc220995017"/>
      <w:r>
        <w:t>Tujuan Penelitian</w:t>
      </w:r>
      <w:bookmarkEnd w:id="22"/>
    </w:p>
    <w:p w14:paraId="4F65613A"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Berdasarkan rumusan masalah yang telah diuraikan, maka tujuan yang ingin dicapai dalam penelitian ini yaitu : </w:t>
      </w:r>
    </w:p>
    <w:p w14:paraId="7F4FD89D" w14:textId="77777777" w:rsidR="00BB58C4" w:rsidRDefault="00000000">
      <w:pPr>
        <w:pStyle w:val="ListParagraph"/>
        <w:numPr>
          <w:ilvl w:val="0"/>
          <w:numId w:val="8"/>
        </w:numPr>
        <w:tabs>
          <w:tab w:val="clear" w:pos="720"/>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35360A7A" w14:textId="77777777" w:rsidR="00BB58C4" w:rsidRDefault="00000000">
      <w:pPr>
        <w:pStyle w:val="ListParagraph"/>
        <w:numPr>
          <w:ilvl w:val="0"/>
          <w:numId w:val="8"/>
        </w:numPr>
        <w:tabs>
          <w:tab w:val="clear" w:pos="720"/>
          <w:tab w:val="left" w:pos="42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753CC581" w14:textId="77777777" w:rsidR="00BB58C4" w:rsidRDefault="00000000">
      <w:pPr>
        <w:pStyle w:val="ListParagraph"/>
        <w:numPr>
          <w:ilvl w:val="0"/>
          <w:numId w:val="8"/>
        </w:numPr>
        <w:tabs>
          <w:tab w:val="clear" w:pos="720"/>
          <w:tab w:val="left" w:pos="42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3771E83D" w14:textId="77777777" w:rsidR="00BB58C4" w:rsidRDefault="00BB58C4">
      <w:pPr>
        <w:tabs>
          <w:tab w:val="left" w:pos="426"/>
        </w:tabs>
        <w:spacing w:line="480" w:lineRule="auto"/>
        <w:jc w:val="both"/>
        <w:rPr>
          <w:rFonts w:ascii="Times New Roman" w:hAnsi="Times New Roman" w:cs="Times New Roman"/>
          <w:sz w:val="24"/>
          <w:szCs w:val="24"/>
        </w:rPr>
      </w:pPr>
    </w:p>
    <w:p w14:paraId="27E74819" w14:textId="77777777" w:rsidR="00BB58C4" w:rsidRDefault="00BB58C4">
      <w:pPr>
        <w:tabs>
          <w:tab w:val="left" w:pos="426"/>
        </w:tabs>
        <w:spacing w:line="480" w:lineRule="auto"/>
        <w:jc w:val="both"/>
        <w:rPr>
          <w:rFonts w:ascii="Times New Roman" w:hAnsi="Times New Roman" w:cs="Times New Roman"/>
          <w:sz w:val="24"/>
          <w:szCs w:val="24"/>
        </w:rPr>
      </w:pPr>
    </w:p>
    <w:p w14:paraId="6EC5BC0C" w14:textId="77777777" w:rsidR="00BB58C4" w:rsidRDefault="00BB58C4">
      <w:pPr>
        <w:tabs>
          <w:tab w:val="left" w:pos="426"/>
        </w:tabs>
        <w:spacing w:line="480" w:lineRule="auto"/>
        <w:jc w:val="both"/>
        <w:rPr>
          <w:rFonts w:ascii="Times New Roman" w:hAnsi="Times New Roman" w:cs="Times New Roman"/>
          <w:sz w:val="24"/>
          <w:szCs w:val="24"/>
        </w:rPr>
      </w:pPr>
    </w:p>
    <w:p w14:paraId="32CC17D0" w14:textId="77777777" w:rsidR="00BB58C4" w:rsidRDefault="00BB58C4">
      <w:pPr>
        <w:tabs>
          <w:tab w:val="left" w:pos="426"/>
        </w:tabs>
        <w:spacing w:line="480" w:lineRule="auto"/>
        <w:jc w:val="both"/>
        <w:rPr>
          <w:rFonts w:ascii="Times New Roman" w:hAnsi="Times New Roman" w:cs="Times New Roman"/>
          <w:sz w:val="24"/>
          <w:szCs w:val="24"/>
        </w:rPr>
      </w:pPr>
    </w:p>
    <w:p w14:paraId="5ABA5F5A" w14:textId="77777777" w:rsidR="00BB58C4" w:rsidRDefault="00000000">
      <w:pPr>
        <w:pStyle w:val="Heading2"/>
      </w:pPr>
      <w:bookmarkStart w:id="23" w:name="_Toc220995018"/>
      <w:r>
        <w:lastRenderedPageBreak/>
        <w:t>Manfaat Penelitian</w:t>
      </w:r>
      <w:bookmarkEnd w:id="23"/>
      <w:r>
        <w:t> </w:t>
      </w:r>
    </w:p>
    <w:p w14:paraId="3AE8E2E7"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Manfaat dari penelitian ini adalah sebagai berikut : </w:t>
      </w:r>
    </w:p>
    <w:p w14:paraId="13557E47" w14:textId="77777777" w:rsidR="00BB58C4" w:rsidRDefault="00000000">
      <w:pPr>
        <w:numPr>
          <w:ilvl w:val="0"/>
          <w:numId w:val="9"/>
        </w:numPr>
        <w:tabs>
          <w:tab w:val="clear" w:pos="72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Manfaat Teoritis</w:t>
      </w:r>
    </w:p>
    <w:p w14:paraId="51DA32C6" w14:textId="77777777" w:rsidR="00BB58C4" w:rsidRDefault="00000000">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Penelitian ini secara teoritis diharapkan dapat memberikan gambaran mengenai faktor yang mempengaruhi suatu perusahaan untuk melakukan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dan memberikan tambahan informasi mengenai pengaruh adanya </w:t>
      </w:r>
      <w:r>
        <w:rPr>
          <w:rFonts w:ascii="Times New Roman" w:hAnsi="Times New Roman" w:cs="Times New Roman"/>
          <w:i/>
          <w:iCs/>
          <w:sz w:val="24"/>
          <w:szCs w:val="24"/>
        </w:rPr>
        <w:t>tax haven</w:t>
      </w:r>
      <w:r>
        <w:rPr>
          <w:rFonts w:ascii="Times New Roman" w:hAnsi="Times New Roman" w:cs="Times New Roman"/>
          <w:sz w:val="24"/>
          <w:szCs w:val="24"/>
        </w:rPr>
        <w:t xml:space="preserve">, </w:t>
      </w:r>
      <w:r>
        <w:rPr>
          <w:rFonts w:ascii="Times New Roman" w:hAnsi="Times New Roman" w:cs="Times New Roman"/>
          <w:i/>
          <w:iCs/>
          <w:sz w:val="24"/>
          <w:szCs w:val="24"/>
        </w:rPr>
        <w:t>intangible asset</w:t>
      </w:r>
      <w:r>
        <w:rPr>
          <w:rFonts w:ascii="Times New Roman" w:hAnsi="Times New Roman" w:cs="Times New Roman"/>
          <w:sz w:val="24"/>
          <w:szCs w:val="24"/>
        </w:rPr>
        <w:t xml:space="preserve">, dan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terhadap </w:t>
      </w:r>
      <w:r>
        <w:rPr>
          <w:rFonts w:ascii="Times New Roman" w:hAnsi="Times New Roman" w:cs="Times New Roman"/>
          <w:i/>
          <w:iCs/>
          <w:sz w:val="24"/>
          <w:szCs w:val="24"/>
        </w:rPr>
        <w:t xml:space="preserve">transfer pricing </w:t>
      </w:r>
      <w:r>
        <w:rPr>
          <w:rFonts w:ascii="Times New Roman" w:hAnsi="Times New Roman" w:cs="Times New Roman"/>
          <w:sz w:val="24"/>
          <w:szCs w:val="24"/>
        </w:rPr>
        <w:t>bagi peneliti selanjutnya.</w:t>
      </w:r>
    </w:p>
    <w:p w14:paraId="3ADAAC9F" w14:textId="77777777" w:rsidR="00BB58C4" w:rsidRDefault="00000000">
      <w:pPr>
        <w:pStyle w:val="ListParagraph"/>
        <w:numPr>
          <w:ilvl w:val="0"/>
          <w:numId w:val="9"/>
        </w:numPr>
        <w:tabs>
          <w:tab w:val="clear" w:pos="720"/>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Manfaat Praktis</w:t>
      </w:r>
    </w:p>
    <w:p w14:paraId="721D2FAB" w14:textId="77777777" w:rsidR="00BB58C4" w:rsidRDefault="00000000">
      <w:pPr>
        <w:pStyle w:val="ListParagraph"/>
        <w:numPr>
          <w:ilvl w:val="1"/>
          <w:numId w:val="9"/>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Pemerintah</w:t>
      </w:r>
    </w:p>
    <w:p w14:paraId="64BAA024" w14:textId="77777777" w:rsidR="00BB58C4" w:rsidRDefault="00000000">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Memberikan gambaran khusus kepada pemerintah dalam menduga dan memecahkan masalah penghindaran pajak melalui </w:t>
      </w:r>
      <w:r>
        <w:rPr>
          <w:rFonts w:ascii="Times New Roman" w:hAnsi="Times New Roman" w:cs="Times New Roman"/>
          <w:i/>
          <w:iCs/>
          <w:sz w:val="24"/>
          <w:szCs w:val="24"/>
        </w:rPr>
        <w:t>tax haven</w:t>
      </w:r>
      <w:r>
        <w:rPr>
          <w:rFonts w:ascii="Times New Roman" w:hAnsi="Times New Roman" w:cs="Times New Roman"/>
          <w:sz w:val="24"/>
          <w:szCs w:val="24"/>
        </w:rPr>
        <w:t xml:space="preserve">, </w:t>
      </w:r>
      <w:r>
        <w:rPr>
          <w:rFonts w:ascii="Times New Roman" w:hAnsi="Times New Roman" w:cs="Times New Roman"/>
          <w:i/>
          <w:iCs/>
          <w:sz w:val="24"/>
          <w:szCs w:val="24"/>
        </w:rPr>
        <w:t>intangible asset</w:t>
      </w:r>
      <w:r>
        <w:rPr>
          <w:rFonts w:ascii="Times New Roman" w:hAnsi="Times New Roman" w:cs="Times New Roman"/>
          <w:sz w:val="24"/>
          <w:szCs w:val="24"/>
        </w:rPr>
        <w:t xml:space="preserve">, dan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yang dilakukan perusahaan melalui praktik </w:t>
      </w:r>
      <w:r>
        <w:rPr>
          <w:rFonts w:ascii="Times New Roman" w:hAnsi="Times New Roman" w:cs="Times New Roman"/>
          <w:i/>
          <w:iCs/>
          <w:sz w:val="24"/>
          <w:szCs w:val="24"/>
        </w:rPr>
        <w:t>transfer pricing</w:t>
      </w:r>
      <w:r>
        <w:rPr>
          <w:rFonts w:ascii="Times New Roman" w:hAnsi="Times New Roman" w:cs="Times New Roman"/>
          <w:sz w:val="24"/>
          <w:szCs w:val="24"/>
        </w:rPr>
        <w:t xml:space="preserve">. Serta mendorong pemerintah agar membuat regulasi yang dapat mencegah terjadinya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antar perusahaan yang memiliki hubungan istimewa yang dapat merugikan pemerintah dari segi penerimaan pajak.</w:t>
      </w:r>
    </w:p>
    <w:p w14:paraId="669E6A01" w14:textId="77777777" w:rsidR="00BB58C4" w:rsidRDefault="00000000">
      <w:pPr>
        <w:numPr>
          <w:ilvl w:val="0"/>
          <w:numId w:val="10"/>
        </w:numPr>
        <w:tabs>
          <w:tab w:val="clear" w:pos="720"/>
          <w:tab w:val="left" w:pos="851"/>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Perusahaan</w:t>
      </w:r>
    </w:p>
    <w:p w14:paraId="66559BE7" w14:textId="77777777" w:rsidR="00BB58C4" w:rsidRDefault="00000000">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Meningkatkan kemampuan perusahaan untuk mengembangkan kebijakan </w:t>
      </w:r>
      <w:r>
        <w:rPr>
          <w:rFonts w:ascii="Times New Roman" w:hAnsi="Times New Roman" w:cs="Times New Roman"/>
          <w:i/>
          <w:iCs/>
          <w:sz w:val="24"/>
          <w:szCs w:val="24"/>
        </w:rPr>
        <w:t xml:space="preserve">transfer pricing </w:t>
      </w:r>
      <w:r>
        <w:rPr>
          <w:rFonts w:ascii="Times New Roman" w:hAnsi="Times New Roman" w:cs="Times New Roman"/>
          <w:sz w:val="24"/>
          <w:szCs w:val="24"/>
        </w:rPr>
        <w:t>yang sejalan dengan peraturan perundang-undangan dan secara efektif dapat mengoptimalkan pembayaran pajak perusahaan secara sah.</w:t>
      </w:r>
    </w:p>
    <w:p w14:paraId="7D4ACA33" w14:textId="77777777" w:rsidR="00BB58C4" w:rsidRDefault="00BB58C4">
      <w:pPr>
        <w:spacing w:line="480" w:lineRule="auto"/>
        <w:ind w:left="426"/>
        <w:jc w:val="both"/>
        <w:rPr>
          <w:rFonts w:ascii="Times New Roman" w:hAnsi="Times New Roman" w:cs="Times New Roman"/>
          <w:sz w:val="24"/>
          <w:szCs w:val="24"/>
        </w:rPr>
        <w:sectPr w:rsidR="00BB58C4">
          <w:pgSz w:w="11906" w:h="16838"/>
          <w:pgMar w:top="2268" w:right="1701" w:bottom="1701" w:left="2268" w:header="709" w:footer="709" w:gutter="0"/>
          <w:pgNumType w:start="1"/>
          <w:cols w:space="708"/>
          <w:titlePg/>
          <w:docGrid w:linePitch="360"/>
        </w:sectPr>
      </w:pPr>
    </w:p>
    <w:p w14:paraId="393C0C33" w14:textId="77777777" w:rsidR="00BB58C4" w:rsidRDefault="00000000">
      <w:pPr>
        <w:pStyle w:val="Heading1"/>
        <w:rPr>
          <w:rFonts w:cs="Times New Roman"/>
          <w:b w:val="0"/>
          <w:bCs/>
        </w:rPr>
      </w:pPr>
      <w:bookmarkStart w:id="24" w:name="_Toc220995019"/>
      <w:r>
        <w:rPr>
          <w:rStyle w:val="Heading1Char"/>
          <w:rFonts w:cs="Times New Roman"/>
          <w:b/>
          <w:bCs/>
        </w:rPr>
        <w:lastRenderedPageBreak/>
        <w:t>BAB II</w:t>
      </w:r>
      <w:r>
        <w:rPr>
          <w:rStyle w:val="Heading1Char"/>
          <w:rFonts w:cs="Times New Roman"/>
          <w:b/>
          <w:bCs/>
        </w:rPr>
        <w:br/>
      </w:r>
      <w:r>
        <w:rPr>
          <w:rFonts w:cs="Times New Roman"/>
        </w:rPr>
        <w:t>KAJIAN PUSTAKA</w:t>
      </w:r>
      <w:bookmarkEnd w:id="24"/>
    </w:p>
    <w:p w14:paraId="4FACDC2A" w14:textId="77777777" w:rsidR="00BB58C4" w:rsidRDefault="00BB58C4">
      <w:pPr>
        <w:pStyle w:val="ListParagraph"/>
        <w:numPr>
          <w:ilvl w:val="0"/>
          <w:numId w:val="2"/>
        </w:numPr>
        <w:spacing w:line="480" w:lineRule="auto"/>
        <w:jc w:val="both"/>
        <w:rPr>
          <w:rFonts w:ascii="Times New Roman" w:hAnsi="Times New Roman" w:cs="Times New Roman"/>
          <w:vanish/>
          <w:sz w:val="24"/>
          <w:szCs w:val="24"/>
        </w:rPr>
      </w:pPr>
    </w:p>
    <w:p w14:paraId="358716B8" w14:textId="77777777" w:rsidR="00BB58C4" w:rsidRDefault="00BB58C4">
      <w:pPr>
        <w:pStyle w:val="ListParagraph"/>
        <w:numPr>
          <w:ilvl w:val="0"/>
          <w:numId w:val="2"/>
        </w:numPr>
        <w:spacing w:line="480" w:lineRule="auto"/>
        <w:jc w:val="both"/>
        <w:rPr>
          <w:rFonts w:ascii="Times New Roman" w:hAnsi="Times New Roman" w:cs="Times New Roman"/>
          <w:vanish/>
          <w:sz w:val="24"/>
          <w:szCs w:val="24"/>
        </w:rPr>
      </w:pPr>
    </w:p>
    <w:p w14:paraId="1A7F540F" w14:textId="77777777" w:rsidR="00BB58C4" w:rsidRDefault="00000000">
      <w:pPr>
        <w:pStyle w:val="SubBab2"/>
        <w:ind w:left="426"/>
      </w:pPr>
      <w:bookmarkStart w:id="25" w:name="_Toc220995020"/>
      <w:r>
        <w:t>Konsep Teori</w:t>
      </w:r>
      <w:bookmarkEnd w:id="25"/>
    </w:p>
    <w:p w14:paraId="21C8744E" w14:textId="77777777" w:rsidR="00BB58C4" w:rsidRDefault="00000000">
      <w:pPr>
        <w:pStyle w:val="Heading3"/>
        <w:ind w:left="426" w:hanging="426"/>
      </w:pPr>
      <w:bookmarkStart w:id="26" w:name="_Toc220995021"/>
      <w:r>
        <w:t>Teori Internalisasi (Internalization Theory)</w:t>
      </w:r>
      <w:bookmarkEnd w:id="26"/>
    </w:p>
    <w:p w14:paraId="2222984C"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Teori internalisasi merupakan teori yang menjelaskan alasan perusahaan melakukan pengembangan perusahaan di luar negeri sehingga banyak perusahaan Multinasional yang didirikan oleh perusahaan-perusahaan terbesar didunia. Teori ini merupakan pendekatan yang dilakukan untuk menganalisis perilaku perusahaan multinasional dengan perusahaan lain dengan tujuan untuk mencapai efisiensi dan efektivitas yang dihasilkan dalam suatu perusahaan.</w:t>
      </w:r>
    </w:p>
    <w:p w14:paraId="24396BC9"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Teori internalisasi menjelaskan terkait alasan perusahaan Multinasional memilih untuk melakukan transaksi bisnis di dalam struktur korporasi mereka sendiri (secara internal) daripada menggunakan pasar eksternal. Hal ini didorong oleh upaya perusahaan untuk mengatasi kegagalan pasar yang sering terjadi, terutama dalam transfer aset yang sulit dinilai seperti aset tak berwujud yaitu hak paten, hak cipta, dan merek dagang. Kegagalan pasar akan mendorong perusahaan untuk melakukan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yang menyimpang dari prinsip kewajaran (prinsip </w:t>
      </w:r>
      <w:r>
        <w:rPr>
          <w:rFonts w:ascii="Times New Roman" w:hAnsi="Times New Roman" w:cs="Times New Roman"/>
          <w:i/>
          <w:iCs/>
          <w:sz w:val="24"/>
          <w:szCs w:val="24"/>
        </w:rPr>
        <w:t>arm’s length</w:t>
      </w:r>
      <w:r>
        <w:rPr>
          <w:rFonts w:ascii="Times New Roman" w:hAnsi="Times New Roman" w:cs="Times New Roman"/>
          <w:sz w:val="24"/>
          <w:szCs w:val="24"/>
        </w:rPr>
        <w:t xml:space="preserve">) untuk keuntungan internal perusahaan yang sering kali berdampak pada berkurang penerimaan pajak suatu negara. </w:t>
      </w:r>
    </w:p>
    <w:p w14:paraId="49E8BF22"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Teori Internalisasi menjelaskan bahwa perusahaan Multinasional memilih untuk melakukan transaksi secara internal (melalui anak perusahaan) daripada melalui pasar eksternal untuk mengurangi biaya transaksi, mengelola risiko dan mengatasi kegagalan pasar. Anak perusahaan dan pihak berelasi di negara dengan </w:t>
      </w:r>
      <w:r>
        <w:rPr>
          <w:rFonts w:ascii="Times New Roman" w:hAnsi="Times New Roman" w:cs="Times New Roman"/>
          <w:sz w:val="24"/>
          <w:szCs w:val="24"/>
        </w:rPr>
        <w:lastRenderedPageBreak/>
        <w:t>tarif pajak tinggi akan termotivasi untuk menjual dengan harga rendah dan membeli dengan harga tinggi dari pihak berelasi di negara dengan tarif pajak rendah atau yang tidak menerapkan tarif pajak (</w:t>
      </w:r>
      <w:r>
        <w:rPr>
          <w:rFonts w:ascii="Times New Roman" w:hAnsi="Times New Roman" w:cs="Times New Roman"/>
          <w:i/>
          <w:iCs/>
          <w:sz w:val="24"/>
          <w:szCs w:val="24"/>
        </w:rPr>
        <w:t>tax haven</w:t>
      </w:r>
      <w:r>
        <w:rPr>
          <w:rFonts w:ascii="Times New Roman" w:hAnsi="Times New Roman" w:cs="Times New Roman"/>
          <w:sz w:val="24"/>
          <w:szCs w:val="24"/>
        </w:rPr>
        <w:t>). Tujuannya yaitu maksimalisasi laba dengan memindahkan keuntungan (</w:t>
      </w:r>
      <w:r>
        <w:rPr>
          <w:rFonts w:ascii="Times New Roman" w:hAnsi="Times New Roman" w:cs="Times New Roman"/>
          <w:i/>
          <w:iCs/>
          <w:sz w:val="24"/>
          <w:szCs w:val="24"/>
        </w:rPr>
        <w:t>profit shifting</w:t>
      </w:r>
      <w:r>
        <w:rPr>
          <w:rFonts w:ascii="Times New Roman" w:hAnsi="Times New Roman" w:cs="Times New Roman"/>
          <w:sz w:val="24"/>
          <w:szCs w:val="24"/>
        </w:rPr>
        <w:t xml:space="preserve">) dari negara dengan tarif pajak tinggi ke negara dengan tarif pajak rendah internal perusahaan yang didasarkan pada perhitungan keuntungan secara global dalam suatu perusahaan tidak hanya mencakup keuntungan  individu anak perusahaan. </w:t>
      </w:r>
    </w:p>
    <w:p w14:paraId="00F94F47" w14:textId="77777777" w:rsidR="00BB58C4" w:rsidRDefault="00000000">
      <w:pPr>
        <w:pStyle w:val="Heading3"/>
        <w:ind w:left="426" w:hanging="426"/>
      </w:pPr>
      <w:bookmarkStart w:id="27" w:name="_Toc220995022"/>
      <w:r>
        <w:rPr>
          <w:i/>
          <w:iCs/>
        </w:rPr>
        <w:t>Transfer Pricing</w:t>
      </w:r>
      <w:bookmarkEnd w:id="27"/>
    </w:p>
    <w:p w14:paraId="7762F4B0"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merupakan skema dalam perencanaan pajak yang digunakan untuk meminimalkan pajak terutang yang seharusnya dibayarkan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{"citationItems":[{"id":"ITEM-1","itemData":{"DOI":"10.33005/jasf.v3i2.89","abstract":"This study aims to examine prudence's role in moderating the effect of bonus mechanism, intangible asset, and inventory intensity ratio on transfer pricing decisions. This research population is all property, real estate &amp; construction companies, and manufacturing companies listed on the Indonesia Stock Exchange in 2018. The sampling technique uses a purposive sampling method to obtain 109 units of analysis. This study uses moderated regression analysis (MRA), which is processed using IBM SPSS 21. This study proves that the bonus mechanism does not affect, while intangible assets and inventory intensity ratio significantly affect transfer pricing decisions. Prudence is proven to moderate the intangible assets' influence but does not moderate the impact of the bonus mechanism and inventory intensity ratio on transfer pricing decisions. This study concludes that the bonus mechanism does not affect the transfer pricing decision. Prudence is proven to moderate the effect of intangible assets but does not moderate the impact of the bonus mechanism and inventory intensity ratio on transfer pricing decisions.","author":[{"dropping-particle":"","family":"Khasanah","given":"Uswatun","non-dropping-particle":"","parse-names":false,"suffix":""},{"dropping-particle":"","family":"Suryarini","given":"Trisni","non-dropping-particle":"","parse-names":false,"suffix":""}],"container-title":"Journal of Accounting and Strategic Finance","id":"ITEM-1","issue":"2","issued":{"date-parts":[["2020"]]},"page":"154-168","title":"The Role of Prudence in Moderating the Effect of Bonus Mechanism, Intangible Assets, and Inventory Intensity Ratio on Transfer Pricing","type":"article-journal","volume":"3"},"uris":["http://www.mendeley.com/documents/?uuid=8fb684e5-090f-406a-8020-0bc49f6100d7"]}],"mendeley":{"formattedCitation":"(Khasanah &amp; Suryarini, 2020)","plainTextFormattedCitation":"(Khasanah &amp; Suryarini, 2020)","previouslyFormattedCitation":"(Khasanah &amp; Suryarini,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(Khasanah &amp; Suryarini, 2020)</w:t>
      </w:r>
      <w:r>
        <w:rPr>
          <w:rFonts w:ascii="Times New Roman" w:hAnsi="Times New Roman" w:cs="Times New Roman"/>
          <w:sz w:val="24"/>
          <w:szCs w:val="24"/>
        </w:rPr>
        <w:fldChar w:fldCharType="end"/>
      </w:r>
      <w:r>
        <w:rPr>
          <w:rFonts w:ascii="Times New Roman" w:hAnsi="Times New Roman" w:cs="Times New Roman"/>
          <w:sz w:val="24"/>
          <w:szCs w:val="24"/>
        </w:rPr>
        <w:t>. Eden (2015) mendefinisikan</w:t>
      </w:r>
      <w:r>
        <w:rPr>
          <w:rFonts w:ascii="Times New Roman" w:hAnsi="Times New Roman" w:cs="Times New Roman"/>
          <w:i/>
          <w:iCs/>
          <w:sz w:val="24"/>
          <w:szCs w:val="24"/>
        </w:rPr>
        <w:t xml:space="preserve"> transfer pricing </w:t>
      </w:r>
      <w:r>
        <w:rPr>
          <w:rFonts w:ascii="Times New Roman" w:hAnsi="Times New Roman" w:cs="Times New Roman"/>
          <w:sz w:val="24"/>
          <w:szCs w:val="24"/>
        </w:rPr>
        <w:t xml:space="preserve">sebagai harga yang digunakan untuk penjualan internal barang dan jasa antara divisi-divisi suatu perusahaan bisnis.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{"citationItems":[{"id":"ITEM-1","itemData":{"DOI":"10.1016/j.jcae.2013.06.002","ISSN":"18155669","abstract":"This study examines the major determinants of transfer pricing aggressiveness. Based on a hand-collected sample of 183 publicly-listed Australian firms for the 2009 year, our regression results show that firm size, profitability, leverage, intangible assets, and multinationality are significantly positively associated with transfer pricing aggressiveness after controlling for industry-sector effects. Our additional regression results also indicate that firms augment their transfer pricing aggressiveness through the joint effects of intangible assets and multinationality. © 2013 Elsevier Ltd.","author":[{"dropping-particle":"","family":"Richardson","given":"Grant","non-dropping-particle":"","parse-names":false,"suffix":""},{"dropping-particle":"","family":"Taylor","given":"Grantley","non-dropping-particle":"","parse-names":false,"suffix":""},{"dropping-particle":"","family":"Lanis","given":"Roman","non-dropping-particle":"","parse-names":false,"suffix":""}],"container-title":"Journal of Contemporary Accounting and Economics","id":"ITEM-1","issue":"2","issued":{"date-parts":[["2013"]]},"page":"136-150","publisher":"Elsevier Ltd","title":"Determinants of transfer pricing aggressiveness: Empirical evidence from Australian firms","type":"article-journal","volume":"9"},"uris":["http://www.mendeley.com/documents/?uuid=91b3bb7e-8409-4d8e-9d18-7669f960f391"]}],"mendeley":{"formattedCitation":"(Richardson, Taylor, &amp; Lanis, 2013)","manualFormatting":"Richardson et al., (2013)","plainTextFormattedCitation":"(Richardson, Taylor, &amp; Lanis, 2013)","previouslyFormattedCitation":"(Richardson, Taylor, &amp; Lanis,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Richardson et al., (2013)</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mengatakan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sebagai salah satu kebijakan yang sering digunakan oleh perusahaan multinasional untuk mentransfer laba guna mengurangi beban pajak yang ditanggung perusahaan. Serta memungkinkan perusahaan untuk mengekspor modal  ke lokasi yang lebih menguntungan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{"citationItems":[{"id":"ITEM-1","itemData":{"DOI":"10.1016/j.cpa.2010.02.004","ISSN":"10452354","abstract":"In conventional accounting literature, 'transfer pricing' is portrayed as a technique for optimal allocation of costs and revenues among divisions, subsidiaries and joint ventures within a group of related entities. Such representations of transfer pricing simultaneously acknowledge and occlude how it is deeply implicated in processes of wealth retentiveness that enable companies to avoid taxes and facilitate the flight of capital. A purely technical conception of transfer pricing calculations abstracts them from the politico-economic contexts of their development and use. The context is the modern corporation in an era of globalized trade and its relationship to state tax authorities, shareholders and other possible stakeholders. Transfer pricing practices are responsive to opportunities for determining values in ways that are consequential for enhancing private gains, and thereby contributing to relative social impoverishment, by avoiding the payment of public taxes. Evidence is provided by examining some of the transfer prices practices used by corporations to avoid taxes in developing and developed economies. © 2010.","author":[{"dropping-particle":"","family":"Sikka","given":"Prem","non-dropping-particle":"","parse-names":false,"suffix":""},{"dropping-particle":"","family":"Willmott","given":"Hugh","non-dropping-particle":"","parse-names":false,"suffix":""}],"container-title":"Critical Perspectives on Accounting","id":"ITEM-1","issue":"4","issued":{"date-parts":[["2010"]]},"page":"342-356","publisher":"Elsevier Ltd","title":"The dark side of transfer pricing: Its role in tax avoidance and wealth retentiveness","type":"article-journal","volume":"21"},"uris":["http://www.mendeley.com/documents/?uuid=f61998bc-b037-445b-ba58-9be4d0d4c086"]}],"mendeley":{"formattedCitation":"(Sikka &amp; Willmott, 2010)","plainTextFormattedCitation":"(Sikka &amp; Willmott, 2010)","previouslyFormattedCitation":"(Sikka &amp; Willmott,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(Sikka &amp; Willmott, 2010)</w:t>
      </w:r>
      <w:r>
        <w:rPr>
          <w:rFonts w:ascii="Times New Roman" w:hAnsi="Times New Roman" w:cs="Times New Roman"/>
          <w:sz w:val="24"/>
          <w:szCs w:val="24"/>
        </w:rPr>
        <w:fldChar w:fldCharType="end"/>
      </w:r>
      <w:r>
        <w:rPr>
          <w:rFonts w:ascii="Times New Roman" w:hAnsi="Times New Roman" w:cs="Times New Roman"/>
          <w:sz w:val="24"/>
          <w:szCs w:val="24"/>
        </w:rPr>
        <w:t>.</w:t>
      </w:r>
    </w:p>
    <w:p w14:paraId="2A51EFFD" w14:textId="77777777" w:rsidR="00BB58C4" w:rsidRDefault="00000000">
      <w:pPr>
        <w:spacing w:after="0"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diperbolehkan apabila masih dalam ketentuan perpajakan yang berlaku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{"citationItems":[{"id":"ITEM-1","itemData":{"DOI":"10.33005/jasf.v3i2.89","abstract":"This study aims to examine prudence's role in moderating the effect of bonus mechanism, intangible asset, and inventory intensity ratio on transfer pricing decisions. This research population is all property, real estate &amp; construction companies, and manufacturing companies listed on the Indonesia Stock Exchange in 2018. The sampling technique uses a purposive sampling method to obtain 109 units of analysis. This study uses moderated regression analysis (MRA), which is processed using IBM SPSS 21. This study proves that the bonus mechanism does not affect, while intangible assets and inventory intensity ratio significantly affect transfer pricing decisions. Prudence is proven to moderate the intangible assets' influence but does not moderate the impact of the bonus mechanism and inventory intensity ratio on transfer pricing decisions. This study concludes that the bonus mechanism does not affect the transfer pricing decision. Prudence is proven to moderate the effect of intangible assets but does not moderate the impact of the bonus mechanism and inventory intensity ratio on transfer pricing decisions.","author":[{"dropping-particle":"","family":"Khasanah","given":"Uswatun","non-dropping-particle":"","parse-names":false,"suffix":""},{"dropping-particle":"","family":"Suryarini","given":"Trisni","non-dropping-particle":"","parse-names":false,"suffix":""}],"container-title":"Journal of Accounting and Strategic Finance","id":"ITEM-1","issue":"2","issued":{"date-parts":[["2020"]]},"page":"154-168","title":"The Role of Prudence in Moderating the Effect of Bonus Mechanism, Intangible Assets, and Inventory Intensity Ratio on Transfer Pricing","type":"article-journal","volume":"3"},"uris":["http://www.mendeley.com/documents/?uuid=8fb684e5-090f-406a-8020-0bc49f6100d7"]}],"mendeley":{"formattedCitation":"(Khasanah &amp; Suryarini, 2020)","plainTextFormattedCitation":"(Khasanah &amp; Suryarini, 2020)","previouslyFormattedCitation":"(Khasanah &amp; Suryarini,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(Khasanah &amp; Suryarini, 2020)</w:t>
      </w:r>
      <w:r>
        <w:rPr>
          <w:rFonts w:ascii="Times New Roman" w:hAnsi="Times New Roman" w:cs="Times New Roman"/>
          <w:sz w:val="24"/>
          <w:szCs w:val="24"/>
        </w:rPr>
        <w:fldChar w:fldCharType="end"/>
      </w:r>
      <w:r>
        <w:rPr>
          <w:rFonts w:ascii="Times New Roman" w:hAnsi="Times New Roman" w:cs="Times New Roman"/>
          <w:sz w:val="24"/>
          <w:szCs w:val="24"/>
        </w:rPr>
        <w:t xml:space="preserve">. Akan tetapi, telah menjadi isu internasional bahwa banyak perusahaan yang melakukan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yang melanggar ketentuan perpajakan hingga menyebabkan kerugian negara akibat kurangnya penerimaan pajak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{"citationItems":[{"id":"ITEM-1","itemData":{"DOI":"10.33005/jasf.v3i2.89","abstract":"This study aims to examine prudence's role in moderating the effect of bonus mechanism, intangible asset, and inventory intensity ratio on transfer pricing decisions. This research population is all property, real estate &amp; construction companies, and manufacturing companies listed on the Indonesia Stock Exchange in 2018. The sampling technique uses a purposive sampling method to obtain 109 units of analysis. This study uses moderated regression analysis (MRA), which is processed using IBM SPSS 21. This study proves that the bonus mechanism does not affect, while intangible assets and inventory intensity ratio significantly affect transfer pricing decisions. Prudence is proven to moderate the intangible assets' influence but does not moderate the impact of the bonus mechanism and inventory intensity ratio on transfer pricing decisions. This study concludes that the bonus mechanism does not affect the transfer pricing decision. Prudence is proven to moderate the effect of intangible assets but does not moderate the impact of the bonus mechanism and inventory intensity ratio on transfer pricing decisions.","author":[{"dropping-particle":"","family":"Khasanah","given":"Uswatun","non-dropping-particle":"","parse-names":false,"suffix":""},{"dropping-particle":"","family":"Suryarini","given":"Trisni","non-dropping-particle":"","parse-names":false,"suffix":""}],"container-title":"Journal of Accounting and Strategic Finance","id":"ITEM-1","issue":"2","issued":{"date-parts":[["2020"]]},"page":"154-168","title":"The Role of Prudence in Moderating the Effect of Bonus Mechanism, Intangible Assets, and Inventory Intensity Ratio on Transfer Pricing","type":"article-journal","volume":"3"},"uris":["http://www.mendeley.com/documents/?uuid=8fb684e5-090f-406a-8020-0bc49f6100d7"]}],"mendeley":{"formattedCitation":"(Khasanah &amp; Suryarini, 2020)","plainTextFormattedCitation":"(Khasanah &amp; Suryarini, 2020)","previouslyFormattedCitation":"(Khasanah &amp; Suryarini, 2020)"},"properties":{"noteIndex":0},"schema":"https://github.com/citation-style-language/schema/raw/master/csl-citation.json"}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(Khasanah &amp; Suryarini, 2020)</w:t>
      </w:r>
      <w:r>
        <w:rPr>
          <w:rFonts w:ascii="Times New Roman" w:hAnsi="Times New Roman" w:cs="Times New Roman"/>
          <w:b/>
          <w:bCs/>
          <w:sz w:val="24"/>
          <w:szCs w:val="24"/>
        </w:rPr>
        <w:fldChar w:fldCharType="end"/>
      </w:r>
    </w:p>
    <w:p w14:paraId="24707914" w14:textId="77777777" w:rsidR="00BB58C4" w:rsidRDefault="00BB58C4">
      <w:pPr>
        <w:spacing w:after="0" w:line="480" w:lineRule="auto"/>
        <w:ind w:firstLine="720"/>
        <w:jc w:val="both"/>
        <w:rPr>
          <w:rFonts w:ascii="Times New Roman" w:hAnsi="Times New Roman" w:cs="Times New Roman"/>
          <w:sz w:val="24"/>
          <w:szCs w:val="24"/>
        </w:rPr>
      </w:pPr>
    </w:p>
    <w:p w14:paraId="09E1C8A3" w14:textId="77777777" w:rsidR="00BB58C4" w:rsidRDefault="00000000">
      <w:pPr>
        <w:pStyle w:val="Heading3"/>
        <w:ind w:left="709" w:hanging="709"/>
      </w:pPr>
      <w:bookmarkStart w:id="28" w:name="_Toc220995023"/>
      <w:r>
        <w:rPr>
          <w:i/>
          <w:iCs/>
        </w:rPr>
        <w:lastRenderedPageBreak/>
        <w:t>Tax Haven</w:t>
      </w:r>
      <w:bookmarkEnd w:id="28"/>
    </w:p>
    <w:p w14:paraId="35DADCEC"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Pemanfaatan negara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merupakan salah satu faktor yang dapat memicu terjadi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yang dilakukan oleh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{"citationItems":[{"id":"ITEM-1","itemData":{"DOI":"10.21831/nominal.v11i2.51444","ISSN":"2303-2065","abstract":"Abstrak: Pengaruh Tax Haven, Foreign Ownership, dan Intangible Assets terhadap Keputusan Transfer Pricing. Transfer pricing merupakan penetapan terhadap harga barang, jasa, maupun aset tidak berwujud yang dilakukan dari satu divisi ke divisi lain dalam perusahaan yang sama atau antar perusahaan yang saling memiliki hubungan istimewa. Motif transfer pricing yaitu untuk meminimalkan beban pajak yang ditanggung perusahaan guna mendapatkan keuntungan yang lebih tinggi. Tujuan dari penelitian ini untuk mengetahui pengaruh tax haven, foreign ownership, dan intangible assets terhadap transfer pricing. Populasi yang digunakan yaitu perusahaan infrastruktur, utilitas, dan transportasi yang terdaftar di BEI tahun 2016 hingga 2020 sejumlah 400 perusahaan. Penelitian ini menggunakan metode pengambilan sampel purposive sampling dan terpilih 40 unit analisis. Teknik analisis yang digunakan yakni analisis regresi linear berganda. Hasil penelitian menunjukkan bahwa tax haven berpengaruh positif signifikan terhadap keputusan transfer pricing, sedangkan foreign ownership dan intangible assets tidak berpengaruh signifikan terhadap keputusan transfer pricing. Kata kunci: Transfer Pricing, Surga Pajak, Kepemilikan Asing, Aset Tidak BerwujudAbstract: The Effect of Tax Haven, Foreign Ownership, and Intangible Assets on Transfer Pricing Decisions. Transfer pricing is the determination of the price of goods, services, or intangible assets carried out from one division to another within the same company or between companies that have special relationships. The transfer pricing motive is to minimize the tax burden borne by the company in order to obtain higher profits. The purpose of this study is to determine the effect of tax havens, foreign ownership, and intangible assets on transfer pricing decisions. The population used are infrastructure, utility, and transportation companies listed on the Indonesia Stock Exchange from 2016 to 2020 with a total of 400 companies. This study used a purposive sampling method and selected 40 units of analysis. The analysis technique used is multiple linear regression analysis. The results of the study show that tax havens have a positive and significant effect on transfer pricing decisions. Meanwhile, foreign ownership and intangible assets variables have no significant effect on transfer pricing decisions.Keywords: Transfer Pricing, Tax Haven, Foreign Ownership, Intangible Asset","author":[{"dropping-particle":"","family":"Bhudiyanti","given":"Khopifa","non-dropping-particle":"","parse-names":false,"suffix":""},{"dropping-particle":"","family":"Suryarini","given":"Trisni","non-dropping-particle":"","parse-names":false,"suffix":""}],"container-title":"Nominal Barometer Riset Akuntansi dan Manajemen","id":"ITEM-1","issue":"2","issued":{"date-parts":[["2022"]]},"page":"272-273","title":"Pengaruh Tax Haven, Foreign Ownership, dan Intangible Assets terhadap Keputusan Transfer Pricing","type":"article-journal","volume":"11"},"uris":["http://www.mendeley.com/documents/?uuid=0b2f6a8a-9bb6-4d81-9e2d-2b9294cd64c7"]}],"mendeley":{"formattedCitation":"(Bhudiyanti &amp; Suryarini, 2022)","plainTextFormattedCitation":"(Bhudiyanti &amp; Suryarini, 2022)","previouslyFormattedCitation":"(Bhudiyanti &amp; Suryarini,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(Bhudiyanti &amp; Suryarini, 2022)</w:t>
      </w:r>
      <w:r>
        <w:rPr>
          <w:rFonts w:ascii="Times New Roman" w:hAnsi="Times New Roman" w:cs="Times New Roman"/>
          <w:sz w:val="24"/>
          <w:szCs w:val="24"/>
        </w:rPr>
        <w:fldChar w:fldCharType="end"/>
      </w:r>
      <w:r>
        <w:rPr>
          <w:rFonts w:ascii="Times New Roman" w:hAnsi="Times New Roman" w:cs="Times New Roman"/>
          <w:sz w:val="24"/>
          <w:szCs w:val="24"/>
        </w:rPr>
        <w:t xml:space="preserve">. Salah satu bentuk penghindaran pajak melalui </w:t>
      </w:r>
      <w:r>
        <w:rPr>
          <w:rFonts w:ascii="Times New Roman" w:hAnsi="Times New Roman" w:cs="Times New Roman"/>
          <w:i/>
          <w:iCs/>
          <w:sz w:val="24"/>
          <w:szCs w:val="24"/>
        </w:rPr>
        <w:t xml:space="preserve">profit shifting </w:t>
      </w:r>
      <w:r>
        <w:rPr>
          <w:rFonts w:ascii="Times New Roman" w:hAnsi="Times New Roman" w:cs="Times New Roman"/>
          <w:sz w:val="24"/>
          <w:szCs w:val="24"/>
        </w:rPr>
        <w:t xml:space="preserve">adalah dengan memanfaatkan negara </w:t>
      </w:r>
      <w:r>
        <w:rPr>
          <w:rFonts w:ascii="Times New Roman" w:hAnsi="Times New Roman" w:cs="Times New Roman"/>
          <w:i/>
          <w:iCs/>
          <w:sz w:val="24"/>
          <w:szCs w:val="24"/>
        </w:rPr>
        <w:t xml:space="preserve">tax haven </w:t>
      </w: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{"citationItems":[{"id":"ITEM-1","itemData":{"DOI":"10.24815/jr.v7i1.36333","ISSN":"2614-3917","abstract":"This research investigates the influence of Related Party Transactions and Tax Haven Utilization on Tax Avoidance with and without Country-by-Country Reporting regulations, which were introduced in Indonesia at the end of 2016, as moderating variables. This research uses a purposive sampling method as sample selection. The data in this study was collected from the financial reports of 96 multinational companies registered between 2012 and 2021. To test the hypothesis, this study used regression with Random Effect Model. The results of this research are that Tax Haven Utilization has a significant effect on Tax Avoidance and Related Party Transactions have no effect on Tax Avoidance. Other results show that Country-by-Country Reporting regulations are unable to moderate the influence of Related Party Transactions and Tax Haven Utilization on Tax Avoidance. The findings of this research provide recommendations for the government to launch CbCR regulations in order to prevent tax avoidance through mechanisms for utilizing tax havens and related party transactions as well as increasing understanding of the principles of implementing CBCR.","author":[{"dropping-particle":"","family":"Romulo","given":"Cesar Samuel","non-dropping-particle":"","parse-names":false,"suffix":""},{"dropping-particle":"","family":"Dalimunthe","given":"Zuliani","non-dropping-particle":"","parse-names":false,"suffix":""}],"container-title":"Riwayat: Educational Journal of History and Humanities","id":"ITEM-1","issue":"1","issued":{"date-parts":[["2024"]]},"page":"26-40","title":"Effect of Related Party Transaction and Tax Haven Utilization on Tax Avoidance Moderated by Country-by-country Reporting","type":"article-journal","volume":"7"},"uris":["http://www.mendeley.com/documents/?uuid=b2656ad0-af12-4a68-918f-6d13ae21953f"]}],"mendeley":{"formattedCitation":"(Romulo &amp; Dalimunthe, 2024)","plainTextFormattedCitation":"(Romulo &amp; Dalimunthe, 2024)","previouslyFormattedCitation":"(Romulo &amp; Dalimunthe, 2024)"},"properties":{"noteIndex":0},"schema":"https://github.com/citation-style-language/schema/raw/master/csl-citation.json"}</w:instrText>
      </w:r>
      <w:r>
        <w:rPr>
          <w:rFonts w:ascii="Times New Roman" w:hAnsi="Times New Roman" w:cs="Times New Roman"/>
          <w:i/>
          <w:iCs/>
          <w:sz w:val="24"/>
          <w:szCs w:val="24"/>
        </w:rPr>
        <w:fldChar w:fldCharType="separate"/>
      </w:r>
      <w:r>
        <w:rPr>
          <w:rFonts w:ascii="Times New Roman" w:hAnsi="Times New Roman" w:cs="Times New Roman"/>
          <w:iCs/>
          <w:sz w:val="24"/>
          <w:szCs w:val="24"/>
        </w:rPr>
        <w:t>(Romulo &amp; Dalimunthe, 2024)</w:t>
      </w:r>
      <w:r>
        <w:rPr>
          <w:rFonts w:ascii="Times New Roman" w:hAnsi="Times New Roman" w:cs="Times New Roman"/>
          <w:i/>
          <w:iCs/>
          <w:sz w:val="24"/>
          <w:szCs w:val="24"/>
        </w:rPr>
        <w:fldChar w:fldCharType="end"/>
      </w:r>
      <w:r>
        <w:rPr>
          <w:rFonts w:ascii="Times New Roman" w:hAnsi="Times New Roman" w:cs="Times New Roman"/>
          <w:i/>
          <w:iCs/>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dapat diartikan sebagai negara yang mengenakan tarif pajak yang sangat rendah, bahkan tidak ada pajak atau </w:t>
      </w:r>
      <w:r>
        <w:rPr>
          <w:rFonts w:ascii="Times New Roman" w:hAnsi="Times New Roman" w:cs="Times New Roman"/>
          <w:i/>
          <w:iCs/>
          <w:sz w:val="24"/>
          <w:szCs w:val="24"/>
        </w:rPr>
        <w:t xml:space="preserve">zero </w:t>
      </w:r>
      <w:r>
        <w:rPr>
          <w:rFonts w:ascii="Times New Roman" w:hAnsi="Times New Roman" w:cs="Times New Roman"/>
          <w:sz w:val="24"/>
          <w:szCs w:val="24"/>
        </w:rPr>
        <w:t xml:space="preserve">tarif. Hal ini dapat menarik perusahaan multinasional untuk menempatkan bisnis utamanya di negara tersebut agar dapat mengurangi pajak global secara keseluruhan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{"citationItems":[{"id":"ITEM-1","itemData":{"DOI":"10.24815/jr.v7i1.36333","ISSN":"2614-3917","abstract":"This research investigates the influence of Related Party Transactions and Tax Haven Utilization on Tax Avoidance with and without Country-by-Country Reporting regulations, which were introduced in Indonesia at the end of 2016, as moderating variables. This research uses a purposive sampling method as sample selection. The data in this study was collected from the financial reports of 96 multinational companies registered between 2012 and 2021. To test the hypothesis, this study used regression with Random Effect Model. The results of this research are that Tax Haven Utilization has a significant effect on Tax Avoidance and Related Party Transactions have no effect on Tax Avoidance. Other results show that Country-by-Country Reporting regulations are unable to moderate the influence of Related Party Transactions and Tax Haven Utilization on Tax Avoidance. The findings of this research provide recommendations for the government to launch CbCR regulations in order to prevent tax avoidance through mechanisms for utilizing tax havens and related party transactions as well as increasing understanding of the principles of implementing CBCR.","author":[{"dropping-particle":"","family":"Romulo","given":"Cesar Samuel","non-dropping-particle":"","parse-names":false,"suffix":""},{"dropping-particle":"","family":"Dalimunthe","given":"Zuliani","non-dropping-particle":"","parse-names":false,"suffix":""}],"container-title":"Riwayat: Educational Journal of History and Humanities","id":"ITEM-1","issue":"1","issued":{"date-parts":[["2024"]]},"page":"26-40","title":"Effect of Related Party Transaction and Tax Haven Utilization on Tax Avoidance Moderated by Country-by-country Reporting","type":"article-journal","volume":"7"},"uris":["http://www.mendeley.com/documents/?uuid=b2656ad0-af12-4a68-918f-6d13ae21953f"]}],"mendeley":{"formattedCitation":"(Romulo &amp; Dalimunthe, 2024)","plainTextFormattedCitation":"(Romulo &amp; Dalimunthe, 2024)","previouslyFormattedCitation":"(Romulo &amp; Dalimunthe,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(Romulo &amp; Dalimunthe, 2024)</w:t>
      </w:r>
      <w:r>
        <w:rPr>
          <w:rFonts w:ascii="Times New Roman" w:hAnsi="Times New Roman" w:cs="Times New Roman"/>
          <w:sz w:val="24"/>
          <w:szCs w:val="24"/>
        </w:rPr>
        <w:fldChar w:fldCharType="end"/>
      </w:r>
      <w:r>
        <w:rPr>
          <w:rFonts w:ascii="Times New Roman" w:hAnsi="Times New Roman" w:cs="Times New Roman"/>
          <w:sz w:val="24"/>
          <w:szCs w:val="24"/>
        </w:rPr>
        <w:t xml:space="preserve">.  Selain itu, faktor lain yang dapat dimanfaatkan oleh perusahaan dengan adanya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yaitu mendapatkan biaya tenaga kerja yang relatif lebih kecil, tingkat kerahasiaan keuangan yang ketat, dan mudahnya pelaksanaan dalam penghindaran pajak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{"citationItems":[{"id":"ITEM-1","itemData":{"DOI":"10.21831/nominal.v11i2.51444","ISSN":"2303-2065","abstract":"Abstrak: Pengaruh Tax Haven, Foreign Ownership, dan Intangible Assets terhadap Keputusan Transfer Pricing. Transfer pricing merupakan penetapan terhadap harga barang, jasa, maupun aset tidak berwujud yang dilakukan dari satu divisi ke divisi lain dalam perusahaan yang sama atau antar perusahaan yang saling memiliki hubungan istimewa. Motif transfer pricing yaitu untuk meminimalkan beban pajak yang ditanggung perusahaan guna mendapatkan keuntungan yang lebih tinggi. Tujuan dari penelitian ini untuk mengetahui pengaruh tax haven, foreign ownership, dan intangible assets terhadap transfer pricing. Populasi yang digunakan yaitu perusahaan infrastruktur, utilitas, dan transportasi yang terdaftar di BEI tahun 2016 hingga 2020 sejumlah 400 perusahaan. Penelitian ini menggunakan metode pengambilan sampel purposive sampling dan terpilih 40 unit analisis. Teknik analisis yang digunakan yakni analisis regresi linear berganda. Hasil penelitian menunjukkan bahwa tax haven berpengaruh positif signifikan terhadap keputusan transfer pricing, sedangkan foreign ownership dan intangible assets tidak berpengaruh signifikan terhadap keputusan transfer pricing. Kata kunci: Transfer Pricing, Surga Pajak, Kepemilikan Asing, Aset Tidak BerwujudAbstract: The Effect of Tax Haven, Foreign Ownership, and Intangible Assets on Transfer Pricing Decisions. Transfer pricing is the determination of the price of goods, services, or intangible assets carried out from one division to another within the same company or between companies that have special relationships. The transfer pricing motive is to minimize the tax burden borne by the company in order to obtain higher profits. The purpose of this study is to determine the effect of tax havens, foreign ownership, and intangible assets on transfer pricing decisions. The population used are infrastructure, utility, and transportation companies listed on the Indonesia Stock Exchange from 2016 to 2020 with a total of 400 companies. This study used a purposive sampling method and selected 40 units of analysis. The analysis technique used is multiple linear regression analysis. The results of the study show that tax havens have a positive and significant effect on transfer pricing decisions. Meanwhile, foreign ownership and intangible assets variables have no significant effect on transfer pricing decisions.Keywords: Transfer Pricing, Tax Haven, Foreign Ownership, Intangible Asset","author":[{"dropping-particle":"","family":"Bhudiyanti","given":"Khopifa","non-dropping-particle":"","parse-names":false,"suffix":""},{"dropping-particle":"","family":"Suryarini","given":"Trisni","non-dropping-particle":"","parse-names":false,"suffix":""}],"container-title":"Nominal Barometer Riset Akuntansi dan Manajemen","id":"ITEM-1","issue":"2","issued":{"date-parts":[["2022"]]},"page":"272-273","title":"Pengaruh Tax Haven, Foreign Ownership, dan Intangible Assets terhadap Keputusan Transfer Pricing","type":"article-journal","volume":"11"},"uris":["http://www.mendeley.com/documents/?uuid=0b2f6a8a-9bb6-4d81-9e2d-2b9294cd64c7"]}],"mendeley":{"formattedCitation":"(Bhudiyanti &amp; Suryarini, 2022)","plainTextFormattedCitation":"(Bhudiyanti &amp; Suryarini, 2022)","previouslyFormattedCitation":"(Bhudiyanti &amp; Suryarini,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(Bhudiyanti &amp; Suryarini, 2022)</w:t>
      </w:r>
      <w:r>
        <w:rPr>
          <w:rFonts w:ascii="Times New Roman" w:hAnsi="Times New Roman" w:cs="Times New Roman"/>
          <w:sz w:val="24"/>
          <w:szCs w:val="24"/>
        </w:rPr>
        <w:fldChar w:fldCharType="end"/>
      </w:r>
      <w:r>
        <w:rPr>
          <w:rFonts w:ascii="Times New Roman" w:hAnsi="Times New Roman" w:cs="Times New Roman"/>
          <w:sz w:val="24"/>
          <w:szCs w:val="24"/>
        </w:rPr>
        <w:t xml:space="preserve">. Pemanfaatan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yang dimanfaatkan perusahaan membawa dampak yang positif bagi perusahaan dalam berkurangnya beban pajak yang wajib dibayarkan menjadi lebih rendah, namun juga dapat membawa dampak yang negatif yaitu menurunkan reputasi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{"citationItems":[{"id":"ITEM-1","itemData":{"DOI":"10.21831/nominal.v11i2.51444","ISSN":"2303-2065","abstract":"Abstrak: Pengaruh Tax Haven, Foreign Ownership, dan Intangible Assets terhadap Keputusan Transfer Pricing. Transfer pricing merupakan penetapan terhadap harga barang, jasa, maupun aset tidak berwujud yang dilakukan dari satu divisi ke divisi lain dalam perusahaan yang sama atau antar perusahaan yang saling memiliki hubungan istimewa. Motif transfer pricing yaitu untuk meminimalkan beban pajak yang ditanggung perusahaan guna mendapatkan keuntungan yang lebih tinggi. Tujuan dari penelitian ini untuk mengetahui pengaruh tax haven, foreign ownership, dan intangible assets terhadap transfer pricing. Populasi yang digunakan yaitu perusahaan infrastruktur, utilitas, dan transportasi yang terdaftar di BEI tahun 2016 hingga 2020 sejumlah 400 perusahaan. Penelitian ini menggunakan metode pengambilan sampel purposive sampling dan terpilih 40 unit analisis. Teknik analisis yang digunakan yakni analisis regresi linear berganda. Hasil penelitian menunjukkan bahwa tax haven berpengaruh positif signifikan terhadap keputusan transfer pricing, sedangkan foreign ownership dan intangible assets tidak berpengaruh signifikan terhadap keputusan transfer pricing. Kata kunci: Transfer Pricing, Surga Pajak, Kepemilikan Asing, Aset Tidak BerwujudAbstract: The Effect of Tax Haven, Foreign Ownership, and Intangible Assets on Transfer Pricing Decisions. Transfer pricing is the determination of the price of goods, services, or intangible assets carried out from one division to another within the same company or between companies that have special relationships. The transfer pricing motive is to minimize the tax burden borne by the company in order to obtain higher profits. The purpose of this study is to determine the effect of tax havens, foreign ownership, and intangible assets on transfer pricing decisions. The population used are infrastructure, utility, and transportation companies listed on the Indonesia Stock Exchange from 2016 to 2020 with a total of 400 companies. This study used a purposive sampling method and selected 40 units of analysis. The analysis technique used is multiple linear regression analysis. The results of the study show that tax havens have a positive and significant effect on transfer pricing decisions. Meanwhile, foreign ownership and intangible assets variables have no significant effect on transfer pricing decisions.Keywords: Transfer Pricing, Tax Haven, Foreign Ownership, Intangible Asset","author":[{"dropping-particle":"","family":"Bhudiyanti","given":"Khopifa","non-dropping-particle":"","parse-names":false,"suffix":""},{"dropping-particle":"","family":"Suryarini","given":"Trisni","non-dropping-particle":"","parse-names":false,"suffix":""}],"container-title":"Nominal Barometer Riset Akuntansi dan Manajemen","id":"ITEM-1","issue":"2","issued":{"date-parts":[["2022"]]},"page":"272-273","title":"Pengaruh Tax Haven, Foreign Ownership, dan Intangible Assets terhadap Keputusan Transfer Pricing","type":"article-journal","volume":"11"},"uris":["http://www.mendeley.com/documents/?uuid=0b2f6a8a-9bb6-4d81-9e2d-2b9294cd64c7"]}],"mendeley":{"formattedCitation":"(Bhudiyanti &amp; Suryarini, 2022)","plainTextFormattedCitation":"(Bhudiyanti &amp; Suryarini, 2022)","previouslyFormattedCitation":"(Bhudiyanti &amp; Suryarini,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(Bhudiyanti &amp; Suryarini, 2022)</w:t>
      </w:r>
      <w:r>
        <w:rPr>
          <w:rFonts w:ascii="Times New Roman" w:hAnsi="Times New Roman" w:cs="Times New Roman"/>
          <w:sz w:val="24"/>
          <w:szCs w:val="24"/>
        </w:rPr>
        <w:fldChar w:fldCharType="end"/>
      </w:r>
      <w:r>
        <w:rPr>
          <w:rFonts w:ascii="Times New Roman" w:hAnsi="Times New Roman" w:cs="Times New Roman"/>
          <w:sz w:val="24"/>
          <w:szCs w:val="24"/>
        </w:rPr>
        <w:t xml:space="preserve">. Hal ini dilakukan dengan mengeksploitasi mekanisme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dalam melakukan transaksi antar perusahaan multinasional dengan perusahaan bisnis yang dimiliki di negara yang menerapkan tarif pajak yang lebih rendah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{"citationItems":[{"id":"ITEM-1","itemData":{"author":[{"dropping-particle":"","family":"Sumaryati","given":"Anna","non-dropping-particle":"","parse-names":false,"suffix":""}],"container-title":"JAKA: Jurnal Akuntansi, Keuangan dan Auditing","id":"ITEM-1","issue":"2","issued":{"date-parts":[["2023"]]},"page":"93-113","title":"Pengaruh Multinasionalitas , Tax Haven , Dan Goodwill Terhadap Transfer Pricing Dengan Moderasi Political Connection","type":"article-journal","volume":"4"},"uris":["http://www.mendeley.com/documents/?uuid=1763177e-58e2-40c6-998b-6e96827953ca"]}],"mendeley":{"formattedCitation":"(Sumaryati, 2023)","plainTextFormattedCitation":"(Sumaryati, 2023)","previouslyFormattedCitation":"(Sumaryati,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(Sumaryati, 2023)</w:t>
      </w:r>
      <w:r>
        <w:rPr>
          <w:rFonts w:ascii="Times New Roman" w:hAnsi="Times New Roman" w:cs="Times New Roman"/>
          <w:sz w:val="24"/>
          <w:szCs w:val="24"/>
        </w:rPr>
        <w:fldChar w:fldCharType="end"/>
      </w:r>
      <w:r>
        <w:rPr>
          <w:rFonts w:ascii="Times New Roman" w:hAnsi="Times New Roman" w:cs="Times New Roman"/>
          <w:sz w:val="24"/>
          <w:szCs w:val="24"/>
        </w:rPr>
        <w:t>. </w:t>
      </w:r>
    </w:p>
    <w:p w14:paraId="285A1D0E"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Surga pajak memberikan keringanan kepada departemen pajak, termasuk sektor perbankan. Salah satunya adalah sistem kerahasiaan bank yang sangat ketat </w:t>
      </w: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author":[{"dropping-particle":"","family":"Samalagi","given":"Fitriyani","non-dropping-particle":"","parse-names":false,"suffix":""},{"dropping-particle":"","family":"Hormati","given":"Asrudin","non-dropping-particle":"","parse-names":false,"suffix":""},{"dropping-particle":"","family":"Ali","given":"Iqbal M Aris","non-dropping-particle":"","parse-names":false,"suffix":""},{"dropping-particle":"","family":"Ternate","given":"Universitas Khairun","non-dropping-particle":"","parse-names":false,"suffix":""}],"container-title":"Ekonomika45: Jurnal Ilmiah Manajemen, Ekonomi Bisnis, Kewirausahaan","id":"ITEM-1","issue":"1","issued":{"date-parts":[["2024"]]},"page":"32-42","title":"Pengaruh Pajak , Tax Havens , Exchange Rate , dan Tunneling Incentive Terhadap transfer Pricing pada Perusahaan Multinasional","type":"article-journal","volume":"12"},"uris":["http://www.mendeley.com/documents/?uuid=1e62d46e-e8da-4738-8451-f7fe2804afc4"]}],"mendeley":{"formattedCitation":"(Samalagi, Hormati, Ali, &amp; Ternate, 2024)","plainTextFormattedCitation":"(Samalagi, Hormati, Ali, &amp; Ternate, 2024)","previouslyFormattedCitation":"(Samalagi, Hormati, Ali, &amp; Ternate,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(Samalagi, Hormati, Ali, &amp; Ternate, 2024)</w:t>
      </w:r>
      <w:r>
        <w:rPr>
          <w:rFonts w:ascii="Times New Roman" w:hAnsi="Times New Roman" w:cs="Times New Roman"/>
          <w:sz w:val="24"/>
          <w:szCs w:val="24"/>
        </w:rPr>
        <w:fldChar w:fldCharType="end"/>
      </w:r>
      <w:r>
        <w:rPr>
          <w:rFonts w:ascii="Times New Roman" w:hAnsi="Times New Roman" w:cs="Times New Roman"/>
          <w:sz w:val="24"/>
          <w:szCs w:val="24"/>
        </w:rPr>
        <w:t xml:space="preserve">. Oleh karena itu, </w:t>
      </w:r>
      <w:r>
        <w:rPr>
          <w:rFonts w:ascii="Times New Roman" w:hAnsi="Times New Roman" w:cs="Times New Roman"/>
          <w:i/>
          <w:iCs/>
          <w:sz w:val="24"/>
          <w:szCs w:val="24"/>
        </w:rPr>
        <w:t>tax haven country</w:t>
      </w:r>
      <w:r>
        <w:rPr>
          <w:rFonts w:ascii="Times New Roman" w:hAnsi="Times New Roman" w:cs="Times New Roman"/>
          <w:sz w:val="24"/>
          <w:szCs w:val="24"/>
        </w:rPr>
        <w:t xml:space="preserve"> sering disebut sebagai pusat keuangan dunia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{"citationItems":[{"id":"ITEM-1","itemData":{"DOI":"10.1016/j.intacc.2015.10.001","ISSN":"00207063","abstract":"This paper examines the association between a series of income shifting incentives including multinationality, transfer pricing aggressiveness, thin capitalization, intangible assets and tax haven utilization. Our empirical analysis is based on a sample of 286 multinational U.S. firms over the 2006-2012 period (2002 firm-years). Our regression results show that multinationality, transfer pricing aggressiveness, thin capitalization and intangible assets are positively associated with tax haven utilization. Our results are consistent based on several robustness checks.","author":[{"dropping-particle":"","family":"Richardson","given":"Grant","non-dropping-particle":"","parse-names":false,"suffix":""},{"dropping-particle":"","family":"Taylor","given":"Grantley","non-dropping-particle":"","parse-names":false,"suffix":""}],"container-title":"International Journal of Accounting","id":"ITEM-1","issue":"4","issued":{"date-parts":[["2015"]]},"page":"458-485","title":"Income Shifting Incentives and Tax Haven Utilization: Evidence from Multinational U.S. Firms","type":"article-journal","volume":"50"},"uris":["http://www.mendeley.com/documents/?uuid=69edf1dd-cd6a-4f2d-90b2-849cf6370703"]}],"mendeley":{"formattedCitation":"(Richardson &amp; Taylor, 2015)","plainTextFormattedCitation":"(Richardson &amp; Taylor, 2015)","previouslyFormattedCitation":"(Richardson &amp; Taylor,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(Richardson &amp; Taylor, 2015)</w:t>
      </w:r>
      <w:r>
        <w:rPr>
          <w:rFonts w:ascii="Times New Roman" w:hAnsi="Times New Roman" w:cs="Times New Roman"/>
          <w:sz w:val="24"/>
          <w:szCs w:val="24"/>
        </w:rPr>
        <w:fldChar w:fldCharType="end"/>
      </w:r>
      <w:r>
        <w:rPr>
          <w:rFonts w:ascii="Times New Roman" w:hAnsi="Times New Roman" w:cs="Times New Roman"/>
          <w:sz w:val="24"/>
          <w:szCs w:val="24"/>
        </w:rPr>
        <w:t>. </w:t>
      </w:r>
    </w:p>
    <w:p w14:paraId="24197B54" w14:textId="77777777" w:rsidR="00BB58C4" w:rsidRDefault="00000000">
      <w:pPr>
        <w:spacing w:after="0" w:line="480" w:lineRule="auto"/>
        <w:ind w:firstLine="720"/>
        <w:jc w:val="both"/>
        <w:rPr>
          <w:rFonts w:ascii="Times New Roman" w:hAnsi="Times New Roman" w:cs="Times New Roman"/>
          <w:sz w:val="24"/>
          <w:szCs w:val="24"/>
        </w:rPr>
      </w:pPr>
      <w:bookmarkStart w:id="29" w:name="_Hlk213950708"/>
      <w:r>
        <w:rPr>
          <w:rFonts w:ascii="Times New Roman" w:hAnsi="Times New Roman" w:cs="Times New Roman"/>
          <w:sz w:val="24"/>
          <w:szCs w:val="24"/>
        </w:rPr>
        <w:t xml:space="preserve">Teori internalisasi merupakan mekanisme paling efisien untuk mengalokasikan sumber daya dan keuntungan di seluruh rantai nilai global. Dengan memanfaatkan keberadaan negara </w:t>
      </w:r>
      <w:r>
        <w:rPr>
          <w:rFonts w:ascii="Times New Roman" w:hAnsi="Times New Roman" w:cs="Times New Roman"/>
          <w:i/>
          <w:iCs/>
          <w:sz w:val="24"/>
          <w:szCs w:val="24"/>
        </w:rPr>
        <w:t xml:space="preserve">tax haven </w:t>
      </w:r>
      <w:r>
        <w:rPr>
          <w:rFonts w:ascii="Times New Roman" w:hAnsi="Times New Roman" w:cs="Times New Roman"/>
          <w:sz w:val="24"/>
          <w:szCs w:val="24"/>
        </w:rPr>
        <w:t>dan memanipulasi penetapan harga atas transaksi aset tak berwujud maka perusahaan dapat memaksimalkan keuntungan perusahaan tanpa pengenaan pajak yang besar.</w:t>
      </w:r>
    </w:p>
    <w:p w14:paraId="009D05CF" w14:textId="77777777" w:rsidR="00BB58C4" w:rsidRDefault="00000000">
      <w:pPr>
        <w:pStyle w:val="Heading3"/>
        <w:ind w:left="709" w:hanging="709"/>
      </w:pPr>
      <w:bookmarkStart w:id="30" w:name="_Toc220995024"/>
      <w:bookmarkEnd w:id="29"/>
      <w:r>
        <w:rPr>
          <w:i/>
          <w:iCs/>
        </w:rPr>
        <w:t>Intangible Asset</w:t>
      </w:r>
      <w:bookmarkEnd w:id="30"/>
    </w:p>
    <w:p w14:paraId="22F483D5"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pedoman </w:t>
      </w:r>
      <w:r>
        <w:rPr>
          <w:rFonts w:ascii="Times New Roman" w:hAnsi="Times New Roman" w:cs="Times New Roman"/>
          <w:i/>
          <w:iCs/>
          <w:sz w:val="24"/>
          <w:szCs w:val="24"/>
        </w:rPr>
        <w:t>Organisation for Economic Co-operation and Development</w:t>
      </w:r>
      <w:r>
        <w:rPr>
          <w:rFonts w:ascii="Times New Roman" w:hAnsi="Times New Roman" w:cs="Times New Roman"/>
          <w:sz w:val="24"/>
          <w:szCs w:val="24"/>
        </w:rPr>
        <w:t xml:space="preserve"> (OECD)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didefinisikan sebagai aset yang tidak berbentuk fisik atau finansial, tetapi dapat dimiliki atau dikendalikan untuk kegiatan komersial. Penggunaannya dalam transaksi antar pihak afiliasi harus tetap memperhatikan prinsip kewajaran.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mencakup hak paten, merek dagang, hak cipta, dan teknologi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{"citationItems":[{"id":"ITEM-1","itemData":{"DOI":"10.1111/fcre.12621","ISBN":"9789264526914","ISSN":"17441617","author":[{"dropping-particle":"","family":"OECD","given":"","non-dropping-particle":"","parse-names":false,"suffix":""}],"container-title":"OECD Publishing, Paris","id":"ITEM-1","issue":"1","issued":{"date-parts":[["2022"]]},"number-of-pages":"5-6","title":"OECD Transfer Pricing Guidelines for Multinational Enterprises and Tax Administrations","type":"book","volume":"60"},"uris":["http://www.mendeley.com/documents/?uuid=90eccb6c-5f78-4b7a-ad61-4a6ada3890e4"]}],"mendeley":{"formattedCitation":"(OECD, 2022)","plainTextFormattedCitation":"(OECD, 2022)","previouslyFormattedCitation":"(OECD,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(OECD, 2022)</w:t>
      </w:r>
      <w:r>
        <w:rPr>
          <w:rFonts w:ascii="Times New Roman" w:hAnsi="Times New Roman" w:cs="Times New Roman"/>
          <w:sz w:val="24"/>
          <w:szCs w:val="24"/>
        </w:rPr>
        <w:fldChar w:fldCharType="end"/>
      </w:r>
      <w:r>
        <w:rPr>
          <w:rFonts w:ascii="Times New Roman" w:hAnsi="Times New Roman" w:cs="Times New Roman"/>
          <w:sz w:val="24"/>
          <w:szCs w:val="24"/>
        </w:rPr>
        <w:t>. </w:t>
      </w:r>
    </w:p>
    <w:p w14:paraId="19724D9C"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yang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{"citationItems":[{"id":"ITEM-1","itemData":{"DOI":"10.1007/s10551-018-4090-0","ISBN":"1055101840900","ISSN":"15730697","abstract":"Tax haven investment has become an increasingly important topic in business ethics. Given the considerable tax haven investments from emerging market firms, understanding how home-country institutions shape their investments in tax havens is theoretically intriguing and practically crucial. By integrating resource dependence and institutional theories, we hypothesize the existence of a negative relationship between firms’ home-country political status and tax haven investment. State-owned enterprises (SOEs) controlled by the central government dominate the political hierarchy. Compared with other types of enterprises, central SOEs receive the strongest institutional support and are the most prone to institutional oversight, thereby exhibiting the weakest tendency to invest in tax havens. This top group is followed by SOEs controlled by local governments, politically connected private firms, and private firms without political connections. These groups exhibit an increasing tendency to invest in overseas tax havens. The empirical analysis of Chinese listed firms during 2003–2013 supports our hypotheses. This research contributes to the business ethics literature by identifying institutional drivers of overseas tax haven investment by emerging market firms, thereby adding to the ethical debate on international tax avoidance.","author":[{"dropping-particle":"","family":"Deng","given":"Ziliang","non-dropping-particle":"","parse-names":false,"suffix":""},{"dropping-particle":"","family":"Yan","given":"Jiayan","non-dropping-particle":"","parse-names":false,"suffix":""},{"dropping-particle":"","family":"Sun","given":"Pei","non-dropping-particle":"","parse-names":false,"suffix":""}],"container-title":"Journal of Business Ethics","id":"ITEM-1","issue":"3","issued":{"date-parts":[["2020"]]},"page":"469-488","publisher":"Springer Netherlands","title":"Political Status and Tax Haven Investment of Emerging Market Firms: Evidence from China","type":"article-journal","volume":"165"},"uris":["http://www.mendeley.com/documents/?uuid=d7c6440c-140a-4803-82a8-8284811f09a8"]}],"mendeley":{"formattedCitation":"(Deng, Yan, &amp; Sun, 2020)","manualFormatting":"Deng et al., (2020)","plainTextFormattedCitation":"(Deng, Yan, &amp; Sun, 2020)","previouslyFormattedCitation":"(Deng, Yan, &amp; Sun,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Deng et al., (2020)</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menyatakan bahwa </w:t>
      </w:r>
      <w:r>
        <w:rPr>
          <w:rFonts w:ascii="Times New Roman" w:hAnsi="Times New Roman" w:cs="Times New Roman"/>
          <w:i/>
          <w:iCs/>
          <w:sz w:val="24"/>
          <w:szCs w:val="24"/>
        </w:rPr>
        <w:t>intangible asset</w:t>
      </w:r>
      <w:r>
        <w:rPr>
          <w:rFonts w:ascii="Times New Roman" w:hAnsi="Times New Roman" w:cs="Times New Roman"/>
          <w:sz w:val="24"/>
          <w:szCs w:val="24"/>
        </w:rPr>
        <w:t xml:space="preserve"> meningkatkan kecenderungan penghindaran pajak melalui </w:t>
      </w:r>
      <w:r>
        <w:rPr>
          <w:rFonts w:ascii="Times New Roman" w:hAnsi="Times New Roman" w:cs="Times New Roman"/>
          <w:i/>
          <w:iCs/>
          <w:sz w:val="24"/>
          <w:szCs w:val="24"/>
        </w:rPr>
        <w:t>transfer pricing</w:t>
      </w:r>
      <w:r>
        <w:rPr>
          <w:rFonts w:ascii="Times New Roman" w:hAnsi="Times New Roman" w:cs="Times New Roman"/>
          <w:sz w:val="24"/>
          <w:szCs w:val="24"/>
        </w:rPr>
        <w:t xml:space="preserve"> karena auditor pajak kesulitan menentukan kewajaran harga transfer. Perusahaan seringkali memanfaatkan situasi tersebut dengan mengalokasikan pendapatan atau biaya antar entitas afiliasi, terutama dalam transaksi lintas negara yurisdiksi yang memiliki tarif pajak yang lebih rendah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{"citationItems":[{"id":"ITEM-1","itemData":{"DOI":"10.28932/jam.v13i2.3885","ISSN":"2085-8698","abstract":"Abstract\r This study aims to determine the effect of intangible assets, firm size, tax compliance, leverage on transfer pricing. The data analysis uses multiple linear regressions on 12 manufacturing companies listed on the Indonesia Stock Exchange (IDX) during 2015-2019. The results of this study show that intangible assets, firm size, tax compliance, leverage simultaneously have a significant effect on a company’s decision to practice transfer pricing, as well as intangible assets and leverage partially, have a positive and significant effect on transfer pricing. But firm size partly has a negative and significant effect on transfer pricing. Meanwhile, tax compliance has no significant effect on transfer pricing.\r  Keywords: Intangible Assets, Firm Size, Tax Compliance, Leverage, and Transfer Pricing\r  ","author":[{"dropping-particle":"","family":"Wahyudi","given":"Ickhsanto","non-dropping-particle":"","parse-names":false,"suffix":""},{"dropping-particle":"","family":"Fitriah","given":"Nur","non-dropping-particle":"","parse-names":false,"suffix":""}],"container-title":"Jurnal Akuntansi","id":"ITEM-1","issue":"2","issued":{"date-parts":[["2021"]]},"page":"388-401","title":"Pengaruh Aset Tidak Berwujud, Ukuran Perusahaan, Kepatuhan Perpajakan, dan Leverage Terhadap Transfer Pricing","type":"article-journal","volume":"13"},"uris":["http://www.mendeley.com/documents/?uuid=27706aa7-2bd0-4351-97c6-9b30f6be4f4e"]}],"mendeley":{"formattedCitation":"(Wahyudi &amp; Fitriah, 2021)","plainTextFormattedCitation":"(Wahyudi &amp; Fitriah, 2021)","previouslyFormattedCitation":"(Wahyudi &amp; Fitriah,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(Wahyudi &amp; Fitriah, 2021)</w:t>
      </w:r>
      <w:r>
        <w:rPr>
          <w:rFonts w:ascii="Times New Roman" w:hAnsi="Times New Roman" w:cs="Times New Roman"/>
          <w:sz w:val="24"/>
          <w:szCs w:val="24"/>
        </w:rPr>
        <w:fldChar w:fldCharType="end"/>
      </w:r>
      <w:r>
        <w:rPr>
          <w:rFonts w:ascii="Times New Roman" w:hAnsi="Times New Roman" w:cs="Times New Roman"/>
          <w:sz w:val="24"/>
          <w:szCs w:val="24"/>
        </w:rPr>
        <w:t>. Aset-aset ini dapat digunakan untuk penghindaran pajak dengan memanfaatkan biaya yang dapat dikurangkan dari amortitasi.</w:t>
      </w:r>
    </w:p>
    <w:p w14:paraId="511826BC" w14:textId="77777777" w:rsidR="00BB58C4" w:rsidRDefault="00BB58C4">
      <w:pPr>
        <w:spacing w:after="0" w:line="480" w:lineRule="auto"/>
        <w:ind w:firstLine="720"/>
        <w:jc w:val="both"/>
        <w:rPr>
          <w:rFonts w:ascii="Times New Roman" w:hAnsi="Times New Roman" w:cs="Times New Roman"/>
          <w:sz w:val="24"/>
          <w:szCs w:val="24"/>
        </w:rPr>
      </w:pPr>
    </w:p>
    <w:p w14:paraId="2692E050" w14:textId="77777777" w:rsidR="00BB58C4" w:rsidRDefault="00000000">
      <w:pPr>
        <w:pStyle w:val="Heading3"/>
        <w:ind w:left="426" w:hanging="426"/>
      </w:pPr>
      <w:bookmarkStart w:id="31" w:name="_Toc220995025"/>
      <w:r>
        <w:rPr>
          <w:i/>
          <w:iCs/>
        </w:rPr>
        <w:lastRenderedPageBreak/>
        <w:t>Tax Minimization</w:t>
      </w:r>
      <w:bookmarkEnd w:id="31"/>
    </w:p>
    <w:p w14:paraId="6BB42F55"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Pajak merupakan iuran wajib yang harus dibayar masyarakat. Tarif pajak semakin besar akan membuat perusahaan untuk meminimalkan pajak yang harus dibayar dengan berbagai cara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ska","given":"Amilia","non-dropping-particle":"","parse-names":false,"suffix":""},{"dropping-particle":"","family":"Anwar","given":"Saiful","non-dropping-particle":"","parse-names":false,"suffix":""}],"container-title":"Jurnal Akuntansi Berkelanjutan Indonesia","id":"ITEM-1","issue":"3","issued":{"date-parts":[["2021"]]},"page":"266-280","title":"PENGARUH TUNNELING INCENTIVE , BONUS MECHANISM , DEBT COVENANT DAN TAX MINIMIZATION TERHADAP KEPUTUSAN TRANSFER PRICING Abstrack Abstrak","type":"article-journal","volume":"4"},"uris":["http://www.mendeley.com/documents/?uuid=c7389544-506d-4b61-8826-e95b132c1889"]}],"mendeley":{"formattedCitation":"(Riska &amp; Anwar, 2021)","plainTextFormattedCitation":"(Riska &amp; Anwar, 2021)","previouslyFormattedCitation":"(Riska &amp; Anwar,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(Riska &amp; Anwar, 2021)</w:t>
      </w:r>
      <w:r>
        <w:rPr>
          <w:rFonts w:ascii="Times New Roman" w:hAnsi="Times New Roman" w:cs="Times New Roman"/>
          <w:sz w:val="24"/>
          <w:szCs w:val="24"/>
        </w:rPr>
        <w:fldChar w:fldCharType="end"/>
      </w:r>
      <w:r>
        <w:rPr>
          <w:rFonts w:ascii="Times New Roman" w:hAnsi="Times New Roman" w:cs="Times New Roman"/>
          <w:sz w:val="24"/>
          <w:szCs w:val="24"/>
        </w:rPr>
        <w:t xml:space="preserve">. Salah satunya yaitu Minimalisasi pajak yang merupakan suatu tindakan untuk mengurangi pajak yang dibayarkan kepada otoritas pajak yang menyebabkan terjadinya penghindaran pajak </w:t>
      </w:r>
      <w:r>
        <w:rPr>
          <w:rFonts w:ascii="Times New Roman" w:hAnsi="Times New Roman" w:cs="Times New Roman"/>
          <w:i/>
          <w:iCs/>
          <w:sz w:val="24"/>
          <w:szCs w:val="24"/>
        </w:rPr>
        <w:t xml:space="preserve">(tax avoidance) </w:t>
      </w:r>
      <w:r>
        <w:rPr>
          <w:rFonts w:ascii="Times New Roman" w:hAnsi="Times New Roman" w:cs="Times New Roman"/>
          <w:sz w:val="24"/>
          <w:szCs w:val="24"/>
        </w:rPr>
        <w:t xml:space="preserve">baik secara legal maupun ilegal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{"citationItems":[{"id":"ITEM-1","itemData":{"DOI":"10.24123/jbt.v5i1.4079","ISSN":"2580-4928","abstract":"Abstract\r The purpose of this study was to determine the effect of tax minimization, bonus mechanisms, foreign ownership, exchange rates, and audit quality on transfer pricing in manufacturing companies in Indonesia. The population of this research was all manufacturing companies listed on the Indonesia Stock Exchange from 2017 to 2019. By using the purposive sampling method, 81 companies were selected as the research sample. Based on logistic regression analysis, it was proven that the tax minimization variable has a significant positive effect on transfer pricing decisions. Likewise, the audit quality variable is proven to have a significant negative effect on transfer pricing decisions in manufacturing companies in Indonesia. Meanwhile, the bonus mechanism, foreign ownership, and exchange rate variables were not proven to have a significant effect on the company's transfer pricing decision. These results indicated that the greater the tax minimization carried out by the company and the lower the audit quality will increase the probability of the company in conducting transfer pricing, and vice versa. The results of this study have implications for encouraging the government to make regulations that can prevent transfer pricing practices between companies that have a special relationship that might harm the government from tax revenue.\r  Keywords: bonus mechanism; foreign ownership; tax minimization; transfer pricing","author":[{"dropping-particle":"","family":"Marfuah","given":"Marfuah","non-dropping-particle":"","parse-names":false,"suffix":""},{"dropping-particle":"","family":"Sanintya Mayantya","given":"","non-dropping-particle":"","parse-names":false,"suffix":""},{"dropping-particle":"","family":"Priyono Puji Prasetyo","given":"","non-dropping-particle":"","parse-names":false,"suffix":""}],"container-title":"Jurnal Bisnis Terapan","id":"ITEM-1","issue":"1","issued":{"date-parts":[["2021"]]},"page":"57-72","title":"the Effect of Tax Minimization, Bonus Mechanism, Foreign Ownership, Exchange Rate, Audit Quality on Transfer Pricing Decisions","type":"article-journal","volume":"5"},"uris":["http://www.mendeley.com/documents/?uuid=585f3e42-702a-4a8a-9d48-2a9b7a37c2a6"]}],"mendeley":{"formattedCitation":"(Marfuah et al., 2021)","plainTextFormattedCitation":"(Marfuah et al., 2021)","previouslyFormattedCitation":"(Marfuah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(Marfuah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Strategi ini memungkinkan perusahaan untuk meminimalkan pembayaran pajaknya, memperbaiki posisi arus kasnya, dan memastikan ketersediaan dana yang cukup untuk melunasi utang dan menghindari gagal bayar perjanjian hutang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{"citationItems":[{"id":"ITEM-1","itemData":{"DOI":"10.54371/jiip.v7i9.5917","abstract":"Transfer pricing merupakan penentuan jumlah pembagian pendapatan perusahaan induk ke anak perusahaan berdasarkan hubungan istimewa. Debt covenant, ingitable asset, dan tax minimization berpengaruh terhadap perilaku transfer pricing manajemen perusahaan. Penelitian ini bertujuan untuk mengetahui pengaruh Debt covenant, ingitable asset, dan tax minimization pada Transfer Pricing. Sampel penelitian ini adalah perusahaan manufaktur sektor barang konsumsi yang terdaftar di BEI periode 2019 - 2022. Teknik penentuan sampel yang digunakan dalam penelitian ini adalah Purposive Sampling dan total perusahaan amatan yang digunakan dalam penelitian ini 120 perusahaan. Pengujian data dalam penelitian ini menggunakan multiple regression analysis bantuan aplikasi SPSS versi 28. Berdasarkan hasil analisis penelitian diperoleh (1) debt covenant berpengaruh positif terhadap transfer pricing (2) ingitable asset berpengaruh positif terhadap transfer pricing; (3) tax minimization berpengaruh positif terhadap transfer pricing.","author":[{"dropping-particle":"","family":"Wayan","given":"Maria Vianney Lelang","non-dropping-particle":"","parse-names":false,"suffix":""},{"dropping-particle":"","family":"Khomsiyah","given":"Khomsiyah","non-dropping-particle":"","parse-names":false,"suffix":""}],"container-title":"JIIP - Jurnal Ilmiah Ilmu Pendidikan","id":"ITEM-1","issue":"9","issued":{"date-parts":[["2024"]]},"page":"9533-9539","title":"Pengaruh Debt Covenant, Ingitable Assets, Tax Minimization terhadap Transfer Pricing","type":"article-journal","volume":"7"},"uris":["http://www.mendeley.com/documents/?uuid=c29a9e23-982d-4574-95f4-0246e7767828"]}],"mendeley":{"formattedCitation":"(Wayan &amp; Khomsiyah, 2024)","plainTextFormattedCitation":"(Wayan &amp; Khomsiyah, 2024)","previouslyFormattedCitation":"(Wayan &amp; Khomsiyah,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(Wayan &amp; Khomsiyah, 2024)</w:t>
      </w:r>
      <w:r>
        <w:rPr>
          <w:rFonts w:ascii="Times New Roman" w:hAnsi="Times New Roman" w:cs="Times New Roman"/>
          <w:sz w:val="24"/>
          <w:szCs w:val="24"/>
        </w:rPr>
        <w:fldChar w:fldCharType="end"/>
      </w:r>
      <w:r>
        <w:rPr>
          <w:rFonts w:ascii="Times New Roman" w:hAnsi="Times New Roman" w:cs="Times New Roman"/>
          <w:sz w:val="24"/>
          <w:szCs w:val="24"/>
        </w:rPr>
        <w:t>.</w:t>
      </w:r>
    </w:p>
    <w:p w14:paraId="7A88BAA6"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Tinggi nya pajak yang harus dibayarkan membuat manajer seringkali melakukan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guna untuk meminimalkan pajak yang dibayarkan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{"citationItems":[{"id":"ITEM-1","itemData":{"DOI":"10.47505/IJRSS.2023.V4.4.1","ISSN":"25826220","abstract":"Profit is the main orientation for every business entitybecause profit is one of the company's performance indicators in order to maintain its sustainability, therefore various strategies are designed and implemented so that the company continues to exist and is able to compete along with increasingly competitive and massive developments. Transfer pricing is a strategy that is oftenimplemented by companies in order to manage resources while achieving profit optimization and as a strategy is certainly influenced by several determinants including Tax minimization, leverage and Good Corporate Governance. This study intends to examine the effect of tax minimization and leverage through the interaction of Good Corporate Governance which is proxied by the number of audit committees with educational backgrounds and accounting experience. The population used are all entities in the industrial sector listed on the Indonesia Stock Exchange, using purposive sampling obtained from 17 selected companies with the observation period 2019 –2021 so that a total sample data of 51 is obtained. Moderating Regression Analysis (MRA) is used as a technique to examine the relationship between variables. The test results show that partially Tax minimization, leverage, and Good Corporate Governance have a significant effect on transfer pricing. The test results also show that GCG is able to moderate both tax minimization and leverage on transfer pricing.","author":[{"dropping-particle":"","family":"Fatmi","given":"Aulia Arie","non-dropping-particle":"","parse-names":false,"suffix":""},{"dropping-particle":"","family":"Amin","given":"Aminul","non-dropping-particle":"","parse-names":false,"suffix":""}],"container-title":"International Journal of Research in Social Science and Humanities (IJRSS)","id":"ITEM-1","issue":"04","issued":{"date-parts":[["2023"]]},"page":"01-15","title":"The Effect of Tax Minimization and Leverage on Transfer Pricing Decisions With GCG as Moderation","type":"article-journal","volume":"09"},"uris":["http://www.mendeley.com/documents/?uuid=3d469e8b-bc9f-4dc0-9ffc-78030bea2052"]}],"mendeley":{"formattedCitation":"(Fatmi &amp; Amin, 2023)","plainTextFormattedCitation":"(Fatmi &amp; Amin, 2023)","previouslyFormattedCitation":"(Fatmi &amp; Amin,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(Fatmi &amp; Amin, 2023)</w:t>
      </w:r>
      <w:r>
        <w:rPr>
          <w:rFonts w:ascii="Times New Roman" w:hAnsi="Times New Roman" w:cs="Times New Roman"/>
          <w:sz w:val="24"/>
          <w:szCs w:val="24"/>
        </w:rPr>
        <w:fldChar w:fldCharType="end"/>
      </w:r>
      <w:r>
        <w:rPr>
          <w:rFonts w:ascii="Times New Roman" w:hAnsi="Times New Roman" w:cs="Times New Roman"/>
          <w:sz w:val="24"/>
          <w:szCs w:val="24"/>
        </w:rPr>
        <w:t xml:space="preserve">. Minimalisasi pajak dilakukan dengan cara mengalihkan pendapatan serta biaya yang dihasilkan suatu perusahaan kepada perusahaan lain di negara yang menerapkan tarif pajak yang lebih rendah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{"citationItems":[{"id":"ITEM-1","itemData":{"DOI":"10.37481/sjr.v6i1.634","ISSN":"2615-3009","abstract":"This study aims to find out and test empirically the effect of tax minimization, exchange rates and tunneling incentives on transfer tricing decisions in manufacturing companies listed on the Indonesia Stock Exchange in 2015-2020. The type of research used is associative quantitative which uses secondary data in the form of financial reports that have been published by the company on the Indonesia Stock Exchange. The population of this study were 138 companies and the selected sample was 11 companies using purposive sampling method, with 61 data analyzed. The data analysis technique for testing this hypothesis was carried out using the Eviews 9 application. The results of this study show that simultaneously tax minimization, exchange rate and tunneling incentives have a significant effect on transfer pricing. Partially, tax minimization has no effect on transfer pricing, the exchange rate has a significant positive effect on transfer pricing. Tunneling incentive has a significant positive effect on transfer pricing.","author":[{"dropping-particle":"","family":"Putri","given":"Wulandari Cahyani","non-dropping-particle":"","parse-names":false,"suffix":""},{"dropping-particle":"","family":"Lindawati","given":"Lindawati","non-dropping-particle":"","parse-names":false,"suffix":""}],"container-title":"SCIENTIFIC JOURNAL OF REFLECTION : Economic, Accounting, Management and Business","id":"ITEM-1","issue":"1","issued":{"date-parts":[["2023"]]},"page":"195-204","title":"Pengaruh Tax Minimization, Exchange Rate Dan Tunneling Incentive Terhadap Keputusan Transfer Pricing","type":"article-journal","volume":"6"},"uris":["http://www.mendeley.com/documents/?uuid=737bddbc-edfa-4071-9c61-e6720a578abf"]}],"mendeley":{"formattedCitation":"(Putri &amp; Lindawati, 2023)","plainTextFormattedCitation":"(Putri &amp; Lindawati, 2023)","previouslyFormattedCitation":"(Putri &amp; Lindawati,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(Putri &amp; Lindawati,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A6D6C5C" w14:textId="77777777" w:rsidR="00BB58C4" w:rsidRDefault="00000000">
      <w:pPr>
        <w:pStyle w:val="SubBab2"/>
        <w:ind w:left="426"/>
      </w:pPr>
      <w:bookmarkStart w:id="32" w:name="_Toc220995026"/>
      <w:r>
        <w:t>Penelitian Terdahulu</w:t>
      </w:r>
      <w:bookmarkEnd w:id="32"/>
    </w:p>
    <w:p w14:paraId="02E30195"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Penelitian ini membahas mengenai </w:t>
      </w:r>
      <w:r>
        <w:rPr>
          <w:rFonts w:ascii="Times New Roman" w:hAnsi="Times New Roman" w:cs="Times New Roman"/>
          <w:i/>
          <w:iCs/>
          <w:sz w:val="24"/>
          <w:szCs w:val="24"/>
        </w:rPr>
        <w:t xml:space="preserve">tax haven, intangible asset, </w:t>
      </w:r>
      <w:r>
        <w:rPr>
          <w:rFonts w:ascii="Times New Roman" w:hAnsi="Times New Roman" w:cs="Times New Roman"/>
          <w:sz w:val="24"/>
          <w:szCs w:val="24"/>
        </w:rPr>
        <w:t xml:space="preserve">dan </w:t>
      </w:r>
      <w:r>
        <w:rPr>
          <w:rFonts w:ascii="Times New Roman" w:hAnsi="Times New Roman" w:cs="Times New Roman"/>
          <w:i/>
          <w:iCs/>
          <w:sz w:val="24"/>
          <w:szCs w:val="24"/>
        </w:rPr>
        <w:t>tax minimization</w:t>
      </w:r>
      <w:r>
        <w:rPr>
          <w:rFonts w:ascii="Times New Roman" w:hAnsi="Times New Roman" w:cs="Times New Roman"/>
          <w:sz w:val="24"/>
          <w:szCs w:val="24"/>
        </w:rPr>
        <w:t>. Adapun penelitian terdahulu yang digunakan sebagai acuan oleh peneliti untuk memperluas serta memperdalam penelitian yang dilakukan, serta menghindari adanya kesamaan dalam penelitian yang sejenis. Penelitian terdahulu dapat dilihat pada tabel dihalaman berikut: </w:t>
      </w:r>
    </w:p>
    <w:p w14:paraId="59C063C7" w14:textId="2BF947D7" w:rsidR="00BB58C4" w:rsidRDefault="00000000">
      <w:pPr>
        <w:pStyle w:val="Caption"/>
        <w:jc w:val="both"/>
        <w:rPr>
          <w:rFonts w:cs="Times New Roman"/>
          <w:b w:val="0"/>
          <w:bCs/>
          <w:i/>
          <w:iCs w:val="0"/>
          <w:color w:val="auto"/>
          <w:sz w:val="22"/>
          <w:szCs w:val="22"/>
        </w:rPr>
      </w:pPr>
      <w:bookmarkStart w:id="33" w:name="_Toc196816735"/>
      <w:bookmarkStart w:id="34" w:name="_Toc196817490"/>
      <w:r>
        <w:rPr>
          <w:rFonts w:cs="Times New Roman"/>
          <w:bCs/>
          <w:iCs w:val="0"/>
          <w:color w:val="auto"/>
          <w:sz w:val="22"/>
          <w:szCs w:val="22"/>
        </w:rPr>
        <w:lastRenderedPageBreak/>
        <w:t>Tabel 2.</w:t>
      </w:r>
      <w:r>
        <w:rPr>
          <w:rFonts w:cs="Times New Roman"/>
          <w:b w:val="0"/>
          <w:bCs/>
          <w:i/>
          <w:iCs w:val="0"/>
          <w:color w:val="auto"/>
          <w:sz w:val="22"/>
          <w:szCs w:val="22"/>
        </w:rPr>
        <w:fldChar w:fldCharType="begin"/>
      </w:r>
      <w:r>
        <w:rPr>
          <w:rFonts w:cs="Times New Roman"/>
          <w:bCs/>
          <w:iCs w:val="0"/>
          <w:color w:val="auto"/>
          <w:sz w:val="22"/>
          <w:szCs w:val="22"/>
        </w:rPr>
        <w:instrText xml:space="preserve"> SEQ Tabel_2. \* ARABIC </w:instrText>
      </w:r>
      <w:r>
        <w:rPr>
          <w:rFonts w:cs="Times New Roman"/>
          <w:b w:val="0"/>
          <w:bCs/>
          <w:i/>
          <w:iCs w:val="0"/>
          <w:color w:val="auto"/>
          <w:sz w:val="22"/>
          <w:szCs w:val="22"/>
        </w:rPr>
        <w:fldChar w:fldCharType="separate"/>
      </w:r>
      <w:r w:rsidR="00DB7568">
        <w:rPr>
          <w:rFonts w:cs="Times New Roman"/>
          <w:bCs/>
          <w:iCs w:val="0"/>
          <w:noProof/>
          <w:color w:val="auto"/>
          <w:sz w:val="22"/>
          <w:szCs w:val="22"/>
        </w:rPr>
        <w:t>1</w:t>
      </w:r>
      <w:r>
        <w:rPr>
          <w:rFonts w:cs="Times New Roman"/>
          <w:b w:val="0"/>
          <w:bCs/>
          <w:i/>
          <w:iCs w:val="0"/>
          <w:color w:val="auto"/>
          <w:sz w:val="22"/>
          <w:szCs w:val="22"/>
        </w:rPr>
        <w:fldChar w:fldCharType="end"/>
      </w:r>
      <w:r>
        <w:rPr>
          <w:rFonts w:cs="Times New Roman"/>
          <w:bCs/>
          <w:iCs w:val="0"/>
          <w:color w:val="auto"/>
          <w:sz w:val="22"/>
          <w:szCs w:val="22"/>
        </w:rPr>
        <w:t xml:space="preserve"> Penelitian Terdahulu</w:t>
      </w:r>
      <w:bookmarkEnd w:id="33"/>
      <w:bookmarkEnd w:id="34"/>
    </w:p>
    <w:tbl>
      <w:tblPr>
        <w:tblStyle w:val="TableGrid"/>
        <w:tblW w:w="0" w:type="auto"/>
        <w:tblLook w:val="04A0" w:firstRow="1" w:lastRow="0" w:firstColumn="1" w:lastColumn="0" w:noHBand="0" w:noVBand="1"/>
      </w:tblPr>
      <w:tblGrid>
        <w:gridCol w:w="546"/>
        <w:gridCol w:w="1327"/>
        <w:gridCol w:w="1771"/>
        <w:gridCol w:w="1109"/>
        <w:gridCol w:w="1378"/>
        <w:gridCol w:w="1796"/>
      </w:tblGrid>
      <w:tr w:rsidR="00BB58C4" w14:paraId="32E2AFD6" w14:textId="77777777">
        <w:tc>
          <w:tcPr>
            <w:tcW w:w="546" w:type="dxa"/>
            <w:vMerge w:val="restart"/>
            <w:vAlign w:val="center"/>
          </w:tcPr>
          <w:p w14:paraId="44C0C16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No</w:t>
            </w:r>
          </w:p>
        </w:tc>
        <w:tc>
          <w:tcPr>
            <w:tcW w:w="1327" w:type="dxa"/>
            <w:vMerge w:val="restart"/>
            <w:vAlign w:val="center"/>
          </w:tcPr>
          <w:p w14:paraId="31C883C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Peneliti</w:t>
            </w:r>
          </w:p>
        </w:tc>
        <w:tc>
          <w:tcPr>
            <w:tcW w:w="1771" w:type="dxa"/>
            <w:vMerge w:val="restart"/>
            <w:vAlign w:val="center"/>
          </w:tcPr>
          <w:p w14:paraId="747450B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Judul Penelitian</w:t>
            </w:r>
          </w:p>
        </w:tc>
        <w:tc>
          <w:tcPr>
            <w:tcW w:w="2487" w:type="dxa"/>
            <w:gridSpan w:val="2"/>
            <w:vAlign w:val="center"/>
          </w:tcPr>
          <w:p w14:paraId="2D48899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 Penelitian</w:t>
            </w:r>
          </w:p>
        </w:tc>
        <w:tc>
          <w:tcPr>
            <w:tcW w:w="1796" w:type="dxa"/>
            <w:vMerge w:val="restart"/>
            <w:vAlign w:val="center"/>
          </w:tcPr>
          <w:p w14:paraId="52D43ADA"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Hasil Penelitian</w:t>
            </w:r>
          </w:p>
        </w:tc>
      </w:tr>
      <w:tr w:rsidR="00BB58C4" w14:paraId="75E6EDB0" w14:textId="77777777">
        <w:tc>
          <w:tcPr>
            <w:tcW w:w="546" w:type="dxa"/>
            <w:vMerge/>
            <w:vAlign w:val="center"/>
          </w:tcPr>
          <w:p w14:paraId="3D807B23" w14:textId="77777777" w:rsidR="00BB58C4" w:rsidRDefault="00BB58C4">
            <w:pPr>
              <w:spacing w:after="0" w:line="240" w:lineRule="auto"/>
              <w:jc w:val="center"/>
              <w:rPr>
                <w:rFonts w:ascii="Times New Roman" w:hAnsi="Times New Roman" w:cs="Times New Roman"/>
                <w:sz w:val="20"/>
                <w:szCs w:val="20"/>
              </w:rPr>
            </w:pPr>
          </w:p>
        </w:tc>
        <w:tc>
          <w:tcPr>
            <w:tcW w:w="1327" w:type="dxa"/>
            <w:vMerge/>
            <w:vAlign w:val="center"/>
          </w:tcPr>
          <w:p w14:paraId="0500B1C1" w14:textId="77777777" w:rsidR="00BB58C4" w:rsidRDefault="00BB58C4">
            <w:pPr>
              <w:spacing w:after="0" w:line="240" w:lineRule="auto"/>
              <w:jc w:val="center"/>
              <w:rPr>
                <w:rFonts w:ascii="Times New Roman" w:hAnsi="Times New Roman" w:cs="Times New Roman"/>
                <w:sz w:val="20"/>
                <w:szCs w:val="20"/>
              </w:rPr>
            </w:pPr>
          </w:p>
        </w:tc>
        <w:tc>
          <w:tcPr>
            <w:tcW w:w="1771" w:type="dxa"/>
            <w:vMerge/>
            <w:vAlign w:val="center"/>
          </w:tcPr>
          <w:p w14:paraId="06AFE9E5" w14:textId="77777777" w:rsidR="00BB58C4" w:rsidRDefault="00BB58C4">
            <w:pPr>
              <w:spacing w:after="0" w:line="240" w:lineRule="auto"/>
              <w:jc w:val="center"/>
              <w:rPr>
                <w:rFonts w:ascii="Times New Roman" w:hAnsi="Times New Roman" w:cs="Times New Roman"/>
                <w:sz w:val="20"/>
                <w:szCs w:val="20"/>
              </w:rPr>
            </w:pPr>
          </w:p>
        </w:tc>
        <w:tc>
          <w:tcPr>
            <w:tcW w:w="1109" w:type="dxa"/>
            <w:vAlign w:val="center"/>
          </w:tcPr>
          <w:p w14:paraId="25ACB32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Dependen</w:t>
            </w:r>
          </w:p>
        </w:tc>
        <w:tc>
          <w:tcPr>
            <w:tcW w:w="1378" w:type="dxa"/>
            <w:vAlign w:val="center"/>
          </w:tcPr>
          <w:p w14:paraId="6D62E65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Independen</w:t>
            </w:r>
          </w:p>
        </w:tc>
        <w:tc>
          <w:tcPr>
            <w:tcW w:w="1796" w:type="dxa"/>
            <w:vMerge/>
            <w:vAlign w:val="center"/>
          </w:tcPr>
          <w:p w14:paraId="062C8B41" w14:textId="77777777" w:rsidR="00BB58C4" w:rsidRDefault="00BB58C4">
            <w:pPr>
              <w:spacing w:after="0" w:line="240" w:lineRule="auto"/>
              <w:jc w:val="center"/>
              <w:rPr>
                <w:rFonts w:ascii="Times New Roman" w:hAnsi="Times New Roman" w:cs="Times New Roman"/>
                <w:sz w:val="20"/>
                <w:szCs w:val="20"/>
              </w:rPr>
            </w:pPr>
          </w:p>
        </w:tc>
      </w:tr>
      <w:tr w:rsidR="00BB58C4" w14:paraId="334FE091" w14:textId="77777777">
        <w:tc>
          <w:tcPr>
            <w:tcW w:w="546" w:type="dxa"/>
            <w:vAlign w:val="center"/>
          </w:tcPr>
          <w:p w14:paraId="3739782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327" w:type="dxa"/>
            <w:vAlign w:val="center"/>
          </w:tcPr>
          <w:p w14:paraId="32C3CD95"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{"citationItems":[{"id":"ITEM-1","itemData":{"DOI":"10.55587/jla.v4i1.112","author":[{"dropping-particle":"","family":"Sari Apriliyani","given":"Jobelina Jelma Ribeiro Soares","non-dropping-particle":"","parse-names":false,"suffix":""}],"container-title":"LITERA: Jurnal Literasi Akuntansi","id":"ITEM-1","issue":"1","issued":{"date-parts":[["2024"]]},"page":"238-254","title":"TRANSFER PRICING: TUNNELLING INCENTIVE DAN TAX HAVEN DIMOEDERASI FOREIGN OWNERSHIP","type":"article-journal","volume":"4"},"uris":["http://www.mendeley.com/documents/?uuid=2ea18b66-0bb6-4cf9-aa09-ae516ffaaaa7"]}],"mendeley":{"formattedCitation":"(Sari Apriliyani, 2024)","manualFormatting":"Sari Apriliyani &amp; Jobelina Jelma Ribeiro Soares (2024)","plainTextFormattedCitation":"(Sari Apriliyani, 2024)","previouslyFormattedCitation":"(Sari Apriliyani, 2024)"},"properties":{"noteIndex":0},"schema":"https://github.com/citation-style-language/schema/raw/master/csl-citation.json"}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Sari Apriliyani &amp; Jobelina Jelma Ribeiro Soares (2024)</w:t>
            </w:r>
            <w:r>
              <w:rPr>
                <w:rFonts w:ascii="Times New Roman" w:hAnsi="Times New Roman" w:cs="Times New Roman"/>
                <w:sz w:val="20"/>
                <w:szCs w:val="20"/>
              </w:rPr>
              <w:fldChar w:fldCharType="end"/>
            </w:r>
          </w:p>
        </w:tc>
        <w:tc>
          <w:tcPr>
            <w:tcW w:w="1771" w:type="dxa"/>
            <w:vAlign w:val="center"/>
          </w:tcPr>
          <w:p w14:paraId="1CB29D4E"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Transfer Pricing: Tunneling Incentive </w:t>
            </w:r>
            <w:r>
              <w:rPr>
                <w:rFonts w:ascii="Times New Roman" w:hAnsi="Times New Roman" w:cs="Times New Roman"/>
                <w:sz w:val="20"/>
                <w:szCs w:val="20"/>
              </w:rPr>
              <w:t xml:space="preserve">dan </w:t>
            </w:r>
            <w:r>
              <w:rPr>
                <w:rFonts w:ascii="Times New Roman" w:hAnsi="Times New Roman" w:cs="Times New Roman"/>
                <w:i/>
                <w:iCs/>
                <w:sz w:val="20"/>
                <w:szCs w:val="20"/>
              </w:rPr>
              <w:t xml:space="preserve">Tax Haven </w:t>
            </w:r>
            <w:r>
              <w:rPr>
                <w:rFonts w:ascii="Times New Roman" w:hAnsi="Times New Roman" w:cs="Times New Roman"/>
                <w:sz w:val="20"/>
                <w:szCs w:val="20"/>
              </w:rPr>
              <w:t>Dimoderasi Foreign Ownership</w:t>
            </w:r>
          </w:p>
        </w:tc>
        <w:tc>
          <w:tcPr>
            <w:tcW w:w="1109" w:type="dxa"/>
            <w:vAlign w:val="center"/>
          </w:tcPr>
          <w:p w14:paraId="0B497A74"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1CEB61B3"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Tunneling Incentive</w:t>
            </w:r>
            <w:r>
              <w:rPr>
                <w:rFonts w:ascii="Times New Roman" w:hAnsi="Times New Roman" w:cs="Times New Roman"/>
                <w:sz w:val="20"/>
                <w:szCs w:val="20"/>
              </w:rPr>
              <w:t xml:space="preserve"> dan </w:t>
            </w:r>
            <w:r>
              <w:rPr>
                <w:rFonts w:ascii="Times New Roman" w:hAnsi="Times New Roman" w:cs="Times New Roman"/>
                <w:i/>
                <w:iCs/>
                <w:sz w:val="20"/>
                <w:szCs w:val="20"/>
              </w:rPr>
              <w:t>Tax Haven</w:t>
            </w:r>
            <w:r>
              <w:rPr>
                <w:rFonts w:ascii="Times New Roman" w:hAnsi="Times New Roman" w:cs="Times New Roman"/>
                <w:sz w:val="20"/>
                <w:szCs w:val="20"/>
              </w:rPr>
              <w:t xml:space="preserve"> Dimoderasi </w:t>
            </w:r>
            <w:r>
              <w:rPr>
                <w:rFonts w:ascii="Times New Roman" w:hAnsi="Times New Roman" w:cs="Times New Roman"/>
                <w:i/>
                <w:iCs/>
                <w:sz w:val="20"/>
                <w:szCs w:val="20"/>
              </w:rPr>
              <w:t>Foreign Ownership</w:t>
            </w:r>
          </w:p>
        </w:tc>
        <w:tc>
          <w:tcPr>
            <w:tcW w:w="1796" w:type="dxa"/>
            <w:vAlign w:val="center"/>
          </w:tcPr>
          <w:p w14:paraId="0D0FD44A"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Tunneling Incentive </w:t>
            </w:r>
            <w:r>
              <w:rPr>
                <w:rFonts w:ascii="Times New Roman" w:hAnsi="Times New Roman" w:cs="Times New Roman"/>
                <w:sz w:val="20"/>
                <w:szCs w:val="20"/>
              </w:rPr>
              <w:t xml:space="preserve">berpengaruh positif sedangkan </w:t>
            </w:r>
            <w:r>
              <w:rPr>
                <w:rFonts w:ascii="Times New Roman" w:hAnsi="Times New Roman" w:cs="Times New Roman"/>
                <w:i/>
                <w:iCs/>
                <w:sz w:val="20"/>
                <w:szCs w:val="20"/>
              </w:rPr>
              <w:t xml:space="preserve">tax haven </w:t>
            </w:r>
            <w:r>
              <w:rPr>
                <w:rFonts w:ascii="Times New Roman" w:hAnsi="Times New Roman" w:cs="Times New Roman"/>
                <w:sz w:val="20"/>
                <w:szCs w:val="20"/>
              </w:rPr>
              <w:t xml:space="preserve">berpengaruh negatif terhadap </w:t>
            </w:r>
            <w:r>
              <w:rPr>
                <w:rFonts w:ascii="Times New Roman" w:hAnsi="Times New Roman" w:cs="Times New Roman"/>
                <w:i/>
                <w:iCs/>
                <w:sz w:val="20"/>
                <w:szCs w:val="20"/>
              </w:rPr>
              <w:t>transfer pricing</w:t>
            </w:r>
            <w:r>
              <w:rPr>
                <w:rFonts w:ascii="Times New Roman" w:hAnsi="Times New Roman" w:cs="Times New Roman"/>
                <w:sz w:val="20"/>
                <w:szCs w:val="20"/>
              </w:rPr>
              <w:t xml:space="preserve">. Adanya moderasi </w:t>
            </w:r>
            <w:r>
              <w:rPr>
                <w:rFonts w:ascii="Times New Roman" w:hAnsi="Times New Roman" w:cs="Times New Roman"/>
                <w:i/>
                <w:iCs/>
                <w:sz w:val="20"/>
                <w:szCs w:val="20"/>
              </w:rPr>
              <w:t xml:space="preserve">Foreign Ownership </w:t>
            </w:r>
            <w:r>
              <w:rPr>
                <w:rFonts w:ascii="Times New Roman" w:hAnsi="Times New Roman" w:cs="Times New Roman"/>
                <w:sz w:val="20"/>
                <w:szCs w:val="20"/>
              </w:rPr>
              <w:t xml:space="preserve">tidak dapat memperkuat hubungan antara </w:t>
            </w:r>
            <w:r>
              <w:rPr>
                <w:rFonts w:ascii="Times New Roman" w:hAnsi="Times New Roman" w:cs="Times New Roman"/>
                <w:i/>
                <w:iCs/>
                <w:sz w:val="20"/>
                <w:szCs w:val="20"/>
              </w:rPr>
              <w:t xml:space="preserve">Tunneling Incentive </w:t>
            </w:r>
            <w:r>
              <w:rPr>
                <w:rFonts w:ascii="Times New Roman" w:hAnsi="Times New Roman" w:cs="Times New Roman"/>
                <w:sz w:val="20"/>
                <w:szCs w:val="20"/>
              </w:rPr>
              <w:t xml:space="preserve">dan </w:t>
            </w:r>
            <w:r>
              <w:rPr>
                <w:rFonts w:ascii="Times New Roman" w:hAnsi="Times New Roman" w:cs="Times New Roman"/>
                <w:i/>
                <w:iCs/>
                <w:sz w:val="20"/>
                <w:szCs w:val="20"/>
              </w:rPr>
              <w:t xml:space="preserve">tax haven </w:t>
            </w:r>
            <w:r>
              <w:rPr>
                <w:rFonts w:ascii="Times New Roman" w:hAnsi="Times New Roman" w:cs="Times New Roman"/>
                <w:sz w:val="20"/>
                <w:szCs w:val="20"/>
              </w:rPr>
              <w:t xml:space="preserve">terhadap </w:t>
            </w:r>
            <w:r>
              <w:rPr>
                <w:rFonts w:ascii="Times New Roman" w:hAnsi="Times New Roman" w:cs="Times New Roman"/>
                <w:i/>
                <w:iCs/>
                <w:sz w:val="20"/>
                <w:szCs w:val="20"/>
              </w:rPr>
              <w:t>transfer pricing</w:t>
            </w:r>
          </w:p>
        </w:tc>
      </w:tr>
      <w:tr w:rsidR="00BB58C4" w14:paraId="5D57F378" w14:textId="77777777">
        <w:tc>
          <w:tcPr>
            <w:tcW w:w="546" w:type="dxa"/>
            <w:vAlign w:val="center"/>
          </w:tcPr>
          <w:p w14:paraId="1A66F1AC"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327" w:type="dxa"/>
            <w:vAlign w:val="center"/>
          </w:tcPr>
          <w:p w14:paraId="7A520289"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Samalagi","given":"Fitriyani","non-dropping-particle":"","parse-names":false,"suffix":""},{"dropping-particle":"","family":"Hormati","given":"Asrudin","non-dropping-particle":"","parse-names":false,"suffix":""},{"dropping-particle":"","family":"Ali","given":"Iqbal M Aris","non-dropping-particle":"","parse-names":false,"suffix":""},{"dropping-particle":"","family":"Ternate","given":"Universitas Khairun","non-dropping-particle":"","parse-names":false,"suffix":""}],"container-title":"Ekonomika45: Jurnal Ilmiah Manajemen, Ekonomi Bisnis, Kewirausahaan","id":"ITEM-1","issue":"1","issued":{"date-parts":[["2024"]]},"page":"32-42","title":"Pengaruh Pajak , Tax Havens , Exchange Rate , dan Tunneling Incentive Terhadap transfer Pricing pada Perusahaan Multinasional","type":"article-journal","volume":"12"},"uris":["http://www.mendeley.com/documents/?uuid=1e62d46e-e8da-4738-8451-f7fe2804afc4"]}],"mendeley":{"formattedCitation":"(Samalagi et al., 2024)","manualFormatting":"Fitriyani Samalagi, Asrudin Hormati, &amp; Iqbal M. Aris Ali \u000b(2024)","plainTextFormattedCitation":"(Samalagi et al., 2024)","previouslyFormattedCitation":"(Samalagi et al., 2024)"},"properties":{"noteIndex":0},"schema":"https://github.com/citation-style-language/schema/raw/master/csl-citation.json"}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Fitriyani Samalagi, Asrudin Hormati, &amp; Iqbal M. Aris Ali </w:t>
            </w:r>
            <w:r>
              <w:rPr>
                <w:rFonts w:ascii="Times New Roman" w:hAnsi="Times New Roman" w:cs="Times New Roman"/>
                <w:sz w:val="20"/>
                <w:szCs w:val="20"/>
              </w:rPr>
              <w:br/>
              <w:t>(2024)</w:t>
            </w:r>
            <w:r>
              <w:rPr>
                <w:rFonts w:ascii="Times New Roman" w:hAnsi="Times New Roman" w:cs="Times New Roman"/>
                <w:sz w:val="20"/>
                <w:szCs w:val="20"/>
              </w:rPr>
              <w:fldChar w:fldCharType="end"/>
            </w:r>
          </w:p>
        </w:tc>
        <w:tc>
          <w:tcPr>
            <w:tcW w:w="1771" w:type="dxa"/>
            <w:vAlign w:val="center"/>
          </w:tcPr>
          <w:p w14:paraId="373844AC"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Pengaruh Pajak, </w:t>
            </w:r>
            <w:r>
              <w:rPr>
                <w:rFonts w:ascii="Times New Roman" w:hAnsi="Times New Roman" w:cs="Times New Roman"/>
                <w:i/>
                <w:iCs/>
                <w:sz w:val="20"/>
                <w:szCs w:val="20"/>
              </w:rPr>
              <w:t xml:space="preserve">Tax Havens, Exchange Rate, </w:t>
            </w:r>
            <w:r>
              <w:rPr>
                <w:rFonts w:ascii="Times New Roman" w:hAnsi="Times New Roman" w:cs="Times New Roman"/>
                <w:sz w:val="20"/>
                <w:szCs w:val="20"/>
              </w:rPr>
              <w:t xml:space="preserve">dan </w:t>
            </w:r>
            <w:r>
              <w:rPr>
                <w:rFonts w:ascii="Times New Roman" w:hAnsi="Times New Roman" w:cs="Times New Roman"/>
                <w:i/>
                <w:iCs/>
                <w:sz w:val="20"/>
                <w:szCs w:val="20"/>
              </w:rPr>
              <w:t xml:space="preserve">Tunneling Incentive </w:t>
            </w:r>
            <w:r>
              <w:rPr>
                <w:rFonts w:ascii="Times New Roman" w:hAnsi="Times New Roman" w:cs="Times New Roman"/>
                <w:sz w:val="20"/>
                <w:szCs w:val="20"/>
              </w:rPr>
              <w:t>Terhadap Transfer Pricing pada Perusahaan Multinasional</w:t>
            </w:r>
          </w:p>
        </w:tc>
        <w:tc>
          <w:tcPr>
            <w:tcW w:w="1109" w:type="dxa"/>
            <w:vAlign w:val="center"/>
          </w:tcPr>
          <w:p w14:paraId="04AF3A8D"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5165F250"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Pajak, </w:t>
            </w:r>
            <w:r>
              <w:rPr>
                <w:rFonts w:ascii="Times New Roman" w:hAnsi="Times New Roman" w:cs="Times New Roman"/>
                <w:i/>
                <w:iCs/>
                <w:sz w:val="20"/>
                <w:szCs w:val="20"/>
              </w:rPr>
              <w:t xml:space="preserve">Tax Havens, Exchange Rate, </w:t>
            </w:r>
            <w:r>
              <w:rPr>
                <w:rFonts w:ascii="Times New Roman" w:hAnsi="Times New Roman" w:cs="Times New Roman"/>
                <w:sz w:val="20"/>
                <w:szCs w:val="20"/>
              </w:rPr>
              <w:t>dan</w:t>
            </w:r>
            <w:r>
              <w:rPr>
                <w:rFonts w:ascii="Times New Roman" w:hAnsi="Times New Roman" w:cs="Times New Roman"/>
                <w:i/>
                <w:iCs/>
                <w:sz w:val="20"/>
                <w:szCs w:val="20"/>
              </w:rPr>
              <w:t xml:space="preserve"> Tunneling Incentive</w:t>
            </w:r>
          </w:p>
        </w:tc>
        <w:tc>
          <w:tcPr>
            <w:tcW w:w="1796" w:type="dxa"/>
            <w:vAlign w:val="center"/>
          </w:tcPr>
          <w:p w14:paraId="4F0DBEA7"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Pajak, </w:t>
            </w:r>
            <w:r>
              <w:rPr>
                <w:rFonts w:ascii="Times New Roman" w:hAnsi="Times New Roman" w:cs="Times New Roman"/>
                <w:i/>
                <w:iCs/>
                <w:sz w:val="20"/>
                <w:szCs w:val="20"/>
              </w:rPr>
              <w:t xml:space="preserve">tax havens, exchange rate </w:t>
            </w:r>
            <w:r>
              <w:rPr>
                <w:rFonts w:ascii="Times New Roman" w:hAnsi="Times New Roman" w:cs="Times New Roman"/>
                <w:sz w:val="20"/>
                <w:szCs w:val="20"/>
              </w:rPr>
              <w:t xml:space="preserve">tidak berpengaruh positif terhadap </w:t>
            </w:r>
            <w:r>
              <w:rPr>
                <w:rFonts w:ascii="Times New Roman" w:hAnsi="Times New Roman" w:cs="Times New Roman"/>
                <w:i/>
                <w:iCs/>
                <w:sz w:val="20"/>
                <w:szCs w:val="20"/>
              </w:rPr>
              <w:t xml:space="preserve">transfer pricing </w:t>
            </w:r>
            <w:r>
              <w:rPr>
                <w:rFonts w:ascii="Times New Roman" w:hAnsi="Times New Roman" w:cs="Times New Roman"/>
                <w:sz w:val="20"/>
                <w:szCs w:val="20"/>
              </w:rPr>
              <w:t xml:space="preserve">sedangkan </w:t>
            </w:r>
            <w:r>
              <w:rPr>
                <w:rFonts w:ascii="Times New Roman" w:hAnsi="Times New Roman" w:cs="Times New Roman"/>
                <w:i/>
                <w:iCs/>
                <w:sz w:val="20"/>
                <w:szCs w:val="20"/>
              </w:rPr>
              <w:t xml:space="preserve">tunneling incentive </w:t>
            </w:r>
            <w:r>
              <w:rPr>
                <w:rFonts w:ascii="Times New Roman" w:hAnsi="Times New Roman" w:cs="Times New Roman"/>
                <w:sz w:val="20"/>
                <w:szCs w:val="20"/>
              </w:rPr>
              <w:t xml:space="preserve">berpengaruh positif dan signifikan terhadap </w:t>
            </w:r>
            <w:r>
              <w:rPr>
                <w:rFonts w:ascii="Times New Roman" w:hAnsi="Times New Roman" w:cs="Times New Roman"/>
                <w:i/>
                <w:iCs/>
                <w:sz w:val="20"/>
                <w:szCs w:val="20"/>
              </w:rPr>
              <w:t>transfer pricing</w:t>
            </w:r>
            <w:r>
              <w:rPr>
                <w:rFonts w:ascii="Times New Roman" w:hAnsi="Times New Roman" w:cs="Times New Roman"/>
                <w:sz w:val="20"/>
                <w:szCs w:val="20"/>
              </w:rPr>
              <w:t>.</w:t>
            </w:r>
          </w:p>
        </w:tc>
      </w:tr>
      <w:tr w:rsidR="00BB58C4" w14:paraId="6EE2EFB6" w14:textId="77777777">
        <w:tc>
          <w:tcPr>
            <w:tcW w:w="546" w:type="dxa"/>
            <w:vAlign w:val="center"/>
          </w:tcPr>
          <w:p w14:paraId="12242487"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327" w:type="dxa"/>
            <w:vAlign w:val="center"/>
          </w:tcPr>
          <w:p w14:paraId="0F9A120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Aisah","given":"Nur","non-dropping-particle":"","parse-names":false,"suffix":""},{"dropping-particle":"","family":"Pratiwi","given":"Eka","non-dropping-particle":"","parse-names":false,"suffix":""},{"dropping-particle":"","family":"Wadi","given":"Indra","non-dropping-particle":"","parse-names":false,"suffix":""},{"dropping-particle":"","family":"Pamulang","given":"Universitas","non-dropping-particle":"","parse-names":false,"suffix":""},{"dropping-particle":"","family":"Pamulang","given":"Universitas","non-dropping-particle":"","parse-names":false,"suffix":""}],"container-title":"EDUCORETAX","id":"ITEM-1","issue":"11","issued":{"date-parts":[["2024"]]},"page":"1345-1353","title":"THE INFLUENCE OF TAX BURDEN , INTANGIBLE ASSETS , AND FOREIGN OWNERSHIP ON TRANSFER PRICING POLICIES","type":"article-journal","volume":"4"},"uris":["http://www.mendeley.com/documents/?uuid=680568b2-6199-4d40-9916-4042bb179bfa"]}],"mendeley":{"formattedCitation":"(Aisah, Pratiwi, Wadi, Pamulang, &amp; Pamulang, 2024)","manualFormatting":"Nur Aisah Eka Pratiwi &amp; Indra Wadi (2024)","plainTextFormattedCitation":"(Aisah, Pratiwi, Wadi, Pamulang, &amp; Pamulang, 2024)","previouslyFormattedCitation":"(Aisah, Pratiwi, Wadi, Pamulang, &amp; Pamulang, 2024)"},"properties":{"noteIndex":0},"schema":"https://github.com/citation-style-language/schema/raw/master/csl-citation.json"}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Nur Aisah Eka Pratiwi &amp; Indra Wadi (2024)</w:t>
            </w:r>
            <w:r>
              <w:rPr>
                <w:rFonts w:ascii="Times New Roman" w:hAnsi="Times New Roman" w:cs="Times New Roman"/>
                <w:sz w:val="20"/>
                <w:szCs w:val="20"/>
              </w:rPr>
              <w:fldChar w:fldCharType="end"/>
            </w:r>
          </w:p>
        </w:tc>
        <w:tc>
          <w:tcPr>
            <w:tcW w:w="1771" w:type="dxa"/>
            <w:vAlign w:val="center"/>
          </w:tcPr>
          <w:p w14:paraId="24B27F3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The Influence of Tax Burden, Intangible Assets, </w:t>
            </w:r>
          </w:p>
        </w:tc>
        <w:tc>
          <w:tcPr>
            <w:tcW w:w="1109" w:type="dxa"/>
            <w:vAlign w:val="center"/>
          </w:tcPr>
          <w:p w14:paraId="6EC757AA"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707B0A2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Tax Burden, Intangible Assets, and </w:t>
            </w:r>
          </w:p>
        </w:tc>
        <w:tc>
          <w:tcPr>
            <w:tcW w:w="1796" w:type="dxa"/>
            <w:vAlign w:val="center"/>
          </w:tcPr>
          <w:p w14:paraId="3B4205BD"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Tax Burden </w:t>
            </w:r>
            <w:r>
              <w:rPr>
                <w:rFonts w:ascii="Times New Roman" w:hAnsi="Times New Roman" w:cs="Times New Roman"/>
                <w:sz w:val="20"/>
                <w:szCs w:val="20"/>
              </w:rPr>
              <w:t xml:space="preserve">berpengaruh positif signifikan terhadap keputusan </w:t>
            </w:r>
            <w:r>
              <w:rPr>
                <w:rFonts w:ascii="Times New Roman" w:hAnsi="Times New Roman" w:cs="Times New Roman"/>
                <w:i/>
                <w:iCs/>
                <w:sz w:val="20"/>
                <w:szCs w:val="20"/>
              </w:rPr>
              <w:t xml:space="preserve">transfer </w:t>
            </w:r>
          </w:p>
        </w:tc>
      </w:tr>
      <w:tr w:rsidR="00BB58C4" w14:paraId="5C51B4DE" w14:textId="77777777">
        <w:tc>
          <w:tcPr>
            <w:tcW w:w="546" w:type="dxa"/>
            <w:vAlign w:val="center"/>
          </w:tcPr>
          <w:p w14:paraId="131300F9"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327" w:type="dxa"/>
            <w:vAlign w:val="center"/>
          </w:tcPr>
          <w:p w14:paraId="5B18FAA4"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{"citationItems":[{"id":"ITEM-1","itemData":{"author":[{"dropping-particle":"","family":"Sari","given":"Jenny Puspita","non-dropping-particle":"","parse-names":false,"suffix":""}],"container-title":"Jurnal Akuntansi","id":"ITEM-1","issue":"2","issued":{"date-parts":[["2024"]]},"page":"422-435","title":"Debt Covenant, Tax Expense, and Intangible Assets on Transfer Pricing","type":"article-journal","volume":"16"},"uris":["http://www.mendeley.com/documents/?uuid=a2ff017e-a7f7-4d94-a58b-09cfd5747740"]}],"mendeley":{"formattedCitation":"(Sari, 2024)","manualFormatting":"Jenny Puspita Sari &amp; Wiwit Irawati (2024)","plainTextFormattedCitation":"(Sari, 2024)","previouslyFormattedCitation":"(Sari, 2024)"},"properties":{"noteIndex":0},"schema":"https://github.com/citation-style-language/schema/raw/master/csl-citation.json"}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Jenny Puspita Sari &amp; Wiwit Irawati (2024)</w:t>
            </w:r>
            <w:r>
              <w:rPr>
                <w:rFonts w:ascii="Times New Roman" w:hAnsi="Times New Roman" w:cs="Times New Roman"/>
                <w:sz w:val="20"/>
                <w:szCs w:val="20"/>
              </w:rPr>
              <w:fldChar w:fldCharType="end"/>
            </w:r>
          </w:p>
        </w:tc>
        <w:tc>
          <w:tcPr>
            <w:tcW w:w="1771" w:type="dxa"/>
            <w:vAlign w:val="center"/>
          </w:tcPr>
          <w:p w14:paraId="6854498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Debt Covenant, Tax Expense, and Intangible Assets on Transfer Pricing</w:t>
            </w:r>
          </w:p>
        </w:tc>
        <w:tc>
          <w:tcPr>
            <w:tcW w:w="1109" w:type="dxa"/>
            <w:vAlign w:val="center"/>
          </w:tcPr>
          <w:p w14:paraId="0495CC17"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01C32E2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Debt Covenant, Tax Expense, and Intangible Assets</w:t>
            </w:r>
          </w:p>
        </w:tc>
        <w:tc>
          <w:tcPr>
            <w:tcW w:w="1796" w:type="dxa"/>
            <w:vAlign w:val="center"/>
          </w:tcPr>
          <w:p w14:paraId="37CD5C10"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Debt Covenant</w:t>
            </w:r>
            <w:r>
              <w:rPr>
                <w:rFonts w:ascii="Times New Roman" w:hAnsi="Times New Roman" w:cs="Times New Roman"/>
                <w:sz w:val="20"/>
                <w:szCs w:val="20"/>
              </w:rPr>
              <w:t xml:space="preserve"> berpengaruh negatif dan signifikan terhadap </w:t>
            </w:r>
            <w:r>
              <w:rPr>
                <w:rFonts w:ascii="Times New Roman" w:hAnsi="Times New Roman" w:cs="Times New Roman"/>
                <w:i/>
                <w:iCs/>
                <w:sz w:val="20"/>
                <w:szCs w:val="20"/>
              </w:rPr>
              <w:t>transfer pricing</w:t>
            </w:r>
            <w:r>
              <w:rPr>
                <w:rFonts w:ascii="Times New Roman" w:hAnsi="Times New Roman" w:cs="Times New Roman"/>
                <w:sz w:val="20"/>
                <w:szCs w:val="20"/>
              </w:rPr>
              <w:t xml:space="preserve">, sedangkan </w:t>
            </w:r>
            <w:r>
              <w:rPr>
                <w:rFonts w:ascii="Times New Roman" w:hAnsi="Times New Roman" w:cs="Times New Roman"/>
                <w:i/>
                <w:iCs/>
                <w:sz w:val="20"/>
                <w:szCs w:val="20"/>
              </w:rPr>
              <w:t>tax expenses</w:t>
            </w:r>
            <w:r>
              <w:rPr>
                <w:rFonts w:ascii="Times New Roman" w:hAnsi="Times New Roman" w:cs="Times New Roman"/>
                <w:sz w:val="20"/>
                <w:szCs w:val="20"/>
              </w:rPr>
              <w:t xml:space="preserve"> dan </w:t>
            </w:r>
            <w:r>
              <w:rPr>
                <w:rFonts w:ascii="Times New Roman" w:hAnsi="Times New Roman" w:cs="Times New Roman"/>
                <w:i/>
                <w:iCs/>
                <w:sz w:val="20"/>
                <w:szCs w:val="20"/>
              </w:rPr>
              <w:t>Intangible Asset</w:t>
            </w:r>
            <w:r>
              <w:rPr>
                <w:rFonts w:ascii="Times New Roman" w:hAnsi="Times New Roman" w:cs="Times New Roman"/>
                <w:sz w:val="20"/>
                <w:szCs w:val="20"/>
              </w:rPr>
              <w:t xml:space="preserve"> tidak berpengaruh terhadap </w:t>
            </w:r>
            <w:r>
              <w:rPr>
                <w:rFonts w:ascii="Times New Roman" w:hAnsi="Times New Roman" w:cs="Times New Roman"/>
                <w:i/>
                <w:iCs/>
                <w:sz w:val="20"/>
                <w:szCs w:val="20"/>
              </w:rPr>
              <w:t>Transfer Pricing</w:t>
            </w:r>
            <w:r>
              <w:rPr>
                <w:rFonts w:ascii="Times New Roman" w:hAnsi="Times New Roman" w:cs="Times New Roman"/>
                <w:sz w:val="20"/>
                <w:szCs w:val="20"/>
              </w:rPr>
              <w:t>.</w:t>
            </w:r>
          </w:p>
        </w:tc>
      </w:tr>
      <w:tr w:rsidR="00BB58C4" w14:paraId="6424B036" w14:textId="77777777">
        <w:tc>
          <w:tcPr>
            <w:tcW w:w="546" w:type="dxa"/>
            <w:vAlign w:val="center"/>
          </w:tcPr>
          <w:p w14:paraId="45949E70"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327" w:type="dxa"/>
            <w:vAlign w:val="center"/>
          </w:tcPr>
          <w:p w14:paraId="718EF6D7"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{"citationItems":[{"id":"ITEM-1","itemData":{"author":[{"dropping-particle":"","family":"Sumaryati","given":"Anna","non-dropping-particle":"","parse-names":false,"suffix":""}],"container-title":"JAKA: Jurnal Akuntansi, Keuangan dan Auditing","id":"ITEM-1","issue":"2","issued":{"date-parts":[["2023"]]},"page":"93-113","title":"Pengaruh Multinasionalitas , Tax Haven , Dan Goodwill Terhadap Transfer Pricing Dengan Moderasi Political Connection","type":"article-journal","volume":"4"},"uris":["http://www.mendeley.com/documents/?uuid=1763177e-58e2-40c6-998b-6e96827953ca"]}],"mendeley":{"formattedCitation":"(Sumaryati, 2023)","manualFormatting":"Anggelica Yufa Kristianto &amp; Anna Sumaryati, (2023)","plainTextFormattedCitation":"(Sumaryati, 2023)","previouslyFormattedCitation":"(Sumaryati, 2023)"},"properties":{"noteIndex":0},"schema":"https://github.com/citation-style-language/schema/raw/master/csl-citation.json"}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Anggelica Yufa Kristianto &amp; Anna Sumaryati, (2023)</w:t>
            </w:r>
            <w:r>
              <w:rPr>
                <w:rFonts w:ascii="Times New Roman" w:hAnsi="Times New Roman" w:cs="Times New Roman"/>
                <w:sz w:val="20"/>
                <w:szCs w:val="20"/>
              </w:rPr>
              <w:fldChar w:fldCharType="end"/>
            </w:r>
          </w:p>
        </w:tc>
        <w:tc>
          <w:tcPr>
            <w:tcW w:w="1771" w:type="dxa"/>
            <w:vAlign w:val="center"/>
          </w:tcPr>
          <w:p w14:paraId="14A0933D"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Pengaruh Multinasional, </w:t>
            </w:r>
            <w:r>
              <w:rPr>
                <w:rFonts w:ascii="Times New Roman" w:hAnsi="Times New Roman" w:cs="Times New Roman"/>
                <w:i/>
                <w:iCs/>
                <w:sz w:val="20"/>
                <w:szCs w:val="20"/>
              </w:rPr>
              <w:t xml:space="preserve">Tax Haven, </w:t>
            </w:r>
            <w:r>
              <w:rPr>
                <w:rFonts w:ascii="Times New Roman" w:hAnsi="Times New Roman" w:cs="Times New Roman"/>
                <w:sz w:val="20"/>
                <w:szCs w:val="20"/>
              </w:rPr>
              <w:t xml:space="preserve">dan </w:t>
            </w:r>
            <w:r>
              <w:rPr>
                <w:rFonts w:ascii="Times New Roman" w:hAnsi="Times New Roman" w:cs="Times New Roman"/>
                <w:i/>
                <w:iCs/>
                <w:sz w:val="20"/>
                <w:szCs w:val="20"/>
              </w:rPr>
              <w:t xml:space="preserve">Goodwill </w:t>
            </w:r>
            <w:r>
              <w:rPr>
                <w:rFonts w:ascii="Times New Roman" w:hAnsi="Times New Roman" w:cs="Times New Roman"/>
                <w:sz w:val="20"/>
                <w:szCs w:val="20"/>
              </w:rPr>
              <w:t xml:space="preserve">Terhadap </w:t>
            </w:r>
            <w:r>
              <w:rPr>
                <w:rFonts w:ascii="Times New Roman" w:hAnsi="Times New Roman" w:cs="Times New Roman"/>
                <w:i/>
                <w:iCs/>
                <w:sz w:val="20"/>
                <w:szCs w:val="20"/>
              </w:rPr>
              <w:t xml:space="preserve">Transfer Pricing </w:t>
            </w:r>
            <w:r>
              <w:rPr>
                <w:rFonts w:ascii="Times New Roman" w:hAnsi="Times New Roman" w:cs="Times New Roman"/>
                <w:sz w:val="20"/>
                <w:szCs w:val="20"/>
              </w:rPr>
              <w:t xml:space="preserve">Dengan Moderasi </w:t>
            </w:r>
            <w:r>
              <w:rPr>
                <w:rFonts w:ascii="Times New Roman" w:hAnsi="Times New Roman" w:cs="Times New Roman"/>
                <w:i/>
                <w:iCs/>
                <w:sz w:val="20"/>
                <w:szCs w:val="20"/>
              </w:rPr>
              <w:t>Political Connection</w:t>
            </w:r>
          </w:p>
        </w:tc>
        <w:tc>
          <w:tcPr>
            <w:tcW w:w="1109" w:type="dxa"/>
            <w:vAlign w:val="center"/>
          </w:tcPr>
          <w:p w14:paraId="6F3D4BD2"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1D92AE21"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Multinasional, </w:t>
            </w:r>
            <w:r>
              <w:rPr>
                <w:rFonts w:ascii="Times New Roman" w:hAnsi="Times New Roman" w:cs="Times New Roman"/>
                <w:i/>
                <w:iCs/>
                <w:sz w:val="20"/>
                <w:szCs w:val="20"/>
              </w:rPr>
              <w:t>Tax Haven, Goodwill, Political Connection</w:t>
            </w:r>
          </w:p>
        </w:tc>
        <w:tc>
          <w:tcPr>
            <w:tcW w:w="1796" w:type="dxa"/>
            <w:vAlign w:val="center"/>
          </w:tcPr>
          <w:p w14:paraId="1F2EDEC3"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Transaksi dengan </w:t>
            </w:r>
            <w:r>
              <w:rPr>
                <w:rFonts w:ascii="Times New Roman" w:hAnsi="Times New Roman" w:cs="Times New Roman"/>
                <w:i/>
                <w:iCs/>
                <w:sz w:val="20"/>
                <w:szCs w:val="20"/>
              </w:rPr>
              <w:t xml:space="preserve">tax haven </w:t>
            </w:r>
            <w:r>
              <w:rPr>
                <w:rFonts w:ascii="Times New Roman" w:hAnsi="Times New Roman" w:cs="Times New Roman"/>
                <w:sz w:val="20"/>
                <w:szCs w:val="20"/>
              </w:rPr>
              <w:t xml:space="preserve">memiliki pengaruh positif dan signifikan pada </w:t>
            </w:r>
            <w:r>
              <w:rPr>
                <w:rFonts w:ascii="Times New Roman" w:hAnsi="Times New Roman" w:cs="Times New Roman"/>
                <w:i/>
                <w:iCs/>
                <w:sz w:val="20"/>
                <w:szCs w:val="20"/>
              </w:rPr>
              <w:t>transfer pricing</w:t>
            </w:r>
            <w:r>
              <w:rPr>
                <w:rFonts w:ascii="Times New Roman" w:hAnsi="Times New Roman" w:cs="Times New Roman"/>
                <w:sz w:val="20"/>
                <w:szCs w:val="20"/>
              </w:rPr>
              <w:t xml:space="preserve">, sementara multinasionalitas dan </w:t>
            </w:r>
            <w:r>
              <w:rPr>
                <w:rFonts w:ascii="Times New Roman" w:hAnsi="Times New Roman" w:cs="Times New Roman"/>
                <w:i/>
                <w:iCs/>
                <w:sz w:val="20"/>
                <w:szCs w:val="20"/>
              </w:rPr>
              <w:t xml:space="preserve">goodwill </w:t>
            </w:r>
            <w:r>
              <w:rPr>
                <w:rFonts w:ascii="Times New Roman" w:hAnsi="Times New Roman" w:cs="Times New Roman"/>
                <w:sz w:val="20"/>
                <w:szCs w:val="20"/>
              </w:rPr>
              <w:t>tidak berpengaruh.</w:t>
            </w:r>
          </w:p>
        </w:tc>
      </w:tr>
    </w:tbl>
    <w:p w14:paraId="6E88EB7E" w14:textId="77777777" w:rsidR="00BB58C4" w:rsidRDefault="00000000">
      <w:pPr>
        <w:spacing w:line="480" w:lineRule="auto"/>
        <w:jc w:val="both"/>
        <w:rPr>
          <w:rFonts w:ascii="Times New Roman" w:hAnsi="Times New Roman" w:cs="Times New Roman"/>
          <w:i/>
          <w:iCs/>
          <w:sz w:val="20"/>
          <w:szCs w:val="20"/>
        </w:rPr>
      </w:pPr>
      <w:r>
        <w:rPr>
          <w:rFonts w:ascii="Times New Roman" w:hAnsi="Times New Roman" w:cs="Times New Roman"/>
          <w:i/>
          <w:iCs/>
          <w:sz w:val="20"/>
          <w:szCs w:val="20"/>
        </w:rPr>
        <w:t>Disambung ke halaman berikutnya</w:t>
      </w:r>
    </w:p>
    <w:p w14:paraId="15BF45D9" w14:textId="77777777" w:rsidR="00BB58C4" w:rsidRDefault="00000000">
      <w:pPr>
        <w:spacing w:line="240" w:lineRule="auto"/>
        <w:jc w:val="both"/>
        <w:rPr>
          <w:rFonts w:ascii="Times New Roman" w:hAnsi="Times New Roman" w:cs="Times New Roman"/>
          <w:b/>
          <w:bCs/>
        </w:rPr>
      </w:pPr>
      <w:r>
        <w:rPr>
          <w:rFonts w:ascii="Times New Roman" w:hAnsi="Times New Roman" w:cs="Times New Roman"/>
          <w:b/>
          <w:bCs/>
        </w:rPr>
        <w:lastRenderedPageBreak/>
        <w:t>Tabel 2.1 Sambungan</w:t>
      </w:r>
    </w:p>
    <w:tbl>
      <w:tblPr>
        <w:tblStyle w:val="TableGrid"/>
        <w:tblW w:w="0" w:type="auto"/>
        <w:tblLook w:val="04A0" w:firstRow="1" w:lastRow="0" w:firstColumn="1" w:lastColumn="0" w:noHBand="0" w:noVBand="1"/>
      </w:tblPr>
      <w:tblGrid>
        <w:gridCol w:w="546"/>
        <w:gridCol w:w="1327"/>
        <w:gridCol w:w="1771"/>
        <w:gridCol w:w="1109"/>
        <w:gridCol w:w="1378"/>
        <w:gridCol w:w="1796"/>
      </w:tblGrid>
      <w:tr w:rsidR="00BB58C4" w14:paraId="58B8B497" w14:textId="77777777">
        <w:tc>
          <w:tcPr>
            <w:tcW w:w="546" w:type="dxa"/>
            <w:vMerge w:val="restart"/>
            <w:vAlign w:val="center"/>
          </w:tcPr>
          <w:p w14:paraId="65E76015" w14:textId="77777777" w:rsidR="00BB58C4" w:rsidRDefault="00000000">
            <w:pPr>
              <w:spacing w:after="0" w:line="240" w:lineRule="auto"/>
              <w:jc w:val="center"/>
              <w:rPr>
                <w:rFonts w:ascii="Times New Roman" w:hAnsi="Times New Roman" w:cs="Times New Roman"/>
                <w:sz w:val="20"/>
                <w:szCs w:val="20"/>
              </w:rPr>
            </w:pPr>
            <w:bookmarkStart w:id="35" w:name="_Hlk196369019"/>
            <w:r>
              <w:rPr>
                <w:rFonts w:ascii="Times New Roman" w:hAnsi="Times New Roman" w:cs="Times New Roman"/>
                <w:sz w:val="20"/>
                <w:szCs w:val="20"/>
              </w:rPr>
              <w:t>No</w:t>
            </w:r>
          </w:p>
        </w:tc>
        <w:tc>
          <w:tcPr>
            <w:tcW w:w="1327" w:type="dxa"/>
            <w:vMerge w:val="restart"/>
            <w:vAlign w:val="center"/>
          </w:tcPr>
          <w:p w14:paraId="785E060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Peneliti</w:t>
            </w:r>
          </w:p>
        </w:tc>
        <w:tc>
          <w:tcPr>
            <w:tcW w:w="1771" w:type="dxa"/>
            <w:vMerge w:val="restart"/>
            <w:vAlign w:val="center"/>
          </w:tcPr>
          <w:p w14:paraId="4A1B2DAA"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Judul Penelitian</w:t>
            </w:r>
          </w:p>
        </w:tc>
        <w:tc>
          <w:tcPr>
            <w:tcW w:w="2487" w:type="dxa"/>
            <w:gridSpan w:val="2"/>
            <w:vAlign w:val="center"/>
          </w:tcPr>
          <w:p w14:paraId="0FB39FDD"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 Penelitian</w:t>
            </w:r>
          </w:p>
        </w:tc>
        <w:tc>
          <w:tcPr>
            <w:tcW w:w="1796" w:type="dxa"/>
            <w:vMerge w:val="restart"/>
            <w:vAlign w:val="center"/>
          </w:tcPr>
          <w:p w14:paraId="7908913C"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Hasil Penelitian</w:t>
            </w:r>
          </w:p>
        </w:tc>
      </w:tr>
      <w:tr w:rsidR="00BB58C4" w14:paraId="20C66AB8" w14:textId="77777777">
        <w:tc>
          <w:tcPr>
            <w:tcW w:w="546" w:type="dxa"/>
            <w:vMerge/>
            <w:vAlign w:val="center"/>
          </w:tcPr>
          <w:p w14:paraId="40F4E031" w14:textId="77777777" w:rsidR="00BB58C4" w:rsidRDefault="00BB58C4">
            <w:pPr>
              <w:spacing w:after="0" w:line="240" w:lineRule="auto"/>
              <w:jc w:val="center"/>
              <w:rPr>
                <w:rFonts w:ascii="Times New Roman" w:hAnsi="Times New Roman" w:cs="Times New Roman"/>
                <w:sz w:val="20"/>
                <w:szCs w:val="20"/>
              </w:rPr>
            </w:pPr>
          </w:p>
        </w:tc>
        <w:tc>
          <w:tcPr>
            <w:tcW w:w="1327" w:type="dxa"/>
            <w:vMerge/>
            <w:vAlign w:val="center"/>
          </w:tcPr>
          <w:p w14:paraId="0D49A1C1" w14:textId="77777777" w:rsidR="00BB58C4" w:rsidRDefault="00BB58C4">
            <w:pPr>
              <w:spacing w:after="0" w:line="240" w:lineRule="auto"/>
              <w:jc w:val="center"/>
              <w:rPr>
                <w:rFonts w:ascii="Times New Roman" w:hAnsi="Times New Roman" w:cs="Times New Roman"/>
                <w:sz w:val="20"/>
                <w:szCs w:val="20"/>
              </w:rPr>
            </w:pPr>
          </w:p>
        </w:tc>
        <w:tc>
          <w:tcPr>
            <w:tcW w:w="1771" w:type="dxa"/>
            <w:vMerge/>
            <w:vAlign w:val="center"/>
          </w:tcPr>
          <w:p w14:paraId="5CCF1672" w14:textId="77777777" w:rsidR="00BB58C4" w:rsidRDefault="00BB58C4">
            <w:pPr>
              <w:spacing w:after="0" w:line="240" w:lineRule="auto"/>
              <w:jc w:val="center"/>
              <w:rPr>
                <w:rFonts w:ascii="Times New Roman" w:hAnsi="Times New Roman" w:cs="Times New Roman"/>
                <w:sz w:val="20"/>
                <w:szCs w:val="20"/>
              </w:rPr>
            </w:pPr>
          </w:p>
        </w:tc>
        <w:tc>
          <w:tcPr>
            <w:tcW w:w="1109" w:type="dxa"/>
            <w:vAlign w:val="center"/>
          </w:tcPr>
          <w:p w14:paraId="0F9CE923"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Dependen</w:t>
            </w:r>
          </w:p>
        </w:tc>
        <w:tc>
          <w:tcPr>
            <w:tcW w:w="1378" w:type="dxa"/>
            <w:vAlign w:val="center"/>
          </w:tcPr>
          <w:p w14:paraId="11A88F67"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Independen</w:t>
            </w:r>
          </w:p>
        </w:tc>
        <w:tc>
          <w:tcPr>
            <w:tcW w:w="1796" w:type="dxa"/>
            <w:vMerge/>
            <w:vAlign w:val="center"/>
          </w:tcPr>
          <w:p w14:paraId="0A9211ED" w14:textId="77777777" w:rsidR="00BB58C4" w:rsidRDefault="00BB58C4">
            <w:pPr>
              <w:spacing w:after="0" w:line="240" w:lineRule="auto"/>
              <w:jc w:val="center"/>
              <w:rPr>
                <w:rFonts w:ascii="Times New Roman" w:hAnsi="Times New Roman" w:cs="Times New Roman"/>
                <w:sz w:val="20"/>
                <w:szCs w:val="20"/>
              </w:rPr>
            </w:pPr>
          </w:p>
        </w:tc>
      </w:tr>
      <w:tr w:rsidR="00BB58C4" w14:paraId="2968E566" w14:textId="77777777">
        <w:tc>
          <w:tcPr>
            <w:tcW w:w="546" w:type="dxa"/>
            <w:vAlign w:val="center"/>
          </w:tcPr>
          <w:p w14:paraId="76F8E277"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327" w:type="dxa"/>
            <w:vAlign w:val="center"/>
          </w:tcPr>
          <w:p w14:paraId="4514F654"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{"citationItems":[{"id":"ITEM-1","itemData":{"DOI":"10.47505/IJRSS.2023.V4.4.1","ISSN":"25826220","abstract":"Profit is the main orientation for every business entitybecause profit is one of the company's performance indicators in order to maintain its sustainability, therefore various strategies are designed and implemented so that the company continues to exist and is able to compete along with increasingly competitive and massive developments. Transfer pricing is a strategy that is oftenimplemented by companies in order to manage resources while achieving profit optimization and as a strategy is certainly influenced by several determinants including Tax minimization, leverage and Good Corporate Governance. This study intends to examine the effect of tax minimization and leverage through the interaction of Good Corporate Governance which is proxied by the number of audit committees with educational backgrounds and accounting experience. The population used are all entities in the industrial sector listed on the Indonesia Stock Exchange, using purposive sampling obtained from 17 selected companies with the observation period 2019 –2021 so that a total sample data of 51 is obtained. Moderating Regression Analysis (MRA) is used as a technique to examine the relationship between variables. The test results show that partially Tax minimization, leverage, and Good Corporate Governance have a significant effect on transfer pricing. The test results also show that GCG is able to moderate both tax minimization and leverage on transfer pricing.","author":[{"dropping-particle":"","family":"Fatmi","given":"Aulia Arie","non-dropping-particle":"","parse-names":false,"suffix":""},{"dropping-particle":"","family":"Amin","given":"Aminul","non-dropping-particle":"","parse-names":false,"suffix":""}],"container-title":"International Journal of Research in Social Science and Humanities (IJRSS)","id":"ITEM-1","issue":"04","issued":{"date-parts":[["2023"]]},"page":"01-15","title":"The Effect of Tax Minimization and Leverage on Transfer Pricing Decisions With GCG as Moderation","type":"article-journal","volume":"09"},"uris":["http://www.mendeley.com/documents/?uuid=3d469e8b-bc9f-4dc0-9ffc-78030bea2052"]}],"mendeley":{"formattedCitation":"(Fatmi &amp; Amin, 2023)","manualFormatting":"(Aulia Arie Fatmi &amp; Aminul Amin (2023)","plainTextFormattedCitation":"(Fatmi &amp; Amin, 2023)","previouslyFormattedCitation":"(Fatmi &amp; Amin, 2023)"},"properties":{"noteIndex":0},"schema":"https://github.com/citation-style-language/schema/raw/master/csl-citation.json"}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(Aulia Arie Fatmi &amp; Aminul Amin (2023)</w:t>
            </w:r>
            <w:r>
              <w:rPr>
                <w:rFonts w:ascii="Times New Roman" w:hAnsi="Times New Roman" w:cs="Times New Roman"/>
                <w:sz w:val="20"/>
                <w:szCs w:val="20"/>
              </w:rPr>
              <w:fldChar w:fldCharType="end"/>
            </w:r>
          </w:p>
        </w:tc>
        <w:tc>
          <w:tcPr>
            <w:tcW w:w="1771" w:type="dxa"/>
            <w:vAlign w:val="center"/>
          </w:tcPr>
          <w:p w14:paraId="503ABB2C"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The Effect of Tax Minimization and Leverage on Transfer Pricing Decisions With Good Corporate Governance as Moderation</w:t>
            </w:r>
          </w:p>
        </w:tc>
        <w:tc>
          <w:tcPr>
            <w:tcW w:w="1109" w:type="dxa"/>
            <w:vAlign w:val="center"/>
          </w:tcPr>
          <w:p w14:paraId="782B6BD6"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34D4DD50"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Tax Minimization Leverage and Good Corporate Governance</w:t>
            </w:r>
          </w:p>
        </w:tc>
        <w:tc>
          <w:tcPr>
            <w:tcW w:w="1796" w:type="dxa"/>
            <w:vAlign w:val="center"/>
          </w:tcPr>
          <w:p w14:paraId="653B278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Tax Minimization</w:t>
            </w:r>
            <w:r>
              <w:rPr>
                <w:rFonts w:ascii="Times New Roman" w:hAnsi="Times New Roman" w:cs="Times New Roman"/>
                <w:sz w:val="20"/>
                <w:szCs w:val="20"/>
              </w:rPr>
              <w:t xml:space="preserve"> dan </w:t>
            </w:r>
            <w:r>
              <w:rPr>
                <w:rFonts w:ascii="Times New Roman" w:hAnsi="Times New Roman" w:cs="Times New Roman"/>
                <w:i/>
                <w:iCs/>
                <w:sz w:val="20"/>
                <w:szCs w:val="20"/>
              </w:rPr>
              <w:t xml:space="preserve">Leverage </w:t>
            </w:r>
            <w:r>
              <w:rPr>
                <w:rFonts w:ascii="Times New Roman" w:hAnsi="Times New Roman" w:cs="Times New Roman"/>
                <w:sz w:val="20"/>
                <w:szCs w:val="20"/>
              </w:rPr>
              <w:t xml:space="preserve">berpengaruh positif signifikan terhadap keputusan </w:t>
            </w:r>
            <w:r>
              <w:rPr>
                <w:rFonts w:ascii="Times New Roman" w:hAnsi="Times New Roman" w:cs="Times New Roman"/>
                <w:i/>
                <w:iCs/>
                <w:sz w:val="20"/>
                <w:szCs w:val="20"/>
              </w:rPr>
              <w:t xml:space="preserve">transfer pricing. Good Corporate Governance </w:t>
            </w:r>
            <w:r>
              <w:rPr>
                <w:rFonts w:ascii="Times New Roman" w:hAnsi="Times New Roman" w:cs="Times New Roman"/>
                <w:sz w:val="20"/>
                <w:szCs w:val="20"/>
              </w:rPr>
              <w:t xml:space="preserve">mampu memoderasi pengaruh </w:t>
            </w:r>
            <w:r>
              <w:rPr>
                <w:rFonts w:ascii="Times New Roman" w:hAnsi="Times New Roman" w:cs="Times New Roman"/>
                <w:i/>
                <w:iCs/>
                <w:sz w:val="20"/>
                <w:szCs w:val="20"/>
              </w:rPr>
              <w:t xml:space="preserve">tax minimization </w:t>
            </w:r>
            <w:r>
              <w:rPr>
                <w:rFonts w:ascii="Times New Roman" w:hAnsi="Times New Roman" w:cs="Times New Roman"/>
                <w:sz w:val="20"/>
                <w:szCs w:val="20"/>
              </w:rPr>
              <w:t xml:space="preserve">dan </w:t>
            </w:r>
            <w:r>
              <w:rPr>
                <w:rFonts w:ascii="Times New Roman" w:hAnsi="Times New Roman" w:cs="Times New Roman"/>
                <w:i/>
                <w:iCs/>
                <w:sz w:val="20"/>
                <w:szCs w:val="20"/>
              </w:rPr>
              <w:t xml:space="preserve">leverage </w:t>
            </w:r>
            <w:r>
              <w:rPr>
                <w:rFonts w:ascii="Times New Roman" w:hAnsi="Times New Roman" w:cs="Times New Roman"/>
                <w:sz w:val="20"/>
                <w:szCs w:val="20"/>
              </w:rPr>
              <w:t xml:space="preserve">terhadap keputusan </w:t>
            </w:r>
            <w:r>
              <w:rPr>
                <w:rFonts w:ascii="Times New Roman" w:hAnsi="Times New Roman" w:cs="Times New Roman"/>
                <w:i/>
                <w:iCs/>
                <w:sz w:val="20"/>
                <w:szCs w:val="20"/>
              </w:rPr>
              <w:t>transfer pricing</w:t>
            </w:r>
            <w:r>
              <w:rPr>
                <w:rFonts w:ascii="Times New Roman" w:hAnsi="Times New Roman" w:cs="Times New Roman"/>
                <w:sz w:val="20"/>
                <w:szCs w:val="20"/>
              </w:rPr>
              <w:t>.</w:t>
            </w:r>
          </w:p>
        </w:tc>
      </w:tr>
      <w:tr w:rsidR="00BB58C4" w14:paraId="43C39C48" w14:textId="77777777">
        <w:tc>
          <w:tcPr>
            <w:tcW w:w="546" w:type="dxa"/>
            <w:vAlign w:val="center"/>
          </w:tcPr>
          <w:p w14:paraId="3835551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327" w:type="dxa"/>
            <w:vAlign w:val="center"/>
          </w:tcPr>
          <w:p w14:paraId="710E47C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{"citationItems":[{"id":"ITEM-1","itemData":{"DOI":"10.37481/sjr.v6i1.634","ISSN":"2615-3009","abstract":"This study aims to find out and test empirically the effect of tax minimization, exchange rates and tunneling incentives on transfer tricing decisions in manufacturing companies listed on the Indonesia Stock Exchange in 2015-2020. The type of research used is associative quantitative which uses secondary data in the form of financial reports that have been published by the company on the Indonesia Stock Exchange. The population of this study were 138 companies and the selected sample was 11 companies using purposive sampling method, with 61 data analyzed. The data analysis technique for testing this hypothesis was carried out using the Eviews 9 application. The results of this study show that simultaneously tax minimization, exchange rate and tunneling incentives have a significant effect on transfer pricing. Partially, tax minimization has no effect on transfer pricing, the exchange rate has a significant positive effect on transfer pricing. Tunneling incentive has a significant positive effect on transfer pricing.","author":[{"dropping-particle":"","family":"Putri","given":"Wulandari Cahyani","non-dropping-particle":"","parse-names":false,"suffix":""},{"dropping-particle":"","family":"Lindawati","given":"Lindawati","non-dropping-particle":"","parse-names":false,"suffix":""}],"container-title":"SCIENTIFIC JOURNAL OF REFLECTION : Economic, Accounting, Management and Business","id":"ITEM-1","issue":"1","issued":{"date-parts":[["2023"]]},"page":"195-204","title":"Pengaruh Tax Minimization, Exchange Rate Dan Tunneling Incentive Terhadap Keputusan Transfer Pricing","type":"article-journal","volume":"6"},"uris":["http://www.mendeley.com/documents/?uuid=737bddbc-edfa-4071-9c61-e6720a578abf"]}],"mendeley":{"formattedCitation":"(Putri &amp; Lindawati, 2023)","manualFormatting":"Wulandari Cahyani Putri &amp; Lindawati (2023)","plainTextFormattedCitation":"(Putri &amp; Lindawati, 2023)","previouslyFormattedCitation":"(Putri &amp; Lindawati, 2023)"},"properties":{"noteIndex":0},"schema":"https://github.com/citation-style-language/schema/raw/master/csl-citation.json"}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Wulandari Cahyani Putri &amp; Lindawati (2023)</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771" w:type="dxa"/>
            <w:vAlign w:val="center"/>
          </w:tcPr>
          <w:p w14:paraId="4BE51AED"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Pengaruh </w:t>
            </w:r>
            <w:r>
              <w:rPr>
                <w:rFonts w:ascii="Times New Roman" w:hAnsi="Times New Roman" w:cs="Times New Roman"/>
                <w:i/>
                <w:iCs/>
                <w:sz w:val="20"/>
                <w:szCs w:val="20"/>
              </w:rPr>
              <w:t xml:space="preserve">Tax Minimization, Exchange Rate dan Tunneling Incentive </w:t>
            </w:r>
            <w:r>
              <w:rPr>
                <w:rFonts w:ascii="Times New Roman" w:hAnsi="Times New Roman" w:cs="Times New Roman"/>
                <w:sz w:val="20"/>
                <w:szCs w:val="20"/>
              </w:rPr>
              <w:t xml:space="preserve">Terhadap Keputusan </w:t>
            </w:r>
            <w:r>
              <w:rPr>
                <w:rFonts w:ascii="Times New Roman" w:hAnsi="Times New Roman" w:cs="Times New Roman"/>
                <w:i/>
                <w:iCs/>
                <w:sz w:val="20"/>
                <w:szCs w:val="20"/>
              </w:rPr>
              <w:t>Transfer Pricing</w:t>
            </w:r>
          </w:p>
        </w:tc>
        <w:tc>
          <w:tcPr>
            <w:tcW w:w="1109" w:type="dxa"/>
            <w:vAlign w:val="center"/>
          </w:tcPr>
          <w:p w14:paraId="2F46CA65"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49CF456E"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Tax Minimization, Exchange Rate </w:t>
            </w:r>
            <w:r>
              <w:rPr>
                <w:rFonts w:ascii="Times New Roman" w:hAnsi="Times New Roman" w:cs="Times New Roman"/>
                <w:sz w:val="20"/>
                <w:szCs w:val="20"/>
              </w:rPr>
              <w:t>dan</w:t>
            </w:r>
            <w:r>
              <w:rPr>
                <w:rFonts w:ascii="Times New Roman" w:hAnsi="Times New Roman" w:cs="Times New Roman"/>
                <w:i/>
                <w:iCs/>
                <w:sz w:val="20"/>
                <w:szCs w:val="20"/>
              </w:rPr>
              <w:t xml:space="preserve"> Tunneling Incentive</w:t>
            </w:r>
          </w:p>
        </w:tc>
        <w:tc>
          <w:tcPr>
            <w:tcW w:w="1796" w:type="dxa"/>
            <w:vAlign w:val="center"/>
          </w:tcPr>
          <w:p w14:paraId="2FA76467"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Tax minimization </w:t>
            </w:r>
            <w:r>
              <w:rPr>
                <w:rFonts w:ascii="Times New Roman" w:hAnsi="Times New Roman" w:cs="Times New Roman"/>
                <w:sz w:val="20"/>
                <w:szCs w:val="20"/>
              </w:rPr>
              <w:t xml:space="preserve">tidak berpengaruh terhadap </w:t>
            </w:r>
            <w:r>
              <w:rPr>
                <w:rFonts w:ascii="Times New Roman" w:hAnsi="Times New Roman" w:cs="Times New Roman"/>
                <w:i/>
                <w:iCs/>
                <w:sz w:val="20"/>
                <w:szCs w:val="20"/>
              </w:rPr>
              <w:t>transfer pricing</w:t>
            </w:r>
            <w:r>
              <w:rPr>
                <w:rFonts w:ascii="Times New Roman" w:hAnsi="Times New Roman" w:cs="Times New Roman"/>
                <w:sz w:val="20"/>
                <w:szCs w:val="20"/>
              </w:rPr>
              <w:t xml:space="preserve">, </w:t>
            </w:r>
            <w:r>
              <w:rPr>
                <w:rFonts w:ascii="Times New Roman" w:hAnsi="Times New Roman" w:cs="Times New Roman"/>
                <w:i/>
                <w:iCs/>
                <w:sz w:val="20"/>
                <w:szCs w:val="20"/>
              </w:rPr>
              <w:t>exchange rate</w:t>
            </w:r>
            <w:r>
              <w:rPr>
                <w:rFonts w:ascii="Times New Roman" w:hAnsi="Times New Roman" w:cs="Times New Roman"/>
                <w:sz w:val="20"/>
                <w:szCs w:val="20"/>
              </w:rPr>
              <w:t xml:space="preserve"> dan </w:t>
            </w:r>
            <w:r>
              <w:rPr>
                <w:rFonts w:ascii="Times New Roman" w:hAnsi="Times New Roman" w:cs="Times New Roman"/>
                <w:i/>
                <w:iCs/>
                <w:sz w:val="20"/>
                <w:szCs w:val="20"/>
              </w:rPr>
              <w:t>tunneling incentive</w:t>
            </w:r>
            <w:r>
              <w:rPr>
                <w:rFonts w:ascii="Times New Roman" w:hAnsi="Times New Roman" w:cs="Times New Roman"/>
                <w:sz w:val="20"/>
                <w:szCs w:val="20"/>
              </w:rPr>
              <w:t xml:space="preserve"> berpengaruh positif  signifikan terhadap transfer pricing.</w:t>
            </w:r>
          </w:p>
        </w:tc>
      </w:tr>
      <w:tr w:rsidR="00BB58C4" w14:paraId="2D03FA06" w14:textId="77777777">
        <w:tc>
          <w:tcPr>
            <w:tcW w:w="546" w:type="dxa"/>
            <w:vAlign w:val="center"/>
          </w:tcPr>
          <w:p w14:paraId="424F6054"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327" w:type="dxa"/>
            <w:vAlign w:val="center"/>
          </w:tcPr>
          <w:p w14:paraId="7A2F5F1D"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{"citationItems":[{"id":"ITEM-1","itemData":{"DOI":"10.24843/eja.2022.v32.i05.p05","abstract":"Transfer pricing is the determination of prices in transactions between parties that have a special relationship. Transfer pricing carried out by the company in order to minimize the tax burden paid by the company by utilizing transactions with related parties. This study aims to examine the effect of taxes and the use of tax havens on transfer pricing. This research was conducted on mining sector companies listed on the Indonesia Stock Exchange (IDX) in 2016-2020. Determination of the number of samples in this study using a purposive sampling technique with three criterias, namely mining sector companies listed on the IDX that publish an annual report, earn profits, and have transactions with related parties in 2016-2020. Based on these criteria, the number of samples used in this study was 15 samples of companies with 75 observational data. Data were analyzed using multiple linear regression analysis. The results of this study indicate that taxes have no effect on transfer pricing, while the use of tax havens has a positive effect on transfer pricing.   \r Keywords: Tax; Tax Haven; Transfer Pricing.","author":[{"dropping-particle":"","family":"Devi","given":"Ni Putu Ayu Liony Krishna","non-dropping-particle":"","parse-names":false,"suffix":""},{"dropping-particle":"","family":"Noviari","given":"Naniek","non-dropping-particle":"","parse-names":false,"suffix":""}],"container-title":"E-Jurnal Akuntansi","id":"ITEM-1","issue":"5","issued":{"date-parts":[["2022"]]},"page":"1175","title":"Pengaruh Pajak dan Pemanfaatan Tax Haven pada Transfer Pricing","type":"article-journal","volume":"32"},"uris":["http://www.mendeley.com/documents/?uuid=c7b11c55-a2d6-4462-b71d-543cf0767840"]}],"mendeley":{"formattedCitation":"(N. P. A. L. K. Devi &amp; Noviari, 2022)","manualFormatting":"Ni Putu Ayu Liony Krishna Devi &amp; Naniek Noviari, (2022)","plainTextFormattedCitation":"(N. P. A. L. K. Devi &amp; Noviari, 2022)","previouslyFormattedCitation":"(N. P. A. L. K. Devi &amp; Noviari, 2022)"},"properties":{"noteIndex":0},"schema":"https://github.com/citation-style-language/schema/raw/master/csl-citation.json"}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Ni Putu Ayu Liony Krishna Devi &amp; Naniek Noviari, (2022)</w:t>
            </w:r>
            <w:r>
              <w:rPr>
                <w:rFonts w:ascii="Times New Roman" w:hAnsi="Times New Roman" w:cs="Times New Roman"/>
                <w:sz w:val="20"/>
                <w:szCs w:val="20"/>
              </w:rPr>
              <w:fldChar w:fldCharType="end"/>
            </w:r>
          </w:p>
        </w:tc>
        <w:tc>
          <w:tcPr>
            <w:tcW w:w="1771" w:type="dxa"/>
            <w:vAlign w:val="center"/>
          </w:tcPr>
          <w:p w14:paraId="0660CB42"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Pengaruh Pajak dan Pemanfaatan </w:t>
            </w:r>
            <w:r>
              <w:rPr>
                <w:rFonts w:ascii="Times New Roman" w:hAnsi="Times New Roman" w:cs="Times New Roman"/>
                <w:i/>
                <w:iCs/>
                <w:sz w:val="20"/>
                <w:szCs w:val="20"/>
              </w:rPr>
              <w:t xml:space="preserve">Tax Haven </w:t>
            </w:r>
            <w:r>
              <w:rPr>
                <w:rFonts w:ascii="Times New Roman" w:hAnsi="Times New Roman" w:cs="Times New Roman"/>
                <w:sz w:val="20"/>
                <w:szCs w:val="20"/>
              </w:rPr>
              <w:t xml:space="preserve">Pada </w:t>
            </w:r>
            <w:r>
              <w:rPr>
                <w:rFonts w:ascii="Times New Roman" w:hAnsi="Times New Roman" w:cs="Times New Roman"/>
                <w:i/>
                <w:iCs/>
                <w:sz w:val="20"/>
                <w:szCs w:val="20"/>
              </w:rPr>
              <w:t>Transfer Pricing</w:t>
            </w:r>
          </w:p>
        </w:tc>
        <w:tc>
          <w:tcPr>
            <w:tcW w:w="1109" w:type="dxa"/>
            <w:vAlign w:val="center"/>
          </w:tcPr>
          <w:p w14:paraId="4A624FDC"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389E7D32"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Pajak dan Pemanfaatan Pajak</w:t>
            </w:r>
          </w:p>
        </w:tc>
        <w:tc>
          <w:tcPr>
            <w:tcW w:w="1796" w:type="dxa"/>
            <w:vAlign w:val="center"/>
          </w:tcPr>
          <w:p w14:paraId="3335AB93"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Pajak tidak berpengaruh pada </w:t>
            </w:r>
            <w:r>
              <w:rPr>
                <w:rFonts w:ascii="Times New Roman" w:hAnsi="Times New Roman" w:cs="Times New Roman"/>
                <w:i/>
                <w:iCs/>
                <w:sz w:val="20"/>
                <w:szCs w:val="20"/>
              </w:rPr>
              <w:t>transfer pricing</w:t>
            </w:r>
            <w:r>
              <w:rPr>
                <w:rFonts w:ascii="Times New Roman" w:hAnsi="Times New Roman" w:cs="Times New Roman"/>
                <w:sz w:val="20"/>
                <w:szCs w:val="20"/>
              </w:rPr>
              <w:t xml:space="preserve">, sedangkan pemanfaatan </w:t>
            </w:r>
            <w:r>
              <w:rPr>
                <w:rFonts w:ascii="Times New Roman" w:hAnsi="Times New Roman" w:cs="Times New Roman"/>
                <w:i/>
                <w:iCs/>
                <w:sz w:val="20"/>
                <w:szCs w:val="20"/>
              </w:rPr>
              <w:t xml:space="preserve">tax haven </w:t>
            </w:r>
            <w:r>
              <w:rPr>
                <w:rFonts w:ascii="Times New Roman" w:hAnsi="Times New Roman" w:cs="Times New Roman"/>
                <w:sz w:val="20"/>
                <w:szCs w:val="20"/>
              </w:rPr>
              <w:t xml:space="preserve">berpengaruh positif pada </w:t>
            </w:r>
            <w:r>
              <w:rPr>
                <w:rFonts w:ascii="Times New Roman" w:hAnsi="Times New Roman" w:cs="Times New Roman"/>
                <w:i/>
                <w:iCs/>
                <w:sz w:val="20"/>
                <w:szCs w:val="20"/>
              </w:rPr>
              <w:t>transfer pricing</w:t>
            </w:r>
            <w:r>
              <w:rPr>
                <w:rFonts w:ascii="Times New Roman" w:hAnsi="Times New Roman" w:cs="Times New Roman"/>
                <w:sz w:val="20"/>
                <w:szCs w:val="20"/>
              </w:rPr>
              <w:t>.</w:t>
            </w:r>
          </w:p>
        </w:tc>
      </w:tr>
      <w:tr w:rsidR="00BB58C4" w14:paraId="7E4243DF" w14:textId="77777777">
        <w:tc>
          <w:tcPr>
            <w:tcW w:w="546" w:type="dxa"/>
            <w:vAlign w:val="center"/>
          </w:tcPr>
          <w:p w14:paraId="0C9B86E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327" w:type="dxa"/>
            <w:vAlign w:val="center"/>
          </w:tcPr>
          <w:p w14:paraId="45942EA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{"citationItems":[{"id":"ITEM-1","itemData":{"DOI":"10.21831/nominal.v11i2.51444","ISSN":"2303-2065","abstract":"Abstrak: Pengaruh Tax Haven, Foreign Ownership, dan Intangible Assets terhadap Keputusan Transfer Pricing. Transfer pricing merupakan penetapan terhadap harga barang, jasa, maupun aset tidak berwujud yang dilakukan dari satu divisi ke divisi lain dalam perusahaan yang sama atau antar perusahaan yang saling memiliki hubungan istimewa. Motif transfer pricing yaitu untuk meminimalkan beban pajak yang ditanggung perusahaan guna mendapatkan keuntungan yang lebih tinggi. Tujuan dari penelitian ini untuk mengetahui pengaruh tax haven, foreign ownership, dan intangible assets terhadap transfer pricing. Populasi yang digunakan yaitu perusahaan infrastruktur, utilitas, dan transportasi yang terdaftar di BEI tahun 2016 hingga 2020 sejumlah 400 perusahaan. Penelitian ini menggunakan metode pengambilan sampel purposive sampling dan terpilih 40 unit analisis. Teknik analisis yang digunakan yakni analisis regresi linear berganda. Hasil penelitian menunjukkan bahwa tax haven berpengaruh positif signifikan terhadap keputusan transfer pricing, sedangkan foreign ownership dan intangible assets tidak berpengaruh signifikan terhadap keputusan transfer pricing. Kata kunci: Transfer Pricing, Surga Pajak, Kepemilikan Asing, Aset Tidak BerwujudAbstract: The Effect of Tax Haven, Foreign Ownership, and Intangible Assets on Transfer Pricing Decisions. Transfer pricing is the determination of the price of goods, services, or intangible assets carried out from one division to another within the same company or between companies that have special relationships. The transfer pricing motive is to minimize the tax burden borne by the company in order to obtain higher profits. The purpose of this study is to determine the effect of tax havens, foreign ownership, and intangible assets on transfer pricing decisions. The population used are infrastructure, utility, and transportation companies listed on the Indonesia Stock Exchange from 2016 to 2020 with a total of 400 companies. This study used a purposive sampling method and selected 40 units of analysis. The analysis technique used is multiple linear regression analysis. The results of the study show that tax havens have a positive and significant effect on transfer pricing decisions. Meanwhile, foreign ownership and intangible assets variables have no significant effect on transfer pricing decisions.Keywords: Transfer Pricing, Tax Haven, Foreign Ownership, Intangible Asset","author":[{"dropping-particle":"","family":"Bhudiyanti","given":"Khopifa","non-dropping-particle":"","parse-names":false,"suffix":""},{"dropping-particle":"","family":"Suryarini","given":"Trisni","non-dropping-particle":"","parse-names":false,"suffix":""}],"container-title":"Nominal Barometer Riset Akuntansi dan Manajemen","id":"ITEM-1","issue":"2","issued":{"date-parts":[["2022"]]},"page":"272-273","title":"Pengaruh Tax Haven, Foreign Ownership, dan Intangible Assets terhadap Keputusan Transfer Pricing","type":"article-journal","volume":"11"},"uris":["http://www.mendeley.com/documents/?uuid=0b2f6a8a-9bb6-4d81-9e2d-2b9294cd64c7"]}],"mendeley":{"formattedCitation":"(Bhudiyanti &amp; Suryarini, 2022)","manualFormatting":"Khopifa Bhudiyanti and Trisni Suryarini (2022)","plainTextFormattedCitation":"(Bhudiyanti &amp; Suryarini, 2022)","previouslyFormattedCitation":"(Bhudiyanti &amp; Suryarini, 2022)"},"properties":{"noteIndex":0},"schema":"https://github.com/citation-style-language/schema/raw/master/csl-citation.json"}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Khopifa Bhudiyanti and Trisni Suryarini (2022)</w:t>
            </w:r>
            <w:r>
              <w:rPr>
                <w:rFonts w:ascii="Times New Roman" w:hAnsi="Times New Roman" w:cs="Times New Roman"/>
                <w:sz w:val="20"/>
                <w:szCs w:val="20"/>
              </w:rPr>
              <w:fldChar w:fldCharType="end"/>
            </w:r>
          </w:p>
        </w:tc>
        <w:tc>
          <w:tcPr>
            <w:tcW w:w="1771" w:type="dxa"/>
            <w:vAlign w:val="center"/>
          </w:tcPr>
          <w:p w14:paraId="60CDABFB"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Pengaruh </w:t>
            </w:r>
            <w:r>
              <w:rPr>
                <w:rFonts w:ascii="Times New Roman" w:hAnsi="Times New Roman" w:cs="Times New Roman"/>
                <w:i/>
                <w:iCs/>
                <w:sz w:val="20"/>
                <w:szCs w:val="20"/>
              </w:rPr>
              <w:t>Tax Haven</w:t>
            </w:r>
            <w:r>
              <w:rPr>
                <w:rFonts w:ascii="Times New Roman" w:hAnsi="Times New Roman" w:cs="Times New Roman"/>
                <w:sz w:val="20"/>
                <w:szCs w:val="20"/>
              </w:rPr>
              <w:t xml:space="preserve">, </w:t>
            </w:r>
            <w:r>
              <w:rPr>
                <w:rFonts w:ascii="Times New Roman" w:hAnsi="Times New Roman" w:cs="Times New Roman"/>
                <w:i/>
                <w:iCs/>
                <w:sz w:val="20"/>
                <w:szCs w:val="20"/>
              </w:rPr>
              <w:t>Foreign Ownership</w:t>
            </w:r>
            <w:r>
              <w:rPr>
                <w:rFonts w:ascii="Times New Roman" w:hAnsi="Times New Roman" w:cs="Times New Roman"/>
                <w:sz w:val="20"/>
                <w:szCs w:val="20"/>
              </w:rPr>
              <w:t xml:space="preserve">, dan </w:t>
            </w:r>
            <w:r>
              <w:rPr>
                <w:rFonts w:ascii="Times New Roman" w:hAnsi="Times New Roman" w:cs="Times New Roman"/>
                <w:i/>
                <w:iCs/>
                <w:sz w:val="20"/>
                <w:szCs w:val="20"/>
              </w:rPr>
              <w:t xml:space="preserve">Intangible Assets </w:t>
            </w:r>
            <w:r>
              <w:rPr>
                <w:rFonts w:ascii="Times New Roman" w:hAnsi="Times New Roman" w:cs="Times New Roman"/>
                <w:sz w:val="20"/>
                <w:szCs w:val="20"/>
              </w:rPr>
              <w:t>Terhadap Keputusan</w:t>
            </w:r>
            <w:r>
              <w:rPr>
                <w:rFonts w:ascii="Times New Roman" w:hAnsi="Times New Roman" w:cs="Times New Roman"/>
                <w:i/>
                <w:iCs/>
                <w:sz w:val="20"/>
                <w:szCs w:val="20"/>
              </w:rPr>
              <w:t xml:space="preserve"> Transfer Pricing</w:t>
            </w:r>
          </w:p>
        </w:tc>
        <w:tc>
          <w:tcPr>
            <w:tcW w:w="1109" w:type="dxa"/>
            <w:vAlign w:val="center"/>
          </w:tcPr>
          <w:p w14:paraId="4D4B9FB0"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693A052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Tax Haven, Foreign Ownership, </w:t>
            </w:r>
            <w:r>
              <w:rPr>
                <w:rFonts w:ascii="Times New Roman" w:hAnsi="Times New Roman" w:cs="Times New Roman"/>
                <w:sz w:val="20"/>
                <w:szCs w:val="20"/>
              </w:rPr>
              <w:t xml:space="preserve">dan </w:t>
            </w:r>
            <w:r>
              <w:rPr>
                <w:rFonts w:ascii="Times New Roman" w:hAnsi="Times New Roman" w:cs="Times New Roman"/>
                <w:i/>
                <w:iCs/>
                <w:sz w:val="20"/>
                <w:szCs w:val="20"/>
              </w:rPr>
              <w:t>Intangible Assets</w:t>
            </w:r>
          </w:p>
        </w:tc>
        <w:tc>
          <w:tcPr>
            <w:tcW w:w="1796" w:type="dxa"/>
            <w:vAlign w:val="center"/>
          </w:tcPr>
          <w:p w14:paraId="71E5217A"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Tax Haven </w:t>
            </w:r>
            <w:r>
              <w:rPr>
                <w:rFonts w:ascii="Times New Roman" w:hAnsi="Times New Roman" w:cs="Times New Roman"/>
                <w:sz w:val="20"/>
                <w:szCs w:val="20"/>
              </w:rPr>
              <w:t xml:space="preserve">berpengaruh positif signifikan terhadap keputusan </w:t>
            </w:r>
            <w:r>
              <w:rPr>
                <w:rFonts w:ascii="Times New Roman" w:hAnsi="Times New Roman" w:cs="Times New Roman"/>
                <w:i/>
                <w:iCs/>
                <w:sz w:val="20"/>
                <w:szCs w:val="20"/>
              </w:rPr>
              <w:t xml:space="preserve">transfer pricing, </w:t>
            </w:r>
            <w:r>
              <w:rPr>
                <w:rFonts w:ascii="Times New Roman" w:hAnsi="Times New Roman" w:cs="Times New Roman"/>
                <w:sz w:val="20"/>
                <w:szCs w:val="20"/>
              </w:rPr>
              <w:t xml:space="preserve">sedangkan </w:t>
            </w:r>
            <w:r>
              <w:rPr>
                <w:rFonts w:ascii="Times New Roman" w:hAnsi="Times New Roman" w:cs="Times New Roman"/>
                <w:i/>
                <w:iCs/>
                <w:sz w:val="20"/>
                <w:szCs w:val="20"/>
              </w:rPr>
              <w:t xml:space="preserve">foreign ownership </w:t>
            </w:r>
            <w:r>
              <w:rPr>
                <w:rFonts w:ascii="Times New Roman" w:hAnsi="Times New Roman" w:cs="Times New Roman"/>
                <w:sz w:val="20"/>
                <w:szCs w:val="20"/>
              </w:rPr>
              <w:t xml:space="preserve">dan </w:t>
            </w:r>
            <w:r>
              <w:rPr>
                <w:rFonts w:ascii="Times New Roman" w:hAnsi="Times New Roman" w:cs="Times New Roman"/>
                <w:i/>
                <w:iCs/>
                <w:sz w:val="20"/>
                <w:szCs w:val="20"/>
              </w:rPr>
              <w:t xml:space="preserve">intangible assets </w:t>
            </w:r>
            <w:r>
              <w:rPr>
                <w:rFonts w:ascii="Times New Roman" w:hAnsi="Times New Roman" w:cs="Times New Roman"/>
                <w:sz w:val="20"/>
                <w:szCs w:val="20"/>
              </w:rPr>
              <w:t xml:space="preserve">tidak berpengaruh signifikan terhadap keputusan </w:t>
            </w:r>
            <w:r>
              <w:rPr>
                <w:rFonts w:ascii="Times New Roman" w:hAnsi="Times New Roman" w:cs="Times New Roman"/>
                <w:i/>
                <w:iCs/>
                <w:sz w:val="20"/>
                <w:szCs w:val="20"/>
              </w:rPr>
              <w:t>transfer pricing</w:t>
            </w:r>
            <w:r>
              <w:rPr>
                <w:rFonts w:ascii="Times New Roman" w:hAnsi="Times New Roman" w:cs="Times New Roman"/>
                <w:sz w:val="20"/>
                <w:szCs w:val="20"/>
              </w:rPr>
              <w:t>.</w:t>
            </w:r>
          </w:p>
        </w:tc>
      </w:tr>
      <w:tr w:rsidR="00BB58C4" w14:paraId="31F66227" w14:textId="77777777">
        <w:tc>
          <w:tcPr>
            <w:tcW w:w="546" w:type="dxa"/>
            <w:vAlign w:val="center"/>
          </w:tcPr>
          <w:p w14:paraId="4F32BA45"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327" w:type="dxa"/>
            <w:vAlign w:val="center"/>
          </w:tcPr>
          <w:p w14:paraId="6820D76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{"citationItems":[{"id":"ITEM-1","itemData":{"DOI":"10.24843/EJA.2024.v34.i09.pxx","author":[{"dropping-particle":"","family":"Ni Putu Mila Purwitasari","given":"Ni Ketut Lely Aryani Merkusiwati","non-dropping-particle":"","parse-names":false,"suffix":""}],"id":"ITEM-1","issued":{"date-parts":[["2022"]]},"page":"2184-2196","title":"Impact of Income Tax, Tax Haven Utilization, and Foreign Ownership on Transfer Pricing Practices","type":"article-journal"},"uris":["http://www.mendeley.com/documents/?uuid=8b380191-f991-4049-a58b-4fb2664030fc"]}],"mendeley":{"formattedCitation":"(Ni Putu Mila Purwitasari, 2022)","manualFormatting":"Ni Putu Mila Purwitasari &amp; Ni Ketut Lely Aryani Merkusiwati (2022)","plainTextFormattedCitation":"(Ni Putu Mila Purwitasari, 2022)","previouslyFormattedCitation":"(Ni Putu Mila Purwitasari, 2022)"},"properties":{"noteIndex":0},"schema":"https://github.com/citation-style-language/schema/raw/master/csl-citation.json"}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Ni Putu Mila Purwitasari &amp; Ni Ketut Lely Aryani Merkusiwati (2022)</w:t>
            </w:r>
            <w:r>
              <w:rPr>
                <w:rFonts w:ascii="Times New Roman" w:hAnsi="Times New Roman" w:cs="Times New Roman"/>
                <w:sz w:val="20"/>
                <w:szCs w:val="20"/>
              </w:rPr>
              <w:fldChar w:fldCharType="end"/>
            </w:r>
          </w:p>
        </w:tc>
        <w:tc>
          <w:tcPr>
            <w:tcW w:w="1771" w:type="dxa"/>
            <w:vAlign w:val="center"/>
          </w:tcPr>
          <w:p w14:paraId="4EF5AC84"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Impact of Income Tax, Tax Haven Utilization, and Foreign Ownership on Transfer Pricing</w:t>
            </w:r>
          </w:p>
        </w:tc>
        <w:tc>
          <w:tcPr>
            <w:tcW w:w="1109" w:type="dxa"/>
            <w:vAlign w:val="center"/>
          </w:tcPr>
          <w:p w14:paraId="41E83312"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03FC21B2"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Income Tax, Tax Haven Utilization, and Foreign Ownership</w:t>
            </w:r>
          </w:p>
        </w:tc>
        <w:tc>
          <w:tcPr>
            <w:tcW w:w="1796" w:type="dxa"/>
            <w:vAlign w:val="center"/>
          </w:tcPr>
          <w:p w14:paraId="7AA54935"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Pajak penghasilan berpengaruh positif, sementara pemanfaatan </w:t>
            </w:r>
            <w:r>
              <w:rPr>
                <w:rFonts w:ascii="Times New Roman" w:hAnsi="Times New Roman" w:cs="Times New Roman"/>
                <w:i/>
                <w:iCs/>
                <w:sz w:val="20"/>
                <w:szCs w:val="20"/>
              </w:rPr>
              <w:t xml:space="preserve">tax haven </w:t>
            </w:r>
            <w:r>
              <w:rPr>
                <w:rFonts w:ascii="Times New Roman" w:hAnsi="Times New Roman" w:cs="Times New Roman"/>
                <w:sz w:val="20"/>
                <w:szCs w:val="20"/>
              </w:rPr>
              <w:t xml:space="preserve">dan </w:t>
            </w:r>
          </w:p>
        </w:tc>
      </w:tr>
    </w:tbl>
    <w:bookmarkEnd w:id="35"/>
    <w:p w14:paraId="54203B39" w14:textId="77777777" w:rsidR="00BB58C4" w:rsidRDefault="00000000">
      <w:pPr>
        <w:spacing w:line="480" w:lineRule="auto"/>
        <w:jc w:val="both"/>
        <w:rPr>
          <w:rFonts w:ascii="Times New Roman" w:hAnsi="Times New Roman" w:cs="Times New Roman"/>
          <w:i/>
          <w:iCs/>
          <w:sz w:val="20"/>
          <w:szCs w:val="20"/>
        </w:rPr>
      </w:pPr>
      <w:r>
        <w:rPr>
          <w:rFonts w:ascii="Times New Roman" w:hAnsi="Times New Roman" w:cs="Times New Roman"/>
          <w:i/>
          <w:iCs/>
          <w:sz w:val="20"/>
          <w:szCs w:val="20"/>
        </w:rPr>
        <w:t>Disambung ke halaman berikutnya</w:t>
      </w:r>
    </w:p>
    <w:p w14:paraId="738CD75D" w14:textId="77777777" w:rsidR="00BB58C4" w:rsidRDefault="00000000">
      <w:pPr>
        <w:spacing w:line="240" w:lineRule="auto"/>
        <w:jc w:val="both"/>
        <w:rPr>
          <w:rFonts w:ascii="Times New Roman" w:hAnsi="Times New Roman" w:cs="Times New Roman"/>
          <w:b/>
          <w:bCs/>
        </w:rPr>
      </w:pPr>
      <w:r>
        <w:rPr>
          <w:rFonts w:ascii="Times New Roman" w:hAnsi="Times New Roman" w:cs="Times New Roman"/>
          <w:b/>
          <w:bCs/>
        </w:rPr>
        <w:lastRenderedPageBreak/>
        <w:t>Tabel 2.1 Sambungan</w:t>
      </w:r>
    </w:p>
    <w:tbl>
      <w:tblPr>
        <w:tblStyle w:val="TableGrid"/>
        <w:tblW w:w="0" w:type="auto"/>
        <w:tblLook w:val="04A0" w:firstRow="1" w:lastRow="0" w:firstColumn="1" w:lastColumn="0" w:noHBand="0" w:noVBand="1"/>
      </w:tblPr>
      <w:tblGrid>
        <w:gridCol w:w="546"/>
        <w:gridCol w:w="1327"/>
        <w:gridCol w:w="1771"/>
        <w:gridCol w:w="1109"/>
        <w:gridCol w:w="1378"/>
        <w:gridCol w:w="1796"/>
      </w:tblGrid>
      <w:tr w:rsidR="00BB58C4" w14:paraId="6740E05D" w14:textId="77777777">
        <w:tc>
          <w:tcPr>
            <w:tcW w:w="546" w:type="dxa"/>
            <w:vMerge w:val="restart"/>
            <w:vAlign w:val="center"/>
          </w:tcPr>
          <w:p w14:paraId="7D2F0CEF" w14:textId="77777777" w:rsidR="00BB58C4" w:rsidRDefault="00000000">
            <w:pPr>
              <w:spacing w:after="0" w:line="240" w:lineRule="auto"/>
              <w:jc w:val="center"/>
              <w:rPr>
                <w:rFonts w:ascii="Times New Roman" w:hAnsi="Times New Roman" w:cs="Times New Roman"/>
                <w:sz w:val="20"/>
                <w:szCs w:val="20"/>
              </w:rPr>
            </w:pPr>
            <w:bookmarkStart w:id="36" w:name="_Hlk196369236"/>
            <w:r>
              <w:rPr>
                <w:rFonts w:ascii="Times New Roman" w:hAnsi="Times New Roman" w:cs="Times New Roman"/>
                <w:sz w:val="20"/>
                <w:szCs w:val="20"/>
              </w:rPr>
              <w:t>No</w:t>
            </w:r>
          </w:p>
        </w:tc>
        <w:tc>
          <w:tcPr>
            <w:tcW w:w="1327" w:type="dxa"/>
            <w:vMerge w:val="restart"/>
            <w:vAlign w:val="center"/>
          </w:tcPr>
          <w:p w14:paraId="11101A4C"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Peneliti</w:t>
            </w:r>
          </w:p>
        </w:tc>
        <w:tc>
          <w:tcPr>
            <w:tcW w:w="1771" w:type="dxa"/>
            <w:vMerge w:val="restart"/>
            <w:vAlign w:val="center"/>
          </w:tcPr>
          <w:p w14:paraId="31CD979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Judul Penelitian</w:t>
            </w:r>
          </w:p>
        </w:tc>
        <w:tc>
          <w:tcPr>
            <w:tcW w:w="2487" w:type="dxa"/>
            <w:gridSpan w:val="2"/>
            <w:vAlign w:val="center"/>
          </w:tcPr>
          <w:p w14:paraId="373E8993"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 Penelitian</w:t>
            </w:r>
          </w:p>
        </w:tc>
        <w:tc>
          <w:tcPr>
            <w:tcW w:w="1796" w:type="dxa"/>
            <w:vMerge w:val="restart"/>
            <w:vAlign w:val="center"/>
          </w:tcPr>
          <w:p w14:paraId="7530ABE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Hasil Penelitian</w:t>
            </w:r>
          </w:p>
        </w:tc>
      </w:tr>
      <w:tr w:rsidR="00BB58C4" w14:paraId="2D335A5D" w14:textId="77777777">
        <w:tc>
          <w:tcPr>
            <w:tcW w:w="546" w:type="dxa"/>
            <w:vMerge/>
            <w:vAlign w:val="center"/>
          </w:tcPr>
          <w:p w14:paraId="3EEC4965" w14:textId="77777777" w:rsidR="00BB58C4" w:rsidRDefault="00BB58C4">
            <w:pPr>
              <w:spacing w:after="0" w:line="240" w:lineRule="auto"/>
              <w:jc w:val="center"/>
              <w:rPr>
                <w:rFonts w:ascii="Times New Roman" w:hAnsi="Times New Roman" w:cs="Times New Roman"/>
                <w:sz w:val="20"/>
                <w:szCs w:val="20"/>
              </w:rPr>
            </w:pPr>
          </w:p>
        </w:tc>
        <w:tc>
          <w:tcPr>
            <w:tcW w:w="1327" w:type="dxa"/>
            <w:vMerge/>
            <w:vAlign w:val="center"/>
          </w:tcPr>
          <w:p w14:paraId="09C879F7" w14:textId="77777777" w:rsidR="00BB58C4" w:rsidRDefault="00BB58C4">
            <w:pPr>
              <w:spacing w:after="0" w:line="240" w:lineRule="auto"/>
              <w:jc w:val="center"/>
              <w:rPr>
                <w:rFonts w:ascii="Times New Roman" w:hAnsi="Times New Roman" w:cs="Times New Roman"/>
                <w:sz w:val="20"/>
                <w:szCs w:val="20"/>
              </w:rPr>
            </w:pPr>
          </w:p>
        </w:tc>
        <w:tc>
          <w:tcPr>
            <w:tcW w:w="1771" w:type="dxa"/>
            <w:vMerge/>
            <w:vAlign w:val="center"/>
          </w:tcPr>
          <w:p w14:paraId="6AFBBD23" w14:textId="77777777" w:rsidR="00BB58C4" w:rsidRDefault="00BB58C4">
            <w:pPr>
              <w:spacing w:after="0" w:line="240" w:lineRule="auto"/>
              <w:jc w:val="center"/>
              <w:rPr>
                <w:rFonts w:ascii="Times New Roman" w:hAnsi="Times New Roman" w:cs="Times New Roman"/>
                <w:sz w:val="20"/>
                <w:szCs w:val="20"/>
              </w:rPr>
            </w:pPr>
          </w:p>
        </w:tc>
        <w:tc>
          <w:tcPr>
            <w:tcW w:w="1109" w:type="dxa"/>
            <w:vAlign w:val="center"/>
          </w:tcPr>
          <w:p w14:paraId="5693E1B2"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Dependen</w:t>
            </w:r>
          </w:p>
        </w:tc>
        <w:tc>
          <w:tcPr>
            <w:tcW w:w="1378" w:type="dxa"/>
            <w:vAlign w:val="center"/>
          </w:tcPr>
          <w:p w14:paraId="02465EC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Independen</w:t>
            </w:r>
          </w:p>
        </w:tc>
        <w:tc>
          <w:tcPr>
            <w:tcW w:w="1796" w:type="dxa"/>
            <w:vMerge/>
            <w:vAlign w:val="center"/>
          </w:tcPr>
          <w:p w14:paraId="60AECE75" w14:textId="77777777" w:rsidR="00BB58C4" w:rsidRDefault="00BB58C4">
            <w:pPr>
              <w:spacing w:after="0" w:line="240" w:lineRule="auto"/>
              <w:jc w:val="center"/>
              <w:rPr>
                <w:rFonts w:ascii="Times New Roman" w:hAnsi="Times New Roman" w:cs="Times New Roman"/>
                <w:sz w:val="20"/>
                <w:szCs w:val="20"/>
              </w:rPr>
            </w:pPr>
          </w:p>
        </w:tc>
      </w:tr>
      <w:tr w:rsidR="00BB58C4" w14:paraId="5C825F55" w14:textId="77777777">
        <w:tc>
          <w:tcPr>
            <w:tcW w:w="546" w:type="dxa"/>
            <w:vAlign w:val="center"/>
          </w:tcPr>
          <w:p w14:paraId="261E75EE" w14:textId="77777777" w:rsidR="00BB58C4" w:rsidRDefault="00BB58C4">
            <w:pPr>
              <w:spacing w:after="0" w:line="240" w:lineRule="auto"/>
              <w:jc w:val="center"/>
              <w:rPr>
                <w:rFonts w:ascii="Times New Roman" w:hAnsi="Times New Roman" w:cs="Times New Roman"/>
                <w:sz w:val="20"/>
                <w:szCs w:val="20"/>
              </w:rPr>
            </w:pPr>
          </w:p>
        </w:tc>
        <w:tc>
          <w:tcPr>
            <w:tcW w:w="1327" w:type="dxa"/>
            <w:vAlign w:val="center"/>
          </w:tcPr>
          <w:p w14:paraId="799F049F" w14:textId="77777777" w:rsidR="00BB58C4" w:rsidRDefault="00BB58C4">
            <w:pPr>
              <w:spacing w:after="0" w:line="240" w:lineRule="auto"/>
              <w:jc w:val="center"/>
              <w:rPr>
                <w:rFonts w:ascii="Times New Roman" w:hAnsi="Times New Roman" w:cs="Times New Roman"/>
                <w:sz w:val="20"/>
                <w:szCs w:val="20"/>
              </w:rPr>
            </w:pPr>
          </w:p>
        </w:tc>
        <w:tc>
          <w:tcPr>
            <w:tcW w:w="1771" w:type="dxa"/>
            <w:vAlign w:val="center"/>
          </w:tcPr>
          <w:p w14:paraId="64814DCE" w14:textId="77777777" w:rsidR="00BB58C4" w:rsidRDefault="00BB58C4">
            <w:pPr>
              <w:spacing w:after="0" w:line="240" w:lineRule="auto"/>
              <w:jc w:val="center"/>
              <w:rPr>
                <w:rFonts w:ascii="Times New Roman" w:hAnsi="Times New Roman" w:cs="Times New Roman"/>
                <w:sz w:val="20"/>
                <w:szCs w:val="20"/>
              </w:rPr>
            </w:pPr>
          </w:p>
        </w:tc>
        <w:tc>
          <w:tcPr>
            <w:tcW w:w="1109" w:type="dxa"/>
            <w:vAlign w:val="center"/>
          </w:tcPr>
          <w:p w14:paraId="4F92D664" w14:textId="77777777" w:rsidR="00BB58C4" w:rsidRDefault="00BB58C4">
            <w:pPr>
              <w:spacing w:after="0" w:line="240" w:lineRule="auto"/>
              <w:jc w:val="center"/>
              <w:rPr>
                <w:rFonts w:ascii="Times New Roman" w:hAnsi="Times New Roman" w:cs="Times New Roman"/>
                <w:i/>
                <w:iCs/>
                <w:sz w:val="20"/>
                <w:szCs w:val="20"/>
              </w:rPr>
            </w:pPr>
          </w:p>
        </w:tc>
        <w:tc>
          <w:tcPr>
            <w:tcW w:w="1378" w:type="dxa"/>
            <w:vAlign w:val="center"/>
          </w:tcPr>
          <w:p w14:paraId="4F378C26" w14:textId="77777777" w:rsidR="00BB58C4" w:rsidRDefault="00BB58C4">
            <w:pPr>
              <w:spacing w:after="0" w:line="240" w:lineRule="auto"/>
              <w:jc w:val="center"/>
              <w:rPr>
                <w:rFonts w:ascii="Times New Roman" w:hAnsi="Times New Roman" w:cs="Times New Roman"/>
                <w:sz w:val="20"/>
                <w:szCs w:val="20"/>
              </w:rPr>
            </w:pPr>
          </w:p>
        </w:tc>
        <w:tc>
          <w:tcPr>
            <w:tcW w:w="1796" w:type="dxa"/>
            <w:vAlign w:val="center"/>
          </w:tcPr>
          <w:p w14:paraId="21087522"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kepemilikan asing tidak menunjukkan adanya pengaruh signifikan pada transfer pricing.</w:t>
            </w:r>
          </w:p>
        </w:tc>
      </w:tr>
      <w:tr w:rsidR="00BB58C4" w14:paraId="7075BECD" w14:textId="77777777">
        <w:tc>
          <w:tcPr>
            <w:tcW w:w="546" w:type="dxa"/>
            <w:vAlign w:val="center"/>
          </w:tcPr>
          <w:p w14:paraId="109032B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327" w:type="dxa"/>
            <w:vAlign w:val="center"/>
          </w:tcPr>
          <w:p w14:paraId="06F78E53"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{"citationItems":[{"id":"ITEM-1","itemData":{"DOI":"10.28932/jam.v13i2.3885","ISSN":"2085-8698","abstract":"Abstract\r This study aims to determine the effect of intangible assets, firm size, tax compliance, leverage on transfer pricing. The data analysis uses multiple linear regressions on 12 manufacturing companies listed on the Indonesia Stock Exchange (IDX) during 2015-2019. The results of this study show that intangible assets, firm size, tax compliance, leverage simultaneously have a significant effect on a company’s decision to practice transfer pricing, as well as intangible assets and leverage partially, have a positive and significant effect on transfer pricing. But firm size partly has a negative and significant effect on transfer pricing. Meanwhile, tax compliance has no significant effect on transfer pricing.\r  Keywords: Intangible Assets, Firm Size, Tax Compliance, Leverage, and Transfer Pricing\r  ","author":[{"dropping-particle":"","family":"Wahyudi","given":"Ickhsanto","non-dropping-particle":"","parse-names":false,"suffix":""},{"dropping-particle":"","family":"Fitriah","given":"Nur","non-dropping-particle":"","parse-names":false,"suffix":""}],"container-title":"Jurnal Akuntansi","id":"ITEM-1","issue":"2","issued":{"date-parts":[["2021"]]},"page":"388-401","title":"Pengaruh Aset Tidak Berwujud, Ukuran Perusahaan, Kepatuhan Perpajakan, dan Leverage Terhadap Transfer Pricing","type":"article-journal","volume":"13"},"uris":["http://www.mendeley.com/documents/?uuid=27706aa7-2bd0-4351-97c6-9b30f6be4f4e"]}],"mendeley":{"formattedCitation":"(Wahyudi &amp; Fitriah, 2021)","manualFormatting":"Ickhsanto Wahyudi &amp; Nur Fitriah (2021)","plainTextFormattedCitation":"(Wahyudi &amp; Fitriah, 2021)","previouslyFormattedCitation":"(Wahyudi &amp; Fitriah,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Ickhsanto Wahyudi &amp; Nur Fitriah (2021)</w:t>
            </w:r>
            <w:r>
              <w:rPr>
                <w:rFonts w:ascii="Times New Roman" w:hAnsi="Times New Roman" w:cs="Times New Roman"/>
                <w:sz w:val="20"/>
                <w:szCs w:val="20"/>
              </w:rPr>
              <w:fldChar w:fldCharType="end"/>
            </w:r>
          </w:p>
        </w:tc>
        <w:tc>
          <w:tcPr>
            <w:tcW w:w="1771" w:type="dxa"/>
            <w:vAlign w:val="center"/>
          </w:tcPr>
          <w:p w14:paraId="621BBDD3"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Pengaruh Aset Tidak Berwujud, Ukuran Perusahaan, Kepatuhan Perpajakan, dan </w:t>
            </w:r>
            <w:r>
              <w:rPr>
                <w:rFonts w:ascii="Times New Roman" w:hAnsi="Times New Roman" w:cs="Times New Roman"/>
                <w:i/>
                <w:iCs/>
                <w:sz w:val="20"/>
                <w:szCs w:val="20"/>
              </w:rPr>
              <w:t xml:space="preserve">Leverage </w:t>
            </w:r>
            <w:r>
              <w:rPr>
                <w:rFonts w:ascii="Times New Roman" w:hAnsi="Times New Roman" w:cs="Times New Roman"/>
                <w:sz w:val="20"/>
                <w:szCs w:val="20"/>
              </w:rPr>
              <w:t xml:space="preserve">Terhadap </w:t>
            </w:r>
            <w:r>
              <w:rPr>
                <w:rFonts w:ascii="Times New Roman" w:hAnsi="Times New Roman" w:cs="Times New Roman"/>
                <w:i/>
                <w:iCs/>
                <w:sz w:val="20"/>
                <w:szCs w:val="20"/>
              </w:rPr>
              <w:t>Transfer Pricing</w:t>
            </w:r>
          </w:p>
        </w:tc>
        <w:tc>
          <w:tcPr>
            <w:tcW w:w="1109" w:type="dxa"/>
            <w:vAlign w:val="center"/>
          </w:tcPr>
          <w:p w14:paraId="5D4E1FEB"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192B532A"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Aset Tidak Berwujud, Ukuran Perusahaan, Kepatuhan Perpajakan, dan </w:t>
            </w:r>
            <w:r>
              <w:rPr>
                <w:rFonts w:ascii="Times New Roman" w:hAnsi="Times New Roman" w:cs="Times New Roman"/>
                <w:i/>
                <w:iCs/>
                <w:sz w:val="20"/>
                <w:szCs w:val="20"/>
              </w:rPr>
              <w:t>Leverage</w:t>
            </w:r>
          </w:p>
        </w:tc>
        <w:tc>
          <w:tcPr>
            <w:tcW w:w="1796" w:type="dxa"/>
            <w:vAlign w:val="center"/>
          </w:tcPr>
          <w:p w14:paraId="2E222F1A"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Aset tidak berwujud, ukuran perusahaan, dan </w:t>
            </w:r>
            <w:r>
              <w:rPr>
                <w:rFonts w:ascii="Times New Roman" w:hAnsi="Times New Roman" w:cs="Times New Roman"/>
                <w:i/>
                <w:iCs/>
                <w:sz w:val="20"/>
                <w:szCs w:val="20"/>
              </w:rPr>
              <w:t xml:space="preserve">leverage </w:t>
            </w:r>
            <w:r>
              <w:rPr>
                <w:rFonts w:ascii="Times New Roman" w:hAnsi="Times New Roman" w:cs="Times New Roman"/>
                <w:sz w:val="20"/>
                <w:szCs w:val="20"/>
              </w:rPr>
              <w:t xml:space="preserve">secara parsial berpengaruh positif dan signifikan terhadap </w:t>
            </w:r>
            <w:r>
              <w:rPr>
                <w:rFonts w:ascii="Times New Roman" w:hAnsi="Times New Roman" w:cs="Times New Roman"/>
                <w:i/>
                <w:iCs/>
                <w:sz w:val="20"/>
                <w:szCs w:val="20"/>
              </w:rPr>
              <w:t xml:space="preserve">transfer pricing. </w:t>
            </w:r>
            <w:r>
              <w:rPr>
                <w:rFonts w:ascii="Times New Roman" w:hAnsi="Times New Roman" w:cs="Times New Roman"/>
                <w:sz w:val="20"/>
                <w:szCs w:val="20"/>
              </w:rPr>
              <w:t xml:space="preserve">Namun, ukuran perusahaan secara parsial berpengaruh negatif dan signifikan terhadap </w:t>
            </w:r>
            <w:r>
              <w:rPr>
                <w:rFonts w:ascii="Times New Roman" w:hAnsi="Times New Roman" w:cs="Times New Roman"/>
                <w:i/>
                <w:iCs/>
                <w:sz w:val="20"/>
                <w:szCs w:val="20"/>
              </w:rPr>
              <w:t xml:space="preserve">transfer pricing. </w:t>
            </w:r>
            <w:r>
              <w:rPr>
                <w:rFonts w:ascii="Times New Roman" w:hAnsi="Times New Roman" w:cs="Times New Roman"/>
                <w:sz w:val="20"/>
                <w:szCs w:val="20"/>
              </w:rPr>
              <w:t>Sedangkan kepatuhan perpajakan tidak berpengaruh signifikan terhadap transfer pricing</w:t>
            </w:r>
          </w:p>
        </w:tc>
      </w:tr>
      <w:tr w:rsidR="00BB58C4" w14:paraId="12136BAA" w14:textId="77777777">
        <w:tc>
          <w:tcPr>
            <w:tcW w:w="546" w:type="dxa"/>
            <w:vAlign w:val="center"/>
          </w:tcPr>
          <w:p w14:paraId="7025ADD0"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327" w:type="dxa"/>
            <w:vAlign w:val="center"/>
          </w:tcPr>
          <w:p w14:paraId="708A01C4"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10.24034/jiaku.v3i3.6401","author":[{"dropping-particle":"","family":"Sulistya","given":"Enthy","non-dropping-particle":"","parse-names":false,"suffix":""},{"dropping-particle":"","family":"Wulandari","given":"Suci","non-dropping-particle":"","parse-names":false,"suffix":""},{"dropping-particle":"","family":"Irawati","given":"Wiwit","non-dropping-particle":"","parse-names":false,"suffix":""}],"container-title":"JIAKu: Jurnal Ilmiah Akuntansi dan Keuangan","id":"ITEM-1","issue":"3","issued":{"date-parts":[["2024"]]},"page":"240-251","title":"Pengaruh Tax expenses, Tax Haven Utilization, Foreign Ownership dan Intangible Asset Terhadap Transfer Pricing","type":"article-journal","volume":"3"},"uris":["http://www.mendeley.com/documents/?uuid=60111f6d-1052-43e0-a72f-d800b4d69034"]}],"mendeley":{"formattedCitation":"(Sulistya, Wulandari, &amp; Irawati, 2024)","manualFormatting":"(Enthy Sulistya Suci Wulandari &amp; Wiwit Irawati (2021)","plainTextFormattedCitation":"(Sulistya, Wulandari, &amp; Irawati, 2024)","previouslyFormattedCitation":"(Sulistya, Wulandari, &amp; Irawati, 2024)"},"properties":{"noteIndex":0},"schema":"https://github.com/citation-style-language/schema/raw/master/csl-citation.json"}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(Enthy Sulistya Suci Wulandari &amp; Wiwit Irawati (2021)</w:t>
            </w:r>
            <w:r>
              <w:rPr>
                <w:rFonts w:ascii="Times New Roman" w:hAnsi="Times New Roman" w:cs="Times New Roman"/>
                <w:sz w:val="20"/>
                <w:szCs w:val="20"/>
              </w:rPr>
              <w:fldChar w:fldCharType="end"/>
            </w:r>
          </w:p>
        </w:tc>
        <w:tc>
          <w:tcPr>
            <w:tcW w:w="1771" w:type="dxa"/>
            <w:vAlign w:val="center"/>
          </w:tcPr>
          <w:p w14:paraId="7972AA1F"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Pengaruh </w:t>
            </w:r>
            <w:r>
              <w:rPr>
                <w:rFonts w:ascii="Times New Roman" w:hAnsi="Times New Roman" w:cs="Times New Roman"/>
                <w:i/>
                <w:iCs/>
                <w:sz w:val="20"/>
                <w:szCs w:val="20"/>
              </w:rPr>
              <w:t xml:space="preserve">Tax Expenses, Tax Haven Utilization, Foreign Ownership </w:t>
            </w:r>
            <w:r>
              <w:rPr>
                <w:rFonts w:ascii="Times New Roman" w:hAnsi="Times New Roman" w:cs="Times New Roman"/>
                <w:sz w:val="20"/>
                <w:szCs w:val="20"/>
              </w:rPr>
              <w:t>dan</w:t>
            </w:r>
            <w:r>
              <w:rPr>
                <w:rFonts w:ascii="Times New Roman" w:hAnsi="Times New Roman" w:cs="Times New Roman"/>
                <w:i/>
                <w:iCs/>
                <w:sz w:val="20"/>
                <w:szCs w:val="20"/>
              </w:rPr>
              <w:t xml:space="preserve"> Intangible Asset </w:t>
            </w:r>
            <w:r>
              <w:rPr>
                <w:rFonts w:ascii="Times New Roman" w:hAnsi="Times New Roman" w:cs="Times New Roman"/>
                <w:sz w:val="20"/>
                <w:szCs w:val="20"/>
              </w:rPr>
              <w:t>Terhadap</w:t>
            </w:r>
            <w:r>
              <w:rPr>
                <w:rFonts w:ascii="Times New Roman" w:hAnsi="Times New Roman" w:cs="Times New Roman"/>
                <w:i/>
                <w:iCs/>
                <w:sz w:val="20"/>
                <w:szCs w:val="20"/>
              </w:rPr>
              <w:t xml:space="preserve"> Transfer Pricing</w:t>
            </w:r>
          </w:p>
        </w:tc>
        <w:tc>
          <w:tcPr>
            <w:tcW w:w="1109" w:type="dxa"/>
            <w:vAlign w:val="center"/>
          </w:tcPr>
          <w:p w14:paraId="3EF55315"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64813527"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Tax Expenses, Tax Haven Utilization, Foreign Ownership </w:t>
            </w:r>
            <w:r>
              <w:rPr>
                <w:rFonts w:ascii="Times New Roman" w:hAnsi="Times New Roman" w:cs="Times New Roman"/>
                <w:sz w:val="20"/>
                <w:szCs w:val="20"/>
              </w:rPr>
              <w:t xml:space="preserve">dan </w:t>
            </w:r>
            <w:r>
              <w:rPr>
                <w:rFonts w:ascii="Times New Roman" w:hAnsi="Times New Roman" w:cs="Times New Roman"/>
                <w:i/>
                <w:iCs/>
                <w:sz w:val="20"/>
                <w:szCs w:val="20"/>
              </w:rPr>
              <w:t>Intangible Asset</w:t>
            </w:r>
          </w:p>
        </w:tc>
        <w:tc>
          <w:tcPr>
            <w:tcW w:w="1796" w:type="dxa"/>
            <w:vAlign w:val="center"/>
          </w:tcPr>
          <w:p w14:paraId="4BE101E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Tax Haven Utilization </w:t>
            </w:r>
            <w:r>
              <w:rPr>
                <w:rFonts w:ascii="Times New Roman" w:hAnsi="Times New Roman" w:cs="Times New Roman"/>
                <w:sz w:val="20"/>
                <w:szCs w:val="20"/>
              </w:rPr>
              <w:t xml:space="preserve">dan </w:t>
            </w:r>
            <w:r>
              <w:rPr>
                <w:rFonts w:ascii="Times New Roman" w:hAnsi="Times New Roman" w:cs="Times New Roman"/>
                <w:i/>
                <w:iCs/>
                <w:sz w:val="20"/>
                <w:szCs w:val="20"/>
              </w:rPr>
              <w:t xml:space="preserve">Intangible Asset </w:t>
            </w:r>
            <w:r>
              <w:rPr>
                <w:rFonts w:ascii="Times New Roman" w:hAnsi="Times New Roman" w:cs="Times New Roman"/>
                <w:sz w:val="20"/>
                <w:szCs w:val="20"/>
              </w:rPr>
              <w:t xml:space="preserve">berpengaruh negatif terhadap </w:t>
            </w:r>
            <w:r>
              <w:rPr>
                <w:rFonts w:ascii="Times New Roman" w:hAnsi="Times New Roman" w:cs="Times New Roman"/>
                <w:i/>
                <w:iCs/>
                <w:sz w:val="20"/>
                <w:szCs w:val="20"/>
              </w:rPr>
              <w:t>transfer pricing</w:t>
            </w:r>
            <w:r>
              <w:rPr>
                <w:rFonts w:ascii="Times New Roman" w:hAnsi="Times New Roman" w:cs="Times New Roman"/>
                <w:sz w:val="20"/>
                <w:szCs w:val="20"/>
              </w:rPr>
              <w:t xml:space="preserve">, sedangkan </w:t>
            </w:r>
            <w:r>
              <w:rPr>
                <w:rFonts w:ascii="Times New Roman" w:hAnsi="Times New Roman" w:cs="Times New Roman"/>
                <w:i/>
                <w:iCs/>
                <w:sz w:val="20"/>
                <w:szCs w:val="20"/>
              </w:rPr>
              <w:t xml:space="preserve">tax expenses </w:t>
            </w:r>
            <w:r>
              <w:rPr>
                <w:rFonts w:ascii="Times New Roman" w:hAnsi="Times New Roman" w:cs="Times New Roman"/>
                <w:sz w:val="20"/>
                <w:szCs w:val="20"/>
              </w:rPr>
              <w:t xml:space="preserve">dan </w:t>
            </w:r>
            <w:r>
              <w:rPr>
                <w:rFonts w:ascii="Times New Roman" w:hAnsi="Times New Roman" w:cs="Times New Roman"/>
                <w:i/>
                <w:iCs/>
                <w:sz w:val="20"/>
                <w:szCs w:val="20"/>
              </w:rPr>
              <w:t xml:space="preserve">foreign ownership </w:t>
            </w:r>
            <w:r>
              <w:rPr>
                <w:rFonts w:ascii="Times New Roman" w:hAnsi="Times New Roman" w:cs="Times New Roman"/>
                <w:sz w:val="20"/>
                <w:szCs w:val="20"/>
              </w:rPr>
              <w:t xml:space="preserve">tidak berpengaruh terhadap </w:t>
            </w:r>
            <w:r>
              <w:rPr>
                <w:rFonts w:ascii="Times New Roman" w:hAnsi="Times New Roman" w:cs="Times New Roman"/>
                <w:i/>
                <w:iCs/>
                <w:sz w:val="20"/>
                <w:szCs w:val="20"/>
              </w:rPr>
              <w:t xml:space="preserve">transfer pricing </w:t>
            </w:r>
            <w:r>
              <w:rPr>
                <w:rFonts w:ascii="Times New Roman" w:hAnsi="Times New Roman" w:cs="Times New Roman"/>
                <w:sz w:val="20"/>
                <w:szCs w:val="20"/>
              </w:rPr>
              <w:t>perusahaan.</w:t>
            </w:r>
          </w:p>
        </w:tc>
      </w:tr>
      <w:tr w:rsidR="00BB58C4" w14:paraId="5BE6E6E2" w14:textId="77777777">
        <w:tc>
          <w:tcPr>
            <w:tcW w:w="546" w:type="dxa"/>
            <w:vAlign w:val="center"/>
          </w:tcPr>
          <w:p w14:paraId="0E1623B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327" w:type="dxa"/>
            <w:vAlign w:val="center"/>
          </w:tcPr>
          <w:p w14:paraId="0263E2F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{"citationItems":[{"id":"ITEM-1","itemData":{"DOI":"10.24123/jbt.v5i1.4079","ISSN":"2580-4928","abstract":"Abstract\r The purpose of this study was to determine the effect of tax minimization, bonus mechanisms, foreign ownership, exchange rates, and audit quality on transfer pricing in manufacturing companies in Indonesia. The population of this research was all manufacturing companies listed on the Indonesia Stock Exchange from 2017 to 2019. By using the purposive sampling method, 81 companies were selected as the research sample. Based on logistic regression analysis, it was proven that the tax minimization variable has a significant positive effect on transfer pricing decisions. Likewise, the audit quality variable is proven to have a significant negative effect on transfer pricing decisions in manufacturing companies in Indonesia. Meanwhile, the bonus mechanism, foreign ownership, and exchange rate variables were not proven to have a significant effect on the company's transfer pricing decision. These results indicated that the greater the tax minimization carried out by the company and the lower the audit quality will increase the probability of the company in conducting transfer pricing, and vice versa. The results of this study have implications for encouraging the government to make regulations that can prevent transfer pricing practices between companies that have a special relationship that might harm the government from tax revenue.\r  Keywords: bonus mechanism; foreign ownership; tax minimization; transfer pricing","author":[{"dropping-particle":"","family":"Marfuah","given":"Marfuah","non-dropping-particle":"","parse-names":false,"suffix":""},{"dropping-particle":"","family":"Sanintya Mayantya","given":"","non-dropping-particle":"","parse-names":false,"suffix":""},{"dropping-particle":"","family":"Priyono Puji Prasetyo","given":"","non-dropping-particle":"","parse-names":false,"suffix":""}],"container-title":"Jurnal Bisnis Terapan","id":"ITEM-1","issue":"1","issued":{"date-parts":[["2021"]]},"page":"57-72","title":"the Effect of Tax Minimization, Bonus Mechanism, Foreign Ownership, Exchange Rate, Audit Quality on Transfer Pricing Decisions","type":"article-journal","volume":"5"},"uris":["http://www.mendeley.com/documents/?uuid=585f3e42-702a-4a8a-9d48-2a9b7a37c2a6"]}],"mendeley":{"formattedCitation":"(Marfuah et al., 2021)","manualFormatting":"(Marfuah, Sanintya Mayantya &amp; Priyono Puji Prasetyo (2021)","plainTextFormattedCitation":"(Marfuah et al., 2021)","previouslyFormattedCitation":"(Marfuah et al.,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(Marfuah, Sanintya Mayantya &amp; Priyono Puji Prasetyo (2021)</w:t>
            </w:r>
            <w:r>
              <w:rPr>
                <w:rFonts w:ascii="Times New Roman" w:hAnsi="Times New Roman" w:cs="Times New Roman"/>
                <w:sz w:val="20"/>
                <w:szCs w:val="20"/>
              </w:rPr>
              <w:fldChar w:fldCharType="end"/>
            </w:r>
          </w:p>
        </w:tc>
        <w:tc>
          <w:tcPr>
            <w:tcW w:w="1771" w:type="dxa"/>
            <w:vAlign w:val="center"/>
          </w:tcPr>
          <w:p w14:paraId="4D07EBC3"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The Effect Of Tax Minimization, Bonus Mechanism, Foreign Ownership, Exchange Rate, Audit Quality On Transfer Pricing Decision</w:t>
            </w:r>
          </w:p>
        </w:tc>
        <w:tc>
          <w:tcPr>
            <w:tcW w:w="1109" w:type="dxa"/>
            <w:vAlign w:val="center"/>
          </w:tcPr>
          <w:p w14:paraId="43EC683E"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5F67D92E"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Tax Minimization, Bonus Mechanism, Foreign Ownership, Exchange Rate, Audit Quality</w:t>
            </w:r>
          </w:p>
        </w:tc>
        <w:tc>
          <w:tcPr>
            <w:tcW w:w="1796" w:type="dxa"/>
            <w:vAlign w:val="center"/>
          </w:tcPr>
          <w:p w14:paraId="2E039E91"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Tax minimization </w:t>
            </w:r>
            <w:r>
              <w:rPr>
                <w:rFonts w:ascii="Times New Roman" w:hAnsi="Times New Roman" w:cs="Times New Roman"/>
                <w:sz w:val="20"/>
                <w:szCs w:val="20"/>
              </w:rPr>
              <w:t xml:space="preserve">berpengaruh positif signifikan terhadap keputusan </w:t>
            </w:r>
            <w:r>
              <w:rPr>
                <w:rFonts w:ascii="Times New Roman" w:hAnsi="Times New Roman" w:cs="Times New Roman"/>
                <w:i/>
                <w:iCs/>
                <w:sz w:val="20"/>
                <w:szCs w:val="20"/>
              </w:rPr>
              <w:t xml:space="preserve">transfer pricing. </w:t>
            </w:r>
            <w:r>
              <w:rPr>
                <w:rFonts w:ascii="Times New Roman" w:hAnsi="Times New Roman" w:cs="Times New Roman"/>
                <w:sz w:val="20"/>
                <w:szCs w:val="20"/>
              </w:rPr>
              <w:t xml:space="preserve">Semakin besar </w:t>
            </w:r>
            <w:r>
              <w:rPr>
                <w:rFonts w:ascii="Times New Roman" w:hAnsi="Times New Roman" w:cs="Times New Roman"/>
                <w:i/>
                <w:iCs/>
                <w:sz w:val="20"/>
                <w:szCs w:val="20"/>
              </w:rPr>
              <w:t xml:space="preserve">tax minimization </w:t>
            </w:r>
            <w:r>
              <w:rPr>
                <w:rFonts w:ascii="Times New Roman" w:hAnsi="Times New Roman" w:cs="Times New Roman"/>
                <w:sz w:val="20"/>
                <w:szCs w:val="20"/>
              </w:rPr>
              <w:t xml:space="preserve">yang dilakukan perusahaan dan semakin rendah kualitas audit maka </w:t>
            </w:r>
          </w:p>
        </w:tc>
      </w:tr>
    </w:tbl>
    <w:bookmarkEnd w:id="36"/>
    <w:p w14:paraId="44344D82" w14:textId="77777777" w:rsidR="00BB58C4" w:rsidRDefault="00000000">
      <w:pPr>
        <w:spacing w:line="480" w:lineRule="auto"/>
        <w:jc w:val="both"/>
        <w:rPr>
          <w:rFonts w:ascii="Times New Roman" w:hAnsi="Times New Roman" w:cs="Times New Roman"/>
          <w:i/>
          <w:iCs/>
          <w:sz w:val="20"/>
          <w:szCs w:val="20"/>
        </w:rPr>
      </w:pPr>
      <w:r>
        <w:rPr>
          <w:rFonts w:ascii="Times New Roman" w:hAnsi="Times New Roman" w:cs="Times New Roman"/>
          <w:i/>
          <w:iCs/>
          <w:sz w:val="20"/>
          <w:szCs w:val="20"/>
        </w:rPr>
        <w:t>Disambung ke halaman berikutnya</w:t>
      </w:r>
    </w:p>
    <w:p w14:paraId="258E532A" w14:textId="77777777" w:rsidR="00BB58C4" w:rsidRDefault="00000000">
      <w:pPr>
        <w:spacing w:after="0" w:line="360" w:lineRule="auto"/>
        <w:jc w:val="both"/>
        <w:rPr>
          <w:rFonts w:ascii="Times New Roman" w:hAnsi="Times New Roman" w:cs="Times New Roman"/>
          <w:i/>
          <w:iCs/>
          <w:sz w:val="20"/>
          <w:szCs w:val="20"/>
        </w:rPr>
      </w:pPr>
      <w:bookmarkStart w:id="37" w:name="_Hlk196369396"/>
      <w:r>
        <w:rPr>
          <w:rFonts w:ascii="Times New Roman" w:hAnsi="Times New Roman" w:cs="Times New Roman"/>
          <w:b/>
          <w:bCs/>
        </w:rPr>
        <w:lastRenderedPageBreak/>
        <w:t>Tabel 2.1 Sambungan</w:t>
      </w:r>
    </w:p>
    <w:tbl>
      <w:tblPr>
        <w:tblStyle w:val="TableGrid"/>
        <w:tblW w:w="0" w:type="auto"/>
        <w:tblLook w:val="04A0" w:firstRow="1" w:lastRow="0" w:firstColumn="1" w:lastColumn="0" w:noHBand="0" w:noVBand="1"/>
      </w:tblPr>
      <w:tblGrid>
        <w:gridCol w:w="546"/>
        <w:gridCol w:w="1327"/>
        <w:gridCol w:w="1771"/>
        <w:gridCol w:w="1109"/>
        <w:gridCol w:w="1378"/>
        <w:gridCol w:w="1796"/>
      </w:tblGrid>
      <w:tr w:rsidR="00BB58C4" w14:paraId="427E8269" w14:textId="77777777">
        <w:tc>
          <w:tcPr>
            <w:tcW w:w="546" w:type="dxa"/>
            <w:vMerge w:val="restart"/>
            <w:vAlign w:val="center"/>
          </w:tcPr>
          <w:p w14:paraId="60192B0D" w14:textId="77777777" w:rsidR="00BB58C4" w:rsidRDefault="00000000">
            <w:pPr>
              <w:spacing w:after="0" w:line="240" w:lineRule="auto"/>
              <w:jc w:val="center"/>
              <w:rPr>
                <w:rFonts w:ascii="Times New Roman" w:hAnsi="Times New Roman" w:cs="Times New Roman"/>
                <w:sz w:val="20"/>
                <w:szCs w:val="20"/>
              </w:rPr>
            </w:pPr>
            <w:bookmarkStart w:id="38" w:name="_Hlk196369410"/>
            <w:bookmarkEnd w:id="37"/>
            <w:r>
              <w:rPr>
                <w:rFonts w:ascii="Times New Roman" w:hAnsi="Times New Roman" w:cs="Times New Roman"/>
                <w:sz w:val="20"/>
                <w:szCs w:val="20"/>
              </w:rPr>
              <w:t>No</w:t>
            </w:r>
          </w:p>
        </w:tc>
        <w:tc>
          <w:tcPr>
            <w:tcW w:w="1327" w:type="dxa"/>
            <w:vMerge w:val="restart"/>
            <w:vAlign w:val="center"/>
          </w:tcPr>
          <w:p w14:paraId="409585C9"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Peneliti</w:t>
            </w:r>
          </w:p>
        </w:tc>
        <w:tc>
          <w:tcPr>
            <w:tcW w:w="1771" w:type="dxa"/>
            <w:vMerge w:val="restart"/>
            <w:vAlign w:val="center"/>
          </w:tcPr>
          <w:p w14:paraId="433A57B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Judul Penelitian</w:t>
            </w:r>
          </w:p>
        </w:tc>
        <w:tc>
          <w:tcPr>
            <w:tcW w:w="2487" w:type="dxa"/>
            <w:gridSpan w:val="2"/>
            <w:vAlign w:val="center"/>
          </w:tcPr>
          <w:p w14:paraId="304416A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 Penelitian</w:t>
            </w:r>
          </w:p>
        </w:tc>
        <w:tc>
          <w:tcPr>
            <w:tcW w:w="1796" w:type="dxa"/>
            <w:vMerge w:val="restart"/>
            <w:vAlign w:val="center"/>
          </w:tcPr>
          <w:p w14:paraId="3F267C62"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Hasil Penelitian</w:t>
            </w:r>
          </w:p>
        </w:tc>
      </w:tr>
      <w:tr w:rsidR="00BB58C4" w14:paraId="3662BC35" w14:textId="77777777">
        <w:tc>
          <w:tcPr>
            <w:tcW w:w="546" w:type="dxa"/>
            <w:vMerge/>
            <w:vAlign w:val="center"/>
          </w:tcPr>
          <w:p w14:paraId="0A5DC293" w14:textId="77777777" w:rsidR="00BB58C4" w:rsidRDefault="00BB58C4">
            <w:pPr>
              <w:spacing w:after="0" w:line="240" w:lineRule="auto"/>
              <w:jc w:val="center"/>
              <w:rPr>
                <w:rFonts w:ascii="Times New Roman" w:hAnsi="Times New Roman" w:cs="Times New Roman"/>
                <w:sz w:val="20"/>
                <w:szCs w:val="20"/>
              </w:rPr>
            </w:pPr>
          </w:p>
        </w:tc>
        <w:tc>
          <w:tcPr>
            <w:tcW w:w="1327" w:type="dxa"/>
            <w:vMerge/>
            <w:vAlign w:val="center"/>
          </w:tcPr>
          <w:p w14:paraId="49FE3F5E" w14:textId="77777777" w:rsidR="00BB58C4" w:rsidRDefault="00BB58C4">
            <w:pPr>
              <w:spacing w:after="0" w:line="240" w:lineRule="auto"/>
              <w:jc w:val="center"/>
              <w:rPr>
                <w:rFonts w:ascii="Times New Roman" w:hAnsi="Times New Roman" w:cs="Times New Roman"/>
                <w:sz w:val="20"/>
                <w:szCs w:val="20"/>
              </w:rPr>
            </w:pPr>
          </w:p>
        </w:tc>
        <w:tc>
          <w:tcPr>
            <w:tcW w:w="1771" w:type="dxa"/>
            <w:vMerge/>
            <w:vAlign w:val="center"/>
          </w:tcPr>
          <w:p w14:paraId="39D1DB4E" w14:textId="77777777" w:rsidR="00BB58C4" w:rsidRDefault="00BB58C4">
            <w:pPr>
              <w:spacing w:after="0" w:line="240" w:lineRule="auto"/>
              <w:jc w:val="center"/>
              <w:rPr>
                <w:rFonts w:ascii="Times New Roman" w:hAnsi="Times New Roman" w:cs="Times New Roman"/>
                <w:sz w:val="20"/>
                <w:szCs w:val="20"/>
              </w:rPr>
            </w:pPr>
          </w:p>
        </w:tc>
        <w:tc>
          <w:tcPr>
            <w:tcW w:w="1109" w:type="dxa"/>
            <w:vAlign w:val="center"/>
          </w:tcPr>
          <w:p w14:paraId="42D7173A"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Dependen</w:t>
            </w:r>
          </w:p>
        </w:tc>
        <w:tc>
          <w:tcPr>
            <w:tcW w:w="1378" w:type="dxa"/>
            <w:vAlign w:val="center"/>
          </w:tcPr>
          <w:p w14:paraId="50A2E862"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Independen</w:t>
            </w:r>
          </w:p>
        </w:tc>
        <w:tc>
          <w:tcPr>
            <w:tcW w:w="1796" w:type="dxa"/>
            <w:vMerge/>
            <w:vAlign w:val="center"/>
          </w:tcPr>
          <w:p w14:paraId="14B9C90D" w14:textId="77777777" w:rsidR="00BB58C4" w:rsidRDefault="00BB58C4">
            <w:pPr>
              <w:spacing w:after="0" w:line="240" w:lineRule="auto"/>
              <w:jc w:val="center"/>
              <w:rPr>
                <w:rFonts w:ascii="Times New Roman" w:hAnsi="Times New Roman" w:cs="Times New Roman"/>
                <w:sz w:val="20"/>
                <w:szCs w:val="20"/>
              </w:rPr>
            </w:pPr>
          </w:p>
        </w:tc>
      </w:tr>
      <w:tr w:rsidR="00BB58C4" w14:paraId="16434B23" w14:textId="77777777">
        <w:tc>
          <w:tcPr>
            <w:tcW w:w="546" w:type="dxa"/>
            <w:vAlign w:val="center"/>
          </w:tcPr>
          <w:p w14:paraId="04DB17D9" w14:textId="77777777" w:rsidR="00BB58C4" w:rsidRDefault="00BB58C4">
            <w:pPr>
              <w:spacing w:after="0" w:line="240" w:lineRule="auto"/>
              <w:jc w:val="center"/>
              <w:rPr>
                <w:rFonts w:ascii="Times New Roman" w:hAnsi="Times New Roman" w:cs="Times New Roman"/>
                <w:sz w:val="20"/>
                <w:szCs w:val="20"/>
              </w:rPr>
            </w:pPr>
          </w:p>
        </w:tc>
        <w:tc>
          <w:tcPr>
            <w:tcW w:w="1327" w:type="dxa"/>
            <w:vAlign w:val="center"/>
          </w:tcPr>
          <w:p w14:paraId="642E8418" w14:textId="77777777" w:rsidR="00BB58C4" w:rsidRDefault="00BB58C4">
            <w:pPr>
              <w:spacing w:after="0" w:line="240" w:lineRule="auto"/>
              <w:jc w:val="center"/>
              <w:rPr>
                <w:rFonts w:ascii="Times New Roman" w:hAnsi="Times New Roman" w:cs="Times New Roman"/>
                <w:sz w:val="20"/>
                <w:szCs w:val="20"/>
              </w:rPr>
            </w:pPr>
          </w:p>
        </w:tc>
        <w:tc>
          <w:tcPr>
            <w:tcW w:w="1771" w:type="dxa"/>
            <w:vAlign w:val="center"/>
          </w:tcPr>
          <w:p w14:paraId="678E899F" w14:textId="77777777" w:rsidR="00BB58C4" w:rsidRDefault="00BB58C4">
            <w:pPr>
              <w:spacing w:after="0" w:line="240" w:lineRule="auto"/>
              <w:jc w:val="center"/>
              <w:rPr>
                <w:rFonts w:ascii="Times New Roman" w:hAnsi="Times New Roman" w:cs="Times New Roman"/>
                <w:i/>
                <w:iCs/>
                <w:sz w:val="20"/>
                <w:szCs w:val="20"/>
              </w:rPr>
            </w:pPr>
          </w:p>
        </w:tc>
        <w:tc>
          <w:tcPr>
            <w:tcW w:w="1109" w:type="dxa"/>
            <w:vAlign w:val="center"/>
          </w:tcPr>
          <w:p w14:paraId="62429118" w14:textId="77777777" w:rsidR="00BB58C4" w:rsidRDefault="00BB58C4">
            <w:pPr>
              <w:spacing w:after="0" w:line="240" w:lineRule="auto"/>
              <w:jc w:val="center"/>
              <w:rPr>
                <w:rFonts w:ascii="Times New Roman" w:hAnsi="Times New Roman" w:cs="Times New Roman"/>
                <w:i/>
                <w:iCs/>
                <w:sz w:val="20"/>
                <w:szCs w:val="20"/>
              </w:rPr>
            </w:pPr>
          </w:p>
        </w:tc>
        <w:tc>
          <w:tcPr>
            <w:tcW w:w="1378" w:type="dxa"/>
            <w:vAlign w:val="center"/>
          </w:tcPr>
          <w:p w14:paraId="2EC53AFC" w14:textId="77777777" w:rsidR="00BB58C4" w:rsidRDefault="00BB58C4">
            <w:pPr>
              <w:spacing w:after="0" w:line="240" w:lineRule="auto"/>
              <w:jc w:val="center"/>
              <w:rPr>
                <w:rFonts w:ascii="Times New Roman" w:hAnsi="Times New Roman" w:cs="Times New Roman"/>
                <w:sz w:val="20"/>
                <w:szCs w:val="20"/>
              </w:rPr>
            </w:pPr>
          </w:p>
        </w:tc>
        <w:tc>
          <w:tcPr>
            <w:tcW w:w="1796" w:type="dxa"/>
            <w:vAlign w:val="center"/>
          </w:tcPr>
          <w:p w14:paraId="5F749349"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akan meningkatkan probabilitas perusahaan dalam melakukan transfer pricing. Begitu pula dengan variabel kualitas audit terbukti berpengaruh negatif signifikan. Sementara itu mekanisme bonus, kepemilikan asing, dan nilai tukar tidak terbukti berpengaruh signifikan.</w:t>
            </w:r>
          </w:p>
        </w:tc>
      </w:tr>
      <w:tr w:rsidR="00BB58C4" w14:paraId="30BEFB80" w14:textId="77777777">
        <w:tc>
          <w:tcPr>
            <w:tcW w:w="546" w:type="dxa"/>
            <w:vAlign w:val="center"/>
          </w:tcPr>
          <w:p w14:paraId="2EA63B9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327" w:type="dxa"/>
            <w:vAlign w:val="center"/>
          </w:tcPr>
          <w:p w14:paraId="3A49847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{"citationItems":[{"id":"ITEM-1","itemData":{"DOI":"10.24167/jab.v19i1.3551","ISSN":"1412-775X","abstract":"The purpose of this study is to analyze the effect of tax minimization, bonus mechanism, and tunneling incentive on transfer pricing with leverage as a moderating variable. The population of this study are mining companies listed on the Indonesia Stock Exchange (IDX) in 2017-2019.The sample selection uses a purposive side technique. Samples that meet the criteria are 18 companies with 54 units of analysis, there are 8 outliers so that the number of samples is 46 units of analysis. The data analysis technique is Moderated Regression Analysis (MRA) with IBM SPSS Statistics Version 24 software. This study shows a negative effect of tax minimization, a positive effect of tunneling incentive, and no effect bonus mechanism on transfer pricing decisions. Leverage does not moderate the effect of tax minimization and bonus mechanism on transfer pricing decisions and only significantly moderates the effect of tunneling incentives on transfer pricing decisions.","author":[{"dropping-particle":"","family":"Lutfia","given":"Mei Dewi","non-dropping-particle":"","parse-names":false,"suffix":""},{"dropping-particle":"","family":"Sukirman","given":"Sukirman","non-dropping-particle":"","parse-names":false,"suffix":""}],"container-title":"Jurnal Akuntansi Bisnis","id":"ITEM-1","issue":"1","issued":{"date-parts":[["2021"]]},"page":"79","title":"Leverage Sebagai Pemoderasi Pada Transfer Pricing Yang Dipengaruhi Tax Minimiziation, Bonus Mechanism , dan Tunneling Incentive","type":"article-journal","volume":"19"},"uris":["http://www.mendeley.com/documents/?uuid=51a1b074-8d5f-4d60-825b-42fbf89e0658"]}],"mendeley":{"formattedCitation":"(Lutfia &amp; Sukirman, 2021)","manualFormatting":"Mei Dewi Lutfia &amp; Sukirman (2021)","plainTextFormattedCitation":"(Lutfia &amp; Sukirman, 2021)","previouslyFormattedCitation":"(Lutfia &amp; Sukirman,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Mei Dewi Lutfia &amp; Sukirman (2021)</w:t>
            </w:r>
            <w:r>
              <w:rPr>
                <w:rFonts w:ascii="Times New Roman" w:hAnsi="Times New Roman" w:cs="Times New Roman"/>
                <w:sz w:val="20"/>
                <w:szCs w:val="20"/>
              </w:rPr>
              <w:fldChar w:fldCharType="end"/>
            </w:r>
          </w:p>
        </w:tc>
        <w:tc>
          <w:tcPr>
            <w:tcW w:w="1771" w:type="dxa"/>
            <w:vAlign w:val="center"/>
          </w:tcPr>
          <w:p w14:paraId="316CD826"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Leverage </w:t>
            </w:r>
            <w:r>
              <w:rPr>
                <w:rFonts w:ascii="Times New Roman" w:hAnsi="Times New Roman" w:cs="Times New Roman"/>
                <w:sz w:val="20"/>
                <w:szCs w:val="20"/>
              </w:rPr>
              <w:t>Sebagai Pemoderasi Pada</w:t>
            </w:r>
            <w:r>
              <w:rPr>
                <w:rFonts w:ascii="Times New Roman" w:hAnsi="Times New Roman" w:cs="Times New Roman"/>
                <w:i/>
                <w:iCs/>
                <w:sz w:val="20"/>
                <w:szCs w:val="20"/>
              </w:rPr>
              <w:t xml:space="preserve"> Transfer Pricing </w:t>
            </w:r>
            <w:r>
              <w:rPr>
                <w:rFonts w:ascii="Times New Roman" w:hAnsi="Times New Roman" w:cs="Times New Roman"/>
                <w:sz w:val="20"/>
                <w:szCs w:val="20"/>
              </w:rPr>
              <w:t>Yang Dipengaruhi Oleh</w:t>
            </w:r>
            <w:r>
              <w:rPr>
                <w:rFonts w:ascii="Times New Roman" w:hAnsi="Times New Roman" w:cs="Times New Roman"/>
                <w:i/>
                <w:iCs/>
                <w:sz w:val="20"/>
                <w:szCs w:val="20"/>
              </w:rPr>
              <w:t xml:space="preserve"> Tax Minimization, Bonus Mechanism, dan Tunneling Incentive</w:t>
            </w:r>
          </w:p>
        </w:tc>
        <w:tc>
          <w:tcPr>
            <w:tcW w:w="1109" w:type="dxa"/>
            <w:vAlign w:val="center"/>
          </w:tcPr>
          <w:p w14:paraId="37AD05BE"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03C21EFF"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Tax Minimization, Bonus Mechanism, Tunneling Incentive dan Leverage</w:t>
            </w:r>
          </w:p>
        </w:tc>
        <w:tc>
          <w:tcPr>
            <w:tcW w:w="1796" w:type="dxa"/>
            <w:vAlign w:val="center"/>
          </w:tcPr>
          <w:p w14:paraId="492BCF5D"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Tax Minimization </w:t>
            </w:r>
            <w:r>
              <w:rPr>
                <w:rFonts w:ascii="Times New Roman" w:hAnsi="Times New Roman" w:cs="Times New Roman"/>
                <w:sz w:val="20"/>
                <w:szCs w:val="20"/>
              </w:rPr>
              <w:t xml:space="preserve">berpengaruh secara negatif, </w:t>
            </w:r>
            <w:r>
              <w:rPr>
                <w:rFonts w:ascii="Times New Roman" w:hAnsi="Times New Roman" w:cs="Times New Roman"/>
                <w:i/>
                <w:iCs/>
                <w:sz w:val="20"/>
                <w:szCs w:val="20"/>
              </w:rPr>
              <w:t xml:space="preserve">Tunneling Incentive </w:t>
            </w:r>
            <w:r>
              <w:rPr>
                <w:rFonts w:ascii="Times New Roman" w:hAnsi="Times New Roman" w:cs="Times New Roman"/>
                <w:sz w:val="20"/>
                <w:szCs w:val="20"/>
              </w:rPr>
              <w:t>berpengaruh secara positif dan Bonus Mechanism tidak memiliki pengaruh terhadap keputusan transfer pricing. Leverage hanya mampu memoderasi pengaruh Tunneling Incentive secara signifikan</w:t>
            </w:r>
          </w:p>
        </w:tc>
      </w:tr>
      <w:tr w:rsidR="00BB58C4" w14:paraId="53A524AF" w14:textId="77777777">
        <w:tc>
          <w:tcPr>
            <w:tcW w:w="546" w:type="dxa"/>
            <w:vAlign w:val="center"/>
          </w:tcPr>
          <w:p w14:paraId="29C339BD"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327" w:type="dxa"/>
            <w:vAlign w:val="center"/>
          </w:tcPr>
          <w:p w14:paraId="418AD224"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Riska","given":"Amilia","non-dropping-particle":"","parse-names":false,"suffix":""},{"dropping-particle":"","family":"Anwar","given":"Saiful","non-dropping-particle":"","parse-names":false,"suffix":""}],"container-title":"Jurnal Akuntansi Berkelanjutan Indonesia","id":"ITEM-1","issue":"3","issued":{"date-parts":[["2021"]]},"page":"266-280","title":"PENGARUH TUNNELING INCENTIVE , BONUS MECHANISM , DEBT COVENANT DAN TAX MINIMIZATION TERHADAP KEPUTUSAN TRANSFER PRICING Abstrack Abstrak","type":"article-journal","volume":"4"},"uris":["http://www.mendeley.com/documents/?uuid=c7389544-506d-4b61-8826-e95b132c1889"]}],"mendeley":{"formattedCitation":"(Riska &amp; Anwar, 2021)","manualFormatting":"Amilia Riska &amp; Saiful Anwar (2021)","plainTextFormattedCitation":"(Riska &amp; Anwar, 2021)","previouslyFormattedCitation":"(Riska &amp; Anwar,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Amilia Riska &amp; Saiful Anwar (2021)</w:t>
            </w:r>
            <w:r>
              <w:rPr>
                <w:rFonts w:ascii="Times New Roman" w:hAnsi="Times New Roman" w:cs="Times New Roman"/>
                <w:sz w:val="20"/>
                <w:szCs w:val="20"/>
              </w:rPr>
              <w:fldChar w:fldCharType="end"/>
            </w:r>
          </w:p>
        </w:tc>
        <w:tc>
          <w:tcPr>
            <w:tcW w:w="1771" w:type="dxa"/>
            <w:vAlign w:val="center"/>
          </w:tcPr>
          <w:p w14:paraId="05AC77B0"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Pengaruh Tunneling Incentive, Bonus Mechanism, Debt Covenant dan Tax Minimization terhadap </w:t>
            </w:r>
            <w:r>
              <w:rPr>
                <w:rFonts w:ascii="Times New Roman" w:hAnsi="Times New Roman" w:cs="Times New Roman"/>
                <w:sz w:val="20"/>
                <w:szCs w:val="20"/>
              </w:rPr>
              <w:t xml:space="preserve">Keputusan </w:t>
            </w:r>
            <w:r>
              <w:rPr>
                <w:rFonts w:ascii="Times New Roman" w:hAnsi="Times New Roman" w:cs="Times New Roman"/>
                <w:i/>
                <w:iCs/>
                <w:sz w:val="20"/>
                <w:szCs w:val="20"/>
              </w:rPr>
              <w:t>Transfer Pricing</w:t>
            </w:r>
          </w:p>
        </w:tc>
        <w:tc>
          <w:tcPr>
            <w:tcW w:w="1109" w:type="dxa"/>
            <w:vAlign w:val="center"/>
          </w:tcPr>
          <w:p w14:paraId="44784ECA"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5673698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Tunneling Incentive, Bonus Mechanism, Debt Covenant </w:t>
            </w:r>
            <w:r>
              <w:rPr>
                <w:rFonts w:ascii="Times New Roman" w:hAnsi="Times New Roman" w:cs="Times New Roman"/>
                <w:sz w:val="20"/>
                <w:szCs w:val="20"/>
              </w:rPr>
              <w:t xml:space="preserve">dan </w:t>
            </w:r>
            <w:r>
              <w:rPr>
                <w:rFonts w:ascii="Times New Roman" w:hAnsi="Times New Roman" w:cs="Times New Roman"/>
                <w:i/>
                <w:iCs/>
                <w:sz w:val="20"/>
                <w:szCs w:val="20"/>
              </w:rPr>
              <w:t xml:space="preserve">Tax Minimization </w:t>
            </w:r>
          </w:p>
        </w:tc>
        <w:tc>
          <w:tcPr>
            <w:tcW w:w="1796" w:type="dxa"/>
            <w:vAlign w:val="center"/>
          </w:tcPr>
          <w:p w14:paraId="24A4718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Tunneling Incentive </w:t>
            </w:r>
            <w:r>
              <w:rPr>
                <w:rFonts w:ascii="Times New Roman" w:hAnsi="Times New Roman" w:cs="Times New Roman"/>
                <w:sz w:val="20"/>
                <w:szCs w:val="20"/>
              </w:rPr>
              <w:t>dan</w:t>
            </w:r>
            <w:r>
              <w:rPr>
                <w:rFonts w:ascii="Times New Roman" w:hAnsi="Times New Roman" w:cs="Times New Roman"/>
                <w:i/>
                <w:iCs/>
                <w:sz w:val="20"/>
                <w:szCs w:val="20"/>
              </w:rPr>
              <w:t xml:space="preserve"> bonus mechanism </w:t>
            </w:r>
            <w:r>
              <w:rPr>
                <w:rFonts w:ascii="Times New Roman" w:hAnsi="Times New Roman" w:cs="Times New Roman"/>
                <w:sz w:val="20"/>
                <w:szCs w:val="20"/>
              </w:rPr>
              <w:t xml:space="preserve">berpengaruh </w:t>
            </w:r>
            <w:r>
              <w:rPr>
                <w:rFonts w:ascii="Times New Roman" w:hAnsi="Times New Roman" w:cs="Times New Roman"/>
                <w:i/>
                <w:iCs/>
                <w:sz w:val="20"/>
                <w:szCs w:val="20"/>
              </w:rPr>
              <w:t xml:space="preserve">terhadap transfer pricing, </w:t>
            </w:r>
            <w:r>
              <w:rPr>
                <w:rFonts w:ascii="Times New Roman" w:hAnsi="Times New Roman" w:cs="Times New Roman"/>
                <w:sz w:val="20"/>
                <w:szCs w:val="20"/>
              </w:rPr>
              <w:t xml:space="preserve">sedangkan </w:t>
            </w:r>
            <w:r>
              <w:rPr>
                <w:rFonts w:ascii="Times New Roman" w:hAnsi="Times New Roman" w:cs="Times New Roman"/>
                <w:i/>
                <w:iCs/>
                <w:sz w:val="20"/>
                <w:szCs w:val="20"/>
              </w:rPr>
              <w:t xml:space="preserve">debt covenant </w:t>
            </w:r>
            <w:r>
              <w:rPr>
                <w:rFonts w:ascii="Times New Roman" w:hAnsi="Times New Roman" w:cs="Times New Roman"/>
                <w:sz w:val="20"/>
                <w:szCs w:val="20"/>
              </w:rPr>
              <w:t xml:space="preserve">dan </w:t>
            </w:r>
            <w:r>
              <w:rPr>
                <w:rFonts w:ascii="Times New Roman" w:hAnsi="Times New Roman" w:cs="Times New Roman"/>
                <w:i/>
                <w:iCs/>
                <w:sz w:val="20"/>
                <w:szCs w:val="20"/>
              </w:rPr>
              <w:t xml:space="preserve">tax minimization </w:t>
            </w:r>
            <w:r>
              <w:rPr>
                <w:rFonts w:ascii="Times New Roman" w:hAnsi="Times New Roman" w:cs="Times New Roman"/>
                <w:sz w:val="20"/>
                <w:szCs w:val="20"/>
              </w:rPr>
              <w:t xml:space="preserve">tidak berpengaruh terhadap keputusan </w:t>
            </w:r>
            <w:r>
              <w:rPr>
                <w:rFonts w:ascii="Times New Roman" w:hAnsi="Times New Roman" w:cs="Times New Roman"/>
                <w:i/>
                <w:iCs/>
                <w:sz w:val="20"/>
                <w:szCs w:val="20"/>
              </w:rPr>
              <w:t>transfer pricing</w:t>
            </w:r>
          </w:p>
        </w:tc>
      </w:tr>
      <w:tr w:rsidR="00BB58C4" w14:paraId="35F6BE5E" w14:textId="77777777">
        <w:tc>
          <w:tcPr>
            <w:tcW w:w="546" w:type="dxa"/>
            <w:vAlign w:val="center"/>
          </w:tcPr>
          <w:p w14:paraId="017D2E16"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327" w:type="dxa"/>
            <w:vAlign w:val="center"/>
          </w:tcPr>
          <w:p w14:paraId="3A5DB3AC"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{"citationItems":[{"id":"ITEM-1","itemData":{"DOI":"10.30871/jaat.v5i1.1852","abstract":"Transfer pricing is the price for the delivery of goods, services, or other intangible assets at related parties transact with each other based on the arm’s lenght principle. The purpose of this study to examine the influence factors of tax, intangible assets, and bonus mechanism on transfer pricing decisions. The population in this study are mining sector companies listed on the Indonesian Stock Exchange from 2015-2018. Sample selection technique used in purposive sampling and acquired 13 sample companies. The data used in this study was obtained from financial statement. Methods of data analysis in this research in logistic regression analysis using SPSS software version 23. The result showed that simultaneous tax, intangible assets, and bonus mechanism have a significant effect on transfer pricing decision. Tax partially have no significant effect on transfer pricing decision, while intangible assets has a significant positive effect on transfer pricing, and bonus mechanism have no significant effect on transfer pricing decision.","author":[{"dropping-particle":"","family":"Novira","given":"Anggun Rizki","non-dropping-particle":"","parse-names":false,"suffix":""},{"dropping-particle":"","family":"Suzan","given":"Leny","non-dropping-particle":"","parse-names":false,"suffix":""},{"dropping-particle":"","family":"Asalam","given":"Ardan Gani","non-dropping-particle":"","parse-names":false,"suffix":""}],"container-title":"Journal of Applied Accounting and Taxation","id":"ITEM-1","issue":"1","issued":{"date-parts":[["2020"]]},"page":"17-23","title":"Pengaruh Pajak, Intangible Assets, dan Mekanisme Bonus Terhadap Keputusan Transfer Pricing","type":"article-journal","volume":"5"},"uris":["http://www.mendeley.com/documents/?uuid=a5fcbd1b-d4a9-4648-a32b-21587efd0bd9"]}],"mendeley":{"formattedCitation":"(Novira et al., 2020)","manualFormatting":"Anggun Rizki Novira, Leny Suzan &amp; Ardan Gani Asalam (2020)","plainTextFormattedCitation":"(Novira et al., 2020)","previouslyFormattedCitation":"(Novira et al., 2020)"},"properties":{"noteIndex":0},"schema":"https://github.com/citation-style-language/schema/raw/master/csl-citation.json"}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Anggun Rizki Novira, Leny Suzan &amp; Ardan Gani Asalam (2020)</w:t>
            </w:r>
            <w:r>
              <w:rPr>
                <w:rFonts w:ascii="Times New Roman" w:hAnsi="Times New Roman" w:cs="Times New Roman"/>
                <w:sz w:val="20"/>
                <w:szCs w:val="20"/>
              </w:rPr>
              <w:fldChar w:fldCharType="end"/>
            </w:r>
          </w:p>
        </w:tc>
        <w:tc>
          <w:tcPr>
            <w:tcW w:w="1771" w:type="dxa"/>
            <w:vAlign w:val="center"/>
          </w:tcPr>
          <w:p w14:paraId="37C2915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Pengaruh Pajak, </w:t>
            </w:r>
            <w:r>
              <w:rPr>
                <w:rFonts w:ascii="Times New Roman" w:hAnsi="Times New Roman" w:cs="Times New Roman"/>
                <w:i/>
                <w:iCs/>
                <w:sz w:val="20"/>
                <w:szCs w:val="20"/>
              </w:rPr>
              <w:t>Intangible Assets</w:t>
            </w:r>
            <w:r>
              <w:rPr>
                <w:rFonts w:ascii="Times New Roman" w:hAnsi="Times New Roman" w:cs="Times New Roman"/>
                <w:sz w:val="20"/>
                <w:szCs w:val="20"/>
              </w:rPr>
              <w:t>, dan Mekanisme Bonus Terhadap Keputusan</w:t>
            </w:r>
          </w:p>
        </w:tc>
        <w:tc>
          <w:tcPr>
            <w:tcW w:w="1109" w:type="dxa"/>
            <w:vAlign w:val="center"/>
          </w:tcPr>
          <w:p w14:paraId="3E4FBE2E"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78" w:type="dxa"/>
            <w:vAlign w:val="center"/>
          </w:tcPr>
          <w:p w14:paraId="143FCE4B"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Pajak, </w:t>
            </w:r>
            <w:r>
              <w:rPr>
                <w:rFonts w:ascii="Times New Roman" w:hAnsi="Times New Roman" w:cs="Times New Roman"/>
                <w:i/>
                <w:iCs/>
                <w:sz w:val="20"/>
                <w:szCs w:val="20"/>
              </w:rPr>
              <w:t>Intangible Assets</w:t>
            </w:r>
            <w:r>
              <w:rPr>
                <w:rFonts w:ascii="Times New Roman" w:hAnsi="Times New Roman" w:cs="Times New Roman"/>
                <w:sz w:val="20"/>
                <w:szCs w:val="20"/>
              </w:rPr>
              <w:t>, dan Mekanisme Bonus</w:t>
            </w:r>
          </w:p>
        </w:tc>
        <w:tc>
          <w:tcPr>
            <w:tcW w:w="1796" w:type="dxa"/>
            <w:vAlign w:val="center"/>
          </w:tcPr>
          <w:p w14:paraId="6ED9D614"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Intangible asset</w:t>
            </w:r>
            <w:r>
              <w:rPr>
                <w:rFonts w:ascii="Times New Roman" w:hAnsi="Times New Roman" w:cs="Times New Roman"/>
                <w:sz w:val="20"/>
                <w:szCs w:val="20"/>
              </w:rPr>
              <w:t xml:space="preserve"> berpengaruh positif terhadap </w:t>
            </w:r>
            <w:r>
              <w:rPr>
                <w:rFonts w:ascii="Times New Roman" w:hAnsi="Times New Roman" w:cs="Times New Roman"/>
                <w:i/>
                <w:iCs/>
                <w:sz w:val="20"/>
                <w:szCs w:val="20"/>
              </w:rPr>
              <w:t>transfer pricing</w:t>
            </w:r>
            <w:r>
              <w:rPr>
                <w:rFonts w:ascii="Times New Roman" w:hAnsi="Times New Roman" w:cs="Times New Roman"/>
                <w:sz w:val="20"/>
                <w:szCs w:val="20"/>
              </w:rPr>
              <w:t>, sedangkan pajak dan</w:t>
            </w:r>
          </w:p>
        </w:tc>
      </w:tr>
    </w:tbl>
    <w:p w14:paraId="55F1F4CA" w14:textId="77777777" w:rsidR="00BB58C4" w:rsidRDefault="00000000">
      <w:pPr>
        <w:spacing w:line="480" w:lineRule="auto"/>
        <w:jc w:val="both"/>
        <w:rPr>
          <w:rFonts w:ascii="Times New Roman" w:hAnsi="Times New Roman" w:cs="Times New Roman"/>
          <w:i/>
          <w:iCs/>
          <w:sz w:val="20"/>
          <w:szCs w:val="20"/>
        </w:rPr>
      </w:pPr>
      <w:bookmarkStart w:id="39" w:name="_Hlk196369530"/>
      <w:bookmarkEnd w:id="38"/>
      <w:r>
        <w:rPr>
          <w:rFonts w:ascii="Times New Roman" w:hAnsi="Times New Roman" w:cs="Times New Roman"/>
          <w:i/>
          <w:iCs/>
          <w:sz w:val="20"/>
          <w:szCs w:val="20"/>
        </w:rPr>
        <w:t>Disambung ke halaman berikutnya</w:t>
      </w:r>
      <w:bookmarkStart w:id="40" w:name="_Hlk196369550"/>
      <w:bookmarkEnd w:id="39"/>
    </w:p>
    <w:p w14:paraId="3E48BEA7" w14:textId="77777777" w:rsidR="00BB58C4" w:rsidRDefault="00000000">
      <w:pPr>
        <w:spacing w:line="240" w:lineRule="auto"/>
        <w:jc w:val="both"/>
        <w:rPr>
          <w:rFonts w:ascii="Times New Roman" w:hAnsi="Times New Roman" w:cs="Times New Roman"/>
          <w:i/>
          <w:iCs/>
          <w:sz w:val="20"/>
          <w:szCs w:val="20"/>
        </w:rPr>
      </w:pPr>
      <w:r>
        <w:rPr>
          <w:rFonts w:ascii="Times New Roman" w:hAnsi="Times New Roman" w:cs="Times New Roman"/>
          <w:b/>
          <w:bCs/>
        </w:rPr>
        <w:lastRenderedPageBreak/>
        <w:t>Tabel 2.1 Sambungan</w:t>
      </w:r>
    </w:p>
    <w:tbl>
      <w:tblPr>
        <w:tblStyle w:val="TableGrid"/>
        <w:tblW w:w="0" w:type="auto"/>
        <w:tblLook w:val="04A0" w:firstRow="1" w:lastRow="0" w:firstColumn="1" w:lastColumn="0" w:noHBand="0" w:noVBand="1"/>
      </w:tblPr>
      <w:tblGrid>
        <w:gridCol w:w="546"/>
        <w:gridCol w:w="1327"/>
        <w:gridCol w:w="1771"/>
        <w:gridCol w:w="1171"/>
        <w:gridCol w:w="1316"/>
        <w:gridCol w:w="1796"/>
      </w:tblGrid>
      <w:tr w:rsidR="00BB58C4" w14:paraId="527E0948" w14:textId="77777777">
        <w:tc>
          <w:tcPr>
            <w:tcW w:w="546" w:type="dxa"/>
            <w:vMerge w:val="restart"/>
            <w:vAlign w:val="center"/>
          </w:tcPr>
          <w:p w14:paraId="07C6DB46"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No</w:t>
            </w:r>
          </w:p>
        </w:tc>
        <w:tc>
          <w:tcPr>
            <w:tcW w:w="1327" w:type="dxa"/>
            <w:vMerge w:val="restart"/>
            <w:vAlign w:val="center"/>
          </w:tcPr>
          <w:p w14:paraId="72D6AE4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Peneliti</w:t>
            </w:r>
          </w:p>
        </w:tc>
        <w:tc>
          <w:tcPr>
            <w:tcW w:w="1771" w:type="dxa"/>
            <w:vMerge w:val="restart"/>
            <w:vAlign w:val="center"/>
          </w:tcPr>
          <w:p w14:paraId="30E97759"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Judul Penelitian</w:t>
            </w:r>
          </w:p>
        </w:tc>
        <w:tc>
          <w:tcPr>
            <w:tcW w:w="2487" w:type="dxa"/>
            <w:gridSpan w:val="2"/>
            <w:vAlign w:val="center"/>
          </w:tcPr>
          <w:p w14:paraId="07944DC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 Penelitian</w:t>
            </w:r>
          </w:p>
        </w:tc>
        <w:tc>
          <w:tcPr>
            <w:tcW w:w="1796" w:type="dxa"/>
            <w:vMerge w:val="restart"/>
            <w:vAlign w:val="center"/>
          </w:tcPr>
          <w:p w14:paraId="5F797B5A"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Hasil Penelitian</w:t>
            </w:r>
          </w:p>
        </w:tc>
      </w:tr>
      <w:tr w:rsidR="00BB58C4" w14:paraId="67244F47" w14:textId="77777777">
        <w:tc>
          <w:tcPr>
            <w:tcW w:w="546" w:type="dxa"/>
            <w:vMerge/>
            <w:vAlign w:val="center"/>
          </w:tcPr>
          <w:p w14:paraId="4836E3FA" w14:textId="77777777" w:rsidR="00BB58C4" w:rsidRDefault="00BB58C4">
            <w:pPr>
              <w:spacing w:after="0" w:line="240" w:lineRule="auto"/>
              <w:jc w:val="center"/>
              <w:rPr>
                <w:rFonts w:ascii="Times New Roman" w:hAnsi="Times New Roman" w:cs="Times New Roman"/>
                <w:sz w:val="20"/>
                <w:szCs w:val="20"/>
              </w:rPr>
            </w:pPr>
          </w:p>
        </w:tc>
        <w:tc>
          <w:tcPr>
            <w:tcW w:w="1327" w:type="dxa"/>
            <w:vMerge/>
            <w:vAlign w:val="center"/>
          </w:tcPr>
          <w:p w14:paraId="7CD4B8F8" w14:textId="77777777" w:rsidR="00BB58C4" w:rsidRDefault="00BB58C4">
            <w:pPr>
              <w:spacing w:after="0" w:line="240" w:lineRule="auto"/>
              <w:jc w:val="center"/>
              <w:rPr>
                <w:rFonts w:ascii="Times New Roman" w:hAnsi="Times New Roman" w:cs="Times New Roman"/>
                <w:sz w:val="20"/>
                <w:szCs w:val="20"/>
              </w:rPr>
            </w:pPr>
          </w:p>
        </w:tc>
        <w:tc>
          <w:tcPr>
            <w:tcW w:w="1771" w:type="dxa"/>
            <w:vMerge/>
            <w:vAlign w:val="center"/>
          </w:tcPr>
          <w:p w14:paraId="07C9096B" w14:textId="77777777" w:rsidR="00BB58C4" w:rsidRDefault="00BB58C4">
            <w:pPr>
              <w:spacing w:after="0" w:line="240" w:lineRule="auto"/>
              <w:jc w:val="center"/>
              <w:rPr>
                <w:rFonts w:ascii="Times New Roman" w:hAnsi="Times New Roman" w:cs="Times New Roman"/>
                <w:sz w:val="20"/>
                <w:szCs w:val="20"/>
              </w:rPr>
            </w:pPr>
          </w:p>
        </w:tc>
        <w:tc>
          <w:tcPr>
            <w:tcW w:w="1171" w:type="dxa"/>
            <w:vAlign w:val="center"/>
          </w:tcPr>
          <w:p w14:paraId="467B0325"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Dependen</w:t>
            </w:r>
          </w:p>
        </w:tc>
        <w:tc>
          <w:tcPr>
            <w:tcW w:w="1316" w:type="dxa"/>
            <w:vAlign w:val="center"/>
          </w:tcPr>
          <w:p w14:paraId="783481E6"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Independen</w:t>
            </w:r>
          </w:p>
        </w:tc>
        <w:tc>
          <w:tcPr>
            <w:tcW w:w="1796" w:type="dxa"/>
            <w:vMerge/>
            <w:vAlign w:val="center"/>
          </w:tcPr>
          <w:p w14:paraId="11683E22" w14:textId="77777777" w:rsidR="00BB58C4" w:rsidRDefault="00BB58C4">
            <w:pPr>
              <w:spacing w:after="0" w:line="240" w:lineRule="auto"/>
              <w:jc w:val="center"/>
              <w:rPr>
                <w:rFonts w:ascii="Times New Roman" w:hAnsi="Times New Roman" w:cs="Times New Roman"/>
                <w:sz w:val="20"/>
                <w:szCs w:val="20"/>
              </w:rPr>
            </w:pPr>
          </w:p>
        </w:tc>
      </w:tr>
      <w:tr w:rsidR="00BB58C4" w14:paraId="71B72FC7" w14:textId="77777777">
        <w:tc>
          <w:tcPr>
            <w:tcW w:w="546" w:type="dxa"/>
            <w:vAlign w:val="center"/>
          </w:tcPr>
          <w:p w14:paraId="77024815" w14:textId="77777777" w:rsidR="00BB58C4" w:rsidRDefault="00BB58C4">
            <w:pPr>
              <w:spacing w:after="0" w:line="240" w:lineRule="auto"/>
              <w:jc w:val="center"/>
              <w:rPr>
                <w:rFonts w:ascii="Times New Roman" w:hAnsi="Times New Roman" w:cs="Times New Roman"/>
                <w:sz w:val="20"/>
                <w:szCs w:val="20"/>
              </w:rPr>
            </w:pPr>
          </w:p>
        </w:tc>
        <w:tc>
          <w:tcPr>
            <w:tcW w:w="1327" w:type="dxa"/>
            <w:vAlign w:val="center"/>
          </w:tcPr>
          <w:p w14:paraId="2D94400C" w14:textId="77777777" w:rsidR="00BB58C4" w:rsidRDefault="00BB58C4">
            <w:pPr>
              <w:spacing w:after="0" w:line="240" w:lineRule="auto"/>
              <w:jc w:val="center"/>
              <w:rPr>
                <w:rFonts w:ascii="Times New Roman" w:hAnsi="Times New Roman" w:cs="Times New Roman"/>
                <w:sz w:val="20"/>
                <w:szCs w:val="20"/>
              </w:rPr>
            </w:pPr>
          </w:p>
        </w:tc>
        <w:tc>
          <w:tcPr>
            <w:tcW w:w="1771" w:type="dxa"/>
            <w:vAlign w:val="center"/>
          </w:tcPr>
          <w:p w14:paraId="2B69CDEC"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Transfer Pricing </w:t>
            </w:r>
            <w:r>
              <w:rPr>
                <w:rFonts w:ascii="Times New Roman" w:hAnsi="Times New Roman" w:cs="Times New Roman"/>
                <w:sz w:val="20"/>
                <w:szCs w:val="20"/>
              </w:rPr>
              <w:t>(Studi Kasus pada Perusahaan Sektor Pertambangan yang Terdaftar di Bursa Efek Indonesia Tahun 2015-2018</w:t>
            </w:r>
          </w:p>
        </w:tc>
        <w:tc>
          <w:tcPr>
            <w:tcW w:w="1171" w:type="dxa"/>
            <w:vAlign w:val="center"/>
          </w:tcPr>
          <w:p w14:paraId="150DAE1B" w14:textId="77777777" w:rsidR="00BB58C4" w:rsidRDefault="00BB58C4">
            <w:pPr>
              <w:spacing w:after="0" w:line="240" w:lineRule="auto"/>
              <w:jc w:val="center"/>
              <w:rPr>
                <w:rFonts w:ascii="Times New Roman" w:hAnsi="Times New Roman" w:cs="Times New Roman"/>
                <w:i/>
                <w:iCs/>
                <w:sz w:val="20"/>
                <w:szCs w:val="20"/>
              </w:rPr>
            </w:pPr>
          </w:p>
        </w:tc>
        <w:tc>
          <w:tcPr>
            <w:tcW w:w="1316" w:type="dxa"/>
            <w:vAlign w:val="center"/>
          </w:tcPr>
          <w:p w14:paraId="48DCED57" w14:textId="77777777" w:rsidR="00BB58C4" w:rsidRDefault="00BB58C4">
            <w:pPr>
              <w:spacing w:after="0" w:line="240" w:lineRule="auto"/>
              <w:jc w:val="center"/>
              <w:rPr>
                <w:rFonts w:ascii="Times New Roman" w:hAnsi="Times New Roman" w:cs="Times New Roman"/>
                <w:i/>
                <w:iCs/>
                <w:sz w:val="20"/>
                <w:szCs w:val="20"/>
              </w:rPr>
            </w:pPr>
          </w:p>
        </w:tc>
        <w:tc>
          <w:tcPr>
            <w:tcW w:w="1796" w:type="dxa"/>
            <w:vAlign w:val="center"/>
          </w:tcPr>
          <w:p w14:paraId="5E8A10E6"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mekanisme bonus tidak memiliki pengaruh signifikan</w:t>
            </w:r>
            <w:r>
              <w:rPr>
                <w:rFonts w:ascii="Times New Roman" w:hAnsi="Times New Roman" w:cs="Times New Roman"/>
                <w:i/>
                <w:iCs/>
                <w:sz w:val="20"/>
                <w:szCs w:val="20"/>
              </w:rPr>
              <w:t xml:space="preserve"> </w:t>
            </w:r>
            <w:r>
              <w:rPr>
                <w:rFonts w:ascii="Times New Roman" w:hAnsi="Times New Roman" w:cs="Times New Roman"/>
                <w:sz w:val="20"/>
                <w:szCs w:val="20"/>
              </w:rPr>
              <w:t xml:space="preserve">terhadap </w:t>
            </w:r>
            <w:r>
              <w:rPr>
                <w:rFonts w:ascii="Times New Roman" w:hAnsi="Times New Roman" w:cs="Times New Roman"/>
                <w:i/>
                <w:iCs/>
                <w:sz w:val="20"/>
                <w:szCs w:val="20"/>
              </w:rPr>
              <w:t>transfer pricing</w:t>
            </w:r>
            <w:r>
              <w:rPr>
                <w:rFonts w:ascii="Times New Roman" w:hAnsi="Times New Roman" w:cs="Times New Roman"/>
                <w:sz w:val="20"/>
                <w:szCs w:val="20"/>
              </w:rPr>
              <w:t>.</w:t>
            </w:r>
          </w:p>
        </w:tc>
      </w:tr>
      <w:tr w:rsidR="00BB58C4" w14:paraId="6D524CBD" w14:textId="77777777">
        <w:tc>
          <w:tcPr>
            <w:tcW w:w="546" w:type="dxa"/>
            <w:vAlign w:val="center"/>
          </w:tcPr>
          <w:p w14:paraId="1BB0D889"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327" w:type="dxa"/>
            <w:vAlign w:val="center"/>
          </w:tcPr>
          <w:p w14:paraId="6A6FC154"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{"citationItems":[{"id":"ITEM-1","itemData":{"DOI":"10.33005/jasf.v3i2.89","abstract":"This study aims to examine prudence's role in moderating the effect of bonus mechanism, intangible asset, and inventory intensity ratio on transfer pricing decisions. This research population is all property, real estate &amp; construction companies, and manufacturing companies listed on the Indonesia Stock Exchange in 2018. The sampling technique uses a purposive sampling method to obtain 109 units of analysis. This study uses moderated regression analysis (MRA), which is processed using IBM SPSS 21. This study proves that the bonus mechanism does not affect, while intangible assets and inventory intensity ratio significantly affect transfer pricing decisions. Prudence is proven to moderate the intangible assets' influence but does not moderate the impact of the bonus mechanism and inventory intensity ratio on transfer pricing decisions. This study concludes that the bonus mechanism does not affect the transfer pricing decision. Prudence is proven to moderate the effect of intangible assets but does not moderate the impact of the bonus mechanism and inventory intensity ratio on transfer pricing decisions.","author":[{"dropping-particle":"","family":"Khasanah","given":"Uswatun","non-dropping-particle":"","parse-names":false,"suffix":""},{"dropping-particle":"","family":"Suryarini","given":"Trisni","non-dropping-particle":"","parse-names":false,"suffix":""}],"container-title":"Journal of Accounting and Strategic Finance","id":"ITEM-1","issue":"2","issued":{"date-parts":[["2020"]]},"page":"154-168","title":"The Role of Prudence in Moderating the Effect of Bonus Mechanism, Intangible Assets, and Inventory Intensity Ratio on Transfer Pricing","type":"article-journal","volume":"3"},"uris":["http://www.mendeley.com/documents/?uuid=8fb684e5-090f-406a-8020-0bc49f6100d7"]}],"mendeley":{"formattedCitation":"(Khasanah &amp; Suryarini, 2020)","manualFormatting":"Uswatun Khasanah &amp; Trisni Suryarini, (2020)","plainTextFormattedCitation":"(Khasanah &amp; Suryarini, 2020)","previouslyFormattedCitation":"(Khasanah &amp; Suryarini, 2020)"},"properties":{"noteIndex":0},"schema":"https://github.com/citation-style-language/schema/raw/master/csl-citation.json"}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Uswatun Khasanah &amp; Trisni Suryarini, (2020)</w:t>
            </w:r>
            <w:r>
              <w:rPr>
                <w:rFonts w:ascii="Times New Roman" w:hAnsi="Times New Roman" w:cs="Times New Roman"/>
                <w:sz w:val="20"/>
                <w:szCs w:val="20"/>
              </w:rPr>
              <w:fldChar w:fldCharType="end"/>
            </w:r>
          </w:p>
        </w:tc>
        <w:tc>
          <w:tcPr>
            <w:tcW w:w="1771" w:type="dxa"/>
            <w:vAlign w:val="center"/>
          </w:tcPr>
          <w:p w14:paraId="5C58B13E"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The Role of Prudence in Moderating the Effect of Bonus Mechanism, Intangible Assets, and Inventory Intensity Ratio on Transfer Pricing</w:t>
            </w:r>
          </w:p>
        </w:tc>
        <w:tc>
          <w:tcPr>
            <w:tcW w:w="1171" w:type="dxa"/>
            <w:vAlign w:val="center"/>
          </w:tcPr>
          <w:p w14:paraId="51948FC8"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Transfer Pricing</w:t>
            </w:r>
          </w:p>
        </w:tc>
        <w:tc>
          <w:tcPr>
            <w:tcW w:w="1316" w:type="dxa"/>
            <w:vAlign w:val="center"/>
          </w:tcPr>
          <w:p w14:paraId="4B5CD9F3"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i/>
                <w:iCs/>
                <w:sz w:val="20"/>
                <w:szCs w:val="20"/>
              </w:rPr>
              <w:t>Bonus Mechanism, Intangible Assets, Inventory Intensity Ratio and Prudence</w:t>
            </w:r>
          </w:p>
        </w:tc>
        <w:tc>
          <w:tcPr>
            <w:tcW w:w="1796" w:type="dxa"/>
            <w:vAlign w:val="center"/>
          </w:tcPr>
          <w:p w14:paraId="4422278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Mekanisme bonus tidak berpengaruh, sedangkan aset tak berwujud dan rasio intensitas persediaan berpengaruh signifikan terhadap keputusan penetapan </w:t>
            </w:r>
            <w:r>
              <w:rPr>
                <w:rFonts w:ascii="Times New Roman" w:hAnsi="Times New Roman" w:cs="Times New Roman"/>
                <w:i/>
                <w:iCs/>
                <w:sz w:val="20"/>
                <w:szCs w:val="20"/>
              </w:rPr>
              <w:t>transfer pricing</w:t>
            </w:r>
            <w:r>
              <w:rPr>
                <w:rFonts w:ascii="Times New Roman" w:hAnsi="Times New Roman" w:cs="Times New Roman"/>
                <w:sz w:val="20"/>
                <w:szCs w:val="20"/>
              </w:rPr>
              <w:t>.</w:t>
            </w:r>
          </w:p>
        </w:tc>
      </w:tr>
      <w:tr w:rsidR="00BB58C4" w14:paraId="6674E645" w14:textId="77777777">
        <w:tc>
          <w:tcPr>
            <w:tcW w:w="546" w:type="dxa"/>
            <w:vAlign w:val="center"/>
          </w:tcPr>
          <w:p w14:paraId="0956D67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327" w:type="dxa"/>
            <w:vAlign w:val="center"/>
          </w:tcPr>
          <w:p w14:paraId="636D503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{"citationItems":[{"id":"ITEM-1","itemData":{"DOI":"10.15294/aaj.v9i2.36469","ISSN":"2252-6765","abstract":"The aims of this research are to analyze and to find empirical evidence about the effect of tax minimization and exchange rate on company decision of transfer pricing with leverage as moderating variable. The population of this research was mining companies which listed in Indonesia Stock Exchange (IDX) over the period 2013 to 2018 from 45 companies. The sampling technique used purposive sampling. Eighteen companies were selected with 65 units analysis were obtained. In addition, data was analyzed using descriptive statistics and inferential statistics using Moderated Regression Analysis (MRA). The data was processed by IBM SPSS Statistics 21 software. The results show that tax minimization and exchange rate have positive and significant effect on transfer pricing. Leverage does not moderate the effect of tax minimization on transfer pricing but leverage significantly moderate the effect of exchange rate on transfer pricing. The conclusion of this research is transfer pricing decision will be higher when tax minimization and exchange rate be higher, but leverage can moderate the effect of exchange rate to transfer pricing.","author":[{"dropping-particle":"","family":"Devi","given":"Diah Kumala","non-dropping-particle":"","parse-names":false,"suffix":""},{"dropping-particle":"","family":"Suryarini","given":"Trisni","non-dropping-particle":"","parse-names":false,"suffix":""}],"container-title":"Accounting Analysis Journal","id":"ITEM-1","issue":"2","issued":{"date-parts":[["2020"]]},"page":"110-115","title":"The Effect of Tax Minimization and Exchange Rate on Transfer Pricing Decisions with Leverage as Moderating","type":"article","volume":"9"},"uris":["http://www.mendeley.com/documents/?uuid=30276047-531a-4d4d-91ff-504c4b05dec6"]}],"mendeley":{"formattedCitation":"(D. K. Devi &amp; Suryarini, 2020)","manualFormatting":"Diah Kumala Devi &amp; Trisni Suryarini\u000b(2020)","plainTextFormattedCitation":"(D. K. Devi &amp; Suryarini, 2020)","previouslyFormattedCitation":"(D. K. Devi &amp; Suryarini, 2020)"},"properties":{"noteIndex":0},"schema":"https://github.com/citation-style-language/schema/raw/master/csl-citation.json"}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Diah Kumala Devi &amp; Trisni Suryarini</w:t>
            </w:r>
            <w:r>
              <w:rPr>
                <w:rFonts w:ascii="Times New Roman" w:hAnsi="Times New Roman" w:cs="Times New Roman"/>
                <w:sz w:val="20"/>
                <w:szCs w:val="20"/>
              </w:rPr>
              <w:br/>
              <w:t>(2020)</w:t>
            </w:r>
            <w:r>
              <w:rPr>
                <w:rFonts w:ascii="Times New Roman" w:hAnsi="Times New Roman" w:cs="Times New Roman"/>
                <w:sz w:val="20"/>
                <w:szCs w:val="20"/>
              </w:rPr>
              <w:fldChar w:fldCharType="end"/>
            </w:r>
          </w:p>
        </w:tc>
        <w:tc>
          <w:tcPr>
            <w:tcW w:w="1771" w:type="dxa"/>
            <w:vAlign w:val="center"/>
          </w:tcPr>
          <w:p w14:paraId="73AA48E8"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The Effect of Tax Minimization and Exchange Rate on Transfer Pricing Decisions with Leverage as Moderating</w:t>
            </w:r>
          </w:p>
        </w:tc>
        <w:tc>
          <w:tcPr>
            <w:tcW w:w="1171" w:type="dxa"/>
            <w:vAlign w:val="center"/>
          </w:tcPr>
          <w:p w14:paraId="66BBD5B4"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Transfer Pricing</w:t>
            </w:r>
          </w:p>
        </w:tc>
        <w:tc>
          <w:tcPr>
            <w:tcW w:w="1316" w:type="dxa"/>
            <w:vAlign w:val="center"/>
          </w:tcPr>
          <w:p w14:paraId="4F024A1C"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Tax Minimization and Exchange Rate, Leverage</w:t>
            </w:r>
          </w:p>
        </w:tc>
        <w:tc>
          <w:tcPr>
            <w:tcW w:w="1796" w:type="dxa"/>
            <w:vAlign w:val="center"/>
          </w:tcPr>
          <w:p w14:paraId="25E1E758" w14:textId="77777777" w:rsidR="00BB58C4" w:rsidRDefault="00000000">
            <w:pPr>
              <w:spacing w:after="0" w:line="240" w:lineRule="auto"/>
              <w:jc w:val="center"/>
              <w:rPr>
                <w:rFonts w:ascii="Times New Roman" w:hAnsi="Times New Roman" w:cs="Times New Roman"/>
                <w:i/>
                <w:iCs/>
                <w:sz w:val="20"/>
                <w:szCs w:val="20"/>
              </w:rPr>
            </w:pPr>
            <w:r>
              <w:rPr>
                <w:rFonts w:ascii="Times New Roman" w:hAnsi="Times New Roman" w:cs="Times New Roman"/>
                <w:sz w:val="20"/>
                <w:szCs w:val="20"/>
              </w:rPr>
              <w:t xml:space="preserve">Minimasi pajak dan nilai tukar berpengaruh positif dan signifikan terhadap </w:t>
            </w:r>
            <w:r>
              <w:rPr>
                <w:rFonts w:ascii="Times New Roman" w:hAnsi="Times New Roman" w:cs="Times New Roman"/>
                <w:i/>
                <w:iCs/>
                <w:sz w:val="20"/>
                <w:szCs w:val="20"/>
              </w:rPr>
              <w:t xml:space="preserve">transfer pricing. </w:t>
            </w:r>
            <w:r>
              <w:rPr>
                <w:rFonts w:ascii="Times New Roman" w:hAnsi="Times New Roman" w:cs="Times New Roman"/>
                <w:sz w:val="20"/>
                <w:szCs w:val="20"/>
              </w:rPr>
              <w:t xml:space="preserve">Keputusan </w:t>
            </w:r>
            <w:r>
              <w:rPr>
                <w:rFonts w:ascii="Times New Roman" w:hAnsi="Times New Roman" w:cs="Times New Roman"/>
                <w:i/>
                <w:iCs/>
                <w:sz w:val="20"/>
                <w:szCs w:val="20"/>
              </w:rPr>
              <w:t xml:space="preserve">transfer pricing </w:t>
            </w:r>
            <w:r>
              <w:rPr>
                <w:rFonts w:ascii="Times New Roman" w:hAnsi="Times New Roman" w:cs="Times New Roman"/>
                <w:sz w:val="20"/>
                <w:szCs w:val="20"/>
              </w:rPr>
              <w:t>akan lebih tinggi ketika minimisasi pajak dan nilai tukar lebih tinggi.</w:t>
            </w:r>
          </w:p>
        </w:tc>
      </w:tr>
    </w:tbl>
    <w:bookmarkEnd w:id="40"/>
    <w:p w14:paraId="2DB2D3F6" w14:textId="77777777" w:rsidR="00BB58C4" w:rsidRDefault="00000000">
      <w:pPr>
        <w:spacing w:line="480" w:lineRule="auto"/>
        <w:rPr>
          <w:rFonts w:ascii="Times New Roman" w:hAnsi="Times New Roman" w:cs="Times New Roman"/>
          <w:b/>
          <w:bCs/>
          <w:sz w:val="24"/>
          <w:szCs w:val="24"/>
        </w:rPr>
      </w:pPr>
      <w:r>
        <w:rPr>
          <w:rFonts w:ascii="Times New Roman" w:hAnsi="Times New Roman" w:cs="Times New Roman"/>
          <w:i/>
          <w:iCs/>
          <w:sz w:val="20"/>
          <w:szCs w:val="20"/>
        </w:rPr>
        <w:t>Sumber: hasil review berbagai artikel</w:t>
      </w:r>
    </w:p>
    <w:p w14:paraId="407A579D" w14:textId="77777777" w:rsidR="00BB58C4" w:rsidRDefault="00BB58C4">
      <w:pPr>
        <w:spacing w:line="480" w:lineRule="auto"/>
        <w:jc w:val="both"/>
        <w:rPr>
          <w:rFonts w:ascii="Times New Roman" w:hAnsi="Times New Roman" w:cs="Times New Roman"/>
          <w:i/>
          <w:iCs/>
          <w:sz w:val="20"/>
          <w:szCs w:val="20"/>
        </w:rPr>
        <w:sectPr w:rsidR="00BB58C4">
          <w:pgSz w:w="11906" w:h="16838"/>
          <w:pgMar w:top="2268" w:right="1701" w:bottom="1701" w:left="2268" w:header="709" w:footer="709" w:gutter="0"/>
          <w:cols w:space="708"/>
          <w:titlePg/>
          <w:docGrid w:linePitch="360"/>
        </w:sectPr>
      </w:pPr>
    </w:p>
    <w:p w14:paraId="307FF44F" w14:textId="77777777" w:rsidR="00BB58C4" w:rsidRDefault="00000000">
      <w:pPr>
        <w:pStyle w:val="SubBab2"/>
        <w:ind w:left="426" w:hanging="426"/>
      </w:pPr>
      <w:bookmarkStart w:id="41" w:name="_Toc220995027"/>
      <w:r>
        <w:lastRenderedPageBreak/>
        <w:t>Kerangka Konseptual dan Model Penelitian</w:t>
      </w:r>
      <w:bookmarkEnd w:id="41"/>
    </w:p>
    <w:p w14:paraId="37CC3F1C" w14:textId="77777777" w:rsidR="00BB58C4" w:rsidRDefault="00000000">
      <w:pPr>
        <w:pStyle w:val="SubHeading3"/>
        <w:ind w:left="567" w:hanging="567"/>
      </w:pPr>
      <w:bookmarkStart w:id="42" w:name="_Toc220995028"/>
      <w:r>
        <w:t>2.3.1.</w:t>
      </w:r>
      <w:r>
        <w:tab/>
        <w:t xml:space="preserve"> Kerangka Konseptual</w:t>
      </w:r>
      <w:bookmarkEnd w:id="42"/>
    </w:p>
    <w:p w14:paraId="319DE8CB"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Kerangka konsep merupakan hubungan antara teori atau konsep yang mendukung penelitian yang digunakan sebagai acuan dalam menyusun penelitian secara sistematis. Pada penelitian ini menggunakan </w:t>
      </w:r>
      <w:r>
        <w:rPr>
          <w:rFonts w:ascii="Times New Roman" w:hAnsi="Times New Roman" w:cs="Times New Roman"/>
          <w:i/>
          <w:iCs/>
          <w:sz w:val="24"/>
          <w:szCs w:val="24"/>
        </w:rPr>
        <w:t>internalization theory</w:t>
      </w:r>
    </w:p>
    <w:p w14:paraId="11F88280"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ini menggunakan gambaran kerangka konseptual sebagai berikut:</w:t>
      </w:r>
    </w:p>
    <w:p w14:paraId="05B3184F"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22D29ED" wp14:editId="19AE12AF">
                <wp:simplePos x="0" y="0"/>
                <wp:positionH relativeFrom="column">
                  <wp:posOffset>1515110</wp:posOffset>
                </wp:positionH>
                <wp:positionV relativeFrom="paragraph">
                  <wp:posOffset>172085</wp:posOffset>
                </wp:positionV>
                <wp:extent cx="1981200" cy="479425"/>
                <wp:effectExtent l="0" t="0" r="19050" b="15875"/>
                <wp:wrapNone/>
                <wp:docPr id="1162757709" name="Rectangle 9"/>
                <wp:cNvGraphicFramePr/>
                <a:graphic xmlns:a="http://schemas.openxmlformats.org/drawingml/2006/main">
                  <a:graphicData uri="http://schemas.microsoft.com/office/word/2010/wordprocessingShape">
                    <wps:wsp>
                      <wps:cNvSpPr/>
                      <wps:spPr>
                        <a:xfrm>
                          <a:off x="0" y="0"/>
                          <a:ext cx="1981200" cy="479425"/>
                        </a:xfrm>
                        <a:prstGeom prst="rect">
                          <a:avLst/>
                        </a:prstGeom>
                      </wps:spPr>
                      <wps:style>
                        <a:lnRef idx="2">
                          <a:schemeClr val="dk1"/>
                        </a:lnRef>
                        <a:fillRef idx="1">
                          <a:schemeClr val="lt1"/>
                        </a:fillRef>
                        <a:effectRef idx="0">
                          <a:schemeClr val="dk1"/>
                        </a:effectRef>
                        <a:fontRef idx="minor">
                          <a:schemeClr val="dk1"/>
                        </a:fontRef>
                      </wps:style>
                      <wps:txbx>
                        <w:txbxContent>
                          <w:p w14:paraId="513E722B" w14:textId="77777777" w:rsidR="00BB58C4"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Teori Internalisasi</w:t>
                            </w:r>
                            <w:r>
                              <w:rPr>
                                <w:rFonts w:ascii="Times New Roman" w:hAnsi="Times New Roman" w:cs="Times New Roman"/>
                                <w:sz w:val="24"/>
                                <w:szCs w:val="24"/>
                              </w:rPr>
                              <w:br/>
                              <w:t>(</w:t>
                            </w:r>
                            <w:r>
                              <w:rPr>
                                <w:rFonts w:ascii="Times New Roman" w:hAnsi="Times New Roman" w:cs="Times New Roman"/>
                                <w:i/>
                                <w:iCs/>
                                <w:sz w:val="24"/>
                                <w:szCs w:val="24"/>
                              </w:rPr>
                              <w:t>Internalization Theory)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2D29ED" id="Rectangle 9" o:spid="_x0000_s1026" style="position:absolute;left:0;text-align:left;margin-left:119.3pt;margin-top:13.55pt;width:156pt;height:3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dQNQIAALUEAAAOAAAAZHJzL2Uyb0RvYy54bWysVE2P2jAQvVfqf7B8LyGI7S6IsEKstqqE&#10;uqvSqmfj2BDV8bhjQ6C/vmMnBNSiHqpenBnPvPl4nsns8VgbdlDoK7AFzwdDzpSVUFZ2W/CvX57f&#10;PXDmg7ClMGBVwU/K88f52zezxk3VCHZgSoWMglg/bVzBdyG4aZZ5uVO18ANwypJRA9YikIrbrETR&#10;UPTaZKPh8H3WAJYOQSrv6fapNfJ5iq+1kuFFa68CMwWn2kI6MZ2beGbzmZhuUbhdJbsyxD9UUYvK&#10;UtI+1JMIgu2x+iNUXUkEDzoMJNQZaF1JlXqgbvLhb92sd8Kp1AuR411Pk/9/YeWnw9q9ItHQOD/1&#10;JMYujhrr+KX62DGRderJUsfAJF3mk4ecXoAzSbbx/WQ8uotsZhe0Qx8+KKhZFAqO9BiJI3FY+dC6&#10;nl0Id8mfpHAyKpZg7GelWVVSxlFCp9FQS4PsIOhRy+95lzZ5RoiujOlB+S2QCWdQ5xthKo1LDxze&#10;Al6y9d4pI9jQA+vKAv4drFv/c9dtr7HtcNwcu7fYQHl6RYbQzqx38rkiHlfCh1eBNKREPS1eeKFD&#10;G2gKDp3E2Q7w56376E+zQ1bOGhr6gvsfe4GKM/PR0lRN8vE4bklSxnf3I1Lw2rK5tth9vQR6gpxW&#10;3MkkRv9gzqJGqL/Rfi5iVjIJKyl3wWXAs7IM7TLShku1WCQ32gwnwsqunYzBI8EWFvsAukpjE4lq&#10;2ekIpN1Ig9ftcVy+az15Xf42818AAAD//wMAUEsDBBQABgAIAAAAIQBm/2Ic3gAAAAoBAAAPAAAA&#10;ZHJzL2Rvd25yZXYueG1sTI9NT8MwDIbvSPyHyEjcWLKidaM0nSYEJxATgwPHrDFtReJUTdZ2/x5z&#10;gps/Hr1+XG5n78SIQ+wCaVguFAikOtiOGg0f7083GxAxGbLGBUINZ4ywrS4vSlPYMNEbjofUCA6h&#10;WBgNbUp9IWWsW/QmLkKPxLuvMHiTuB0aaQczcbh3MlMql950xBda0+NDi/X34eQ1hH13drvh7nV8&#10;wfXn8z6pac4ftb6+mnf3IBLO6Q+GX31Wh4qdjuFENgqnIbvd5IxysV6CYGC1Ujw4MqmyHGRVyv8v&#10;VD8AAAD//wMAUEsBAi0AFAAGAAgAAAAhALaDOJL+AAAA4QEAABMAAAAAAAAAAAAAAAAAAAAAAFtD&#10;b250ZW50X1R5cGVzXS54bWxQSwECLQAUAAYACAAAACEAOP0h/9YAAACUAQAACwAAAAAAAAAAAAAA&#10;AAAvAQAAX3JlbHMvLnJlbHNQSwECLQAUAAYACAAAACEAR81XUDUCAAC1BAAADgAAAAAAAAAAAAAA&#10;AAAuAgAAZHJzL2Uyb0RvYy54bWxQSwECLQAUAAYACAAAACEAZv9iHN4AAAAKAQAADwAAAAAAAAAA&#10;AAAAAACPBAAAZHJzL2Rvd25yZXYueG1sUEsFBgAAAAAEAAQA8wAAAJoFAAAAAA==&#10;" fillcolor="white [3201]" strokecolor="black [3200]" strokeweight="1pt">
                <v:textbox>
                  <w:txbxContent>
                    <w:p w14:paraId="513E722B" w14:textId="77777777" w:rsidR="00BB58C4" w:rsidRDefault="00000000">
                      <w:pPr>
                        <w:spacing w:line="240" w:lineRule="auto"/>
                        <w:jc w:val="center"/>
                        <w:rPr>
                          <w:rFonts w:ascii="Times New Roman" w:hAnsi="Times New Roman" w:cs="Times New Roman"/>
                          <w:sz w:val="24"/>
                          <w:szCs w:val="24"/>
                        </w:rPr>
                      </w:pPr>
                      <w:r>
                        <w:rPr>
                          <w:rFonts w:ascii="Times New Roman" w:hAnsi="Times New Roman" w:cs="Times New Roman"/>
                          <w:sz w:val="24"/>
                          <w:szCs w:val="24"/>
                        </w:rPr>
                        <w:t>Teori Internalisasi</w:t>
                      </w:r>
                      <w:r>
                        <w:rPr>
                          <w:rFonts w:ascii="Times New Roman" w:hAnsi="Times New Roman" w:cs="Times New Roman"/>
                          <w:sz w:val="24"/>
                          <w:szCs w:val="24"/>
                        </w:rPr>
                        <w:br/>
                        <w:t>(</w:t>
                      </w:r>
                      <w:r>
                        <w:rPr>
                          <w:rFonts w:ascii="Times New Roman" w:hAnsi="Times New Roman" w:cs="Times New Roman"/>
                          <w:i/>
                          <w:iCs/>
                          <w:sz w:val="24"/>
                          <w:szCs w:val="24"/>
                        </w:rPr>
                        <w:t>Internalization Theory)</w:t>
                      </w:r>
                    </w:p>
                  </w:txbxContent>
                </v:textbox>
              </v:rect>
            </w:pict>
          </mc:Fallback>
        </mc:AlternateContent>
      </w:r>
    </w:p>
    <w:p w14:paraId="42B83DD4"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60F9626" wp14:editId="5F0000BA">
                <wp:simplePos x="0" y="0"/>
                <wp:positionH relativeFrom="column">
                  <wp:posOffset>2504440</wp:posOffset>
                </wp:positionH>
                <wp:positionV relativeFrom="paragraph">
                  <wp:posOffset>297815</wp:posOffset>
                </wp:positionV>
                <wp:extent cx="0" cy="683260"/>
                <wp:effectExtent l="0" t="0" r="38100" b="21590"/>
                <wp:wrapNone/>
                <wp:docPr id="1268514371" name="Straight Connector 23"/>
                <wp:cNvGraphicFramePr/>
                <a:graphic xmlns:a="http://schemas.openxmlformats.org/drawingml/2006/main">
                  <a:graphicData uri="http://schemas.microsoft.com/office/word/2010/wordprocessingShape">
                    <wps:wsp>
                      <wps:cNvCnPr/>
                      <wps:spPr>
                        <a:xfrm>
                          <a:off x="0" y="0"/>
                          <a:ext cx="0" cy="6832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23" o:spid="_x0000_s1026" o:spt="20" style="position:absolute;left:0pt;margin-left:197.2pt;margin-top:23.45pt;height:53.8pt;width:0pt;z-index:251693056;mso-width-relative:page;mso-height-relative:page;" filled="f" stroked="t" coordsize="21600,21600" o:gfxdata="UEsDBAoAAAAAAIdO4kAAAAAAAAAAAAAAAAAEAAAAZHJzL1BLAwQUAAAACACHTuJA9jzJatgAAAAK&#10;AQAADwAAAGRycy9kb3ducmV2LnhtbE2PTUvDQBCG74L/YRnBm92tpiVJsykiFBEtmNZDj9vsNAlm&#10;Z0N2++G/d8SDHmfm4Z3nLZYX14sTjqHzpGE6USCQam87ajR8bFd3KYgQDVnTe0INXxhgWV5fFSa3&#10;/kwVnjaxERxCITca2hiHXMpQt+hMmPgBiW8HPzoTeRwbaUdz5nDXy3ul5tKZjvhDawZ8arH+3Byd&#10;hofX9baK7ymtqkP29uwfd+mL8lrf3kzVAkTES/yD4Uef1aFkp70/kg2i54wsSRjVkMwzEAz8LvZM&#10;zpIZyLKQ/yuU31BLAwQUAAAACACHTuJAe0sndtsBAAC+AwAADgAAAGRycy9lMm9Eb2MueG1srVNN&#10;b9swDL0P2H8QdF+cOGuWGXF6SNBdhi1Aux+gyJItQF8g1Tj596PkLO26Sw/zQaYo8lHvkdrcn51l&#10;JwVogm/5YjbnTHkZOuP7lv96evi05gyT8J2wwauWXxTy++3HD5sxNqoOQ7CdAkYgHpsxtnxIKTZV&#10;hXJQTuAsROXpUAdwItEW+qoDMRK6s1U9n6+qMUAXIUiFSN79dMiviPAewKC1kWof5LNTPk2ooKxI&#10;RAkHE5Fvy221VjL91BpVYrblxDSVlYqQfcxrtd2IpgcRByOvVxDvucIbTk4YT0VvUHuRBHsG8w+U&#10;MxICBp1mMrhqIlIUIRaL+RttHgcRVeFCUmO8iY7/D1b+OB2AmY4moV6t7xafl18WnHnhqPOPCYTp&#10;h8R2wXtSMgCrl1mxMWJDiTt/gOsO4wEy/bMGl/9EjJ2LypebyuqcmJyckryr9bJelQZUL3kRMH1T&#10;wbFstNwan/mLRpy+Y6JaFPonJLt9eDDWlh5az0Yi8XV+R62VggZT00CQ6SKRQ99zJmxPEy8TFEgM&#10;1nQ5PQMh9MedBXYSeU7Kl4lSub/Ccu29wGGKK0fTBDmT6FFY41q+fp1tPYFkuSaBsnUM3aXoVvzU&#10;1lLmOoJ5bl7vS/bLs9v+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Y8yWrYAAAACgEAAA8AAAAA&#10;AAAAAQAgAAAAIgAAAGRycy9kb3ducmV2LnhtbFBLAQIUABQAAAAIAIdO4kB7Syd22wEAAL4DAAAO&#10;AAAAAAAAAAEAIAAAACcBAABkcnMvZTJvRG9jLnhtbFBLBQYAAAAABgAGAFkBAAB0BQAAAAA=&#10;">
                <v:fill on="f" focussize="0,0"/>
                <v:stroke weight="1.5pt" color="#000000 [3200]" miterlimit="8" joinstyle="miter"/>
                <v:imagedata o:title=""/>
                <o:lock v:ext="edit" aspectratio="f"/>
              </v:line>
            </w:pict>
          </mc:Fallback>
        </mc:AlternateContent>
      </w:r>
    </w:p>
    <w:p w14:paraId="3128D186" w14:textId="77777777" w:rsidR="00BB58C4" w:rsidRDefault="00BB58C4">
      <w:pPr>
        <w:spacing w:after="0" w:line="480" w:lineRule="auto"/>
        <w:jc w:val="both"/>
        <w:rPr>
          <w:rFonts w:ascii="Times New Roman" w:hAnsi="Times New Roman" w:cs="Times New Roman"/>
          <w:sz w:val="24"/>
          <w:szCs w:val="24"/>
        </w:rPr>
      </w:pPr>
    </w:p>
    <w:p w14:paraId="05FABD8D"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E28C001" wp14:editId="1C5AB770">
                <wp:simplePos x="0" y="0"/>
                <wp:positionH relativeFrom="column">
                  <wp:posOffset>2504440</wp:posOffset>
                </wp:positionH>
                <wp:positionV relativeFrom="paragraph">
                  <wp:posOffset>281305</wp:posOffset>
                </wp:positionV>
                <wp:extent cx="0" cy="539750"/>
                <wp:effectExtent l="76200" t="0" r="57150" b="50800"/>
                <wp:wrapNone/>
                <wp:docPr id="1584114965" name="Straight Arrow Connector 14"/>
                <wp:cNvGraphicFramePr/>
                <a:graphic xmlns:a="http://schemas.openxmlformats.org/drawingml/2006/main">
                  <a:graphicData uri="http://schemas.microsoft.com/office/word/2010/wordprocessingShape">
                    <wps:wsp>
                      <wps:cNvCnPr/>
                      <wps:spPr>
                        <a:xfrm>
                          <a:off x="0" y="0"/>
                          <a:ext cx="0" cy="5397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14" o:spid="_x0000_s1026" o:spt="32" type="#_x0000_t32" style="position:absolute;left:0pt;margin-left:197.2pt;margin-top:22.15pt;height:42.5pt;width:0pt;z-index:251685888;mso-width-relative:page;mso-height-relative:page;" filled="f" stroked="t" coordsize="21600,21600" o:gfxdata="UEsDBAoAAAAAAIdO4kAAAAAAAAAAAAAAAAAEAAAAZHJzL1BLAwQUAAAACACHTuJAZ5ljGNYAAAAK&#10;AQAADwAAAGRycy9kb3ducmV2LnhtbE2PwU7DMAyG70i8Q2QkLoilXSJES9MJIXFEgo0duGWNaQuN&#10;UzXZWt4eIw5wtP3p9/dXm8UP4oRT7AMZyFcZCKQmuJ5aA6+7x+tbEDFZcnYIhAa+MMKmPj+rbOnC&#10;TC942qZWcAjF0hroUhpLKWPTobdxFUYkvr2HydvE49RKN9mZw/0g11l2I73tiT90dsSHDpvP7dEb&#10;2KurvV7mPC7FG0V6+riPyj0bc3mRZ3cgEi7pD4YffVaHmp0O4UguisGAKrRm1IDWCgQDv4sDk+tC&#10;gawr+b9C/Q1QSwMEFAAAAAgAh07iQGKRlvr0AQAA7gMAAA4AAABkcnMvZTJvRG9jLnhtbK1Ty27b&#10;MBC8F+g/ELzXslI7tQXLQWA3vRStgbQfsKYoiQBfWDKW/fddUorTppccogNFLrmzO8Ph5u5sNDtJ&#10;DMrZmpezOWfSCtco29X896+HTyvOQgTbgHZW1vwiA7/bfvywGXwlb1zvdCOREYgN1eBr3sfoq6II&#10;opcGwsx5aWmzdWgg0hK7okEYCN3o4mY+vy0Gh41HJ2QIFN2Pm3xCxLcAurZVQu6deDLSxhEVpYZI&#10;lEKvfODb3G3bShF/tm2QkemaE9OYRypC82Mai+0Gqg7B90pMLcBbWnjFyYCyVPQKtYcI7AnVf1BG&#10;CXTBtXEmnClGIlkRYlHOX2nz2IOXmQtJHfxV9PB+sOLH6YBMNeSE5WpRlov17ZIzC4Zu/jEiqK6P&#10;7B7RDWznrCU9HbJykXQbfKgofWcPOK2CP2AS4dyiSX+ix85Z68tVa3mOTIxBQdHl5/WXZb6G4iXP&#10;Y4jfpDMsTWoepj6uDZRZajh9D5EqU+JzQipq3YPSOt+rtmwgYus5VWACyKwtmYSmxhPhYDvOQHf0&#10;CkTEDBmcVk1KT0ABu+NOIztB8k7+Em0q98+xVHsPoR/P5a3RVUZFeihamZqvrtlQRVD6q21YvHjS&#10;OKIC22k5IWtLBZKwo5RpdnTNJSuc42SD3MJk2eSzv9c5++WZb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5ljGNYAAAAKAQAADwAAAAAAAAABACAAAAAiAAAAZHJzL2Rvd25yZXYueG1sUEsBAhQA&#10;FAAAAAgAh07iQGKRlvr0AQAA7gMAAA4AAAAAAAAAAQAgAAAAJQEAAGRycy9lMm9Eb2MueG1sUEsF&#10;BgAAAAAGAAYAWQEAAIsFAAAAAA==&#10;">
                <v:fill on="f" focussize="0,0"/>
                <v:stroke weight="1.5pt" color="#000000 [3200]"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F3C0BB1" wp14:editId="1D99747F">
                <wp:simplePos x="0" y="0"/>
                <wp:positionH relativeFrom="column">
                  <wp:posOffset>4378325</wp:posOffset>
                </wp:positionH>
                <wp:positionV relativeFrom="paragraph">
                  <wp:posOffset>269240</wp:posOffset>
                </wp:positionV>
                <wp:extent cx="0" cy="539750"/>
                <wp:effectExtent l="76200" t="0" r="57150" b="50800"/>
                <wp:wrapNone/>
                <wp:docPr id="49678202" name="Straight Arrow Connector 14"/>
                <wp:cNvGraphicFramePr/>
                <a:graphic xmlns:a="http://schemas.openxmlformats.org/drawingml/2006/main">
                  <a:graphicData uri="http://schemas.microsoft.com/office/word/2010/wordprocessingShape">
                    <wps:wsp>
                      <wps:cNvCnPr/>
                      <wps:spPr>
                        <a:xfrm>
                          <a:off x="0" y="0"/>
                          <a:ext cx="0" cy="5397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14" o:spid="_x0000_s1026" o:spt="32" type="#_x0000_t32" style="position:absolute;left:0pt;margin-left:344.75pt;margin-top:21.2pt;height:42.5pt;width:0pt;z-index:251686912;mso-width-relative:page;mso-height-relative:page;" filled="f" stroked="t" coordsize="21600,21600" o:gfxdata="UEsDBAoAAAAAAIdO4kAAAAAAAAAAAAAAAAAEAAAAZHJzL1BLAwQUAAAACACHTuJAjET2ZNcAAAAK&#10;AQAADwAAAGRycy9kb3ducmV2LnhtbE2PwU7DMAyG70i8Q2QkLoil7crYStMJIXFEYoMduGWNaQuN&#10;M9XZWt4eIw5wtP3p9/eX68n36oQDd4EMpLMEFFIdXEeNgdeXx+slKI6WnO0DoYEvZFhX52elLVwY&#10;aYOnbWyUhBAX1kAb46HQmusWveVZOCDJ7T0M3kYZh0a7wY4S7nudJclCe9uRfGjtAR9arD+3R29g&#10;N7/a5dOY8rR6I6anj3ueu2djLi/S5A5UxCn+wfCjL+pQidM+HMmx6g0slqsbQQ3kWQ5KgN/FXsjs&#10;Ngddlfp/heobUEsDBBQAAAAIAIdO4kD1tfqO8gEAAOwDAAAOAAAAZHJzL2Uyb0RvYy54bWytU02P&#10;0zAQvSPxHyzfadKyH23UdIValguCSgs/wHWcxJK/NONt2n/P2AlZWC57IAfHHnvezHt+3j5crGFn&#10;Bai9q/lyUXKmnPSNdl3Nf/54/LDmDKNwjTDeqZpfFfKH3ft32yFUauV7bxoFjEAcVkOoeR9jqIoC&#10;Za+swIUPytFm68GKSEvoigbEQOjWFKuyvCsGD00ALxUiRQ/jJp8Q4S2Avm21VAcvn61ycUQFZUQk&#10;StjrgHyXu21bJeP3tkUVmak5MY15pCI0P6Wx2G1F1YEIvZZTC+ItLbziZIV2VHSGOogo2DPof6Cs&#10;luDRt3EhvS1GIlkRYrEsX2nz1IugMheSGsMsOv4/WPntfASmm5rfbO7u16tyxZkTlu79KYLQXR/Z&#10;JwA/sL13jtT0wJY3SbUhYEXJe3eEaYXhCEmCSws2/Ykcu2Slr7PS6hKZHIOSorcfN/e3+RKKl7wA&#10;GL8ob1ma1BynPuYGlllocf6KkSpT4u+EVNT5R21MvlXj2EAG35RUgUlBVm3JIjS1geii6zgTpqM3&#10;ICNkSPRGNyk9ASF0p70BdhbJOflLtKncX8dS7YPAfjyXt0ZPWR3pmRhta76es0UVhTafXcPiNZDG&#10;EbRwnVETsnFUIAk7SplmJ99cs8I5TibILUyGTS77c52zXx7p7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RPZk1wAAAAoBAAAPAAAAAAAAAAEAIAAAACIAAABkcnMvZG93bnJldi54bWxQSwECFAAU&#10;AAAACACHTuJA9bX6jvIBAADsAwAADgAAAAAAAAABACAAAAAmAQAAZHJzL2Uyb0RvYy54bWxQSwUG&#10;AAAAAAYABgBZAQAAigUAAAAA&#10;">
                <v:fill on="f" focussize="0,0"/>
                <v:stroke weight="1.5pt" color="#000000 [3200]"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316F4E5" wp14:editId="42BDB6FB">
                <wp:simplePos x="0" y="0"/>
                <wp:positionH relativeFrom="column">
                  <wp:posOffset>790575</wp:posOffset>
                </wp:positionH>
                <wp:positionV relativeFrom="paragraph">
                  <wp:posOffset>271780</wp:posOffset>
                </wp:positionV>
                <wp:extent cx="0" cy="539750"/>
                <wp:effectExtent l="76200" t="0" r="57150" b="50800"/>
                <wp:wrapNone/>
                <wp:docPr id="2086348553" name="Straight Arrow Connector 14"/>
                <wp:cNvGraphicFramePr/>
                <a:graphic xmlns:a="http://schemas.openxmlformats.org/drawingml/2006/main">
                  <a:graphicData uri="http://schemas.microsoft.com/office/word/2010/wordprocessingShape">
                    <wps:wsp>
                      <wps:cNvCnPr/>
                      <wps:spPr>
                        <a:xfrm>
                          <a:off x="0" y="0"/>
                          <a:ext cx="0" cy="5397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14" o:spid="_x0000_s1026" o:spt="32" type="#_x0000_t32" style="position:absolute;left:0pt;margin-left:62.25pt;margin-top:21.4pt;height:42.5pt;width:0pt;z-index:251684864;mso-width-relative:page;mso-height-relative:page;" filled="f" stroked="t" coordsize="21600,21600" o:gfxdata="UEsDBAoAAAAAAIdO4kAAAAAAAAAAAAAAAAAEAAAAZHJzL1BLAwQUAAAACACHTuJAq3eCSNYAAAAK&#10;AQAADwAAAGRycy9kb3ducmV2LnhtbE2PQU/DMAyF70j8h8hIXBBL2w0YpemEkDgiwWAHbllj2kLj&#10;VHW2ln+PywVufvbT8/eKzeQ7dcSB20AG0kUCCqkKrqXawNvr4+UaFEdLznaB0MA3MmzK05PC5i6M&#10;9ILHbayVhBDn1kATY59rzVWD3vIi9Ehy+wiDt1HkUGs32FHCfaezJLnW3rYkHxrb40OD1df24A3s&#10;lhe71TSmPN2+E9PT5z0v3bMx52dpcgcq4hT/zDDjCzqUwrQPB3KsOtHZ6kqsBlaZVJgNv4v9PNys&#10;QZeF/l+h/AFQSwMEFAAAAAgAh07iQDuynaX0AQAA7gMAAA4AAABkcnMvZTJvRG9jLnhtbK1Ty27b&#10;MBC8F+g/ELzXku04dQTLQWE3vRStgaQfQFOURIAv7DKW/fddUqrTJpccqgNFLrmzO8Ph5v5sDTsp&#10;QO1dzeezkjPlpG+062r+6+nh05ozjMI1wninan5RyO+3Hz9shlCphe+9aRQwAnFYDaHmfYyhKgqU&#10;vbICZz4oR5utBysiLaErGhADoVtTLMrythg8NAG8VIgU3Y+bfEKE9wD6ttVS7b18tsrFERWUEZEo&#10;Ya8D8m3utm2VjD/bFlVkpubENOaRitD8mMZiuxFVByL0Wk4tiPe08IqTFdpR0SvUXkTBnkG/gbJa&#10;gkffxpn0thiJZEWIxbx8pc1jL4LKXEhqDFfR8f/Byh+nAzDd1HxRrm+XN+vVasmZE5Zu/jGC0F0f&#10;2RcAP7Cdd4709MDmN0m3IWBF6Tt3gGmF4QBJhHMLNv2JHjtnrS9XrdU5MjkGJUVXy7vPq3wNxUte&#10;AIzflLcsTWqOUx/XBuZZanH6jpEqU+KfhFTU+QdtTL5X49hAFr8rqQKTgszakkloagMRRtdxJkxH&#10;r0BGyJDojW5SegJC6I47A+wkknfyl2hTuX+Opdp7gf14Lm+NrrI60kMx2tZ8fc0WVRTafHUNi5dA&#10;GkfQwnVGTcjGUYEk7Chlmh19c8kK5zjZILcwWTb57O91zn55pt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3eCSNYAAAAKAQAADwAAAAAAAAABACAAAAAiAAAAZHJzL2Rvd25yZXYueG1sUEsBAhQA&#10;FAAAAAgAh07iQDuynaX0AQAA7gMAAA4AAAAAAAAAAQAgAAAAJQEAAGRycy9lMm9Eb2MueG1sUEsF&#10;BgAAAAAGAAYAWQEAAIsFAAAAAA==&#10;">
                <v:fill on="f" focussize="0,0"/>
                <v:stroke weight="1.5pt" color="#000000 [3200]"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3218119" wp14:editId="37623B41">
                <wp:simplePos x="0" y="0"/>
                <wp:positionH relativeFrom="column">
                  <wp:posOffset>778510</wp:posOffset>
                </wp:positionH>
                <wp:positionV relativeFrom="paragraph">
                  <wp:posOffset>277495</wp:posOffset>
                </wp:positionV>
                <wp:extent cx="3599815" cy="0"/>
                <wp:effectExtent l="0" t="0" r="0" b="0"/>
                <wp:wrapNone/>
                <wp:docPr id="2124873743" name="Straight Connector 26"/>
                <wp:cNvGraphicFramePr/>
                <a:graphic xmlns:a="http://schemas.openxmlformats.org/drawingml/2006/main">
                  <a:graphicData uri="http://schemas.microsoft.com/office/word/2010/wordprocessingShape">
                    <wps:wsp>
                      <wps:cNvCnPr/>
                      <wps:spPr>
                        <a:xfrm>
                          <a:off x="0" y="0"/>
                          <a:ext cx="35998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26" o:spid="_x0000_s1026" o:spt="20" style="position:absolute;left:0pt;margin-left:61.3pt;margin-top:21.85pt;height:0pt;width:283.45pt;z-index:251683840;mso-width-relative:page;mso-height-relative:page;" filled="f" stroked="t" coordsize="21600,21600" o:gfxdata="UEsDBAoAAAAAAIdO4kAAAAAAAAAAAAAAAAAEAAAAZHJzL1BLAwQUAAAACACHTuJATaCjc9gAAAAJ&#10;AQAADwAAAGRycy9kb3ducmV2LnhtbE2PTU/DMAyG70j8h8hI3FiyDkpXmk4IaUIIkOjGgWPWeG1F&#10;41RN9vXv8cQBjq/96PXjYnF0vdjjGDpPGqYTBQKp9rajRsPnenmTgQjRkDW9J9RwwgCL8vKiMLn1&#10;B6pwv4qN4BIKudHQxjjkUoa6RWfCxA9IvNv60ZnIcWykHc2By10vE6VS6UxHfKE1Az61WH+vdk7D&#10;7PV9XcWPjJbVdv727B+/shfltb6+mqoHEBGP8Q+Gsz6rQ8lOG78jG0TPOUlSRjXczu5BMJBm8zsQ&#10;m9+BLAv5/4PyB1BLAwQUAAAACACHTuJAMLIVX90BAAC/AwAADgAAAGRycy9lMm9Eb2MueG1srVPL&#10;btswELwX6D8QvNeS7TixBcs52EgvRWsg6QfQFCUR4Au7jGX/fZeU46TJJYfoQC33McsZLtf3J2vY&#10;UQFq72o+nZScKSd9o11X879PDz+WnGEUrhHGO1Xzs0J+v/n+bT2ESs18702jgBGIw2oINe9jDFVR&#10;oOyVFTjxQTkKth6siLSFrmhADIRuTTEry9ti8NAE8FIhknc3BvkFET4D6NtWS7Xz8tkqF0dUUEZE&#10;ooS9Dsg3+bRtq2T807aoIjM1J6Yxr9SE7ENai81aVB2I0Gt5OYL4zBHecbJCO2p6hdqJKNgz6A9Q&#10;Vkvw6Ns4kd4WI5GsCLGYlu+0eexFUJkLSY3hKjp+Haz8fdwD003NZ9PZzfJufncz58wJSzf/GEHo&#10;ro9s650jJT2w2W1SbAhYUeHW7eGyw7CHRP/Ugk1/IsZOWeXzVWV1ikySc75YrZbTBWfyJVa8FgbA&#10;+FN5y5JRc6NdEkBU4vgLIzWj1JeU5Hb+QRuTL9E4NtA8r8oF3a0UNJktTQSZNhA7dB1nwnQ08jJC&#10;hkRvdJPKExBCd9gaYEeRBiV/iSm1+y8t9d4J7Me8HBpHyOpIr8JoW/Pl22rjCCTpNSqUrINvzlm4&#10;7Kd7zW0uM5gG5+0+V7++u80/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aCjc9gAAAAJAQAADwAA&#10;AAAAAAABACAAAAAiAAAAZHJzL2Rvd25yZXYueG1sUEsBAhQAFAAAAAgAh07iQDCyFV/dAQAAvwMA&#10;AA4AAAAAAAAAAQAgAAAAJwEAAGRycy9lMm9Eb2MueG1sUEsFBgAAAAAGAAYAWQEAAHYFAAAAAA==&#10;">
                <v:fill on="f" focussize="0,0"/>
                <v:stroke weight="1.5pt" color="#000000 [3200]" miterlimit="8" joinstyle="miter"/>
                <v:imagedata o:title=""/>
                <o:lock v:ext="edit" aspectratio="f"/>
              </v:line>
            </w:pict>
          </mc:Fallback>
        </mc:AlternateContent>
      </w:r>
    </w:p>
    <w:p w14:paraId="7F4682B7" w14:textId="77777777" w:rsidR="00BB58C4" w:rsidRDefault="00BB58C4">
      <w:pPr>
        <w:spacing w:after="0" w:line="480" w:lineRule="auto"/>
        <w:jc w:val="both"/>
        <w:rPr>
          <w:rFonts w:ascii="Times New Roman" w:hAnsi="Times New Roman" w:cs="Times New Roman"/>
          <w:sz w:val="24"/>
          <w:szCs w:val="24"/>
        </w:rPr>
      </w:pPr>
    </w:p>
    <w:p w14:paraId="4F11A509"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E87F5AC" wp14:editId="50E895C9">
                <wp:simplePos x="0" y="0"/>
                <wp:positionH relativeFrom="column">
                  <wp:posOffset>3506470</wp:posOffset>
                </wp:positionH>
                <wp:positionV relativeFrom="paragraph">
                  <wp:posOffset>133985</wp:posOffset>
                </wp:positionV>
                <wp:extent cx="1606550" cy="2266950"/>
                <wp:effectExtent l="0" t="0" r="12700" b="19050"/>
                <wp:wrapNone/>
                <wp:docPr id="728946006" name="Rectangle 9"/>
                <wp:cNvGraphicFramePr/>
                <a:graphic xmlns:a="http://schemas.openxmlformats.org/drawingml/2006/main">
                  <a:graphicData uri="http://schemas.microsoft.com/office/word/2010/wordprocessingShape">
                    <wps:wsp>
                      <wps:cNvSpPr/>
                      <wps:spPr>
                        <a:xfrm>
                          <a:off x="0" y="0"/>
                          <a:ext cx="1606550" cy="2266950"/>
                        </a:xfrm>
                        <a:prstGeom prst="rect">
                          <a:avLst/>
                        </a:prstGeom>
                      </wps:spPr>
                      <wps:style>
                        <a:lnRef idx="2">
                          <a:schemeClr val="dk1"/>
                        </a:lnRef>
                        <a:fillRef idx="1">
                          <a:schemeClr val="lt1"/>
                        </a:fillRef>
                        <a:effectRef idx="0">
                          <a:schemeClr val="dk1"/>
                        </a:effectRef>
                        <a:fontRef idx="minor">
                          <a:schemeClr val="dk1"/>
                        </a:fontRef>
                      </wps:style>
                      <wps:txbx>
                        <w:txbxContent>
                          <w:p w14:paraId="44203740" w14:textId="77777777" w:rsidR="00BB58C4" w:rsidRDefault="00000000">
                            <w:pPr>
                              <w:jc w:val="both"/>
                              <w:rPr>
                                <w:rFonts w:ascii="Times New Roman" w:hAnsi="Times New Roman" w:cs="Times New Roman"/>
                                <w:b/>
                                <w:bCs/>
                                <w:i/>
                                <w:iCs/>
                                <w:sz w:val="20"/>
                                <w:szCs w:val="20"/>
                              </w:rPr>
                            </w:pPr>
                            <w:r>
                              <w:rPr>
                                <w:rFonts w:ascii="Times New Roman" w:hAnsi="Times New Roman" w:cs="Times New Roman"/>
                                <w:b/>
                                <w:bCs/>
                                <w:i/>
                                <w:iCs/>
                                <w:sz w:val="20"/>
                                <w:szCs w:val="20"/>
                              </w:rPr>
                              <w:t>Tax Minimization</w:t>
                            </w:r>
                          </w:p>
                          <w:p w14:paraId="22F466C5" w14:textId="77777777" w:rsidR="00BB58C4" w:rsidRDefault="00000000">
                            <w:pPr>
                              <w:jc w:val="both"/>
                              <w:rPr>
                                <w:rFonts w:ascii="Times New Roman" w:hAnsi="Times New Roman" w:cs="Times New Roman"/>
                                <w:sz w:val="20"/>
                                <w:szCs w:val="20"/>
                              </w:rPr>
                            </w:pPr>
                            <w:r>
                              <w:rPr>
                                <w:rFonts w:ascii="Times New Roman" w:hAnsi="Times New Roman" w:cs="Times New Roman"/>
                                <w:i/>
                                <w:iCs/>
                                <w:sz w:val="20"/>
                                <w:szCs w:val="20"/>
                              </w:rPr>
                              <w:t xml:space="preserve">TaxMinimization </w:t>
                            </w:r>
                            <w:r>
                              <w:rPr>
                                <w:rFonts w:ascii="Times New Roman" w:hAnsi="Times New Roman" w:cs="Times New Roman"/>
                                <w:sz w:val="20"/>
                                <w:szCs w:val="20"/>
                              </w:rPr>
                              <w:t>merupakan strategi yang digunakan perusahaan dalam penghematan pajak. Perusahaan akan berusaha dalam mengurangi semua biaya salah satunya biaya pajak yang merupakan biaya terbesar untuk memaksimalkan keuntungan yang dihasilkan oleh perusahaan.</w:t>
                            </w:r>
                          </w:p>
                          <w:p w14:paraId="15176936" w14:textId="77777777" w:rsidR="00BB58C4" w:rsidRDefault="00BB58C4">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E87F5AC" id="_x0000_s1027" style="position:absolute;left:0;text-align:left;margin-left:276.1pt;margin-top:10.55pt;width:126.5pt;height:17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a6OAIAAL0EAAAOAAAAZHJzL2Uyb0RvYy54bWysVE2P2jAQvVfqf7B8L0kQ0C4irBCrrSqh&#10;Llpa9WwcG6I6HndsCPTXd2wgoBb1UPXizHjmzcfzTCaPh8awvUJfgy150cs5U1ZCVdtNyb9+eX73&#10;gTMfhK2EAatKflSeP07fvpm0bqz6sAVTKWQUxPpx60q+DcGNs8zLrWqE74FTlowasBGBVNxkFYqW&#10;ojcm6+f5KGsBK4cglfd0+3Qy8mmKr7WS4UVrrwIzJafaQjoxnet4ZtOJGG9QuG0tz2WIf6iiEbWl&#10;pF2oJxEE22H9R6imlggedOhJaDLQupYq9UDdFPlv3ay2wqnUC5HjXUeT/39h5ef9yi2RaGidH3sS&#10;YxcHjU38Un3skMg6dmSpQ2CSLotRPhoOiVNJtn5/NHogheJkV7hDHz4qaFgUSo70GokksV/4cHK9&#10;uBDuWkCSwtGoWIOxr0qzuqKU/YROs6HmBtle0KtW34tz2uQZIbo2pgMV90AmXEBn3whTaV46YH4P&#10;eM3WeaeMYEMHbGoL+HewPvlfuj71GtsOh/WBmiV6Y1PxZg3VcYkM4TS73snnmuhcCB+WAmlY6Qlo&#10;AcMLHdpAW3I4S5xtAX/eu4/+NENk5ayl4S+5/7ETqDgznyxN10MxGMRtScpg+L5PCt5a1rcWu2vm&#10;QC9R0Ko7mcToH8xF1AjNN9rTWcxKJmEl5S65DHhR5uG0lLTpUs1myY02xImwsCsnY/DIs4XZLoCu&#10;0/Rc2TnzSDuS5u+8z3EJb/Xkdf3rTH8BAAD//wMAUEsDBBQABgAIAAAAIQB1QbAo3wAAAAoBAAAP&#10;AAAAZHJzL2Rvd25yZXYueG1sTI/LTsMwEEX3SPyDNUjsqJ2gtCFkUlUIViAqCguWbjwkEX5Etpuk&#10;f49ZwXJmju6cW28Xo9lEPgzOImQrAYxs69RgO4SP96ebEliI0iqpnSWEMwXYNpcXtayUm+0bTYfY&#10;sRRiQyUR+hjHivPQ9mRkWLmRbLp9OW9kTKPvuPJyTuFG81yINTdysOlDL0d66Kn9PpwMgtsPZ73z&#10;d6/TC20+n/dRzMv6EfH6atndA4u0xD8YfvWTOjTJ6ehOVgWmEYoizxOKkGcZsASUokiLI8LtpsyA&#10;NzX/X6H5AQAA//8DAFBLAQItABQABgAIAAAAIQC2gziS/gAAAOEBAAATAAAAAAAAAAAAAAAAAAAA&#10;AABbQ29udGVudF9UeXBlc10ueG1sUEsBAi0AFAAGAAgAAAAhADj9If/WAAAAlAEAAAsAAAAAAAAA&#10;AAAAAAAALwEAAF9yZWxzLy5yZWxzUEsBAi0AFAAGAAgAAAAhAHXUhro4AgAAvQQAAA4AAAAAAAAA&#10;AAAAAAAALgIAAGRycy9lMm9Eb2MueG1sUEsBAi0AFAAGAAgAAAAhAHVBsCjfAAAACgEAAA8AAAAA&#10;AAAAAAAAAAAAkgQAAGRycy9kb3ducmV2LnhtbFBLBQYAAAAABAAEAPMAAACeBQAAAAA=&#10;" fillcolor="white [3201]" strokecolor="black [3200]" strokeweight="1pt">
                <v:textbox>
                  <w:txbxContent>
                    <w:p w14:paraId="44203740" w14:textId="77777777" w:rsidR="00BB58C4" w:rsidRDefault="00000000">
                      <w:pPr>
                        <w:jc w:val="both"/>
                        <w:rPr>
                          <w:rFonts w:ascii="Times New Roman" w:hAnsi="Times New Roman" w:cs="Times New Roman"/>
                          <w:b/>
                          <w:bCs/>
                          <w:i/>
                          <w:iCs/>
                          <w:sz w:val="20"/>
                          <w:szCs w:val="20"/>
                        </w:rPr>
                      </w:pPr>
                      <w:r>
                        <w:rPr>
                          <w:rFonts w:ascii="Times New Roman" w:hAnsi="Times New Roman" w:cs="Times New Roman"/>
                          <w:b/>
                          <w:bCs/>
                          <w:i/>
                          <w:iCs/>
                          <w:sz w:val="20"/>
                          <w:szCs w:val="20"/>
                        </w:rPr>
                        <w:t>Tax Minimization</w:t>
                      </w:r>
                    </w:p>
                    <w:p w14:paraId="22F466C5" w14:textId="77777777" w:rsidR="00BB58C4" w:rsidRDefault="00000000">
                      <w:pPr>
                        <w:jc w:val="both"/>
                        <w:rPr>
                          <w:rFonts w:ascii="Times New Roman" w:hAnsi="Times New Roman" w:cs="Times New Roman"/>
                          <w:sz w:val="20"/>
                          <w:szCs w:val="20"/>
                        </w:rPr>
                      </w:pPr>
                      <w:r>
                        <w:rPr>
                          <w:rFonts w:ascii="Times New Roman" w:hAnsi="Times New Roman" w:cs="Times New Roman"/>
                          <w:i/>
                          <w:iCs/>
                          <w:sz w:val="20"/>
                          <w:szCs w:val="20"/>
                        </w:rPr>
                        <w:t xml:space="preserve">TaxMinimization </w:t>
                      </w:r>
                      <w:r>
                        <w:rPr>
                          <w:rFonts w:ascii="Times New Roman" w:hAnsi="Times New Roman" w:cs="Times New Roman"/>
                          <w:sz w:val="20"/>
                          <w:szCs w:val="20"/>
                        </w:rPr>
                        <w:t>merupakan strategi yang digunakan perusahaan dalam penghematan pajak. Perusahaan akan berusaha dalam mengurangi semua biaya salah satunya biaya pajak yang merupakan biaya terbesar untuk memaksimalkan keuntungan yang dihasilkan oleh perusahaan.</w:t>
                      </w:r>
                    </w:p>
                    <w:p w14:paraId="15176936" w14:textId="77777777" w:rsidR="00BB58C4" w:rsidRDefault="00BB58C4">
                      <w:pPr>
                        <w:jc w:val="both"/>
                        <w:rPr>
                          <w:rFonts w:ascii="Times New Roman" w:hAnsi="Times New Roman" w:cs="Times New Roman"/>
                          <w:sz w:val="20"/>
                          <w:szCs w:val="20"/>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5C712BF" wp14:editId="4126CAE1">
                <wp:simplePos x="0" y="0"/>
                <wp:positionH relativeFrom="column">
                  <wp:posOffset>39370</wp:posOffset>
                </wp:positionH>
                <wp:positionV relativeFrom="paragraph">
                  <wp:posOffset>127635</wp:posOffset>
                </wp:positionV>
                <wp:extent cx="1574800" cy="2273300"/>
                <wp:effectExtent l="0" t="0" r="25400" b="12700"/>
                <wp:wrapNone/>
                <wp:docPr id="635128795" name="Rectangle 9"/>
                <wp:cNvGraphicFramePr/>
                <a:graphic xmlns:a="http://schemas.openxmlformats.org/drawingml/2006/main">
                  <a:graphicData uri="http://schemas.microsoft.com/office/word/2010/wordprocessingShape">
                    <wps:wsp>
                      <wps:cNvSpPr/>
                      <wps:spPr>
                        <a:xfrm>
                          <a:off x="0" y="0"/>
                          <a:ext cx="1574800" cy="2273300"/>
                        </a:xfrm>
                        <a:prstGeom prst="rect">
                          <a:avLst/>
                        </a:prstGeom>
                      </wps:spPr>
                      <wps:style>
                        <a:lnRef idx="2">
                          <a:schemeClr val="dk1"/>
                        </a:lnRef>
                        <a:fillRef idx="1">
                          <a:schemeClr val="lt1"/>
                        </a:fillRef>
                        <a:effectRef idx="0">
                          <a:schemeClr val="dk1"/>
                        </a:effectRef>
                        <a:fontRef idx="minor">
                          <a:schemeClr val="dk1"/>
                        </a:fontRef>
                      </wps:style>
                      <wps:txbx>
                        <w:txbxContent>
                          <w:p w14:paraId="3A3011A7" w14:textId="77777777" w:rsidR="00BB58C4" w:rsidRDefault="00000000">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Tax Haven</w:t>
                            </w:r>
                          </w:p>
                          <w:p w14:paraId="61221346" w14:textId="77777777" w:rsidR="00BB58C4" w:rsidRDefault="00000000">
                            <w:pPr>
                              <w:spacing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Tax haven </w:t>
                            </w:r>
                            <w:r>
                              <w:rPr>
                                <w:rFonts w:ascii="Times New Roman" w:hAnsi="Times New Roman" w:cs="Times New Roman"/>
                                <w:sz w:val="20"/>
                                <w:szCs w:val="20"/>
                              </w:rPr>
                              <w:t>merupakan suatu wilayah atau negara yang menerapkan tarif pajak yang rendah bahkan tidak ada. Hal ini membuat perusahaan mengalihkan laba ke negara tersebut sehingga laba yang berada dinegara dengan pajak tinggi berkurang sehingga pajak yang dikenakan atas perusahaan pun juga ikut berkurang.</w:t>
                            </w:r>
                          </w:p>
                          <w:p w14:paraId="734A5BF0" w14:textId="77777777" w:rsidR="00BB58C4" w:rsidRDefault="00BB58C4">
                            <w:pPr>
                              <w:spacing w:line="240" w:lineRule="auto"/>
                              <w:jc w:val="center"/>
                              <w:rPr>
                                <w:rFonts w:ascii="Times New Roman" w:hAnsi="Times New Roman" w:cs="Times New Roman"/>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5C712BF" id="_x0000_s1028" style="position:absolute;left:0;text-align:left;margin-left:3.1pt;margin-top:10.05pt;width:124pt;height:17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MbOgIAAL0EAAAOAAAAZHJzL2Uyb0RvYy54bWysVE1v2zAMvQ/YfxB0Xx276doFcYogRYcB&#10;xVq0G3ZWZCk2JosapcTJfv0o2XGCrdhh2EUmRT5+PJGe3+5bw3YKfQO25PnFhDNlJVSN3ZT865f7&#10;dzec+SBsJQxYVfKD8vx28fbNvHMzVUANplLIKIj1s86VvA7BzbLMy1q1wl+AU5aMGrAVgVTcZBWK&#10;jqK3Jismk/dZB1g5BKm8p9u73sgXKb7WSoZHrb0KzJScagvpxHSu45kt5mK2QeHqRg5liH+oohWN&#10;paRjqDsRBNti80eotpEIHnS4kNBmoHUjVeqBusknv3XzUgunUi9EjncjTf7/hZWfdy/uCYmGzvmZ&#10;JzF2sdfYxi/Vx/aJrMNIltoHJukyv7qe3kyIU0m2ori+vCSF4mQnuEMfPipoWRRKjvQaiSSxe/Ch&#10;dz26EO5UQJLCwahYg7HPSrOmopRFQqfZUCuDbCfoVavv+ZA2eUaIbowZQflrIBOOoME3wlSalxE4&#10;eQ14yjZ6p4xgwwhsGwv4d7Du/Y9d973GtsN+vadmY6/Dm6yhOjwhQ+hn1zt53xCdD8KHJ4E0rPQE&#10;tIDhkQ5toCs5DBJnNeDP1+6jP80QWTnraPhL7n9sBSrOzCdL0/Uhn07jtiRlenVdkILnlvW5xW7b&#10;FdBL5LTqTiYx+gdzFDVC+432dBmzkklYSblLLgMelVXol5I2XarlMrnRhjgRHuyLkzF45NnCchtA&#10;N2l6Il89OwOPtCNp/oZ9jkt4riev019n8QsAAP//AwBQSwMEFAAGAAgAAAAhAJOO1WzeAAAACAEA&#10;AA8AAABkcnMvZG93bnJldi54bWxMj8FOwzAQRO9I/IO1SNyonQBpCXGqCsEJREXpoUc3XpIIex3Z&#10;bpL+PeYEx9kZzbyt1rM1bEQfekcSsoUAhtQ43VMrYf/5crMCFqIirYwjlHDGAOv68qJSpXYTfeC4&#10;iy1LJRRKJaGLcSg5D02HVoWFG5CS9+W8VTFJ33Lt1ZTKreG5EAW3qqe00KkBnzpsvncnK8Ft+7PZ&#10;+If38Q2Xh9dtFNNcPEt5fTVvHoFFnONfGH7xEzrUienoTqQDMxKKPAUl5CIDluz8/i4djhJul6sM&#10;eF3x/w/UPwAAAP//AwBQSwECLQAUAAYACAAAACEAtoM4kv4AAADhAQAAEwAAAAAAAAAAAAAAAAAA&#10;AAAAW0NvbnRlbnRfVHlwZXNdLnhtbFBLAQItABQABgAIAAAAIQA4/SH/1gAAAJQBAAALAAAAAAAA&#10;AAAAAAAAAC8BAABfcmVscy8ucmVsc1BLAQItABQABgAIAAAAIQBn8rMbOgIAAL0EAAAOAAAAAAAA&#10;AAAAAAAAAC4CAABkcnMvZTJvRG9jLnhtbFBLAQItABQABgAIAAAAIQCTjtVs3gAAAAgBAAAPAAAA&#10;AAAAAAAAAAAAAJQEAABkcnMvZG93bnJldi54bWxQSwUGAAAAAAQABADzAAAAnwUAAAAA&#10;" fillcolor="white [3201]" strokecolor="black [3200]" strokeweight="1pt">
                <v:textbox>
                  <w:txbxContent>
                    <w:p w14:paraId="3A3011A7" w14:textId="77777777" w:rsidR="00BB58C4" w:rsidRDefault="00000000">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Tax Haven</w:t>
                      </w:r>
                    </w:p>
                    <w:p w14:paraId="61221346" w14:textId="77777777" w:rsidR="00BB58C4" w:rsidRDefault="00000000">
                      <w:pPr>
                        <w:spacing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Tax haven </w:t>
                      </w:r>
                      <w:r>
                        <w:rPr>
                          <w:rFonts w:ascii="Times New Roman" w:hAnsi="Times New Roman" w:cs="Times New Roman"/>
                          <w:sz w:val="20"/>
                          <w:szCs w:val="20"/>
                        </w:rPr>
                        <w:t>merupakan suatu wilayah atau negara yang menerapkan tarif pajak yang rendah bahkan tidak ada. Hal ini membuat perusahaan mengalihkan laba ke negara tersebut sehingga laba yang berada dinegara dengan pajak tinggi berkurang sehingga pajak yang dikenakan atas perusahaan pun juga ikut berkurang.</w:t>
                      </w:r>
                    </w:p>
                    <w:p w14:paraId="734A5BF0" w14:textId="77777777" w:rsidR="00BB58C4" w:rsidRDefault="00BB58C4">
                      <w:pPr>
                        <w:spacing w:line="240" w:lineRule="auto"/>
                        <w:jc w:val="center"/>
                        <w:rPr>
                          <w:rFonts w:ascii="Times New Roman" w:hAnsi="Times New Roman" w:cs="Times New Roman"/>
                          <w:i/>
                          <w:iCs/>
                          <w:sz w:val="20"/>
                          <w:szCs w:val="20"/>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841FB00" wp14:editId="6646D9A2">
                <wp:simplePos x="0" y="0"/>
                <wp:positionH relativeFrom="column">
                  <wp:posOffset>1785620</wp:posOffset>
                </wp:positionH>
                <wp:positionV relativeFrom="paragraph">
                  <wp:posOffset>133985</wp:posOffset>
                </wp:positionV>
                <wp:extent cx="1585595" cy="2273300"/>
                <wp:effectExtent l="0" t="0" r="14605" b="12700"/>
                <wp:wrapNone/>
                <wp:docPr id="454991052" name="Rectangle 9"/>
                <wp:cNvGraphicFramePr/>
                <a:graphic xmlns:a="http://schemas.openxmlformats.org/drawingml/2006/main">
                  <a:graphicData uri="http://schemas.microsoft.com/office/word/2010/wordprocessingShape">
                    <wps:wsp>
                      <wps:cNvSpPr/>
                      <wps:spPr>
                        <a:xfrm>
                          <a:off x="0" y="0"/>
                          <a:ext cx="1585595" cy="2273300"/>
                        </a:xfrm>
                        <a:prstGeom prst="rect">
                          <a:avLst/>
                        </a:prstGeom>
                      </wps:spPr>
                      <wps:style>
                        <a:lnRef idx="2">
                          <a:schemeClr val="dk1"/>
                        </a:lnRef>
                        <a:fillRef idx="1">
                          <a:schemeClr val="lt1"/>
                        </a:fillRef>
                        <a:effectRef idx="0">
                          <a:schemeClr val="dk1"/>
                        </a:effectRef>
                        <a:fontRef idx="minor">
                          <a:schemeClr val="dk1"/>
                        </a:fontRef>
                      </wps:style>
                      <wps:txbx>
                        <w:txbxContent>
                          <w:p w14:paraId="0E7F2EE8" w14:textId="77777777" w:rsidR="00BB58C4" w:rsidRDefault="00000000">
                            <w:pPr>
                              <w:spacing w:after="0"/>
                              <w:jc w:val="center"/>
                              <w:rPr>
                                <w:rFonts w:ascii="Times New Roman" w:hAnsi="Times New Roman" w:cs="Times New Roman"/>
                                <w:b/>
                                <w:bCs/>
                                <w:i/>
                                <w:iCs/>
                                <w:sz w:val="20"/>
                                <w:szCs w:val="20"/>
                              </w:rPr>
                            </w:pPr>
                            <w:r>
                              <w:rPr>
                                <w:rFonts w:ascii="Times New Roman" w:hAnsi="Times New Roman" w:cs="Times New Roman"/>
                                <w:b/>
                                <w:bCs/>
                                <w:i/>
                                <w:iCs/>
                                <w:sz w:val="20"/>
                                <w:szCs w:val="20"/>
                              </w:rPr>
                              <w:t>Intangible Asset</w:t>
                            </w:r>
                          </w:p>
                          <w:p w14:paraId="40372AFC" w14:textId="77777777" w:rsidR="00BB58C4" w:rsidRDefault="00000000">
                            <w:pPr>
                              <w:jc w:val="both"/>
                              <w:rPr>
                                <w:rFonts w:ascii="Times New Roman" w:hAnsi="Times New Roman" w:cs="Times New Roman"/>
                                <w:sz w:val="19"/>
                                <w:szCs w:val="19"/>
                              </w:rPr>
                            </w:pPr>
                            <w:r>
                              <w:rPr>
                                <w:rFonts w:ascii="Times New Roman" w:hAnsi="Times New Roman" w:cs="Times New Roman"/>
                                <w:sz w:val="19"/>
                                <w:szCs w:val="19"/>
                              </w:rPr>
                              <w:t xml:space="preserve">Internalisasi aset tak berwujud menciptakan kondisi penentuan harga pasar wajar menjadi sulit Kondisi ini membuat perusahaan memiliki celah untuk melakukan </w:t>
                            </w:r>
                            <w:r>
                              <w:rPr>
                                <w:rFonts w:ascii="Times New Roman" w:hAnsi="Times New Roman" w:cs="Times New Roman"/>
                                <w:i/>
                                <w:iCs/>
                                <w:sz w:val="19"/>
                                <w:szCs w:val="19"/>
                              </w:rPr>
                              <w:t>transfer pricing</w:t>
                            </w:r>
                            <w:r>
                              <w:rPr>
                                <w:rFonts w:ascii="Times New Roman" w:hAnsi="Times New Roman" w:cs="Times New Roman"/>
                                <w:sz w:val="19"/>
                                <w:szCs w:val="19"/>
                              </w:rPr>
                              <w:t xml:space="preserve"> dengan membebankan biaya royalti yang tinggi untuk aset dari anak perusahaan di </w:t>
                            </w:r>
                            <w:r>
                              <w:rPr>
                                <w:rFonts w:ascii="Times New Roman" w:hAnsi="Times New Roman" w:cs="Times New Roman"/>
                                <w:i/>
                                <w:iCs/>
                                <w:sz w:val="19"/>
                                <w:szCs w:val="19"/>
                              </w:rPr>
                              <w:t>tax haven</w:t>
                            </w:r>
                            <w:r>
                              <w:rPr>
                                <w:rFonts w:ascii="Times New Roman" w:hAnsi="Times New Roman" w:cs="Times New Roman"/>
                                <w:sz w:val="19"/>
                                <w:szCs w:val="19"/>
                              </w:rPr>
                              <w:t xml:space="preserve"> ke anak perusahaan di negera pajak tinggi</w:t>
                            </w:r>
                          </w:p>
                          <w:p w14:paraId="1F78E1F0" w14:textId="77777777" w:rsidR="00BB58C4" w:rsidRDefault="00BB58C4">
                            <w:pPr>
                              <w:jc w:val="center"/>
                              <w:rPr>
                                <w:rFonts w:ascii="Times New Roman" w:hAnsi="Times New Roman" w:cs="Times New Roman"/>
                                <w:b/>
                                <w:bCs/>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41FB00" id="_x0000_s1029" style="position:absolute;left:0;text-align:left;margin-left:140.6pt;margin-top:10.55pt;width:124.85pt;height:17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HSPQIAAL0EAAAOAAAAZHJzL2Uyb0RvYy54bWysVEuP2jAQvlfqf7B8L0l4dHcRYYVYbVUJ&#10;dVFp1bNxbIjqeNyxIdBf37GBgNpVD1Uvzoxnvnl8nsnk8dAYtlfoa7AlL3o5Z8pKqGq7KfnXL8/v&#10;7jnzQdhKGLCq5Efl+eP07ZtJ68aqD1swlUJGQawft67k2xDcOMu83KpG+B44ZcmoARsRSMVNVqFo&#10;KXpjsn6ev89awMohSOU93T6djHya4mutZHjR2qvATMmptpBOTOc6ntl0IsYbFG5by3MZ4h+qaERt&#10;KWkX6kkEwXZY/xGqqSWCBx16EpoMtK6lSj1QN0X+WzerrXAq9ULkeNfR5P9fWPlpv3JLJBpa58ee&#10;xNjFQWMTv1QfOySyjh1Z6hCYpMtidD8aPYw4k2Tr9+8GgzzRmV3hDn34oKBhUSg50mskksR+4QOl&#10;JNeLCynXApIUjkbFGoz9rDSrK0rZT+g0G2pukO0FvWr1vYivSLGSZ4To2pgOVLwGMuECOvtGmErz&#10;0gHz14DXbJ13ygg2dMCmtoB/B+uT/6XrU6+x7XBYH6jZkg9iU/FmDdVxiQzhNLveyeea6FwIH5YC&#10;aVhprGkBwwsd2kBbcjhLnG0Bf752H/1phsjKWUvDX3L/YydQcWY+Wpquh2I4jNuSlOHork8K3lrW&#10;txa7a+ZAL1HQqjuZxOgfzEXUCM032tNZzEomYSXlLrkMeFHm4bSUtOlSzWbJjTbEibCwKydj8Miz&#10;hdkugK7T9FzZOfNIO5IG4bzPcQlv9eR1/etMfwEAAP//AwBQSwMEFAAGAAgAAAAhALdboKrgAAAA&#10;CgEAAA8AAABkcnMvZG93bnJldi54bWxMj8tOwzAQRfdI/IM1SOyo7VS0TYhTVQhWICoKC5ZuPCQR&#10;fkSxm6R/z7CiuxnN0Z1zy+3sLBtxiF3wCuRCAENfB9P5RsHnx/PdBlhM2httg0cFZ4ywra6vSl2Y&#10;MPl3HA+pYRTiY6EVtCn1BeexbtHpuAg9erp9h8HpROvQcDPoicKd5ZkQK+505+lDq3t8bLH+OZyc&#10;grDvznY35G/jK66/XvZJTPPqSanbm3n3ACzhnP5h+NMndajI6RhO3kRmFWQbmRFKg5TACLhfihzY&#10;UcFynUvgVckvK1S/AAAA//8DAFBLAQItABQABgAIAAAAIQC2gziS/gAAAOEBAAATAAAAAAAAAAAA&#10;AAAAAAAAAABbQ29udGVudF9UeXBlc10ueG1sUEsBAi0AFAAGAAgAAAAhADj9If/WAAAAlAEAAAsA&#10;AAAAAAAAAAAAAAAALwEAAF9yZWxzLy5yZWxzUEsBAi0AFAAGAAgAAAAhABm7IdI9AgAAvQQAAA4A&#10;AAAAAAAAAAAAAAAALgIAAGRycy9lMm9Eb2MueG1sUEsBAi0AFAAGAAgAAAAhALdboKrgAAAACgEA&#10;AA8AAAAAAAAAAAAAAAAAlwQAAGRycy9kb3ducmV2LnhtbFBLBQYAAAAABAAEAPMAAACkBQAAAAA=&#10;" fillcolor="white [3201]" strokecolor="black [3200]" strokeweight="1pt">
                <v:textbox>
                  <w:txbxContent>
                    <w:p w14:paraId="0E7F2EE8" w14:textId="77777777" w:rsidR="00BB58C4" w:rsidRDefault="00000000">
                      <w:pPr>
                        <w:spacing w:after="0"/>
                        <w:jc w:val="center"/>
                        <w:rPr>
                          <w:rFonts w:ascii="Times New Roman" w:hAnsi="Times New Roman" w:cs="Times New Roman"/>
                          <w:b/>
                          <w:bCs/>
                          <w:i/>
                          <w:iCs/>
                          <w:sz w:val="20"/>
                          <w:szCs w:val="20"/>
                        </w:rPr>
                      </w:pPr>
                      <w:r>
                        <w:rPr>
                          <w:rFonts w:ascii="Times New Roman" w:hAnsi="Times New Roman" w:cs="Times New Roman"/>
                          <w:b/>
                          <w:bCs/>
                          <w:i/>
                          <w:iCs/>
                          <w:sz w:val="20"/>
                          <w:szCs w:val="20"/>
                        </w:rPr>
                        <w:t>Intangible Asset</w:t>
                      </w:r>
                    </w:p>
                    <w:p w14:paraId="40372AFC" w14:textId="77777777" w:rsidR="00BB58C4" w:rsidRDefault="00000000">
                      <w:pPr>
                        <w:jc w:val="both"/>
                        <w:rPr>
                          <w:rFonts w:ascii="Times New Roman" w:hAnsi="Times New Roman" w:cs="Times New Roman"/>
                          <w:sz w:val="19"/>
                          <w:szCs w:val="19"/>
                        </w:rPr>
                      </w:pPr>
                      <w:r>
                        <w:rPr>
                          <w:rFonts w:ascii="Times New Roman" w:hAnsi="Times New Roman" w:cs="Times New Roman"/>
                          <w:sz w:val="19"/>
                          <w:szCs w:val="19"/>
                        </w:rPr>
                        <w:t xml:space="preserve">Internalisasi aset tak berwujud menciptakan kondisi penentuan harga pasar wajar menjadi sulit Kondisi ini membuat perusahaan memiliki celah untuk melakukan </w:t>
                      </w:r>
                      <w:r>
                        <w:rPr>
                          <w:rFonts w:ascii="Times New Roman" w:hAnsi="Times New Roman" w:cs="Times New Roman"/>
                          <w:i/>
                          <w:iCs/>
                          <w:sz w:val="19"/>
                          <w:szCs w:val="19"/>
                        </w:rPr>
                        <w:t>transfer pricing</w:t>
                      </w:r>
                      <w:r>
                        <w:rPr>
                          <w:rFonts w:ascii="Times New Roman" w:hAnsi="Times New Roman" w:cs="Times New Roman"/>
                          <w:sz w:val="19"/>
                          <w:szCs w:val="19"/>
                        </w:rPr>
                        <w:t xml:space="preserve"> dengan membebankan biaya royalti yang tinggi untuk aset dari anak perusahaan di </w:t>
                      </w:r>
                      <w:r>
                        <w:rPr>
                          <w:rFonts w:ascii="Times New Roman" w:hAnsi="Times New Roman" w:cs="Times New Roman"/>
                          <w:i/>
                          <w:iCs/>
                          <w:sz w:val="19"/>
                          <w:szCs w:val="19"/>
                        </w:rPr>
                        <w:t>tax haven</w:t>
                      </w:r>
                      <w:r>
                        <w:rPr>
                          <w:rFonts w:ascii="Times New Roman" w:hAnsi="Times New Roman" w:cs="Times New Roman"/>
                          <w:sz w:val="19"/>
                          <w:szCs w:val="19"/>
                        </w:rPr>
                        <w:t xml:space="preserve"> ke anak perusahaan di negera pajak tinggi</w:t>
                      </w:r>
                    </w:p>
                    <w:p w14:paraId="1F78E1F0" w14:textId="77777777" w:rsidR="00BB58C4" w:rsidRDefault="00BB58C4">
                      <w:pPr>
                        <w:jc w:val="center"/>
                        <w:rPr>
                          <w:rFonts w:ascii="Times New Roman" w:hAnsi="Times New Roman" w:cs="Times New Roman"/>
                          <w:b/>
                          <w:bCs/>
                          <w:i/>
                          <w:iCs/>
                          <w:sz w:val="20"/>
                          <w:szCs w:val="20"/>
                        </w:rPr>
                      </w:pPr>
                    </w:p>
                  </w:txbxContent>
                </v:textbox>
              </v:rect>
            </w:pict>
          </mc:Fallback>
        </mc:AlternateContent>
      </w:r>
    </w:p>
    <w:p w14:paraId="72F51C2A" w14:textId="77777777" w:rsidR="00BB58C4" w:rsidRDefault="00BB58C4">
      <w:pPr>
        <w:spacing w:after="0" w:line="480" w:lineRule="auto"/>
        <w:jc w:val="both"/>
        <w:rPr>
          <w:rFonts w:ascii="Times New Roman" w:hAnsi="Times New Roman" w:cs="Times New Roman"/>
          <w:sz w:val="24"/>
          <w:szCs w:val="24"/>
        </w:rPr>
      </w:pPr>
    </w:p>
    <w:p w14:paraId="4046658D" w14:textId="77777777" w:rsidR="00BB58C4" w:rsidRDefault="00BB58C4">
      <w:pPr>
        <w:spacing w:after="0" w:line="480" w:lineRule="auto"/>
        <w:jc w:val="both"/>
        <w:rPr>
          <w:rFonts w:ascii="Times New Roman" w:hAnsi="Times New Roman" w:cs="Times New Roman"/>
          <w:sz w:val="24"/>
          <w:szCs w:val="24"/>
        </w:rPr>
      </w:pPr>
    </w:p>
    <w:p w14:paraId="67B2BA72" w14:textId="77777777" w:rsidR="00BB58C4" w:rsidRDefault="00BB58C4">
      <w:pPr>
        <w:spacing w:after="0" w:line="480" w:lineRule="auto"/>
        <w:jc w:val="both"/>
        <w:rPr>
          <w:rFonts w:ascii="Times New Roman" w:hAnsi="Times New Roman" w:cs="Times New Roman"/>
          <w:sz w:val="24"/>
          <w:szCs w:val="24"/>
        </w:rPr>
      </w:pPr>
    </w:p>
    <w:p w14:paraId="4EA79AA7" w14:textId="77777777" w:rsidR="00BB58C4" w:rsidRDefault="00BB58C4">
      <w:pPr>
        <w:spacing w:after="0" w:line="480" w:lineRule="auto"/>
        <w:jc w:val="both"/>
        <w:rPr>
          <w:rFonts w:ascii="Times New Roman" w:hAnsi="Times New Roman" w:cs="Times New Roman"/>
          <w:sz w:val="24"/>
          <w:szCs w:val="24"/>
        </w:rPr>
      </w:pPr>
    </w:p>
    <w:p w14:paraId="0EE4E072" w14:textId="77777777" w:rsidR="00BB58C4" w:rsidRDefault="00BB58C4">
      <w:pPr>
        <w:spacing w:after="0" w:line="480" w:lineRule="auto"/>
        <w:jc w:val="both"/>
        <w:rPr>
          <w:rFonts w:ascii="Times New Roman" w:hAnsi="Times New Roman" w:cs="Times New Roman"/>
          <w:sz w:val="24"/>
          <w:szCs w:val="24"/>
        </w:rPr>
      </w:pPr>
    </w:p>
    <w:p w14:paraId="7D833ED7"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7180341" wp14:editId="7F41A190">
                <wp:simplePos x="0" y="0"/>
                <wp:positionH relativeFrom="column">
                  <wp:posOffset>3578225</wp:posOffset>
                </wp:positionH>
                <wp:positionV relativeFrom="paragraph">
                  <wp:posOffset>1313815</wp:posOffset>
                </wp:positionV>
                <wp:extent cx="719455" cy="0"/>
                <wp:effectExtent l="38100" t="76200" r="0" b="95250"/>
                <wp:wrapNone/>
                <wp:docPr id="1947938381" name="Straight Arrow Connector 22"/>
                <wp:cNvGraphicFramePr/>
                <a:graphic xmlns:a="http://schemas.openxmlformats.org/drawingml/2006/main">
                  <a:graphicData uri="http://schemas.microsoft.com/office/word/2010/wordprocessingShape">
                    <wps:wsp>
                      <wps:cNvCnPr/>
                      <wps:spPr>
                        <a:xfrm flipH="1">
                          <a:off x="0" y="0"/>
                          <a:ext cx="71945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22" o:spid="_x0000_s1026" o:spt="32" type="#_x0000_t32" style="position:absolute;left:0pt;flip:x;margin-left:281.75pt;margin-top:103.45pt;height:0pt;width:56.65pt;z-index:251689984;mso-width-relative:page;mso-height-relative:page;" filled="f" stroked="t" coordsize="21600,21600" o:gfxdata="UEsDBAoAAAAAAIdO4kAAAAAAAAAAAAAAAAAEAAAAZHJzL1BLAwQUAAAACACHTuJAaZgXzNYAAAAL&#10;AQAADwAAAGRycy9kb3ducmV2LnhtbE2PYUvDMBCGvwv+h3CC31y6yrJZm+5DQRAFwW0/IGvOpNhc&#10;SpN18997gqAf7+7hveett5cwiBmn1EfSsFwUIJC6aHtyGg77p7sNiJQNWTNEQg1fmGDbXF/VprLx&#10;TO8477ITHEKpMhp8zmMlZeo8BpMWcUTi20ecgsk8Tk7ayZw5PAyyLAolg+mJP3gzYuux+9ydggZ8&#10;7l5b1Y6bWb2Z/QuVzq+V0/r2Zlk8gsh4yX8w/OizOjTsdIwnskkMGlbqfsWohrJQDyCYUGvFZY6/&#10;G9nU8n+H5htQSwMEFAAAAAgAh07iQPZvXqz6AQAA+AMAAA4AAABkcnMvZTJvRG9jLnhtbK1TTY/T&#10;MBC9I/EfLN9p2i5lu1HTFWpZOCCotPADpo6dWPKXxt6m/feMnWyB5bIHcrDGnsybec/Pm/uzNewk&#10;MWrvGr6YzTmTTvhWu67hP388vFtzFhO4Fox3suEXGfn99u2bzRBqufS9N61ERiAu1kNoeJ9SqKsq&#10;il5aiDMfpKOk8mgh0Ra7qkUYCN2aajmff6gGj21AL2SMdLofk3xCxNcAeqW0kHsvnqx0aURFaSAR&#10;pdjrEPm2TKuUFOm7UlEmZhpOTFNZqQnFx7xW2w3UHULotZhGgNeM8IKTBe2o6RVqDwnYE+p/oKwW&#10;6KNXaSa8rUYiRRFisZi/0OaxhyALF5I6hqvo8f/Bim+nAzLdkhPu3t/e3axv1gvOHFi6+ceEoLs+&#10;sY+IfmA77xzp6ZEtl1m3IcSaynfugNMuhgNmEc4KLVNGhy8EW2QhouxcVL9cVZfnxAQd3lLn1Yoz&#10;8ZyqRoSMFDCmz9JbloOGx2mi6ygjOpy+xkQzUOFzQS52/kEbU27YODZkivMVXbwAsq0iu1BoA1GP&#10;ruMMTEfvQSQsA0dvdJvLM1DE7rgzyE6QXVS+LAC1++u33HsPsR//K6nRX1YnejJG24avr9VQJ9Dm&#10;k2tZugRSO6EG1xk5IRtHDbLEo6g5Ovr2UrQu52SIMsJk3uy4P/el+veD3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ZgXzNYAAAALAQAADwAAAAAAAAABACAAAAAiAAAAZHJzL2Rvd25yZXYueG1s&#10;UEsBAhQAFAAAAAgAh07iQPZvXqz6AQAA+AMAAA4AAAAAAAAAAQAgAAAAJQEAAGRycy9lMm9Eb2Mu&#10;eG1sUEsFBgAAAAAGAAYAWQEAAJEFAAAAAA==&#10;">
                <v:fill on="f" focussize="0,0"/>
                <v:stroke weight="1.5pt" color="#000000 [3200]"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3E0000F" wp14:editId="136F04E9">
                <wp:simplePos x="0" y="0"/>
                <wp:positionH relativeFrom="column">
                  <wp:posOffset>2512060</wp:posOffset>
                </wp:positionH>
                <wp:positionV relativeFrom="paragraph">
                  <wp:posOffset>299720</wp:posOffset>
                </wp:positionV>
                <wp:extent cx="0" cy="719455"/>
                <wp:effectExtent l="76200" t="0" r="57150" b="61595"/>
                <wp:wrapNone/>
                <wp:docPr id="856761027" name="Straight Arrow Connector 14"/>
                <wp:cNvGraphicFramePr/>
                <a:graphic xmlns:a="http://schemas.openxmlformats.org/drawingml/2006/main">
                  <a:graphicData uri="http://schemas.microsoft.com/office/word/2010/wordprocessingShape">
                    <wps:wsp>
                      <wps:cNvCnPr/>
                      <wps:spPr>
                        <a:xfrm>
                          <a:off x="0" y="0"/>
                          <a:ext cx="0" cy="71945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14" o:spid="_x0000_s1026" o:spt="32" type="#_x0000_t32" style="position:absolute;left:0pt;margin-left:197.8pt;margin-top:23.6pt;height:56.65pt;width:0pt;z-index:251692032;mso-width-relative:page;mso-height-relative:page;" filled="f" stroked="t" coordsize="21600,21600" o:gfxdata="UEsDBAoAAAAAAIdO4kAAAAAAAAAAAAAAAAAEAAAAZHJzL1BLAwQUAAAACACHTuJAF4IaIdcAAAAK&#10;AQAADwAAAGRycy9kb3ducmV2LnhtbE2PwU7DMAyG70i8Q2QkLmhLum6FlaYTQuKIxAY77JY1oS00&#10;TlVna3l7jDjA0fan399fbCbfibMbqA2oIZkrEA6rYFusNby9Ps3uQFA0aE0X0Gn4cgSb8vKiMLkN&#10;I27deRdrwSFIudHQxNjnUlLVOG9oHnqHfHsPgzeRx6GWdjAjh/tOLpTKpDct8ofG9O6xcdXn7uQ1&#10;7NOb/XIaE5rWByR8/nig1L5ofX2VqHsQ0U3xD4YffVaHkp2O4YSWRKchXa8yRjUsbxcgGPhdHJnM&#10;1ApkWcj/FcpvUEsDBBQAAAAIAIdO4kAzKzUE8wEAAO0DAAAOAAAAZHJzL2Uyb0RvYy54bWytk81u&#10;2zAMx+8D9g6C7ovtoElaI04xJOsuw1ag2wMwsmwL0BcoNU7efpTspWt36WE+yBIl/kn+RG3vz0az&#10;k8SgnG14tSg5k1a4Vtm+4b9+Pny65SxEsC1oZ2XDLzLw+93HD9vR13LpBqdbiYxEbKhH3/AhRl8X&#10;RRCDNBAWzktLm51DA5GW2BctwkjqRhfLslwXo8PWoxMyBLIepk0+K+J7BF3XKSEPTjwbaeOkilJD&#10;pJLCoHzgu5xt10kRf3RdkJHphlOlMY8UhObHNBa7LdQ9gh+UmFOA96TwpiYDylLQq9QBIrBnVP9I&#10;GSXQBdfFhXCmmArJRKiKqnzD5mkAL3MthDr4K/Tw/2TF99MjMtU2/Ha13qyrcrnhzIKhi3+KCKof&#10;IvuM6Ea2d9YSToesuknYRh9q8t7bR5xXwT9iYnDu0KQ/VcfOGfXlilqeIxOTUZB1U93drFZJrnjx&#10;8xjiV+kMS5OGhzmPawJVJg2nbyFOjn8cUlDrHpTWZIdaWzZSh9+VK7ptAdSrHfUITY2neoPtOQPd&#10;0yMQEbNkcFq1yT15B+yPe43sBKl18jfn+epYin2AMEzn8lY6BrVRkd6JVobQXr2hjqD0F9uyePHE&#10;OKIC22s5K2tLIBLYCWWaHV17yYSznbogo5o7NrXZ3+vs/fJKd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4IaIdcAAAAKAQAADwAAAAAAAAABACAAAAAiAAAAZHJzL2Rvd25yZXYueG1sUEsBAhQA&#10;FAAAAAgAh07iQDMrNQTzAQAA7QMAAA4AAAAAAAAAAQAgAAAAJgEAAGRycy9lMm9Eb2MueG1sUEsF&#10;BgAAAAAGAAYAWQEAAIsFAAAAAA==&#10;">
                <v:fill on="f" focussize="0,0"/>
                <v:stroke weight="1.5pt" color="#000000 [3200]"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51C20BC" wp14:editId="432087B7">
                <wp:simplePos x="0" y="0"/>
                <wp:positionH relativeFrom="column">
                  <wp:posOffset>1540510</wp:posOffset>
                </wp:positionH>
                <wp:positionV relativeFrom="paragraph">
                  <wp:posOffset>1137285</wp:posOffset>
                </wp:positionV>
                <wp:extent cx="1981200" cy="346075"/>
                <wp:effectExtent l="0" t="0" r="19050" b="15875"/>
                <wp:wrapNone/>
                <wp:docPr id="408906604" name="Rectangle 9"/>
                <wp:cNvGraphicFramePr/>
                <a:graphic xmlns:a="http://schemas.openxmlformats.org/drawingml/2006/main">
                  <a:graphicData uri="http://schemas.microsoft.com/office/word/2010/wordprocessingShape">
                    <wps:wsp>
                      <wps:cNvSpPr/>
                      <wps:spPr>
                        <a:xfrm>
                          <a:off x="0" y="0"/>
                          <a:ext cx="1981200" cy="346075"/>
                        </a:xfrm>
                        <a:prstGeom prst="rect">
                          <a:avLst/>
                        </a:prstGeom>
                      </wps:spPr>
                      <wps:style>
                        <a:lnRef idx="2">
                          <a:schemeClr val="dk1"/>
                        </a:lnRef>
                        <a:fillRef idx="1">
                          <a:schemeClr val="lt1"/>
                        </a:fillRef>
                        <a:effectRef idx="0">
                          <a:schemeClr val="dk1"/>
                        </a:effectRef>
                        <a:fontRef idx="minor">
                          <a:schemeClr val="dk1"/>
                        </a:fontRef>
                      </wps:style>
                      <wps:txbx>
                        <w:txbxContent>
                          <w:p w14:paraId="07DF18E4" w14:textId="77777777" w:rsidR="00BB58C4" w:rsidRDefault="00000000">
                            <w:pPr>
                              <w:jc w:val="center"/>
                              <w:rPr>
                                <w:rFonts w:ascii="Times New Roman" w:hAnsi="Times New Roman" w:cs="Times New Roman"/>
                                <w:i/>
                                <w:iCs/>
                                <w:sz w:val="24"/>
                                <w:szCs w:val="24"/>
                              </w:rPr>
                            </w:pPr>
                            <w:r>
                              <w:rPr>
                                <w:rFonts w:ascii="Times New Roman" w:hAnsi="Times New Roman" w:cs="Times New Roman"/>
                                <w:i/>
                                <w:iCs/>
                                <w:sz w:val="24"/>
                                <w:szCs w:val="24"/>
                              </w:rPr>
                              <w:t>Transfer Pricing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1C20BC" id="_x0000_s1030" style="position:absolute;left:0;text-align:left;margin-left:121.3pt;margin-top:89.55pt;width:156pt;height:2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1/OAIAALwEAAAOAAAAZHJzL2Uyb0RvYy54bWysVEuP2jAQvlfqf7B8LyGUfSHCCrHaqtKq&#10;i0qrno1jk6iOxx0bAv31HTsQUIt6qHpxZjzzzePzTKaP+8awnUJfgy14PhhypqyEsrabgn/98vzu&#10;njMfhC2FAasKflCeP87evpm2bqJGUIEpFTIKYv2kdQWvQnCTLPOyUo3wA3DKklEDNiKQipusRNFS&#10;9MZko+HwNmsBS4cglfd0+9QZ+SzF11rJ8Kq1V4GZglNtIZ2YznU8s9lUTDYoXFXLYxniH6poRG0p&#10;aR/qSQTBtlj/EaqpJYIHHQYSmgy0rqVKPVA3+fC3blaVcCr1QuR419Pk/19Y+Wm3ckskGlrnJ57E&#10;2MVeYxO/VB/bJ7IOPVlqH5iky/zhPqcX4EyS7f34dnh3E9nMzmiHPnxQ0LAoFBzpMRJHYvfiQ+d6&#10;ciHcOX+SwsGoWIKxn5VmdUkZRwmdRkMtDLKdoEctv+fHtMkzQnRtTA/Kr4FMOIGOvhGm0rj0wOE1&#10;4Dlb750ygg09sKkt4N/BuvM/dd31GtsO+/Wemi34ODYVb9ZQHpbIELrR9U4+10Tni/BhKZBmlV6A&#10;9i+80qENtAWHo8RZBfjz2n30pxEiK2ctzX7B/Y+tQMWZ+WhpuB7y8TguS1LGN3cjUvDSsr602G2z&#10;AHqJnDbdySRG/2BOokZovtGazmNWMgkrKXfBZcCTsgjdTtKiSzWfJzdaECfCi105GYNHni3MtwF0&#10;nabnzM6RR1qRNH/HdY47eKknr/NPZ/YLAAD//wMAUEsDBBQABgAIAAAAIQAfVtNp3wAAAAsBAAAP&#10;AAAAZHJzL2Rvd25yZXYueG1sTI/BTsMwDIbvSLxDZCRuLF23daw0nSYEJ9AmBgeOWWvaisSpkqzt&#10;3h5zgqP9/fr9udhO1ogBfegcKZjPEhBIlas7ahR8vD/f3YMIUVOtjSNUcMEA2/L6qtB57UZ6w+EY&#10;G8ElFHKtoI2xz6UMVYtWh5nrkZh9OW915NE3svZ65HJrZJokmbS6I77Q6h4fW6y+j2erwB26i9n5&#10;zX54xfXnyyEm45Q9KXV7M+0eQESc4l8YfvVZHUp2Orkz1UEYBekyzTjKYL2Zg+DEarXkzYnRYpGB&#10;LAv5/4fyBwAA//8DAFBLAQItABQABgAIAAAAIQC2gziS/gAAAOEBAAATAAAAAAAAAAAAAAAAAAAA&#10;AABbQ29udGVudF9UeXBlc10ueG1sUEsBAi0AFAAGAAgAAAAhADj9If/WAAAAlAEAAAsAAAAAAAAA&#10;AAAAAAAALwEAAF9yZWxzLy5yZWxzUEsBAi0AFAAGAAgAAAAhALJ/XX84AgAAvAQAAA4AAAAAAAAA&#10;AAAAAAAALgIAAGRycy9lMm9Eb2MueG1sUEsBAi0AFAAGAAgAAAAhAB9W02nfAAAACwEAAA8AAAAA&#10;AAAAAAAAAAAAkgQAAGRycy9kb3ducmV2LnhtbFBLBQYAAAAABAAEAPMAAACeBQAAAAA=&#10;" fillcolor="white [3201]" strokecolor="black [3200]" strokeweight="1pt">
                <v:textbox>
                  <w:txbxContent>
                    <w:p w14:paraId="07DF18E4" w14:textId="77777777" w:rsidR="00BB58C4" w:rsidRDefault="00000000">
                      <w:pPr>
                        <w:jc w:val="center"/>
                        <w:rPr>
                          <w:rFonts w:ascii="Times New Roman" w:hAnsi="Times New Roman" w:cs="Times New Roman"/>
                          <w:i/>
                          <w:iCs/>
                          <w:sz w:val="24"/>
                          <w:szCs w:val="24"/>
                        </w:rPr>
                      </w:pPr>
                      <w:r>
                        <w:rPr>
                          <w:rFonts w:ascii="Times New Roman" w:hAnsi="Times New Roman" w:cs="Times New Roman"/>
                          <w:i/>
                          <w:iCs/>
                          <w:sz w:val="24"/>
                          <w:szCs w:val="24"/>
                        </w:rPr>
                        <w:t>Transfer Pricing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20352E4" wp14:editId="648FE5BE">
                <wp:simplePos x="0" y="0"/>
                <wp:positionH relativeFrom="column">
                  <wp:posOffset>692150</wp:posOffset>
                </wp:positionH>
                <wp:positionV relativeFrom="paragraph">
                  <wp:posOffset>300990</wp:posOffset>
                </wp:positionV>
                <wp:extent cx="3175" cy="1007745"/>
                <wp:effectExtent l="0" t="0" r="34925" b="20955"/>
                <wp:wrapNone/>
                <wp:docPr id="710817612" name="Straight Connector 23"/>
                <wp:cNvGraphicFramePr/>
                <a:graphic xmlns:a="http://schemas.openxmlformats.org/drawingml/2006/main">
                  <a:graphicData uri="http://schemas.microsoft.com/office/word/2010/wordprocessingShape">
                    <wps:wsp>
                      <wps:cNvCnPr/>
                      <wps:spPr>
                        <a:xfrm>
                          <a:off x="0" y="0"/>
                          <a:ext cx="3175" cy="100774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23" o:spid="_x0000_s1026" o:spt="20" style="position:absolute;left:0pt;margin-left:54.5pt;margin-top:23.7pt;height:79.35pt;width:0.25pt;z-index:251688960;mso-width-relative:page;mso-height-relative:page;" filled="f" stroked="t" coordsize="21600,21600" o:gfxdata="UEsDBAoAAAAAAIdO4kAAAAAAAAAAAAAAAAAEAAAAZHJzL1BLAwQUAAAACACHTuJAIN6r39oAAAAK&#10;AQAADwAAAGRycy9kb3ducmV2LnhtbE2PzU7DMBCE70i8g7VI3KidUtokxKkQUoUQIJG2B45uvE0i&#10;4t0odn94e9wTHEczmvmmWJ5dL444+o5JQzJRIJBqth01Grab1V0KwgdD1vRMqOEHPSzL66vC5JZP&#10;VOFxHRoRS8jnRkMbwpBL6esWnfETHpCit+fRmRDl2Eg7mlMsd72cKjWXznQUF1oz4HOL9ff64DTc&#10;v31sqvCZ0qraZ+8v/PSVvirW+vYmUY8gAp7DXxgu+BEdysi04wNZL/qoVRa/BA2zxQzEJaCyBxA7&#10;DVM1T0CWhfx/ofwFUEsDBBQAAAAIAIdO4kDc/Z5B3gEAAMEDAAAOAAAAZHJzL2Uyb0RvYy54bWyt&#10;U8tu2zAQvBfoPxC815KcOnYFyznYSC9FayDtB6wpSiLAF5aMZf99l5TqpOklh+pALfcx3Bkutw8X&#10;o9lZYlDONrxalJxJK1yrbN/wXz8fP204CxFsC9pZ2fCrDPxh9/HDdvS1XLrB6VYiIxAb6tE3fIjR&#10;10URxCANhIXz0lKwc2gg0hb7okUYCd3oYlmW98XosPXohAyBvIcpyGdEfA+g6zol5MGJZyNtnFBR&#10;aohEKQzKB77L3XadFPFH1wUZmW44MY15pUPIPqW12G2h7hH8oMTcArynhTecDChLh96gDhCBPaP6&#10;B8oogS64Li6EM8VEJCtCLKryjTZPA3iZuZDUwd9ED/8PVnw/H5GptuHrqtxU6/tqyZkFQxf/FBFU&#10;P0S2d9aSkA7Z8i4JNvpQU93eHnHeBX/ExP7SoUl/4sUuWeTrTWR5iUyQ865arzgTFKjKcr3+vEqQ&#10;xUutxxC/SmdYMhqulU0SQA3nbyFOqX9Sktu6R6U1+aHWlo2E+qVc0e0KoNnsaCbINJ74BdtzBrqn&#10;oRcRM2RwWrWpPFUH7E97jewMaVTyN3f2V1o6+wBhmPJyKKVBbVSkd6GVafjmdbW2RC9JNomUrJNr&#10;r1m77KebzQLMU5hG5/U+V7+8vN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N6r39oAAAAKAQAA&#10;DwAAAAAAAAABACAAAAAiAAAAZHJzL2Rvd25yZXYueG1sUEsBAhQAFAAAAAgAh07iQNz9nkHeAQAA&#10;wQMAAA4AAAAAAAAAAQAgAAAAKQEAAGRycy9lMm9Eb2MueG1sUEsFBgAAAAAGAAYAWQEAAHkFAAAA&#10;AA==&#10;">
                <v:fill on="f" focussize="0,0"/>
                <v:stroke weight="1.5pt" color="#000000 [3200]" miterlimit="8" joinstyle="miter"/>
                <v:imagedata o:title=""/>
                <o:lock v:ext="edit" aspectratio="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F6D9FF5" wp14:editId="2B9E7676">
                <wp:simplePos x="0" y="0"/>
                <wp:positionH relativeFrom="column">
                  <wp:posOffset>4290695</wp:posOffset>
                </wp:positionH>
                <wp:positionV relativeFrom="paragraph">
                  <wp:posOffset>302895</wp:posOffset>
                </wp:positionV>
                <wp:extent cx="3175" cy="1007745"/>
                <wp:effectExtent l="0" t="0" r="34925" b="20955"/>
                <wp:wrapNone/>
                <wp:docPr id="282789629" name="Straight Connector 23"/>
                <wp:cNvGraphicFramePr/>
                <a:graphic xmlns:a="http://schemas.openxmlformats.org/drawingml/2006/main">
                  <a:graphicData uri="http://schemas.microsoft.com/office/word/2010/wordprocessingShape">
                    <wps:wsp>
                      <wps:cNvCnPr/>
                      <wps:spPr>
                        <a:xfrm>
                          <a:off x="0" y="0"/>
                          <a:ext cx="3175" cy="100774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23" o:spid="_x0000_s1026" o:spt="20" style="position:absolute;left:0pt;margin-left:337.85pt;margin-top:23.85pt;height:79.35pt;width:0.25pt;z-index:251691008;mso-width-relative:page;mso-height-relative:page;" filled="f" stroked="t" coordsize="21600,21600" o:gfxdata="UEsDBAoAAAAAAIdO4kAAAAAAAAAAAAAAAAAEAAAAZHJzL1BLAwQUAAAACACHTuJApr2Uu9sAAAAK&#10;AQAADwAAAGRycy9kb3ducmV2LnhtbE2PTUvDQBCG74L/YRnBm91trEmM2RQRiogVTOvB4zY7TYLZ&#10;2ZDdfvjvHU96GoZ5eOd5y+XZDeKIU+g9aZjPFAikxtueWg0f29VNDiJEQ9YMnlDDNwZYVpcXpSms&#10;P1GNx01sBYdQKIyGLsaxkDI0HToTZn5E4tveT85EXqdW2smcONwNMlEqlc70xB86M+JTh83X5uA0&#10;3L6+bev4ntOq3t+vn/3jZ/6ivNbXV3P1ACLiOf7B8KvP6lCx084fyAYxaEizu4xRDYuMJwNpliYg&#10;dhoSlS5AVqX8X6H6AVBLAwQUAAAACACHTuJAn5HUL98BAADBAwAADgAAAGRycy9lMm9Eb2MueG1s&#10;rVPLbtswELwX6D8QvNeSlTq2Bcs52EgvRWsg6QesKUoiwBeWjGX/fZeU66TpJYfqQC33MdwZLjcP&#10;Z6PZSWJQzjZ8Pis5k1a4Vtm+4b+eH7+sOAsRbAvaWdnwiwz8Yfv502b0tazc4HQrkRGIDfXoGz7E&#10;6OuiCGKQBsLMeWkp2Dk0EGmLfdEijIRudFGV5X0xOmw9OiFDIO9+CvIrIn4E0HWdEnLvxIuRNk6o&#10;KDVEohQG5QPf5m67Tor4s+uCjEw3nJjGvNIhZB/TWmw3UPcIflDi2gJ8pIV3nAwoS4feoPYQgb2g&#10;+gfKKIEuuC7OhDPFRCQrQizm5TttngbwMnMhqYO/iR7+H6z4cTogU23Dq1W1XK3vqzVnFgxd/FNE&#10;UP0Q2c5ZS0I6ZNVdEmz0oaa6nT3gdRf8ARP7c4cm/YkXO2eRLzeR5TkyQc67+XLBmaDAvCyXy6+L&#10;BFm81noM8Zt0hiWj4VrZJAHUcPoe4pT6JyW5rXtUWpMfam3ZSKjrckG3K4Bms6OZINN44hdszxno&#10;noZeRMyQwWnVpvJUHbA/7jSyE6RRyd+1s7/S0tl7CMOUl0MpDWqjIr0LrUzDV2+rtSV6SbJJpGQd&#10;XXvJ2mU/3WwW4DqFaXTe7nP168vb/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vZS72wAAAAoB&#10;AAAPAAAAAAAAAAEAIAAAACIAAABkcnMvZG93bnJldi54bWxQSwECFAAUAAAACACHTuJAn5HUL98B&#10;AADBAwAADgAAAAAAAAABACAAAAAqAQAAZHJzL2Uyb0RvYy54bWxQSwUGAAAAAAYABgBZAQAAewUA&#10;AAAA&#10;">
                <v:fill on="f" focussize="0,0"/>
                <v:stroke weight="1.5pt" color="#000000 [3200]" miterlimit="8" joinstyle="miter"/>
                <v:imagedata o:title=""/>
                <o:lock v:ext="edit" aspectratio="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9335B77" wp14:editId="4248D2D3">
                <wp:simplePos x="0" y="0"/>
                <wp:positionH relativeFrom="column">
                  <wp:posOffset>688340</wp:posOffset>
                </wp:positionH>
                <wp:positionV relativeFrom="paragraph">
                  <wp:posOffset>1310640</wp:posOffset>
                </wp:positionV>
                <wp:extent cx="791845" cy="0"/>
                <wp:effectExtent l="0" t="76200" r="27305" b="95250"/>
                <wp:wrapNone/>
                <wp:docPr id="679367512" name="Straight Arrow Connector 22"/>
                <wp:cNvGraphicFramePr/>
                <a:graphic xmlns:a="http://schemas.openxmlformats.org/drawingml/2006/main">
                  <a:graphicData uri="http://schemas.microsoft.com/office/word/2010/wordprocessingShape">
                    <wps:wsp>
                      <wps:cNvCnPr/>
                      <wps:spPr>
                        <a:xfrm>
                          <a:off x="0" y="0"/>
                          <a:ext cx="79184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22" o:spid="_x0000_s1026" o:spt="32" type="#_x0000_t32" style="position:absolute;left:0pt;margin-left:54.2pt;margin-top:103.2pt;height:0pt;width:62.35pt;z-index:251687936;mso-width-relative:page;mso-height-relative:page;" filled="f" stroked="t" coordsize="21600,21600" o:gfxdata="UEsDBAoAAAAAAIdO4kAAAAAAAAAAAAAAAAAEAAAAZHJzL1BLAwQUAAAACACHTuJAaWqpx9YAAAAL&#10;AQAADwAAAGRycy9kb3ducmV2LnhtbE2PQUvDQBCF74L/YRnBi9jdNKXUmE0RwaOg1R68bbNjEs3O&#10;hsy2if/eEQS9zZt5vPleuZ1Dr044chfJQrYwoJDq6DtqLLy+PFxvQHFy5F0fCS18IcO2Oj8rXeHj&#10;RM942qVGSQhx4Sy0KQ2F1ly3GBwv4oAkt/c4BpdEjo32o5skPPR6acxaB9eRfGjdgPct1p+7Y7Cw&#10;z6/2q3nKeL55I6bHjzvO/ZO1lxeZuQWVcE5/ZvjBF3SohOkQj+RZ9aLNZiVWC0uzlkEcyzzPQB1+&#10;N7oq9f8O1TdQSwMEFAAAAAgAh07iQPlU/h70AQAA7QMAAA4AAABkcnMvZTJvRG9jLnhtbK1Ty27b&#10;MBC8F+g/ELzXst36JVgOArvppWgNpP0AmqIkAnxhl7Hsv++SUpw2veQQHSiSy53dGQ63dxdr2FkB&#10;au8qPptMOVNO+lq7tuK/fz18WnOGUbhaGO9Uxa8K+d3u44dtH0o19503tQJGIA7LPlS8izGURYGy&#10;U1bgxAflKNh4sCLSEtqiBtETujXFfDpdFr2HOoCXCpF2D0OQj4jwFkDfNFqqg5dPVrk4oIIyIhIl&#10;7HRAvsvdNo2S8WfToIrMVJyYxjxSEZqf0ljstqJsQYROy7EF8ZYWXnGyQjsqeoM6iCjYE+j/oKyW&#10;4NE3cSK9LQYiWRFiMZu+0uaxE0FlLiQ1hpvo+H6w8sf5CEzXFV+uNp+Xq8VszpkTli7+MYLQbRfZ&#10;PYDv2d47R3J6YPN5kq0PWFL23h1hXGE4QtLg0oBNf2LHLlnq601qdYlM0uZqM1t/WXAmn0PFS14A&#10;jN+UtyxNKo5jH7cGZllpcf6OkSpT4nNCKur8gzYmX6txrCeHb6YLum0pyKsNeYSmNhBfdC1nwrT0&#10;CGSEDIne6DqlJyCE9rQ3wM4iWSd/iTaV++dYqn0Q2A3ncmgwldWR3onRtuLrW7Yoo9Dmq6tZvAbS&#10;OIIWrjVqRDaOCiRhBynT7OTra1Y475MLcgujY5PN/l7n7JdXuv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Wqpx9YAAAALAQAADwAAAAAAAAABACAAAAAiAAAAZHJzL2Rvd25yZXYueG1sUEsBAhQA&#10;FAAAAAgAh07iQPlU/h70AQAA7QMAAA4AAAAAAAAAAQAgAAAAJQEAAGRycy9lMm9Eb2MueG1sUEsF&#10;BgAAAAAGAAYAWQEAAIsFAAAAAA==&#10;">
                <v:fill on="f" focussize="0,0"/>
                <v:stroke weight="1.5pt" color="#000000 [3200]" miterlimit="8" joinstyle="miter" endarrow="block"/>
                <v:imagedata o:title=""/>
                <o:lock v:ext="edit" aspectratio="f"/>
              </v:shape>
            </w:pict>
          </mc:Fallback>
        </mc:AlternateContent>
      </w:r>
    </w:p>
    <w:p w14:paraId="2F0EBE9C" w14:textId="77777777" w:rsidR="00BB58C4" w:rsidRDefault="00BB58C4">
      <w:pPr>
        <w:spacing w:after="0" w:line="480" w:lineRule="auto"/>
        <w:jc w:val="both"/>
        <w:rPr>
          <w:rFonts w:ascii="Times New Roman" w:hAnsi="Times New Roman" w:cs="Times New Roman"/>
          <w:sz w:val="24"/>
          <w:szCs w:val="24"/>
        </w:rPr>
      </w:pPr>
    </w:p>
    <w:p w14:paraId="63B32DED" w14:textId="77777777" w:rsidR="00BB58C4" w:rsidRDefault="00BB58C4">
      <w:pPr>
        <w:spacing w:after="0" w:line="480" w:lineRule="auto"/>
        <w:jc w:val="both"/>
        <w:rPr>
          <w:rFonts w:ascii="Times New Roman" w:hAnsi="Times New Roman" w:cs="Times New Roman"/>
          <w:sz w:val="24"/>
          <w:szCs w:val="24"/>
        </w:rPr>
      </w:pPr>
    </w:p>
    <w:p w14:paraId="6BF5D355" w14:textId="77777777" w:rsidR="00BB58C4" w:rsidRDefault="00BB58C4">
      <w:pPr>
        <w:spacing w:after="0" w:line="480" w:lineRule="auto"/>
        <w:jc w:val="both"/>
        <w:rPr>
          <w:rFonts w:ascii="Times New Roman" w:hAnsi="Times New Roman" w:cs="Times New Roman"/>
          <w:sz w:val="24"/>
          <w:szCs w:val="24"/>
        </w:rPr>
      </w:pPr>
    </w:p>
    <w:p w14:paraId="50B955D8" w14:textId="77777777" w:rsidR="00BB58C4" w:rsidRDefault="00BB58C4">
      <w:pPr>
        <w:spacing w:after="0" w:line="480" w:lineRule="auto"/>
        <w:jc w:val="both"/>
        <w:rPr>
          <w:rFonts w:ascii="Times New Roman" w:hAnsi="Times New Roman" w:cs="Times New Roman"/>
          <w:sz w:val="24"/>
          <w:szCs w:val="24"/>
        </w:rPr>
      </w:pPr>
    </w:p>
    <w:p w14:paraId="711F23F2" w14:textId="3DDBD3DD" w:rsidR="00BB58C4" w:rsidRDefault="00000000">
      <w:pPr>
        <w:pStyle w:val="Caption"/>
        <w:jc w:val="center"/>
        <w:rPr>
          <w:rFonts w:cs="Times New Roman"/>
          <w:b w:val="0"/>
          <w:bCs/>
          <w:i/>
          <w:iCs w:val="0"/>
          <w:color w:val="auto"/>
          <w:sz w:val="22"/>
          <w:szCs w:val="22"/>
        </w:rPr>
      </w:pPr>
      <w:bookmarkStart w:id="43" w:name="_Toc196817620"/>
      <w:r>
        <w:rPr>
          <w:rFonts w:cs="Times New Roman"/>
          <w:bCs/>
          <w:iCs w:val="0"/>
          <w:color w:val="auto"/>
          <w:sz w:val="22"/>
          <w:szCs w:val="22"/>
        </w:rPr>
        <w:t xml:space="preserve">Gambar 2. </w:t>
      </w:r>
      <w:r>
        <w:rPr>
          <w:rFonts w:cs="Times New Roman"/>
          <w:b w:val="0"/>
          <w:bCs/>
          <w:i/>
          <w:iCs w:val="0"/>
          <w:color w:val="auto"/>
          <w:sz w:val="22"/>
          <w:szCs w:val="22"/>
        </w:rPr>
        <w:fldChar w:fldCharType="begin"/>
      </w:r>
      <w:r>
        <w:rPr>
          <w:rFonts w:cs="Times New Roman"/>
          <w:bCs/>
          <w:iCs w:val="0"/>
          <w:color w:val="auto"/>
          <w:sz w:val="22"/>
          <w:szCs w:val="22"/>
        </w:rPr>
        <w:instrText xml:space="preserve"> SEQ Gambar_2. \* ARABIC </w:instrText>
      </w:r>
      <w:r>
        <w:rPr>
          <w:rFonts w:cs="Times New Roman"/>
          <w:b w:val="0"/>
          <w:bCs/>
          <w:i/>
          <w:iCs w:val="0"/>
          <w:color w:val="auto"/>
          <w:sz w:val="22"/>
          <w:szCs w:val="22"/>
        </w:rPr>
        <w:fldChar w:fldCharType="separate"/>
      </w:r>
      <w:r w:rsidR="00DB7568">
        <w:rPr>
          <w:rFonts w:cs="Times New Roman"/>
          <w:bCs/>
          <w:iCs w:val="0"/>
          <w:noProof/>
          <w:color w:val="auto"/>
          <w:sz w:val="22"/>
          <w:szCs w:val="22"/>
        </w:rPr>
        <w:t>1</w:t>
      </w:r>
      <w:r>
        <w:rPr>
          <w:rFonts w:cs="Times New Roman"/>
          <w:b w:val="0"/>
          <w:bCs/>
          <w:i/>
          <w:iCs w:val="0"/>
          <w:color w:val="auto"/>
          <w:sz w:val="22"/>
          <w:szCs w:val="22"/>
        </w:rPr>
        <w:fldChar w:fldCharType="end"/>
      </w:r>
      <w:r>
        <w:rPr>
          <w:rFonts w:cs="Times New Roman"/>
          <w:bCs/>
          <w:iCs w:val="0"/>
          <w:color w:val="auto"/>
          <w:sz w:val="22"/>
          <w:szCs w:val="22"/>
        </w:rPr>
        <w:t xml:space="preserve"> Kerangka Konsep Penelitian</w:t>
      </w:r>
      <w:bookmarkEnd w:id="43"/>
    </w:p>
    <w:p w14:paraId="52B2EB02" w14:textId="77777777" w:rsidR="00BB58C4" w:rsidRDefault="00000000">
      <w:pPr>
        <w:spacing w:after="0" w:line="240" w:lineRule="auto"/>
        <w:jc w:val="center"/>
        <w:rPr>
          <w:rFonts w:ascii="Times New Roman" w:hAnsi="Times New Roman" w:cs="Times New Roman"/>
          <w:i/>
          <w:iCs/>
        </w:rPr>
        <w:sectPr w:rsidR="00BB58C4">
          <w:pgSz w:w="11906" w:h="16838"/>
          <w:pgMar w:top="2268" w:right="1701" w:bottom="1701" w:left="2268" w:header="709" w:footer="709" w:gutter="0"/>
          <w:cols w:space="708"/>
          <w:docGrid w:linePitch="360"/>
        </w:sectPr>
      </w:pPr>
      <w:r>
        <w:rPr>
          <w:rFonts w:ascii="Times New Roman" w:hAnsi="Times New Roman" w:cs="Times New Roman"/>
        </w:rPr>
        <w:t xml:space="preserve">Sumber : </w:t>
      </w:r>
      <w:r>
        <w:rPr>
          <w:rFonts w:ascii="Times New Roman" w:hAnsi="Times New Roman" w:cs="Times New Roman"/>
          <w:i/>
          <w:iCs/>
        </w:rPr>
        <w:t>Penulis, 2025</w:t>
      </w:r>
    </w:p>
    <w:bookmarkStart w:id="44" w:name="_Toc220995029"/>
    <w:p w14:paraId="34EE7B60" w14:textId="77777777" w:rsidR="00BB58C4" w:rsidRDefault="00000000">
      <w:pPr>
        <w:pStyle w:val="SubHeading3"/>
        <w:ind w:left="567" w:hanging="567"/>
      </w:pPr>
      <w:r>
        <w:rPr>
          <w:noProof/>
        </w:rPr>
        <w:lastRenderedPageBreak/>
        <mc:AlternateContent>
          <mc:Choice Requires="wps">
            <w:drawing>
              <wp:anchor distT="0" distB="0" distL="114300" distR="114300" simplePos="0" relativeHeight="251677696" behindDoc="0" locked="0" layoutInCell="1" allowOverlap="1" wp14:anchorId="7ECCC662" wp14:editId="10E3A6B9">
                <wp:simplePos x="0" y="0"/>
                <wp:positionH relativeFrom="column">
                  <wp:posOffset>2479675</wp:posOffset>
                </wp:positionH>
                <wp:positionV relativeFrom="paragraph">
                  <wp:posOffset>16510</wp:posOffset>
                </wp:positionV>
                <wp:extent cx="3175" cy="635"/>
                <wp:effectExtent l="0" t="0" r="34925" b="37465"/>
                <wp:wrapNone/>
                <wp:docPr id="913810190" name="Straight Connector 24"/>
                <wp:cNvGraphicFramePr/>
                <a:graphic xmlns:a="http://schemas.openxmlformats.org/drawingml/2006/main">
                  <a:graphicData uri="http://schemas.microsoft.com/office/word/2010/wordprocessingShape">
                    <wps:wsp>
                      <wps:cNvCnPr/>
                      <wps:spPr>
                        <a:xfrm flipV="1">
                          <a:off x="0" y="0"/>
                          <a:ext cx="3175" cy="71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24" o:spid="_x0000_s1026" o:spt="20" style="position:absolute;left:0pt;flip:y;margin-left:195.25pt;margin-top:1.3pt;height:0.05pt;width:0.25pt;z-index:251677696;mso-width-relative:page;mso-height-relative:page;" filled="f" stroked="t" coordsize="21600,21600" o:gfxdata="UEsDBAoAAAAAAIdO4kAAAAAAAAAAAAAAAAAEAAAAZHJzL1BLAwQUAAAACACHTuJAu8gaHtUAAAAH&#10;AQAADwAAAGRycy9kb3ducmV2LnhtbE2PMU/DMBSEdyT+g/WQ2KjtRG1JiNMBiZGhgaHd3Pg1Thvb&#10;UeymhV/PY4LxdKe776rNzQ1sxin2wSuQCwEMfRtM7zsFnx9vT8/AYtLe6CF4VPCFETb1/V2lSxOu&#10;fotzkzpGJT6WWoFNaSw5j61Fp+MijOjJO4bJ6URy6riZ9JXK3cAzIVbc6d7TgtUjvlpsz83FKWik&#10;RL7Pi3R6P+6+03Jv19m8VerxQYoXYAlv6S8Mv/iEDjUxHcLFm8gGBXkhlhRVkK2AkZ8Xkr4dSK+B&#10;1xX/z1//AFBLAwQUAAAACACHTuJA9kT9xeIBAADHAwAADgAAAGRycy9lMm9Eb2MueG1srVM9b9sw&#10;EN0L9D8Q3GtJTtPYguUMNtKlaAOk7X6mSIkAv8BjLPvf90i5bpouGaqBON7Hu3tPx839yRp2lBG1&#10;dx1vFjVn0gnfazd0/Mf3hw8rzjCB68F4Jzt+lsjvt+/fbabQyqUfvellZATisJ1Cx8eUQltVKEZp&#10;ARc+SEdB5aOFRNc4VH2EidCtqZZ1/amafOxD9EIiknc/B/kFMb4F0Culhdx78WylSzNqlAYSUcJR&#10;B+TbMq1SUqRvSqFMzHScmKZyUhOyD/msthtohwhh1OIyArxlhFecLGhHTa9Qe0jAnqP+B8pqET16&#10;lRbC22omUhQhFk39SpunEYIsXEhqDFfR8f/Biq/Hx8h03/F1c7Nq6mZNyjiw9OOfUgQ9jIntvHMk&#10;pI9s+TELNgVsqW7nHuPlhuExZvYnFS1TRoeftFlFD2LITkXu81VueUpMkPOmubvlTFDgrlll4GpG&#10;yEghYvosvWXZ6LjRLgsBLRy/YJpTf6dkt/MP2hjyQ2scm6j7ur4lJgJoQxVtBpk2EEt0A2dgBlp9&#10;kWKBRG90n8tzNcbhsDORHSEvTPkuk/2VlnvvAcc5r4RyGrRWJ3odRtuOr15WG0f0snCzVNk6+P5c&#10;FCx++r9FgMsu5gV6eS/Vf97f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7yBoe1QAAAAcBAAAP&#10;AAAAAAAAAAEAIAAAACIAAABkcnMvZG93bnJldi54bWxQSwECFAAUAAAACACHTuJA9kT9xeIBAADH&#10;AwAADgAAAAAAAAABACAAAAAkAQAAZHJzL2Uyb0RvYy54bWxQSwUGAAAAAAYABgBZAQAAeAUAAAAA&#10;">
                <v:fill on="f" focussize="0,0"/>
                <v:stroke weight="1.5pt" color="#000000 [3200]" miterlimit="8" joinstyle="miter"/>
                <v:imagedata o:title=""/>
                <o:lock v:ext="edit" aspectratio="f"/>
              </v:line>
            </w:pict>
          </mc:Fallback>
        </mc:AlternateContent>
      </w:r>
      <w:r>
        <w:t>2.3.2.</w:t>
      </w:r>
      <w:r>
        <w:tab/>
        <w:t xml:space="preserve">  Model Penelitian</w:t>
      </w:r>
      <w:bookmarkEnd w:id="44"/>
    </w:p>
    <w:p w14:paraId="3BFFEEF0"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Pada Penelitian ini terdapat tiga variabel independen, yaitu </w:t>
      </w:r>
      <w:r>
        <w:rPr>
          <w:rFonts w:ascii="Times New Roman" w:hAnsi="Times New Roman" w:cs="Times New Roman"/>
          <w:i/>
          <w:iCs/>
          <w:sz w:val="24"/>
          <w:szCs w:val="24"/>
        </w:rPr>
        <w:t xml:space="preserve">Tax Haven </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i/>
          <w:iCs/>
          <w:sz w:val="24"/>
          <w:szCs w:val="24"/>
        </w:rPr>
        <w:t xml:space="preserve">Intangible Asset </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w:t>
      </w:r>
      <w:r>
        <w:rPr>
          <w:rFonts w:ascii="Times New Roman" w:hAnsi="Times New Roman" w:cs="Times New Roman"/>
          <w:i/>
          <w:iCs/>
          <w:sz w:val="24"/>
          <w:szCs w:val="24"/>
        </w:rPr>
        <w:t xml:space="preserve">Tax Minimization </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xml:space="preserve">) serta satu variabel dependen yaitu </w:t>
      </w:r>
      <w:r>
        <w:rPr>
          <w:rFonts w:ascii="Times New Roman" w:hAnsi="Times New Roman" w:cs="Times New Roman"/>
          <w:i/>
          <w:iCs/>
          <w:sz w:val="24"/>
          <w:szCs w:val="24"/>
        </w:rPr>
        <w:t xml:space="preserve">Transfer Pricing </w:t>
      </w:r>
      <w:r>
        <w:rPr>
          <w:rFonts w:ascii="Times New Roman" w:hAnsi="Times New Roman" w:cs="Times New Roman"/>
          <w:sz w:val="24"/>
          <w:szCs w:val="24"/>
        </w:rPr>
        <w:t>(Y). Penelitian ini menggunakan gambar model penelitian sebagai berikut:</w:t>
      </w:r>
    </w:p>
    <w:p w14:paraId="647E3797" w14:textId="77777777" w:rsidR="00BB58C4" w:rsidRDefault="00000000">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087FCA46" wp14:editId="297F8259">
                <wp:simplePos x="0" y="0"/>
                <wp:positionH relativeFrom="column">
                  <wp:posOffset>3316605</wp:posOffset>
                </wp:positionH>
                <wp:positionV relativeFrom="paragraph">
                  <wp:posOffset>633095</wp:posOffset>
                </wp:positionV>
                <wp:extent cx="1662430" cy="519430"/>
                <wp:effectExtent l="0" t="0" r="13970" b="13970"/>
                <wp:wrapTight wrapText="bothSides">
                  <wp:wrapPolygon edited="0">
                    <wp:start x="0" y="0"/>
                    <wp:lineTo x="0" y="21389"/>
                    <wp:lineTo x="21534" y="21389"/>
                    <wp:lineTo x="21534" y="0"/>
                    <wp:lineTo x="0" y="0"/>
                  </wp:wrapPolygon>
                </wp:wrapTight>
                <wp:docPr id="702357370" name="Rectangle 1"/>
                <wp:cNvGraphicFramePr/>
                <a:graphic xmlns:a="http://schemas.openxmlformats.org/drawingml/2006/main">
                  <a:graphicData uri="http://schemas.microsoft.com/office/word/2010/wordprocessingShape">
                    <wps:wsp>
                      <wps:cNvSpPr/>
                      <wps:spPr>
                        <a:xfrm>
                          <a:off x="0" y="0"/>
                          <a:ext cx="1662430" cy="519430"/>
                        </a:xfrm>
                        <a:prstGeom prst="rect">
                          <a:avLst/>
                        </a:prstGeom>
                      </wps:spPr>
                      <wps:style>
                        <a:lnRef idx="2">
                          <a:schemeClr val="dk1"/>
                        </a:lnRef>
                        <a:fillRef idx="1">
                          <a:schemeClr val="lt1"/>
                        </a:fillRef>
                        <a:effectRef idx="0">
                          <a:schemeClr val="dk1"/>
                        </a:effectRef>
                        <a:fontRef idx="minor">
                          <a:schemeClr val="dk1"/>
                        </a:fontRef>
                      </wps:style>
                      <wps:txbx>
                        <w:txbxContent>
                          <w:p w14:paraId="3B22FDF0" w14:textId="77777777" w:rsidR="00BB58C4" w:rsidRDefault="00000000">
                            <w:pPr>
                              <w:jc w:val="center"/>
                              <w:rPr>
                                <w:sz w:val="24"/>
                                <w:szCs w:val="24"/>
                              </w:rPr>
                            </w:pPr>
                            <w:r>
                              <w:rPr>
                                <w:rFonts w:ascii="Times New Roman" w:hAnsi="Times New Roman" w:cs="Times New Roman"/>
                                <w:i/>
                                <w:iCs/>
                                <w:sz w:val="24"/>
                                <w:szCs w:val="24"/>
                              </w:rPr>
                              <w:t>Transfer Pricing</w:t>
                            </w:r>
                            <w:r>
                              <w:rPr>
                                <w:rFonts w:ascii="Times New Roman" w:hAnsi="Times New Roman" w:cs="Times New Roman"/>
                                <w:i/>
                                <w:iCs/>
                                <w:sz w:val="24"/>
                                <w:szCs w:val="24"/>
                              </w:rPr>
                              <w:br/>
                            </w: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7FCA46" id="_x0000_s1031" style="position:absolute;left:0;text-align:left;margin-left:261.15pt;margin-top:49.85pt;width:130.9pt;height:40.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mINwIAALwEAAAOAAAAZHJzL2Uyb0RvYy54bWysVE2P2jAQvVfqf7B8LyGUpV1EWCFWW1VC&#10;XVRa9Wwcm0R1PO7YEOiv79iEgNpVD1Uvzoxn3nw8z2T2cGwMOyj0NdiC54MhZ8pKKGu7K/jXL09v&#10;3nPmg7ClMGBVwU/K84f561ez1k3VCCowpUJGQayftq7gVQhummVeVqoRfgBOWTJqwEYEUnGXlSha&#10;it6YbDQcTrIWsHQIUnlPt49nI5+n+ForGZ619iowU3CqLaQT07mNZzafiekOhatq2ZUh/qGKRtSW&#10;kvahHkUQbI/1H6GaWiJ40GEgoclA61qq1AN1kw9/62ZTCadSL0SOdz1N/v+FlZ8OG7dGoqF1fupJ&#10;jF0cNTbxS/WxYyLr1JOljoFJuswnk9H4LXEqyXaX30eZwmRXtEMfPihoWBQKjvQYiSNxWPlwdr24&#10;EO6aP0nhZFQswdjPSrO6pIyjhE6joZYG2UHQo5bf8y5t8owQXRvTg/KXQCZcQJ1vhKk0Lj1w+BLw&#10;mq33ThnBhh7Y1Bbw72B99r90fe41th2O2yM1S4TGpuLNFsrTGhnCeXS9k0810bkSPqwF0qzSC9D+&#10;hWc6tIG24NBJnFWAP1+6j/40QmTlrKXZL7j/sReoODMfLQ3XfT4ex2VJyvju3YgUvLVsby123yyB&#10;XiKnTXcyidE/mIuoEZpvtKaLmJVMwkrKXXAZ8KIsw3knadGlWiySGy2IE2FlN07G4JFnC4t9AF2n&#10;6bmy0/FIK5Lmr1vnuIO3evK6/nTmvwAAAP//AwBQSwMEFAAGAAgAAAAhAGAqbfLfAAAACgEAAA8A&#10;AABkcnMvZG93bnJldi54bWxMj8tOwzAQRfdI/IM1SOyok0CbB3GqCsEKREVhwdKNhyTCj8h2k/Tv&#10;GVawHN2je8/U28VoNqEPg7MC0lUCDG3r1GA7AR/vTzcFsBClVVI7iwLOGGDbXF7UslJutm84HWLH&#10;qMSGSgroYxwrzkPbo5Fh5Ua0lH05b2Sk03dceTlTudE8S5INN3KwtNDLER96bL8PJyPA7Yez3vny&#10;dXrB/PN5H5N52TwKcX217O6BRVziHwy/+qQODTkd3cmqwLSAdZbdEiqgLHNgBOTFXQrsSGSRroE3&#10;Nf//QvMDAAD//wMAUEsBAi0AFAAGAAgAAAAhALaDOJL+AAAA4QEAABMAAAAAAAAAAAAAAAAAAAAA&#10;AFtDb250ZW50X1R5cGVzXS54bWxQSwECLQAUAAYACAAAACEAOP0h/9YAAACUAQAACwAAAAAAAAAA&#10;AAAAAAAvAQAAX3JlbHMvLnJlbHNQSwECLQAUAAYACAAAACEAmnQ5iDcCAAC8BAAADgAAAAAAAAAA&#10;AAAAAAAuAgAAZHJzL2Uyb0RvYy54bWxQSwECLQAUAAYACAAAACEAYCpt8t8AAAAKAQAADwAAAAAA&#10;AAAAAAAAAACRBAAAZHJzL2Rvd25yZXYueG1sUEsFBgAAAAAEAAQA8wAAAJ0FAAAAAA==&#10;" fillcolor="white [3201]" strokecolor="black [3200]" strokeweight="1pt">
                <v:textbox>
                  <w:txbxContent>
                    <w:p w14:paraId="3B22FDF0" w14:textId="77777777" w:rsidR="00BB58C4" w:rsidRDefault="00000000">
                      <w:pPr>
                        <w:jc w:val="center"/>
                        <w:rPr>
                          <w:sz w:val="24"/>
                          <w:szCs w:val="24"/>
                        </w:rPr>
                      </w:pPr>
                      <w:r>
                        <w:rPr>
                          <w:rFonts w:ascii="Times New Roman" w:hAnsi="Times New Roman" w:cs="Times New Roman"/>
                          <w:i/>
                          <w:iCs/>
                          <w:sz w:val="24"/>
                          <w:szCs w:val="24"/>
                        </w:rPr>
                        <w:t>Transfer Pricing</w:t>
                      </w:r>
                      <w:r>
                        <w:rPr>
                          <w:rFonts w:ascii="Times New Roman" w:hAnsi="Times New Roman" w:cs="Times New Roman"/>
                          <w:i/>
                          <w:iCs/>
                          <w:sz w:val="24"/>
                          <w:szCs w:val="24"/>
                        </w:rPr>
                        <w:br/>
                      </w:r>
                      <w:r>
                        <w:rPr>
                          <w:rFonts w:ascii="Times New Roman" w:hAnsi="Times New Roman" w:cs="Times New Roman"/>
                          <w:sz w:val="24"/>
                          <w:szCs w:val="24"/>
                        </w:rPr>
                        <w:t>(Y)</w:t>
                      </w:r>
                    </w:p>
                  </w:txbxContent>
                </v:textbox>
                <w10:wrap type="tigh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BB85C89" wp14:editId="0AC2C332">
                <wp:simplePos x="0" y="0"/>
                <wp:positionH relativeFrom="column">
                  <wp:posOffset>2195830</wp:posOffset>
                </wp:positionH>
                <wp:positionV relativeFrom="paragraph">
                  <wp:posOffset>254635</wp:posOffset>
                </wp:positionV>
                <wp:extent cx="353060" cy="262890"/>
                <wp:effectExtent l="0" t="0" r="0" b="3810"/>
                <wp:wrapNone/>
                <wp:docPr id="835913530" name="Text Box 8"/>
                <wp:cNvGraphicFramePr/>
                <a:graphic xmlns:a="http://schemas.openxmlformats.org/drawingml/2006/main">
                  <a:graphicData uri="http://schemas.microsoft.com/office/word/2010/wordprocessingShape">
                    <wps:wsp>
                      <wps:cNvSpPr txBox="1"/>
                      <wps:spPr>
                        <a:xfrm>
                          <a:off x="0" y="0"/>
                          <a:ext cx="353291" cy="2631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9E1E5E" w14:textId="77777777" w:rsidR="00BB58C4" w:rsidRDefault="00000000">
                            <w:pPr>
                              <w:rPr>
                                <w:rFonts w:ascii="Times New Roman" w:hAnsi="Times New Roman" w:cs="Times New Roman"/>
                                <w:vertAlign w:val="subscript"/>
                              </w:rPr>
                            </w:pPr>
                            <w:r>
                              <w:rPr>
                                <w:rFonts w:ascii="Times New Roman" w:hAnsi="Times New Roman" w:cs="Times New Roman"/>
                              </w:rPr>
                              <w:t>H</w:t>
                            </w:r>
                            <w:r>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BB85C89" id="_x0000_t202" coordsize="21600,21600" o:spt="202" path="m,l,21600r21600,l21600,xe">
                <v:stroke joinstyle="miter"/>
                <v:path gradientshapeok="t" o:connecttype="rect"/>
              </v:shapetype>
              <v:shape id="Text Box 8" o:spid="_x0000_s1032" type="#_x0000_t202" style="position:absolute;left:0;text-align:left;margin-left:172.9pt;margin-top:20.05pt;width:27.8pt;height:20.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MHTwIAAPsEAAAOAAAAZHJzL2Uyb0RvYy54bWysVEuP2jAQvlfqf7B8L4HA0i4irCgrqkqr&#10;7qq06tk4NrHqeFzbkNBfv2OHAH1cturFHs97vpnx/K6tNTkI5xWYgo4GQ0qE4VAqsyvo1y/rN+8o&#10;8YGZkmkwoqBH4end4vWreWNnIocKdCkcQSfGzxpb0CoEO8syzytRMz8AKwwKJbiaBXy6XVY61qD3&#10;Wmf5cDjNGnCldcCF98i974R0kfxLKXh4lNKLQHRBMbeQTpfObTyzxZzNdo7ZSvFTGuwfsqiZMhj0&#10;7OqeBUb2Tv3hqlbcgQcZBhzqDKRUXKQasJrR8LdqNhWzItWC4Hh7hsn/P7f802FjnxwJ7XtosYER&#10;kMb6mUdmrKeVro43ZkpQjhAez7CJNhCOzPHNOL8dUcJRlE/Hozx5yS7G1vnwQUBNIlFQh11JYLHD&#10;gw8YEFV7lRjLwFppnTqjzS8MVIyc7JJhosJRi6inzWchiSpTopHhudttV9qRruM4klhA3/fkDA2i&#10;osSAL7Q9mURrkQbthfZnoxQfTDjb18qASwClNRCxgAPDAS6/98jKTr+HogMgYhHabYsIFHTad3IL&#10;5REb7KCbfW/5WmEbHpgPT8zhsCMkuMDhEQ+poSkonChKKnA//8aP+jiDKKWkweUpqP+xZ05Qoj8a&#10;nM7b0WQSty09Jjdvc3y4a8n2WmL29QqwPBwhzC6RUT/onpQO6m+458sYFUXMcIxd0NCTq9A1GP8J&#10;LpbLpIT7ZVl4MBvLo+uIsoHlPoBUaeYiWh02JxRxw9Ionn6DuMLX76R1+bMWzwAAAP//AwBQSwME&#10;FAAGAAgAAAAhADmNqLzdAAAACQEAAA8AAABkcnMvZG93bnJldi54bWxMj81OwzAQhO9IvIO1SNyo&#10;HUhQCdlUCMQVRPmRuLnxNomI11HsNuHtWU5wWo12NPNNtVn8oI40xT4wQrYyoIib4HpuEd5eHy/W&#10;oGKy7OwQmBC+KcKmPj2pbOnCzC903KZWSQjH0iJ0KY2l1rHpyNu4CiOx/PZh8jaJnFrtJjtLuB/0&#10;pTHX2tuepaGzI9131HxtDx7h/Wn/+ZGb5/bBF+McFqPZ32jE87Pl7hZUoiX9meEXX9ChFqZdOLCL&#10;akC4ygtBTwi5yUCJQW4OaoewzgrQdaX/L6h/AAAA//8DAFBLAQItABQABgAIAAAAIQC2gziS/gAA&#10;AOEBAAATAAAAAAAAAAAAAAAAAAAAAABbQ29udGVudF9UeXBlc10ueG1sUEsBAi0AFAAGAAgAAAAh&#10;ADj9If/WAAAAlAEAAAsAAAAAAAAAAAAAAAAALwEAAF9yZWxzLy5yZWxzUEsBAi0AFAAGAAgAAAAh&#10;AIPEwwdPAgAA+wQAAA4AAAAAAAAAAAAAAAAALgIAAGRycy9lMm9Eb2MueG1sUEsBAi0AFAAGAAgA&#10;AAAhADmNqLzdAAAACQEAAA8AAAAAAAAAAAAAAAAAqQQAAGRycy9kb3ducmV2LnhtbFBLBQYAAAAA&#10;BAAEAPMAAACzBQAAAAA=&#10;" filled="f" stroked="f">
                <v:textbox>
                  <w:txbxContent>
                    <w:p w14:paraId="429E1E5E" w14:textId="77777777" w:rsidR="00BB58C4" w:rsidRDefault="00000000">
                      <w:pPr>
                        <w:rPr>
                          <w:rFonts w:ascii="Times New Roman" w:hAnsi="Times New Roman" w:cs="Times New Roman"/>
                          <w:vertAlign w:val="subscript"/>
                        </w:rPr>
                      </w:pPr>
                      <w:r>
                        <w:rPr>
                          <w:rFonts w:ascii="Times New Roman" w:hAnsi="Times New Roman" w:cs="Times New Roman"/>
                        </w:rPr>
                        <w:t>H</w:t>
                      </w:r>
                      <w:r>
                        <w:rPr>
                          <w:rFonts w:ascii="Times New Roman" w:hAnsi="Times New Roman" w:cs="Times New Roman"/>
                          <w:vertAlign w:val="subscript"/>
                        </w:rPr>
                        <w:t>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CC71D51" wp14:editId="2DBCA98F">
                <wp:simplePos x="0" y="0"/>
                <wp:positionH relativeFrom="column">
                  <wp:posOffset>1661160</wp:posOffset>
                </wp:positionH>
                <wp:positionV relativeFrom="paragraph">
                  <wp:posOffset>257810</wp:posOffset>
                </wp:positionV>
                <wp:extent cx="1655445" cy="640715"/>
                <wp:effectExtent l="0" t="0" r="78105" b="64135"/>
                <wp:wrapNone/>
                <wp:docPr id="1923617559" name="Straight Arrow Connector 2"/>
                <wp:cNvGraphicFramePr/>
                <a:graphic xmlns:a="http://schemas.openxmlformats.org/drawingml/2006/main">
                  <a:graphicData uri="http://schemas.microsoft.com/office/word/2010/wordprocessingShape">
                    <wps:wsp>
                      <wps:cNvCnPr/>
                      <wps:spPr>
                        <a:xfrm>
                          <a:off x="0" y="0"/>
                          <a:ext cx="1655445" cy="640976"/>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2" o:spid="_x0000_s1026" o:spt="32" type="#_x0000_t32" style="position:absolute;left:0pt;margin-left:130.8pt;margin-top:20.3pt;height:50.45pt;width:130.35pt;z-index:251660288;mso-width-relative:page;mso-height-relative:page;" filled="f" stroked="t" coordsize="21600,21600" o:gfxdata="UEsDBAoAAAAAAIdO4kAAAAAAAAAAAAAAAAAEAAAAZHJzL1BLAwQUAAAACACHTuJAm6Ca2NYAAAAK&#10;AQAADwAAAGRycy9kb3ducmV2LnhtbE2PPU/DMBCGdyT+g3VIbNROaKMqxOmAFAa2lA6MbnzEEf6I&#10;bCdt/z3HBNPpdI/ee97mcHWWrRjTFLyEYiOAoR+Cnvwo4fTRPe2Bpay8VjZ4lHDDBIf2/q5RtQ4X&#10;3+N6zCOjEJ9qJcHkPNecp8GgU2kTZvR0+wrRqUxrHLmO6kLhzvJSiIo7NXn6YNSMrwaH7+PiJOC7&#10;uY0nt9oyYv+52H331ptOyseHQrwAy3jNfzD86pM6tOR0DovXiVkJZVVUhErYCpoE7MryGdiZyG2x&#10;A942/H+F9gdQSwMEFAAAAAgAh07iQIcarhr5AQAA8gMAAA4AAABkcnMvZTJvRG9jLnhtbK1TTY/T&#10;MBC9I/EfLN9p2tJ0t1HTFWpZLggqLfyAqeMklvylsbdp/z1jJ3RhueyBHBJ7xu/NvJfx9uFiNDtL&#10;DMrZmi9mc86kFa5Rtqv5zx+PH+45CxFsA9pZWfOrDPxh9/7ddvCVXLre6UYiIxIbqsHXvI/RV0UR&#10;RC8NhJnz0lKydWgg0ha7okEYiN3oYjmfr4vBYePRCRkCRQ9jkk+M+BZC17ZKyIMTz0baOLKi1BBJ&#10;UuiVD3yXu21bKeL3tg0yMl1zUhrzm4rQ+pTexW4LVYfgeyWmFuAtLbzSZEBZKnqjOkAE9ozqHyqj&#10;BLrg2jgTzhSjkOwIqVjMX3nz1IOXWQtZHfzN9PD/aMW38xGZamgSNsuP68VdWW44s2Dozz9FBNX1&#10;kX1CdAPbO2vJT4dsmWwbfKgIvbdHnHbBHzF5cGnRpC+pY5ds9fVmtbxEJii4WJflalVyJii3Xs03&#10;d+tEWrygPYb4RTrD0qLmYWrm1sUi+w3nryGOwN+AVNq6R6U1xaHSlg0135TLVAxoYFsaFFoaT6KD&#10;7TgD3dFNEBEzY3BaNQmdwAG7014jO0Oan/xMbf51LJU+QOjHczmVjkFlVKTLopWp+f0NDVUEpT/b&#10;hsWrJ58jKrCdlhOztuRDcnf0M61Orrlmm3OcRiE7NY1tmrU/9xn9clV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oJrY1gAAAAoBAAAPAAAAAAAAAAEAIAAAACIAAABkcnMvZG93bnJldi54bWxQ&#10;SwECFAAUAAAACACHTuJAhxquGvkBAADyAwAADgAAAAAAAAABACAAAAAlAQAAZHJzL2Uyb0RvYy54&#10;bWxQSwUGAAAAAAYABgBZAQAAkAUAAAAA&#10;">
                <v:fill on="f" focussize="0,0"/>
                <v:stroke color="#000000 [3200]"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inline distT="0" distB="0" distL="0" distR="0" wp14:anchorId="39C1939D" wp14:editId="5248BE82">
                <wp:extent cx="1662430" cy="519430"/>
                <wp:effectExtent l="0" t="0" r="13970" b="13970"/>
                <wp:docPr id="2073232431" name="Rectangle 1"/>
                <wp:cNvGraphicFramePr/>
                <a:graphic xmlns:a="http://schemas.openxmlformats.org/drawingml/2006/main">
                  <a:graphicData uri="http://schemas.microsoft.com/office/word/2010/wordprocessingShape">
                    <wps:wsp>
                      <wps:cNvSpPr/>
                      <wps:spPr>
                        <a:xfrm>
                          <a:off x="0" y="0"/>
                          <a:ext cx="1662546" cy="519545"/>
                        </a:xfrm>
                        <a:prstGeom prst="rect">
                          <a:avLst/>
                        </a:prstGeom>
                      </wps:spPr>
                      <wps:style>
                        <a:lnRef idx="2">
                          <a:schemeClr val="dk1"/>
                        </a:lnRef>
                        <a:fillRef idx="1">
                          <a:schemeClr val="lt1"/>
                        </a:fillRef>
                        <a:effectRef idx="0">
                          <a:schemeClr val="dk1"/>
                        </a:effectRef>
                        <a:fontRef idx="minor">
                          <a:schemeClr val="dk1"/>
                        </a:fontRef>
                      </wps:style>
                      <wps:txbx>
                        <w:txbxContent>
                          <w:p w14:paraId="60B291B8" w14:textId="77777777" w:rsidR="00BB58C4" w:rsidRDefault="00000000">
                            <w:pPr>
                              <w:spacing w:line="240" w:lineRule="auto"/>
                              <w:jc w:val="center"/>
                              <w:rPr>
                                <w:rFonts w:ascii="Times New Roman" w:hAnsi="Times New Roman" w:cs="Times New Roman"/>
                                <w:i/>
                                <w:iCs/>
                                <w:sz w:val="24"/>
                                <w:szCs w:val="24"/>
                              </w:rPr>
                            </w:pPr>
                            <w:r>
                              <w:rPr>
                                <w:rFonts w:ascii="Times New Roman" w:hAnsi="Times New Roman" w:cs="Times New Roman"/>
                                <w:i/>
                                <w:iCs/>
                                <w:sz w:val="24"/>
                                <w:szCs w:val="24"/>
                              </w:rPr>
                              <w:t>Tax Haven</w:t>
                            </w:r>
                            <w:r>
                              <w:rPr>
                                <w:rFonts w:ascii="Times New Roman" w:hAnsi="Times New Roman" w:cs="Times New Roman"/>
                                <w:i/>
                                <w:iCs/>
                                <w:sz w:val="24"/>
                                <w:szCs w:val="24"/>
                              </w:rPr>
                              <w:br/>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39C1939D" id="Rectangle 1" o:spid="_x0000_s1033" style="width:130.9pt;height:4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R8OQIAALwEAAAOAAAAZHJzL2Uyb0RvYy54bWysVE2P2jAQvVfqf7B8LyEI2C4irBCrrSqh&#10;LiqtejaOTaI6HndsCPTXd2wgoBb1UPXizHjmzcfzTKZPh8awvUJfgy143utzpqyEsrbbgn/98vLu&#10;PWc+CFsKA1YV/Kg8f5q9fTNt3UQNoAJTKmQUxPpJ6wpeheAmWeZlpRrhe+CUJaMGbEQgFbdZiaKl&#10;6I3JBv3+OGsBS4cglfd0+3wy8lmKr7WS4VVrrwIzBafaQjoxnZt4ZrOpmGxRuKqW5zLEP1TRiNpS&#10;0i7UswiC7bD+I1RTSwQPOvQkNBloXUuVeqBu8v5v3awr4VTqhcjxrqPJ/7+w8tN+7VZINLTOTzyJ&#10;sYuDxiZ+qT52SGQdO7LUITBJl/l4PBgNx5xJso3yx9FwFNnMrmiHPnxQ0LAoFBzpMRJHYr/04eR6&#10;cSHcNX+SwtGoWIKxn5VmdUkZBwmdRkMtDLK9oEctv+fntMkzQnRtTAfK74FMuIDOvhGm0rh0wP49&#10;4DVb550ygg0dsKkt4N/B+uR/6frUa2w7HDYHarbgD7GpeLOB8rhChnAaXe/kS010LoUPK4E0qzTV&#10;tH/hlQ5toC04nCXOKsCf9+6jP40QWTlrafYL7n/sBCrOzEdLw/WYD4dxWZIyHD0MSMFby+bWYnfN&#10;Auglctp0J5MY/YO5iBqh+UZrOo9ZySSspNwFlwEvyiKcdpIWXar5PLnRgjgRlnbtZAweebYw3wXQ&#10;dZqeKztnHmlF0vyd1znu4K2evK4/ndkvAAAA//8DAFBLAwQUAAYACAAAACEAPAOfm9oAAAAEAQAA&#10;DwAAAGRycy9kb3ducmV2LnhtbEyPMU/DMBCFdyT+g3VIbNRph9CGOFWFYAJRtWVgdOMjibDPke0m&#10;6b/nYGmXO53e07vvlevJWTFgiJ0nBfNZBgKp9qajRsHn4fVhCSImTUZbT6jgjBHW1e1NqQvjR9rh&#10;sE+N4BCKhVbQptQXUsa6RafjzPdIrH374HTiMzTSBD1yuLNykWW5dLoj/tDqHp9brH/2J6fAb7uz&#10;3YTVx/COj19v25SNU/6i1P3dtHkCkXBKFzP84TM6VMx09CcyUVgFXCT9T9YW+ZxrHBUsecuqlNfw&#10;1S8AAAD//wMAUEsBAi0AFAAGAAgAAAAhALaDOJL+AAAA4QEAABMAAAAAAAAAAAAAAAAAAAAAAFtD&#10;b250ZW50X1R5cGVzXS54bWxQSwECLQAUAAYACAAAACEAOP0h/9YAAACUAQAACwAAAAAAAAAAAAAA&#10;AAAvAQAAX3JlbHMvLnJlbHNQSwECLQAUAAYACAAAACEABQgkfDkCAAC8BAAADgAAAAAAAAAAAAAA&#10;AAAuAgAAZHJzL2Uyb0RvYy54bWxQSwECLQAUAAYACAAAACEAPAOfm9oAAAAEAQAADwAAAAAAAAAA&#10;AAAAAACTBAAAZHJzL2Rvd25yZXYueG1sUEsFBgAAAAAEAAQA8wAAAJoFAAAAAA==&#10;" fillcolor="white [3201]" strokecolor="black [3200]" strokeweight="1pt">
                <v:textbox>
                  <w:txbxContent>
                    <w:p w14:paraId="60B291B8" w14:textId="77777777" w:rsidR="00BB58C4" w:rsidRDefault="00000000">
                      <w:pPr>
                        <w:spacing w:line="240" w:lineRule="auto"/>
                        <w:jc w:val="center"/>
                        <w:rPr>
                          <w:rFonts w:ascii="Times New Roman" w:hAnsi="Times New Roman" w:cs="Times New Roman"/>
                          <w:i/>
                          <w:iCs/>
                          <w:sz w:val="24"/>
                          <w:szCs w:val="24"/>
                        </w:rPr>
                      </w:pPr>
                      <w:r>
                        <w:rPr>
                          <w:rFonts w:ascii="Times New Roman" w:hAnsi="Times New Roman" w:cs="Times New Roman"/>
                          <w:i/>
                          <w:iCs/>
                          <w:sz w:val="24"/>
                          <w:szCs w:val="24"/>
                        </w:rPr>
                        <w:t>Tax Haven</w:t>
                      </w:r>
                      <w:r>
                        <w:rPr>
                          <w:rFonts w:ascii="Times New Roman" w:hAnsi="Times New Roman" w:cs="Times New Roman"/>
                          <w:i/>
                          <w:iCs/>
                          <w:sz w:val="24"/>
                          <w:szCs w:val="24"/>
                        </w:rPr>
                        <w:br/>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v:textbox>
                <w10:anchorlock/>
              </v:rect>
            </w:pict>
          </mc:Fallback>
        </mc:AlternateContent>
      </w:r>
      <w:r>
        <w:rPr>
          <w:rFonts w:ascii="Times New Roman" w:hAnsi="Times New Roman" w:cs="Times New Roman"/>
          <w:sz w:val="24"/>
          <w:szCs w:val="24"/>
        </w:rPr>
        <w:tab/>
      </w:r>
      <w:r>
        <w:rPr>
          <w:rFonts w:ascii="Times New Roman" w:hAnsi="Times New Roman" w:cs="Times New Roman"/>
          <w:sz w:val="24"/>
          <w:szCs w:val="24"/>
        </w:rPr>
        <w:tab/>
      </w:r>
    </w:p>
    <w:p w14:paraId="592783DB" w14:textId="77777777" w:rsidR="00BB58C4" w:rsidRDefault="00000000">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BC15E36" wp14:editId="5448276A">
                <wp:simplePos x="0" y="0"/>
                <wp:positionH relativeFrom="column">
                  <wp:posOffset>2195195</wp:posOffset>
                </wp:positionH>
                <wp:positionV relativeFrom="paragraph">
                  <wp:posOffset>33020</wp:posOffset>
                </wp:positionV>
                <wp:extent cx="353060" cy="262890"/>
                <wp:effectExtent l="0" t="0" r="0" b="3810"/>
                <wp:wrapNone/>
                <wp:docPr id="661272573" name="Text Box 8"/>
                <wp:cNvGraphicFramePr/>
                <a:graphic xmlns:a="http://schemas.openxmlformats.org/drawingml/2006/main">
                  <a:graphicData uri="http://schemas.microsoft.com/office/word/2010/wordprocessingShape">
                    <wps:wsp>
                      <wps:cNvSpPr txBox="1"/>
                      <wps:spPr>
                        <a:xfrm>
                          <a:off x="0" y="0"/>
                          <a:ext cx="353060" cy="262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EB6292" w14:textId="77777777" w:rsidR="00BB58C4" w:rsidRDefault="00000000">
                            <w:pPr>
                              <w:rPr>
                                <w:rFonts w:ascii="Times New Roman" w:hAnsi="Times New Roman" w:cs="Times New Roman"/>
                                <w:vertAlign w:val="subscript"/>
                              </w:rPr>
                            </w:pPr>
                            <w:r>
                              <w:rPr>
                                <w:rFonts w:ascii="Times New Roman" w:hAnsi="Times New Roman" w:cs="Times New Roman"/>
                              </w:rPr>
                              <w:t>H</w:t>
                            </w:r>
                            <w:r>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C15E36" id="_x0000_s1034" type="#_x0000_t202" style="position:absolute;left:0;text-align:left;margin-left:172.85pt;margin-top:2.6pt;width:27.8pt;height:2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aNUAIAAPsEAAAOAAAAZHJzL2Uyb0RvYy54bWysVN2PGiEQf2/S/4HwXlc9z3rG9WK92DS5&#10;9C61TZ+RBSUFhgK6a//6Dqyr9uPlmr7AMN/zmxlm943R5CB8UGBLOuj1KRGWQ6XstqRfPq/eTCgJ&#10;kdmKabCipEcR6P389atZ7aZiCDvQlfAEndgwrV1JdzG6aVEEvhOGhR44YVEowRsW8em3ReVZjd6N&#10;Lob9/riowVfOAxchIPehFdJ59i+l4PFJyiAi0SXF3GI+fT436SzmMzbdeuZ2ip/SYP+QhWHKYtCz&#10;qwcWGdl79Ycro7iHADL2OJgCpFRc5BqwmkH/t2rWO+ZErgXBCe4MU/h/bvnHw9o9exKbd9BgAxMg&#10;tQvTgMxUTyO9STdmSlCOEB7PsIkmEo7Mm9ub/hglHEXD8XByl2EtLsbOh/hegCGJKKnHrmSw2OEx&#10;RAyIqp1KimVhpbTOndH2FwYqJk5xyTBT8ahF0tP2k5BEVTnRxAjcbzdL7UnbcRxJTLPre3aGBklR&#10;YsAX2p5MkrXIg/ZC+7NRjg82nu2NsuAzQHkNRCrgwHCAq2+5P5i4bPU7KFoAEhax2TSIQEknXSc3&#10;UB2xwR7a2Q+OrxS24ZGF+Mw8DjtCggscn/CQGuqSwomiZAf+x9/4SR9nEKWU1Lg8JQ3f98wLSvQH&#10;i9N5NxiN0G3Mj9Ht2yE+/LVkcy2xe7MELG+AX4XjmUz6UXek9GC+4p4vUlQUMcsxdkljRy5j22D8&#10;J7hYLLIS7pdj8dGuHU+uE8oWFvsIUuWZS2i12JxQxA3Lo3j6DdIKX7+z1uXPmv8EAAD//wMAUEsD&#10;BBQABgAIAAAAIQAFyFL+3gAAAAgBAAAPAAAAZHJzL2Rvd25yZXYueG1sTI/NTsMwEITvSLyDtUjc&#10;qN02CTSNU1UgrqCWH4mbG2+TqPE6it0mvD3LCW6zmtHMt8Vmcp244BBaTxrmMwUCqfK2pVrD+9vz&#10;3QOIEA1Z03lCDd8YYFNeXxUmt36kHV72sRZcQiE3GpoY+1zKUDXoTJj5Hom9ox+ciXwOtbSDGbnc&#10;dXKhVCadaYkXGtPjY4PVaX92Gj5ejl+fiXqtn1zaj35SktxKan17M23XICJO8S8Mv/iMDiUzHfyZ&#10;bBCdhmWS3nNUQ7oAwX6i5ksQBxZZBrIs5P8Hyh8AAAD//wMAUEsBAi0AFAAGAAgAAAAhALaDOJL+&#10;AAAA4QEAABMAAAAAAAAAAAAAAAAAAAAAAFtDb250ZW50X1R5cGVzXS54bWxQSwECLQAUAAYACAAA&#10;ACEAOP0h/9YAAACUAQAACwAAAAAAAAAAAAAAAAAvAQAAX3JlbHMvLnJlbHNQSwECLQAUAAYACAAA&#10;ACEA8LzGjVACAAD7BAAADgAAAAAAAAAAAAAAAAAuAgAAZHJzL2Uyb0RvYy54bWxQSwECLQAUAAYA&#10;CAAAACEABchS/t4AAAAIAQAADwAAAAAAAAAAAAAAAACqBAAAZHJzL2Rvd25yZXYueG1sUEsFBgAA&#10;AAAEAAQA8wAAALUFAAAAAA==&#10;" filled="f" stroked="f">
                <v:textbox>
                  <w:txbxContent>
                    <w:p w14:paraId="68EB6292" w14:textId="77777777" w:rsidR="00BB58C4" w:rsidRDefault="00000000">
                      <w:pPr>
                        <w:rPr>
                          <w:rFonts w:ascii="Times New Roman" w:hAnsi="Times New Roman" w:cs="Times New Roman"/>
                          <w:vertAlign w:val="subscript"/>
                        </w:rPr>
                      </w:pPr>
                      <w:r>
                        <w:rPr>
                          <w:rFonts w:ascii="Times New Roman" w:hAnsi="Times New Roman" w:cs="Times New Roman"/>
                        </w:rPr>
                        <w:t>H</w:t>
                      </w:r>
                      <w:r>
                        <w:rPr>
                          <w:rFonts w:ascii="Times New Roman" w:hAnsi="Times New Roman" w:cs="Times New Roman"/>
                          <w:vertAlign w:val="subscript"/>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F1CF9A0" wp14:editId="45A17373">
                <wp:simplePos x="0" y="0"/>
                <wp:positionH relativeFrom="column">
                  <wp:posOffset>2193290</wp:posOffset>
                </wp:positionH>
                <wp:positionV relativeFrom="paragraph">
                  <wp:posOffset>393065</wp:posOffset>
                </wp:positionV>
                <wp:extent cx="353060" cy="262890"/>
                <wp:effectExtent l="0" t="0" r="0" b="3810"/>
                <wp:wrapNone/>
                <wp:docPr id="215240789" name="Text Box 8"/>
                <wp:cNvGraphicFramePr/>
                <a:graphic xmlns:a="http://schemas.openxmlformats.org/drawingml/2006/main">
                  <a:graphicData uri="http://schemas.microsoft.com/office/word/2010/wordprocessingShape">
                    <wps:wsp>
                      <wps:cNvSpPr txBox="1"/>
                      <wps:spPr>
                        <a:xfrm>
                          <a:off x="0" y="0"/>
                          <a:ext cx="353291" cy="2631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DED05E" w14:textId="77777777" w:rsidR="00BB58C4" w:rsidRDefault="00000000">
                            <w:pPr>
                              <w:rPr>
                                <w:rFonts w:ascii="Times New Roman" w:hAnsi="Times New Roman" w:cs="Times New Roman"/>
                                <w:vertAlign w:val="subscript"/>
                              </w:rPr>
                            </w:pPr>
                            <w:r>
                              <w:rPr>
                                <w:rFonts w:ascii="Times New Roman" w:hAnsi="Times New Roman" w:cs="Times New Roman"/>
                              </w:rPr>
                              <w:t>H</w:t>
                            </w:r>
                            <w:r>
                              <w:rPr>
                                <w:rFonts w:ascii="Times New Roman" w:hAnsi="Times New Roman" w:cs="Times New Roman"/>
                                <w:vertAlign w:val="sub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1CF9A0" id="_x0000_s1035" type="#_x0000_t202" style="position:absolute;left:0;text-align:left;margin-left:172.7pt;margin-top:30.95pt;width:27.8pt;height:20.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a/TwIAAPsEAAAOAAAAZHJzL2Uyb0RvYy54bWysVEuP2jAQvlfqf7B8L4HAbgsirCgrqkqr&#10;7qq06tk4Nolqe1zbkNBfv2OHAH1cturFHs97vpnx/K7VihyE8zWYgo4GQ0qE4VDWZlfQr1/Wb95R&#10;4gMzJVNgREGPwtO7xetX88bORA4VqFI4gk6MnzW2oFUIdpZlnldCMz8AKwwKJTjNAj7dLisda9C7&#10;Vlk+HN5mDbjSOuDCe+Ted0K6SP6lFDw8SulFIKqgmFtIp0vnNp7ZYs5mO8dsVfNTGuwfstCsNhj0&#10;7OqeBUb2rv7Dla65Aw8yDDjoDKSsuUg1YDWj4W/VbCpmRaoFwfH2DJP/f275p8PGPjkS2vfQYgMj&#10;II31M4/MWE8rnY43ZkpQjhAez7CJNhCOzPHNOJ+OKOEoym/Hozx5yS7G1vnwQYAmkSiow64ksNjh&#10;wQcMiKq9SoxlYF0rlTqjzC8MVIyc7JJhosJRiainzGchSV2mRCPDc7fbrpQjXcdxJLGAvu/JGRpE&#10;RYkBX2h7MonWIg3aC+3PRik+mHC217UBlwBKayBiAQeGA1x+75GVnX4PRQdAxCK02xYRKOi07+QW&#10;yiM22EE3+97ydY1teGA+PDGHw46Q4AKHRzykgqagcKIoqcD9/Bs/6uMMopSSBpenoP7HnjlBifpo&#10;cDqno8kkblt6TG7e5vhw15LttcTs9QqwPBwhzC6RUT+onpQO9Dfc82WMiiJmOMYuaOjJVegajP8E&#10;F8tlUsL9siw8mI3l0XVE2cByH0DWaeYiWh02JxRxw9Ionn6DuMLX76R1+bMWzwAAAP//AwBQSwME&#10;FAAGAAgAAAAhAMtB5GTeAAAACgEAAA8AAABkcnMvZG93bnJldi54bWxMj8FOwzAQRO9I/QdrK3Gj&#10;dkhatSFOVYG4gihQiZsbb5Oo8TqK3Sb8PcsJjqt9mnlTbCfXiSsOofWkIVkoEEiVty3VGj7en+/W&#10;IEI0ZE3nCTV8Y4BtObspTG79SG943cdacAiF3GhoYuxzKUPVoDNh4Xsk/p384Ezkc6ilHczI4a6T&#10;90qtpDMtcUNjenxssDrvL07D58vp65Cp1/rJLfvRT0qS20itb+fT7gFExCn+wfCrz+pQstPRX8gG&#10;0WlIs2XGqIZVsgHBQKYSHndkUqUpyLKQ/yeUPwAAAP//AwBQSwECLQAUAAYACAAAACEAtoM4kv4A&#10;AADhAQAAEwAAAAAAAAAAAAAAAAAAAAAAW0NvbnRlbnRfVHlwZXNdLnhtbFBLAQItABQABgAIAAAA&#10;IQA4/SH/1gAAAJQBAAALAAAAAAAAAAAAAAAAAC8BAABfcmVscy8ucmVsc1BLAQItABQABgAIAAAA&#10;IQD92da/TwIAAPsEAAAOAAAAAAAAAAAAAAAAAC4CAABkcnMvZTJvRG9jLnhtbFBLAQItABQABgAI&#10;AAAAIQDLQeRk3gAAAAoBAAAPAAAAAAAAAAAAAAAAAKkEAABkcnMvZG93bnJldi54bWxQSwUGAAAA&#10;AAQABADzAAAAtAUAAAAA&#10;" filled="f" stroked="f">
                <v:textbox>
                  <w:txbxContent>
                    <w:p w14:paraId="69DED05E" w14:textId="77777777" w:rsidR="00BB58C4" w:rsidRDefault="00000000">
                      <w:pPr>
                        <w:rPr>
                          <w:rFonts w:ascii="Times New Roman" w:hAnsi="Times New Roman" w:cs="Times New Roman"/>
                          <w:vertAlign w:val="subscript"/>
                        </w:rPr>
                      </w:pPr>
                      <w:r>
                        <w:rPr>
                          <w:rFonts w:ascii="Times New Roman" w:hAnsi="Times New Roman" w:cs="Times New Roman"/>
                        </w:rPr>
                        <w:t>H</w:t>
                      </w:r>
                      <w:r>
                        <w:rPr>
                          <w:rFonts w:ascii="Times New Roman" w:hAnsi="Times New Roman" w:cs="Times New Roman"/>
                          <w:vertAlign w:val="subscript"/>
                        </w:rPr>
                        <w:t>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DD6D439" wp14:editId="1598798F">
                <wp:simplePos x="0" y="0"/>
                <wp:positionH relativeFrom="column">
                  <wp:posOffset>1661160</wp:posOffset>
                </wp:positionH>
                <wp:positionV relativeFrom="paragraph">
                  <wp:posOffset>264160</wp:posOffset>
                </wp:positionV>
                <wp:extent cx="1654175" cy="624840"/>
                <wp:effectExtent l="0" t="38100" r="60960" b="22860"/>
                <wp:wrapNone/>
                <wp:docPr id="236170873" name="Straight Arrow Connector 2"/>
                <wp:cNvGraphicFramePr/>
                <a:graphic xmlns:a="http://schemas.openxmlformats.org/drawingml/2006/main">
                  <a:graphicData uri="http://schemas.microsoft.com/office/word/2010/wordprocessingShape">
                    <wps:wsp>
                      <wps:cNvCnPr/>
                      <wps:spPr>
                        <a:xfrm flipV="1">
                          <a:off x="0" y="0"/>
                          <a:ext cx="1653988" cy="62484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2" o:spid="_x0000_s1026" o:spt="32" type="#_x0000_t32" style="position:absolute;left:0pt;flip:y;margin-left:130.8pt;margin-top:20.8pt;height:49.2pt;width:130.25pt;z-index:251662336;mso-width-relative:page;mso-height-relative:page;" filled="f" stroked="t" coordsize="21600,21600" o:gfxdata="UEsDBAoAAAAAAIdO4kAAAAAAAAAAAAAAAAAEAAAAZHJzL1BLAwQUAAAACACHTuJAJln549cAAAAK&#10;AQAADwAAAGRycy9kb3ducmV2LnhtbE2PPU/DMBCGdyT+g3VIbNROKKFK43RAMCCxtGWAzY2vTtT4&#10;HNnuB/+e6wTT6XSP3nveZnXxozhhTEMgDcVMgUDqgh3Iafjcvj0sQKRsyJoxEGr4wQSr9vamMbUN&#10;Z1rjaZOd4BBKtdHQ5zzVUqauR2/SLExIfNuH6E3mNTppozlzuB9lqVQlvRmIP/Rmwpceu8Pm6DXk&#10;V/8xuEM3TPn9y9DaxcXj97PW93eFWoLIeMl/MFz1WR1adtqFI9kkRg1lVVSMaphfJwNPZVmA2DE5&#10;Vwpk28j/FdpfUEsDBBQAAAAIAIdO4kDsmqurAQIAAPsDAAAOAAAAZHJzL2Uyb0RvYy54bWytU01v&#10;2zAMvQ/YfxB0X504TZoacYohWXcZtgDddmdk2RagL1BqnPz7UbKbbd2lh/kgUKL5+Pj0tHk4G81O&#10;EoNytubzmxln0grXKNvV/Mf3xw9rzkIE24B2Vtb8IgN/2L5/txl8JUvXO91IZARiQzX4mvcx+qoo&#10;guilgXDjvLSUbB0aiLTFrmgQBkI3uihns1UxOGw8OiFDoNP9mOQTIr4F0LWtEnLvxLORNo6oKDVE&#10;Gin0yge+zWzbVor4rW2DjEzXnCaNeaUmFB/TWmw3UHUIvldiogBvofBqJgPKUtMr1B4isGdU/0AZ&#10;JdAF18Yb4UwxDpIVoSnms1faPPXgZZ6FpA7+Knr4f7Di6+mATDU1Lxer+d1sfbfgzIKhi3+KCKrr&#10;I/uI6Aa2c9aSnA5ZmVQbfKioeGcPOO2CP2CS4NyiYa1W/ifZK4tCY7Jz1vxy1VyeIxN0OF8tF/dr&#10;8pyg3Kq8Xd/mSylGnITnMcTP0hmWgpqHidaVz9gDTl9CJCZU+FKQiq17VFrnW9aWDTW/X5ZLagbk&#10;3JYcQ6HxNH2wHWegO3oSImJmHZxWTapOOAG7404jO0EyUv6SCtTtr99S6z2Efvwvp0aLGRXp1Whl&#10;ar6+VkMVQelPtmHx4knxiApsp+WErC01SDqPyqbo6JpLFjyfkycyhcm/yXR/7nP17ze7/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Wfnj1wAAAAoBAAAPAAAAAAAAAAEAIAAAACIAAABkcnMvZG93&#10;bnJldi54bWxQSwECFAAUAAAACACHTuJA7JqrqwECAAD7AwAADgAAAAAAAAABACAAAAAmAQAAZHJz&#10;L2Uyb0RvYy54bWxQSwUGAAAAAAYABgBZAQAAmQUAAAAA&#10;">
                <v:fill on="f" focussize="0,0"/>
                <v:stroke color="#000000 [3200]" miterlimit="8" joinstyle="miter" endarrow="block"/>
                <v:imagedata o:title=""/>
                <o:lock v:ext="edit" aspectratio="f"/>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157C172D" wp14:editId="5491E3FA">
                <wp:simplePos x="0" y="0"/>
                <wp:positionH relativeFrom="column">
                  <wp:posOffset>1663065</wp:posOffset>
                </wp:positionH>
                <wp:positionV relativeFrom="paragraph">
                  <wp:posOffset>264795</wp:posOffset>
                </wp:positionV>
                <wp:extent cx="1656080" cy="0"/>
                <wp:effectExtent l="0" t="76200" r="20955" b="95250"/>
                <wp:wrapNone/>
                <wp:docPr id="1855891701" name="Straight Arrow Connector 3"/>
                <wp:cNvGraphicFramePr/>
                <a:graphic xmlns:a="http://schemas.openxmlformats.org/drawingml/2006/main">
                  <a:graphicData uri="http://schemas.microsoft.com/office/word/2010/wordprocessingShape">
                    <wps:wsp>
                      <wps:cNvCnPr/>
                      <wps:spPr>
                        <a:xfrm>
                          <a:off x="0" y="0"/>
                          <a:ext cx="1656000"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Straight Arrow Connector 3" o:spid="_x0000_s1026" o:spt="32" type="#_x0000_t32" style="position:absolute;left:0pt;margin-left:130.95pt;margin-top:20.85pt;height:0pt;width:130.4pt;z-index:251661312;mso-width-relative:page;mso-height-relative:page;" filled="f" stroked="t" coordsize="21600,21600" o:gfxdata="UEsDBAoAAAAAAIdO4kAAAAAAAAAAAAAAAAAEAAAAZHJzL1BLAwQUAAAACACHTuJAAU2YiNQAAAAJ&#10;AQAADwAAAGRycy9kb3ducmV2LnhtbE2PPU/DMBCGdyT+g3VIbNSJBaWkcToghYEtpQOjGx9xVPsc&#10;2U7a/nuMGGC7j0fvPVfvLs6yBUMcPUkoVwUwpN7rkQYJh4/2YQMsJkVaWU8o4YoRds3tTa0q7c/U&#10;4bJPA8shFCslwaQ0VZzH3qBTceUnpLz78sGplNswcB3UOYc7y0VRrLlTI+ULRk34arA/7WcnAd/N&#10;dTi4xYqA3edsN+1bZ1op7+/KYgss4SX9wfCjn9WhyU5HP5OOzEoQ6/IloxIey2dgGXgSIhfH3wFv&#10;av7/g+YbUEsDBBQAAAAIAIdO4kA643cB8wEAAO0DAAAOAAAAZHJzL2Uyb0RvYy54bWytU02P0zAQ&#10;vSPxHyzfaZKilm7UdIValguCSgs/YOo4iSV/aext2n/P2Ml2YbnsgRwc2+N5M+/5eXt/MZqdJQbl&#10;bMOrRcmZtMK1yvYN//Xz4cOGsxDBtqCdlQ2/ysDvd+/fbUdfy6UbnG4lMgKxoR59w4cYfV0UQQzS&#10;QFg4Ly0FO4cGIi2xL1qEkdCNLpZluS5Gh61HJ2QItHuYgnxGxLcAuq5TQh6ceDLSxgkVpYZIlMKg&#10;fOC73G3XSRF/dF2QkemGE9OYRypC81Mai90W6h7BD0rMLcBbWnjFyYCyVPQGdYAI7AnVP1BGCXTB&#10;dXEhnCkmIlkRYlGVr7R5HMDLzIWkDv4mevh/sOL7+YhMteSEzWq1uas+lRVnFgzd/GNEUP0Q2WdE&#10;N7K9s5b0dMg+JtlGH2rK3tsjzqvgj5g0uHRo0p/YsUuW+nqTWl4iE7RZrVfrsqRbEM+x4iXRY4hf&#10;pTMsTRoe5j5uDVRZajh/C5FKU+JzQqpq3YPSOt+rtmxs+N1quaI6QF7tyCM0NZ74BttzBrqnRyAi&#10;ZsTgtGpTdsIJ2J/2GtkZknXyl2hTtb+OpdIHCMN0LocmUxkV6Z1oZRq+uWVDHUHpL7Zl8epJ4ogK&#10;bK/ljKwtFUjCTlKm2cm116xw3icX5BZmxyab/bnO2S+vdPc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2YiNQAAAAJAQAADwAAAAAAAAABACAAAAAiAAAAZHJzL2Rvd25yZXYueG1sUEsBAhQAFAAA&#10;AAgAh07iQDrjdwHzAQAA7QMAAA4AAAAAAAAAAQAgAAAAIwEAAGRycy9lMm9Eb2MueG1sUEsFBgAA&#10;AAAGAAYAWQEAAIgFAAAAAA==&#10;">
                <v:fill on="f" focussize="0,0"/>
                <v:stroke color="#000000 [3200]" miterlimit="8" joinstyle="miter" endarrow="block"/>
                <v:imagedata o:title=""/>
                <o:lock v:ext="edit" aspectratio="f"/>
              </v:shape>
            </w:pict>
          </mc:Fallback>
        </mc:AlternateContent>
      </w:r>
      <w:r>
        <w:rPr>
          <w:rFonts w:ascii="Times New Roman" w:hAnsi="Times New Roman" w:cs="Times New Roman"/>
          <w:noProof/>
          <w:sz w:val="24"/>
          <w:szCs w:val="24"/>
        </w:rPr>
        <mc:AlternateContent>
          <mc:Choice Requires="wps">
            <w:drawing>
              <wp:inline distT="0" distB="0" distL="0" distR="0" wp14:anchorId="7BE3C45C" wp14:editId="6BF0F5C1">
                <wp:extent cx="1662430" cy="519430"/>
                <wp:effectExtent l="0" t="0" r="13970" b="13970"/>
                <wp:docPr id="1009477943" name="Rectangle 1"/>
                <wp:cNvGraphicFramePr/>
                <a:graphic xmlns:a="http://schemas.openxmlformats.org/drawingml/2006/main">
                  <a:graphicData uri="http://schemas.microsoft.com/office/word/2010/wordprocessingShape">
                    <wps:wsp>
                      <wps:cNvSpPr/>
                      <wps:spPr>
                        <a:xfrm>
                          <a:off x="0" y="0"/>
                          <a:ext cx="1662546" cy="519545"/>
                        </a:xfrm>
                        <a:prstGeom prst="rect">
                          <a:avLst/>
                        </a:prstGeom>
                      </wps:spPr>
                      <wps:style>
                        <a:lnRef idx="2">
                          <a:schemeClr val="dk1"/>
                        </a:lnRef>
                        <a:fillRef idx="1">
                          <a:schemeClr val="lt1"/>
                        </a:fillRef>
                        <a:effectRef idx="0">
                          <a:schemeClr val="dk1"/>
                        </a:effectRef>
                        <a:fontRef idx="minor">
                          <a:schemeClr val="dk1"/>
                        </a:fontRef>
                      </wps:style>
                      <wps:txbx>
                        <w:txbxContent>
                          <w:p w14:paraId="449A8BB3" w14:textId="77777777" w:rsidR="00BB58C4" w:rsidRDefault="00000000">
                            <w:pPr>
                              <w:jc w:val="center"/>
                              <w:rPr>
                                <w:rFonts w:ascii="Times New Roman" w:hAnsi="Times New Roman" w:cs="Times New Roman"/>
                                <w:i/>
                                <w:iCs/>
                                <w:sz w:val="24"/>
                                <w:szCs w:val="24"/>
                              </w:rPr>
                            </w:pPr>
                            <w:r>
                              <w:rPr>
                                <w:rFonts w:ascii="Times New Roman" w:hAnsi="Times New Roman" w:cs="Times New Roman"/>
                                <w:i/>
                                <w:iCs/>
                                <w:sz w:val="24"/>
                                <w:szCs w:val="24"/>
                              </w:rPr>
                              <w:t>Intangible Asset</w:t>
                            </w:r>
                            <w:r>
                              <w:rPr>
                                <w:rFonts w:ascii="Times New Roman" w:hAnsi="Times New Roman" w:cs="Times New Roman"/>
                                <w:i/>
                                <w:iCs/>
                                <w:sz w:val="24"/>
                                <w:szCs w:val="24"/>
                              </w:rPr>
                              <w:br/>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p w14:paraId="77EE378D" w14:textId="77777777" w:rsidR="00BB58C4" w:rsidRDefault="00BB58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7BE3C45C" id="_x0000_s1036" style="width:130.9pt;height:4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ZLOAIAAL0EAAAOAAAAZHJzL2Uyb0RvYy54bWysVMGO2jAQvVfqP1i+lxAEtIsIK8Rqq0qo&#10;i5ZWPRvHJlEdjzs2BPr1HRsIqEU9VL04Y8+8Gc/zm0wfD41he4W+BlvwvNfnTFkJZW23Bf/65fnd&#10;B858ELYUBqwq+FF5/jh7+2bauokaQAWmVMgoifWT1hW8CsFNsszLSjXC98ApS04N2IhAW9xmJYqW&#10;sjcmG/T746wFLB2CVN7T6dPJyWcpv9ZKhhetvQrMFJzuFtKKad3ENZtNxWSLwlW1PF9D/MMtGlFb&#10;KtqlehJBsB3Wf6RqaongQYeehCYDrWupUg/UTd7/rZt1JZxKvRA53nU0+f+XVn7er90KiYbW+Ykn&#10;M3Zx0NjEL92PHRJZx44sdQhM0mE+Hg9GwzFnknyj/GE0HEU2syvaoQ8fFTQsGgVHeozEkdgvfTiF&#10;XkIId62frHA0Kl7B2FelWV1SxUFCJ2mohUG2F/So5ff8XDZFRoiujelA+T2QCRfQOTbCVJJLB+zf&#10;A16rddGpItjQAZvaAv4drE/xl65Pvca2w2FzoGaJ3STNeLSB8rhChnDSrnfyuSY+l8KHlUASK8ma&#10;BjC80KINtAWHs8VZBfjz3nmMJw2Rl7OWxF9w/2MnUHFmPllS10M+HMZpSZvh6P2ANnjr2dx67K5Z&#10;AD1FTqPuZDJjfDAXUyM032hO57EquYSVVLvgMuBlswinoaRJl2o+T2E0IU6EpV07GZNHoi3MdwF0&#10;neRzZedMJM1IEuB5nuMQ3u5T1PWvM/sFAAD//wMAUEsDBBQABgAIAAAAIQA8A5+b2gAAAAQBAAAP&#10;AAAAZHJzL2Rvd25yZXYueG1sTI8xT8MwEIV3JP6DdUhs1GmH0IY4VYVgAlG1ZWB04yOJsM+R7Sbp&#10;v+dgaZc7nd7Tu++V68lZMWCInScF81kGAqn2pqNGwefh9WEJIiZNRltPqOCMEdbV7U2pC+NH2uGw&#10;T43gEIqFVtCm1BdSxrpFp+PM90isffvgdOIzNNIEPXK4s3KRZbl0uiP+0Ooen1usf/Ynp8Bvu7Pd&#10;hNXH8I6PX2/blI1T/qLU/d20eQKRcEoXM/zhMzpUzHT0JzJRWAVcJP1P1hb5nGscFSx5y6qU1/DV&#10;LwAAAP//AwBQSwECLQAUAAYACAAAACEAtoM4kv4AAADhAQAAEwAAAAAAAAAAAAAAAAAAAAAAW0Nv&#10;bnRlbnRfVHlwZXNdLnhtbFBLAQItABQABgAIAAAAIQA4/SH/1gAAAJQBAAALAAAAAAAAAAAAAAAA&#10;AC8BAABfcmVscy8ucmVsc1BLAQItABQABgAIAAAAIQAGlKZLOAIAAL0EAAAOAAAAAAAAAAAAAAAA&#10;AC4CAABkcnMvZTJvRG9jLnhtbFBLAQItABQABgAIAAAAIQA8A5+b2gAAAAQBAAAPAAAAAAAAAAAA&#10;AAAAAJIEAABkcnMvZG93bnJldi54bWxQSwUGAAAAAAQABADzAAAAmQUAAAAA&#10;" fillcolor="white [3201]" strokecolor="black [3200]" strokeweight="1pt">
                <v:textbox>
                  <w:txbxContent>
                    <w:p w14:paraId="449A8BB3" w14:textId="77777777" w:rsidR="00BB58C4" w:rsidRDefault="00000000">
                      <w:pPr>
                        <w:jc w:val="center"/>
                        <w:rPr>
                          <w:rFonts w:ascii="Times New Roman" w:hAnsi="Times New Roman" w:cs="Times New Roman"/>
                          <w:i/>
                          <w:iCs/>
                          <w:sz w:val="24"/>
                          <w:szCs w:val="24"/>
                        </w:rPr>
                      </w:pPr>
                      <w:r>
                        <w:rPr>
                          <w:rFonts w:ascii="Times New Roman" w:hAnsi="Times New Roman" w:cs="Times New Roman"/>
                          <w:i/>
                          <w:iCs/>
                          <w:sz w:val="24"/>
                          <w:szCs w:val="24"/>
                        </w:rPr>
                        <w:t>Intangible Asset</w:t>
                      </w:r>
                      <w:r>
                        <w:rPr>
                          <w:rFonts w:ascii="Times New Roman" w:hAnsi="Times New Roman" w:cs="Times New Roman"/>
                          <w:i/>
                          <w:iCs/>
                          <w:sz w:val="24"/>
                          <w:szCs w:val="24"/>
                        </w:rPr>
                        <w:br/>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p w14:paraId="77EE378D" w14:textId="77777777" w:rsidR="00BB58C4" w:rsidRDefault="00BB58C4">
                      <w:pPr>
                        <w:jc w:val="center"/>
                      </w:pPr>
                    </w:p>
                  </w:txbxContent>
                </v:textbox>
                <w10:anchorlock/>
              </v:rec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BFA46E4" w14:textId="77777777" w:rsidR="00BB58C4" w:rsidRDefault="00000000">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1610E287" wp14:editId="20CF20CC">
                <wp:extent cx="1662430" cy="519430"/>
                <wp:effectExtent l="0" t="0" r="13970" b="13970"/>
                <wp:docPr id="792135661" name="Rectangle 1"/>
                <wp:cNvGraphicFramePr/>
                <a:graphic xmlns:a="http://schemas.openxmlformats.org/drawingml/2006/main">
                  <a:graphicData uri="http://schemas.microsoft.com/office/word/2010/wordprocessingShape">
                    <wps:wsp>
                      <wps:cNvSpPr/>
                      <wps:spPr>
                        <a:xfrm>
                          <a:off x="0" y="0"/>
                          <a:ext cx="1662546" cy="519545"/>
                        </a:xfrm>
                        <a:prstGeom prst="rect">
                          <a:avLst/>
                        </a:prstGeom>
                      </wps:spPr>
                      <wps:style>
                        <a:lnRef idx="2">
                          <a:schemeClr val="dk1"/>
                        </a:lnRef>
                        <a:fillRef idx="1">
                          <a:schemeClr val="lt1"/>
                        </a:fillRef>
                        <a:effectRef idx="0">
                          <a:schemeClr val="dk1"/>
                        </a:effectRef>
                        <a:fontRef idx="minor">
                          <a:schemeClr val="dk1"/>
                        </a:fontRef>
                      </wps:style>
                      <wps:txbx>
                        <w:txbxContent>
                          <w:p w14:paraId="19C26B46" w14:textId="77777777" w:rsidR="00BB58C4" w:rsidRDefault="00000000">
                            <w:pPr>
                              <w:jc w:val="center"/>
                              <w:rPr>
                                <w:rFonts w:ascii="Times New Roman" w:hAnsi="Times New Roman" w:cs="Times New Roman"/>
                                <w:i/>
                                <w:iCs/>
                                <w:sz w:val="24"/>
                                <w:szCs w:val="24"/>
                              </w:rPr>
                            </w:pPr>
                            <w:r>
                              <w:rPr>
                                <w:rFonts w:ascii="Times New Roman" w:hAnsi="Times New Roman" w:cs="Times New Roman"/>
                                <w:i/>
                                <w:iCs/>
                                <w:sz w:val="24"/>
                                <w:szCs w:val="24"/>
                              </w:rPr>
                              <w:t>Tax Minimization</w:t>
                            </w:r>
                            <w:r>
                              <w:rPr>
                                <w:rFonts w:ascii="Times New Roman" w:hAnsi="Times New Roman" w:cs="Times New Roman"/>
                                <w:i/>
                                <w:iCs/>
                                <w:sz w:val="24"/>
                                <w:szCs w:val="24"/>
                              </w:rPr>
                              <w:br/>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p w14:paraId="529A264F" w14:textId="77777777" w:rsidR="00BB58C4" w:rsidRDefault="00BB58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1610E287" id="_x0000_s1037" style="width:130.9pt;height:4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swOAIAAL0EAAAOAAAAZHJzL2Uyb0RvYy54bWysVE2P2jAQvVfqf7B8LyEIaBcRVojVVpVQ&#10;Fy2tejaOTaI6HndsCPTXd2wgoBb1UPXizHjmzcfzTKaPh8awvUJfgy143utzpqyEsrbbgn/98vzu&#10;A2c+CFsKA1YV/Kg8f5y9fTNt3UQNoAJTKmQUxPpJ6wpeheAmWeZlpRrhe+CUJaMGbEQgFbdZiaKl&#10;6I3JBv3+OGsBS4cglfd0+3Qy8lmKr7WS4UVrrwIzBafaQjoxnZt4ZrOpmGxRuKqW5zLEP1TRiNpS&#10;0i7UkwiC7bD+I1RTSwQPOvQkNBloXUuVeqBu8v5v3awr4VTqhcjxrqPJ/7+w8vN+7VZINLTOTzyJ&#10;sYuDxiZ+qT52SGQdO7LUITBJl/l4PBgNx5xJso3yh9FwFNnMrmiHPnxU0LAoFBzpMRJHYr/04eR6&#10;cSHcNX+SwtGoWIKxr0qzuqSMg4ROo6EWBtle0KOW3/Nz2uQZIbo2pgPl90AmXEBn3whTaVw6YP8e&#10;8Jqt804ZwYYO2NQW8O9gffK/dH3qNbYdDpsDNUvspgLj1QbK4woZwml2vZPPNfG5FD6sBNKw0ljT&#10;AoYXOrSBtuBwljirAH/eu4/+NENk5ayl4S+4/7ETqDgznyxN10M+HMZtScpw9H5ACt5aNrcWu2sW&#10;QE+R06o7mcToH8xF1AjNN9rTecxKJmEl5S64DHhRFuG0lLTpUs3nyY02xImwtGsnY/BItIX5LoCu&#10;0/hc2TkTSTuSBvC8z3EJb/Xkdf3rzH4BAAD//wMAUEsDBBQABgAIAAAAIQA8A5+b2gAAAAQBAAAP&#10;AAAAZHJzL2Rvd25yZXYueG1sTI8xT8MwEIV3JP6DdUhs1GmH0IY4VYVgAlG1ZWB04yOJsM+R7Sbp&#10;v+dgaZc7nd7Tu++V68lZMWCInScF81kGAqn2pqNGwefh9WEJIiZNRltPqOCMEdbV7U2pC+NH2uGw&#10;T43gEIqFVtCm1BdSxrpFp+PM90isffvgdOIzNNIEPXK4s3KRZbl0uiP+0Ooen1usf/Ynp8Bvu7Pd&#10;hNXH8I6PX2/blI1T/qLU/d20eQKRcEoXM/zhMzpUzHT0JzJRWAVcJP1P1hb5nGscFSx5y6qU1/DV&#10;LwAAAP//AwBQSwECLQAUAAYACAAAACEAtoM4kv4AAADhAQAAEwAAAAAAAAAAAAAAAAAAAAAAW0Nv&#10;bnRlbnRfVHlwZXNdLnhtbFBLAQItABQABgAIAAAAIQA4/SH/1gAAAJQBAAALAAAAAAAAAAAAAAAA&#10;AC8BAABfcmVscy8ucmVsc1BLAQItABQABgAIAAAAIQAP6gswOAIAAL0EAAAOAAAAAAAAAAAAAAAA&#10;AC4CAABkcnMvZTJvRG9jLnhtbFBLAQItABQABgAIAAAAIQA8A5+b2gAAAAQBAAAPAAAAAAAAAAAA&#10;AAAAAJIEAABkcnMvZG93bnJldi54bWxQSwUGAAAAAAQABADzAAAAmQUAAAAA&#10;" fillcolor="white [3201]" strokecolor="black [3200]" strokeweight="1pt">
                <v:textbox>
                  <w:txbxContent>
                    <w:p w14:paraId="19C26B46" w14:textId="77777777" w:rsidR="00BB58C4" w:rsidRDefault="00000000">
                      <w:pPr>
                        <w:jc w:val="center"/>
                        <w:rPr>
                          <w:rFonts w:ascii="Times New Roman" w:hAnsi="Times New Roman" w:cs="Times New Roman"/>
                          <w:i/>
                          <w:iCs/>
                          <w:sz w:val="24"/>
                          <w:szCs w:val="24"/>
                        </w:rPr>
                      </w:pPr>
                      <w:r>
                        <w:rPr>
                          <w:rFonts w:ascii="Times New Roman" w:hAnsi="Times New Roman" w:cs="Times New Roman"/>
                          <w:i/>
                          <w:iCs/>
                          <w:sz w:val="24"/>
                          <w:szCs w:val="24"/>
                        </w:rPr>
                        <w:t>Tax Minimization</w:t>
                      </w:r>
                      <w:r>
                        <w:rPr>
                          <w:rFonts w:ascii="Times New Roman" w:hAnsi="Times New Roman" w:cs="Times New Roman"/>
                          <w:i/>
                          <w:iCs/>
                          <w:sz w:val="24"/>
                          <w:szCs w:val="24"/>
                        </w:rPr>
                        <w:br/>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p w14:paraId="529A264F" w14:textId="77777777" w:rsidR="00BB58C4" w:rsidRDefault="00BB58C4">
                      <w:pPr>
                        <w:jc w:val="center"/>
                      </w:pPr>
                    </w:p>
                  </w:txbxContent>
                </v:textbox>
                <w10:anchorlock/>
              </v:rect>
            </w:pict>
          </mc:Fallback>
        </mc:AlternateContent>
      </w:r>
    </w:p>
    <w:p w14:paraId="2B7E8CF8" w14:textId="47B98895" w:rsidR="00BB58C4" w:rsidRDefault="00000000">
      <w:pPr>
        <w:pStyle w:val="Caption"/>
        <w:jc w:val="center"/>
        <w:rPr>
          <w:rFonts w:cs="Times New Roman"/>
          <w:b w:val="0"/>
          <w:bCs/>
          <w:i/>
          <w:iCs w:val="0"/>
          <w:color w:val="auto"/>
          <w:sz w:val="22"/>
          <w:szCs w:val="22"/>
        </w:rPr>
      </w:pPr>
      <w:bookmarkStart w:id="45" w:name="_Toc196817621"/>
      <w:r>
        <w:rPr>
          <w:rFonts w:cs="Times New Roman"/>
          <w:bCs/>
          <w:iCs w:val="0"/>
          <w:color w:val="auto"/>
          <w:sz w:val="22"/>
          <w:szCs w:val="22"/>
        </w:rPr>
        <w:t xml:space="preserve">Gambar 2. </w:t>
      </w:r>
      <w:r>
        <w:rPr>
          <w:rFonts w:cs="Times New Roman"/>
          <w:b w:val="0"/>
          <w:bCs/>
          <w:i/>
          <w:iCs w:val="0"/>
          <w:color w:val="auto"/>
          <w:sz w:val="22"/>
          <w:szCs w:val="22"/>
        </w:rPr>
        <w:fldChar w:fldCharType="begin"/>
      </w:r>
      <w:r>
        <w:rPr>
          <w:rFonts w:cs="Times New Roman"/>
          <w:bCs/>
          <w:iCs w:val="0"/>
          <w:color w:val="auto"/>
          <w:sz w:val="22"/>
          <w:szCs w:val="22"/>
        </w:rPr>
        <w:instrText xml:space="preserve"> SEQ Gambar_2. \* ARABIC </w:instrText>
      </w:r>
      <w:r>
        <w:rPr>
          <w:rFonts w:cs="Times New Roman"/>
          <w:b w:val="0"/>
          <w:bCs/>
          <w:i/>
          <w:iCs w:val="0"/>
          <w:color w:val="auto"/>
          <w:sz w:val="22"/>
          <w:szCs w:val="22"/>
        </w:rPr>
        <w:fldChar w:fldCharType="separate"/>
      </w:r>
      <w:r w:rsidR="00DB7568">
        <w:rPr>
          <w:rFonts w:cs="Times New Roman"/>
          <w:bCs/>
          <w:iCs w:val="0"/>
          <w:noProof/>
          <w:color w:val="auto"/>
          <w:sz w:val="22"/>
          <w:szCs w:val="22"/>
        </w:rPr>
        <w:t>2</w:t>
      </w:r>
      <w:r>
        <w:rPr>
          <w:rFonts w:cs="Times New Roman"/>
          <w:b w:val="0"/>
          <w:bCs/>
          <w:i/>
          <w:iCs w:val="0"/>
          <w:color w:val="auto"/>
          <w:sz w:val="22"/>
          <w:szCs w:val="22"/>
        </w:rPr>
        <w:fldChar w:fldCharType="end"/>
      </w:r>
      <w:r>
        <w:rPr>
          <w:rFonts w:cs="Times New Roman"/>
          <w:bCs/>
          <w:iCs w:val="0"/>
          <w:color w:val="auto"/>
          <w:sz w:val="22"/>
          <w:szCs w:val="22"/>
        </w:rPr>
        <w:t xml:space="preserve"> Model Penelitian</w:t>
      </w:r>
      <w:bookmarkEnd w:id="45"/>
    </w:p>
    <w:p w14:paraId="30F2CE67" w14:textId="77777777" w:rsidR="00BB58C4" w:rsidRDefault="00000000">
      <w:pPr>
        <w:spacing w:line="480" w:lineRule="auto"/>
        <w:jc w:val="center"/>
        <w:rPr>
          <w:rFonts w:ascii="Times New Roman" w:hAnsi="Times New Roman" w:cs="Times New Roman"/>
          <w:i/>
          <w:iCs/>
        </w:rPr>
      </w:pPr>
      <w:r>
        <w:rPr>
          <w:rFonts w:ascii="Times New Roman" w:hAnsi="Times New Roman" w:cs="Times New Roman"/>
        </w:rPr>
        <w:t xml:space="preserve">Sumber : </w:t>
      </w:r>
      <w:r>
        <w:rPr>
          <w:rFonts w:ascii="Times New Roman" w:hAnsi="Times New Roman" w:cs="Times New Roman"/>
          <w:i/>
          <w:iCs/>
        </w:rPr>
        <w:t>Penulis, 2025</w:t>
      </w:r>
    </w:p>
    <w:p w14:paraId="6DE503C1" w14:textId="77777777" w:rsidR="00BB58C4" w:rsidRDefault="00000000">
      <w:pPr>
        <w:pStyle w:val="SubBab2"/>
        <w:ind w:left="426"/>
      </w:pPr>
      <w:bookmarkStart w:id="46" w:name="_Toc220995030"/>
      <w:r>
        <w:t>Pengembangan Hipotesis</w:t>
      </w:r>
      <w:bookmarkEnd w:id="46"/>
    </w:p>
    <w:p w14:paraId="05CE081D" w14:textId="77777777" w:rsidR="00BB58C4" w:rsidRDefault="00000000">
      <w:pPr>
        <w:pStyle w:val="SubHeading3"/>
        <w:ind w:left="0" w:firstLine="0"/>
      </w:pPr>
      <w:bookmarkStart w:id="47" w:name="_Toc220995031"/>
      <w:r>
        <w:t>2.4.1.</w:t>
      </w:r>
      <w:r>
        <w:tab/>
        <w:t xml:space="preserve">Pengaruh </w:t>
      </w:r>
      <w:r>
        <w:rPr>
          <w:i/>
          <w:iCs/>
        </w:rPr>
        <w:t xml:space="preserve">Tax Haven </w:t>
      </w:r>
      <w:r>
        <w:t xml:space="preserve">terhadap Keputusan Perusahaan Melakukan </w:t>
      </w:r>
      <w:r>
        <w:rPr>
          <w:i/>
          <w:iCs/>
        </w:rPr>
        <w:t>Transfer Pricing</w:t>
      </w:r>
      <w:bookmarkEnd w:id="47"/>
    </w:p>
    <w:p w14:paraId="4C1A03E5" w14:textId="77777777" w:rsidR="00BB58C4" w:rsidRDefault="00000000">
      <w:pPr>
        <w:spacing w:after="0" w:line="480" w:lineRule="auto"/>
        <w:ind w:firstLine="720"/>
        <w:jc w:val="both"/>
        <w:rPr>
          <w:rFonts w:ascii="Times New Roman" w:hAnsi="Times New Roman" w:cs="Times New Roman"/>
          <w:sz w:val="24"/>
          <w:szCs w:val="24"/>
        </w:rPr>
      </w:pPr>
      <w:bookmarkStart w:id="48" w:name="_Hlk213960249"/>
      <w:r>
        <w:rPr>
          <w:rFonts w:ascii="Times New Roman" w:hAnsi="Times New Roman" w:cs="Times New Roman"/>
          <w:sz w:val="24"/>
          <w:szCs w:val="24"/>
        </w:rPr>
        <w:t xml:space="preserve">Teori internalisasi menjelaskan bagaimana mekanisme paling efisien yang digunakan perusahaan untuk mengalokasikan sumber daya dan keuntungan di seluruh rantai nilai global. Perusahaan cenderung menginternalisasi transaksi antar unit bisnis dalam grupnya untuk mengurangi biaya transaksi internal dan eksternal perusahaan. Adanya Mekanisme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merupakan langkah yang diambil perusahaan sebagai cara internalisasi untuk mengalokasikan laba ke anak perusahaan yang berlokasi di negara </w:t>
      </w:r>
      <w:r>
        <w:rPr>
          <w:rFonts w:ascii="Times New Roman" w:hAnsi="Times New Roman" w:cs="Times New Roman"/>
          <w:i/>
          <w:iCs/>
          <w:sz w:val="24"/>
          <w:szCs w:val="24"/>
        </w:rPr>
        <w:t>tax haven</w:t>
      </w:r>
      <w:r>
        <w:rPr>
          <w:rFonts w:ascii="Times New Roman" w:hAnsi="Times New Roman" w:cs="Times New Roman"/>
          <w:sz w:val="24"/>
          <w:szCs w:val="24"/>
        </w:rPr>
        <w:t xml:space="preserve">, sehingga mendukung efisiensi pajak </w:t>
      </w:r>
      <w:r>
        <w:rPr>
          <w:rFonts w:ascii="Times New Roman" w:hAnsi="Times New Roman" w:cs="Times New Roman"/>
          <w:sz w:val="24"/>
          <w:szCs w:val="24"/>
        </w:rPr>
        <w:lastRenderedPageBreak/>
        <w:t xml:space="preserve">dan mengurangi biaya pajak secara keseluruhan. Dengan memanfaatkan keberadaan negara </w:t>
      </w:r>
      <w:r>
        <w:rPr>
          <w:rFonts w:ascii="Times New Roman" w:hAnsi="Times New Roman" w:cs="Times New Roman"/>
          <w:i/>
          <w:iCs/>
          <w:sz w:val="24"/>
          <w:szCs w:val="24"/>
        </w:rPr>
        <w:t>tax haven</w:t>
      </w:r>
      <w:r>
        <w:rPr>
          <w:rFonts w:ascii="Times New Roman" w:hAnsi="Times New Roman" w:cs="Times New Roman"/>
          <w:sz w:val="24"/>
          <w:szCs w:val="24"/>
        </w:rPr>
        <w:t xml:space="preserve"> maka perusahaan dapat memaksimalkan keuntungan perusahaan tanpa pengenaan pajak yang besar. </w:t>
      </w:r>
    </w:p>
    <w:p w14:paraId="1D144D59"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Perusahaan multinasional dalam meningkatkan keuntungannya cenderung akan melakukan tindakan oportunistik dengan memanfaatkan berbagai cara salah satunya memanfaatkan fasilitas persembunyian pajak di negara </w:t>
      </w:r>
      <w:r>
        <w:rPr>
          <w:rFonts w:ascii="Times New Roman" w:hAnsi="Times New Roman" w:cs="Times New Roman"/>
          <w:i/>
          <w:iCs/>
          <w:sz w:val="24"/>
          <w:szCs w:val="24"/>
        </w:rPr>
        <w:t>tax haven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{"citationItems":[{"id":"ITEM-1","itemData":{"author":[{"dropping-particle":"","family":"Sumaryati","given":"Anna","non-dropping-particle":"","parse-names":false,"suffix":""}],"container-title":"JAKA: Jurnal Akuntansi, Keuangan dan Auditing","id":"ITEM-1","issue":"2","issued":{"date-parts":[["2023"]]},"page":"93-113","title":"Pengaruh Multinasionalitas , Tax Haven , Dan Goodwill Terhadap Transfer Pricing Dengan Moderasi Political Connection","type":"article-journal","volume":"4"},"uris":["http://www.mendeley.com/documents/?uuid=1763177e-58e2-40c6-998b-6e96827953ca"]}],"mendeley":{"formattedCitation":"(Sumaryati, 2023)","plainTextFormattedCitation":"(Sumaryati, 2023)","previouslyFormattedCitation":"(Sumaryati,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(Sumaryati, 2023)</w:t>
      </w:r>
      <w:r>
        <w:rPr>
          <w:rFonts w:ascii="Times New Roman" w:hAnsi="Times New Roman" w:cs="Times New Roman"/>
          <w:sz w:val="24"/>
          <w:szCs w:val="24"/>
        </w:rPr>
        <w:fldChar w:fldCharType="end"/>
      </w:r>
      <w:r>
        <w:rPr>
          <w:rFonts w:ascii="Times New Roman" w:hAnsi="Times New Roman" w:cs="Times New Roman"/>
          <w:sz w:val="24"/>
          <w:szCs w:val="24"/>
        </w:rPr>
        <w:t xml:space="preserve">. Menurut penelitian yang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{"citationItems":[{"id":"ITEM-1","itemData":{"DOI":"10.21831/nominal.v11i2.51444","ISSN":"2303-2065","abstract":"Abstrak: Pengaruh Tax Haven, Foreign Ownership, dan Intangible Assets terhadap Keputusan Transfer Pricing. Transfer pricing merupakan penetapan terhadap harga barang, jasa, maupun aset tidak berwujud yang dilakukan dari satu divisi ke divisi lain dalam perusahaan yang sama atau antar perusahaan yang saling memiliki hubungan istimewa. Motif transfer pricing yaitu untuk meminimalkan beban pajak yang ditanggung perusahaan guna mendapatkan keuntungan yang lebih tinggi. Tujuan dari penelitian ini untuk mengetahui pengaruh tax haven, foreign ownership, dan intangible assets terhadap transfer pricing. Populasi yang digunakan yaitu perusahaan infrastruktur, utilitas, dan transportasi yang terdaftar di BEI tahun 2016 hingga 2020 sejumlah 400 perusahaan. Penelitian ini menggunakan metode pengambilan sampel purposive sampling dan terpilih 40 unit analisis. Teknik analisis yang digunakan yakni analisis regresi linear berganda. Hasil penelitian menunjukkan bahwa tax haven berpengaruh positif signifikan terhadap keputusan transfer pricing, sedangkan foreign ownership dan intangible assets tidak berpengaruh signifikan terhadap keputusan transfer pricing. Kata kunci: Transfer Pricing, Surga Pajak, Kepemilikan Asing, Aset Tidak BerwujudAbstract: The Effect of Tax Haven, Foreign Ownership, and Intangible Assets on Transfer Pricing Decisions. Transfer pricing is the determination of the price of goods, services, or intangible assets carried out from one division to another within the same company or between companies that have special relationships. The transfer pricing motive is to minimize the tax burden borne by the company in order to obtain higher profits. The purpose of this study is to determine the effect of tax havens, foreign ownership, and intangible assets on transfer pricing decisions. The population used are infrastructure, utility, and transportation companies listed on the Indonesia Stock Exchange from 2016 to 2020 with a total of 400 companies. This study used a purposive sampling method and selected 40 units of analysis. The analysis technique used is multiple linear regression analysis. The results of the study show that tax havens have a positive and significant effect on transfer pricing decisions. Meanwhile, foreign ownership and intangible assets variables have no significant effect on transfer pricing decisions.Keywords: Transfer Pricing, Tax Haven, Foreign Ownership, Intangible Asset","author":[{"dropping-particle":"","family":"Bhudiyanti","given":"Khopifa","non-dropping-particle":"","parse-names":false,"suffix":""},{"dropping-particle":"","family":"Suryarini","given":"Trisni","non-dropping-particle":"","parse-names":false,"suffix":""}],"container-title":"Nominal Barometer Riset Akuntansi dan Manajemen","id":"ITEM-1","issue":"2","issued":{"date-parts":[["2022"]]},"page":"272-273","title":"Pengaruh Tax Haven, Foreign Ownership, dan Intangible Assets terhadap Keputusan Transfer Pricing","type":"article-journal","volume":"11"},"uris":["http://www.mendeley.com/documents/?uuid=0b2f6a8a-9bb6-4d81-9e2d-2b9294cd64c7"]}],"mendeley":{"formattedCitation":"(Bhudiyanti &amp; Suryarini, 2022)","manualFormatting":"Bhudiyanti &amp; Suryarini (2022)","plainTextFormattedCitation":"(Bhudiyanti &amp; Suryarini, 2022)","previouslyFormattedCitation":"(Bhudiyanti &amp; Suryarini,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Bhudiyanti &amp; Suryarini (2022)</w:t>
      </w:r>
      <w:r>
        <w:rPr>
          <w:rFonts w:ascii="Times New Roman" w:hAnsi="Times New Roman" w:cs="Times New Roman"/>
          <w:sz w:val="24"/>
          <w:szCs w:val="24"/>
        </w:rPr>
        <w:fldChar w:fldCharType="end"/>
      </w:r>
      <w:r>
        <w:rPr>
          <w:rFonts w:ascii="Times New Roman" w:hAnsi="Times New Roman" w:cs="Times New Roman"/>
          <w:sz w:val="24"/>
          <w:szCs w:val="24"/>
        </w:rPr>
        <w:t xml:space="preserve">, pemberlakuan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dapat memberikan manfaat yang besar bagi perusahaan yaitu peningkatan laba karena berkurangnya bahkan tidak adanya beban pajak yang harus dibayarkan oleh perusahaan. Perusahaan yang beroperasi di negara dengan pajak yang tinggi seringkali memanfaatkan anak perusahaan atau pihak terkait di negara dengan tarif pajak yang rendah untuk mengalihkan pendapatan melalui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sehingga dapat meminimalkan beban pajak mereka secara keseluruhan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{"citationItems":[{"id":"ITEM-1","itemData":{"DOI":"10.24843/EJA.2024.v34.i09.pxx","author":[{"dropping-particle":"","family":"Ni Putu Mila Purwitasari","given":"Ni Ketut Lely Aryani Merkusiwati","non-dropping-particle":"","parse-names":false,"suffix":""}],"id":"ITEM-1","issued":{"date-parts":[["2022"]]},"page":"2184-2196","title":"Impact of Income Tax, Tax Haven Utilization, and Foreign Ownership on Transfer Pricing Practices","type":"article-journal"},"uris":["http://www.mendeley.com/documents/?uuid=8b380191-f991-4049-a58b-4fb2664030fc"]}],"mendeley":{"formattedCitation":"(Ni Putu Mila Purwitasari, 2022)","manualFormatting":"(Purwitasari, 2022)","plainTextFormattedCitation":"(Ni Putu Mila Purwitasari, 2022)","previouslyFormattedCitation":"(Ni Putu Mila Purwitasari,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(Purwitasari, 2022)</w:t>
      </w:r>
      <w:r>
        <w:rPr>
          <w:rFonts w:ascii="Times New Roman" w:hAnsi="Times New Roman" w:cs="Times New Roman"/>
          <w:sz w:val="24"/>
          <w:szCs w:val="24"/>
        </w:rPr>
        <w:fldChar w:fldCharType="end"/>
      </w:r>
      <w:r>
        <w:rPr>
          <w:rFonts w:ascii="Times New Roman" w:hAnsi="Times New Roman" w:cs="Times New Roman"/>
          <w:sz w:val="24"/>
          <w:szCs w:val="24"/>
        </w:rPr>
        <w:t>. </w:t>
      </w:r>
    </w:p>
    <w:p w14:paraId="2EE80B0D"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{"citationItems":[{"id":"ITEM-1","itemData":{"DOI":"10.24843/eja.2022.v32.i05.p05","abstract":"Transfer pricing is the determination of prices in transactions between parties that have a special relationship. Transfer pricing carried out by the company in order to minimize the tax burden paid by the company by utilizing transactions with related parties. This study aims to examine the effect of taxes and the use of tax havens on transfer pricing. This research was conducted on mining sector companies listed on the Indonesia Stock Exchange (IDX) in 2016-2020. Determination of the number of samples in this study using a purposive sampling technique with three criterias, namely mining sector companies listed on the IDX that publish an annual report, earn profits, and have transactions with related parties in 2016-2020. Based on these criteria, the number of samples used in this study was 15 samples of companies with 75 observational data. Data were analyzed using multiple linear regression analysis. The results of this study indicate that taxes have no effect on transfer pricing, while the use of tax havens has a positive effect on transfer pricing.   \r Keywords: Tax; Tax Haven; Transfer Pricing.","author":[{"dropping-particle":"","family":"Devi","given":"Ni Putu Ayu Liony Krishna","non-dropping-particle":"","parse-names":false,"suffix":""},{"dropping-particle":"","family":"Noviari","given":"Naniek","non-dropping-particle":"","parse-names":false,"suffix":""}],"container-title":"E-Jurnal Akuntansi","id":"ITEM-1","issue":"5","issued":{"date-parts":[["2022"]]},"page":"1175","title":"Pengaruh Pajak dan Pemanfaatan Tax Haven pada Transfer Pricing","type":"article-journal","volume":"32"},"uris":["http://www.mendeley.com/documents/?uuid=c7b11c55-a2d6-4462-b71d-543cf0767840"]}],"mendeley":{"formattedCitation":"(N. P. A. L. K. Devi &amp; Noviari, 2022)","manualFormatting":"Devi &amp; Noviari (2022)","plainTextFormattedCitation":"(N. P. A. L. K. Devi &amp; Noviari, 2022)","previouslyFormattedCitation":"(N. P. A. L. K. Devi &amp; Noviari,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Devi &amp; Noviari (2022)</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menyatakan pemanfaatan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berpengaruh positif terhadap keputusan perusahaan dalam melakukan </w:t>
      </w:r>
      <w:r>
        <w:rPr>
          <w:rFonts w:ascii="Times New Roman" w:hAnsi="Times New Roman" w:cs="Times New Roman"/>
          <w:i/>
          <w:iCs/>
          <w:sz w:val="24"/>
          <w:szCs w:val="24"/>
        </w:rPr>
        <w:t xml:space="preserve">transfer pricing </w:t>
      </w:r>
      <w:r>
        <w:rPr>
          <w:rFonts w:ascii="Times New Roman" w:hAnsi="Times New Roman" w:cs="Times New Roman"/>
          <w:sz w:val="24"/>
          <w:szCs w:val="24"/>
        </w:rPr>
        <w:t>sama dengan hasil penelitian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{"citationItems":[{"id":"ITEM-1","itemData":{"DOI":"10.21831/nominal.v11i2.51444","ISSN":"2303-2065","abstract":"Abstrak: Pengaruh Tax Haven, Foreign Ownership, dan Intangible Assets terhadap Keputusan Transfer Pricing. Transfer pricing merupakan penetapan terhadap harga barang, jasa, maupun aset tidak berwujud yang dilakukan dari satu divisi ke divisi lain dalam perusahaan yang sama atau antar perusahaan yang saling memiliki hubungan istimewa. Motif transfer pricing yaitu untuk meminimalkan beban pajak yang ditanggung perusahaan guna mendapatkan keuntungan yang lebih tinggi. Tujuan dari penelitian ini untuk mengetahui pengaruh tax haven, foreign ownership, dan intangible assets terhadap transfer pricing. Populasi yang digunakan yaitu perusahaan infrastruktur, utilitas, dan transportasi yang terdaftar di BEI tahun 2016 hingga 2020 sejumlah 400 perusahaan. Penelitian ini menggunakan metode pengambilan sampel purposive sampling dan terpilih 40 unit analisis. Teknik analisis yang digunakan yakni analisis regresi linear berganda. Hasil penelitian menunjukkan bahwa tax haven berpengaruh positif signifikan terhadap keputusan transfer pricing, sedangkan foreign ownership dan intangible assets tidak berpengaruh signifikan terhadap keputusan transfer pricing. Kata kunci: Transfer Pricing, Surga Pajak, Kepemilikan Asing, Aset Tidak BerwujudAbstract: The Effect of Tax Haven, Foreign Ownership, and Intangible Assets on Transfer Pricing Decisions. Transfer pricing is the determination of the price of goods, services, or intangible assets carried out from one division to another within the same company or between companies that have special relationships. The transfer pricing motive is to minimize the tax burden borne by the company in order to obtain higher profits. The purpose of this study is to determine the effect of tax havens, foreign ownership, and intangible assets on transfer pricing decisions. The population used are infrastructure, utility, and transportation companies listed on the Indonesia Stock Exchange from 2016 to 2020 with a total of 400 companies. This study used a purposive sampling method and selected 40 units of analysis. The analysis technique used is multiple linear regression analysis. The results of the study show that tax havens have a positive and significant effect on transfer pricing decisions. Meanwhile, foreign ownership and intangible assets variables have no significant effect on transfer pricing decisions.Keywords: Transfer Pricing, Tax Haven, Foreign Ownership, Intangible Asset","author":[{"dropping-particle":"","family":"Bhudiyanti","given":"Khopifa","non-dropping-particle":"","parse-names":false,"suffix":""},{"dropping-particle":"","family":"Suryarini","given":"Trisni","non-dropping-particle":"","parse-names":false,"suffix":""}],"container-title":"Nominal Barometer Riset Akuntansi dan Manajemen","id":"ITEM-1","issue":"2","issued":{"date-parts":[["2022"]]},"page":"272-273","title":"Pengaruh Tax Haven, Foreign Ownership, dan Intangible Assets terhadap Keputusan Transfer Pricing","type":"article-journal","volume":"11"},"uris":["http://www.mendeley.com/documents/?uuid=0b2f6a8a-9bb6-4d81-9e2d-2b9294cd64c7"]}],"mendeley":{"formattedCitation":"(Bhudiyanti &amp; Suryarini, 2022)","manualFormatting":" Bhudiyanti &amp; Suryarini (2022)","plainTextFormattedCitation":"(Bhudiyanti &amp; Suryarini, 2022)","previouslyFormattedCitation":"(Bhudiyanti &amp; Suryarini,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Bhudiyanti &amp; Suryarini (2022)</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yang menyatakan bahwa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memiliki pengaruh positif signifikan terhadap </w:t>
      </w:r>
      <w:r>
        <w:rPr>
          <w:rFonts w:ascii="Times New Roman" w:hAnsi="Times New Roman" w:cs="Times New Roman"/>
          <w:i/>
          <w:iCs/>
          <w:sz w:val="24"/>
          <w:szCs w:val="24"/>
        </w:rPr>
        <w:t>transfer pricing</w:t>
      </w:r>
      <w:r>
        <w:rPr>
          <w:rFonts w:ascii="Times New Roman" w:hAnsi="Times New Roman" w:cs="Times New Roman"/>
          <w:sz w:val="24"/>
          <w:szCs w:val="24"/>
        </w:rPr>
        <w:t xml:space="preserve">. Semakin banyak anak perusahaan atau pihak yang berelasi di negara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maka semakin tinggi tingkat keputusan perusahaan dalam melakukan praktik </w:t>
      </w:r>
      <w:r>
        <w:rPr>
          <w:rFonts w:ascii="Times New Roman" w:hAnsi="Times New Roman" w:cs="Times New Roman"/>
          <w:i/>
          <w:iCs/>
          <w:sz w:val="24"/>
          <w:szCs w:val="24"/>
        </w:rPr>
        <w:t>transfer pricing</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Hal tersebut juga didukung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{"citationItems":[{"id":"ITEM-1","itemData":{"author":[{"dropping-particle":"","family":"Sumaryati","given":"Anna","non-dropping-particle":"","parse-names":false,"suffix":""}],"container-title":"JAKA: Jurnal Akuntansi, Keuangan dan Auditing","id":"ITEM-1","issue":"2","issued":{"date-parts":[["2023"]]},"page":"93-113","title":"Pengaruh Multinasionalitas , Tax Haven , Dan Goodwill Terhadap Transfer Pricing Dengan Moderasi Political Connection","type":"article-journal","volume":"4"},"uris":["http://www.mendeley.com/documents/?uuid=1763177e-58e2-40c6-998b-6e96827953ca"]}],"mendeley":{"formattedCitation":"(Sumaryati, 2023)","manualFormatting":"Sumaryati (2023)","plainTextFormattedCitation":"(Sumaryati, 2023)","previouslyFormattedCitation":"(Sumaryati,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Sumaryati (2023)</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bahwa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memiliki pengaruh positif terhadap keputusan </w:t>
      </w:r>
      <w:r>
        <w:rPr>
          <w:rFonts w:ascii="Times New Roman" w:hAnsi="Times New Roman" w:cs="Times New Roman"/>
          <w:sz w:val="24"/>
          <w:szCs w:val="24"/>
        </w:rPr>
        <w:lastRenderedPageBreak/>
        <w:t xml:space="preserve">perusahaan melakukan </w:t>
      </w:r>
      <w:r>
        <w:rPr>
          <w:rFonts w:ascii="Times New Roman" w:hAnsi="Times New Roman" w:cs="Times New Roman"/>
          <w:i/>
          <w:iCs/>
          <w:sz w:val="24"/>
          <w:szCs w:val="24"/>
        </w:rPr>
        <w:t>transfer pricing</w:t>
      </w:r>
      <w:r>
        <w:rPr>
          <w:rFonts w:ascii="Times New Roman" w:hAnsi="Times New Roman" w:cs="Times New Roman"/>
          <w:sz w:val="24"/>
          <w:szCs w:val="24"/>
        </w:rPr>
        <w:t>. Sejalan dengan beberapa hasil penelitian yang telah dilakukan, maka peneliti merumuskan hipotesis sebagai berikut:</w:t>
      </w:r>
    </w:p>
    <w:p w14:paraId="16FCC2A6"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1</w:t>
      </w:r>
      <w:r>
        <w:rPr>
          <w:rFonts w:ascii="Times New Roman" w:hAnsi="Times New Roman" w:cs="Times New Roman"/>
          <w:b/>
          <w:bCs/>
          <w:sz w:val="24"/>
          <w:szCs w:val="24"/>
        </w:rPr>
        <w:t xml:space="preserve">: </w:t>
      </w:r>
      <w:r>
        <w:rPr>
          <w:rFonts w:ascii="Times New Roman" w:hAnsi="Times New Roman" w:cs="Times New Roman"/>
          <w:b/>
          <w:bCs/>
          <w:i/>
          <w:iCs/>
          <w:sz w:val="24"/>
          <w:szCs w:val="24"/>
        </w:rPr>
        <w:t>tax haven</w:t>
      </w:r>
      <w:r>
        <w:rPr>
          <w:rFonts w:ascii="Times New Roman" w:hAnsi="Times New Roman" w:cs="Times New Roman"/>
          <w:b/>
          <w:bCs/>
          <w:sz w:val="24"/>
          <w:szCs w:val="24"/>
        </w:rPr>
        <w:t xml:space="preserve"> berpengaruh positif terhadap keputusan perusahaan melakukan </w:t>
      </w:r>
      <w:r>
        <w:rPr>
          <w:rFonts w:ascii="Times New Roman" w:hAnsi="Times New Roman" w:cs="Times New Roman"/>
          <w:b/>
          <w:bCs/>
          <w:i/>
          <w:iCs/>
          <w:sz w:val="24"/>
          <w:szCs w:val="24"/>
        </w:rPr>
        <w:t>transfer pricing</w:t>
      </w:r>
    </w:p>
    <w:p w14:paraId="79C4145F" w14:textId="77777777" w:rsidR="00BB58C4" w:rsidRDefault="00000000">
      <w:pPr>
        <w:pStyle w:val="SubHeading3"/>
        <w:ind w:left="0" w:firstLine="0"/>
      </w:pPr>
      <w:bookmarkStart w:id="49" w:name="_Toc220995032"/>
      <w:r>
        <w:t>2.4.2.</w:t>
      </w:r>
      <w:r>
        <w:tab/>
        <w:t xml:space="preserve">Pengaruh </w:t>
      </w:r>
      <w:r>
        <w:rPr>
          <w:i/>
          <w:iCs/>
        </w:rPr>
        <w:t xml:space="preserve">Intangible Asset </w:t>
      </w:r>
      <w:r>
        <w:t xml:space="preserve">terhadap Keputusan Perusahaan Melakukan </w:t>
      </w:r>
      <w:r>
        <w:rPr>
          <w:i/>
          <w:iCs/>
        </w:rPr>
        <w:t>Transfer Pricing</w:t>
      </w:r>
      <w:bookmarkEnd w:id="49"/>
    </w:p>
    <w:p w14:paraId="724E77F2"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pedoman </w:t>
      </w:r>
      <w:r>
        <w:rPr>
          <w:rFonts w:ascii="Times New Roman" w:hAnsi="Times New Roman" w:cs="Times New Roman"/>
          <w:i/>
          <w:iCs/>
          <w:sz w:val="24"/>
          <w:szCs w:val="24"/>
        </w:rPr>
        <w:t>Organisation for Economic Co-operation and Development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{"citationItems":[{"id":"ITEM-1","itemData":{"DOI":"10.1111/fcre.12621","ISBN":"9789264526914","ISSN":"17441617","author":[{"dropping-particle":"","family":"OECD","given":"","non-dropping-particle":"","parse-names":false,"suffix":""}],"container-title":"OECD Publishing, Paris","id":"ITEM-1","issue":"1","issued":{"date-parts":[["2022"]]},"number-of-pages":"5-6","title":"OECD Transfer Pricing Guidelines for Multinational Enterprises and Tax Administrations","type":"book","volume":"60"},"uris":["http://www.mendeley.com/documents/?uuid=90eccb6c-5f78-4b7a-ad61-4a6ada3890e4"]}],"mendeley":{"formattedCitation":"(OECD, 2022)","plainTextFormattedCitation":"(OECD, 2022)","previouslyFormattedCitation":"(OECD,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(OECD, 2022)</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OECD menyebutkan bahwa properti yang dimiliki perusahaan yang tidak memiliki wujud dimanfaatkan sebagai aset industri misalnya hak paten, merek, kekayaan intelektual, rahasia industri dan bisnis serta desain dan model. Jenis aset tak berwujud yang mudah untuk ditransfer dapat mengarah pada </w:t>
      </w:r>
      <w:r>
        <w:rPr>
          <w:rFonts w:ascii="Times New Roman" w:hAnsi="Times New Roman" w:cs="Times New Roman"/>
          <w:i/>
          <w:iCs/>
          <w:sz w:val="24"/>
          <w:szCs w:val="24"/>
        </w:rPr>
        <w:t xml:space="preserve">tax planning </w:t>
      </w:r>
      <w:r>
        <w:rPr>
          <w:rFonts w:ascii="Times New Roman" w:hAnsi="Times New Roman" w:cs="Times New Roman"/>
          <w:sz w:val="24"/>
          <w:szCs w:val="24"/>
        </w:rPr>
        <w:t xml:space="preserve">dan meningkatkan masalah </w:t>
      </w:r>
      <w:r>
        <w:rPr>
          <w:rFonts w:ascii="Times New Roman" w:hAnsi="Times New Roman" w:cs="Times New Roman"/>
          <w:i/>
          <w:iCs/>
          <w:sz w:val="24"/>
          <w:szCs w:val="24"/>
        </w:rPr>
        <w:t>transfer pricing</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{"citationItems":[{"id":"ITEM-1","itemData":{"DOI":"10.28932/jam.v13i2.3885","ISSN":"2085-8698","abstract":"Abstract\r This study aims to determine the effect of intangible assets, firm size, tax compliance, leverage on transfer pricing. The data analysis uses multiple linear regressions on 12 manufacturing companies listed on the Indonesia Stock Exchange (IDX) during 2015-2019. The results of this study show that intangible assets, firm size, tax compliance, leverage simultaneously have a significant effect on a company’s decision to practice transfer pricing, as well as intangible assets and leverage partially, have a positive and significant effect on transfer pricing. But firm size partly has a negative and significant effect on transfer pricing. Meanwhile, tax compliance has no significant effect on transfer pricing.\r  Keywords: Intangible Assets, Firm Size, Tax Compliance, Leverage, and Transfer Pricing\r  ","author":[{"dropping-particle":"","family":"Wahyudi","given":"Ickhsanto","non-dropping-particle":"","parse-names":false,"suffix":""},{"dropping-particle":"","family":"Fitriah","given":"Nur","non-dropping-particle":"","parse-names":false,"suffix":""}],"container-title":"Jurnal Akuntansi","id":"ITEM-1","issue":"2","issued":{"date-parts":[["2021"]]},"page":"388-401","title":"Pengaruh Aset Tidak Berwujud, Ukuran Perusahaan, Kepatuhan Perpajakan, dan Leverage Terhadap Transfer Pricing","type":"article-journal","volume":"13"},"uris":["http://www.mendeley.com/documents/?uuid=27706aa7-2bd0-4351-97c6-9b30f6be4f4e"]}],"mendeley":{"formattedCitation":"(Wahyudi &amp; Fitriah, 2021)","plainTextFormattedCitation":"(Wahyudi &amp; Fitriah, 2021)","previouslyFormattedCitation":"(Wahyudi &amp; Fitriah, 2021)"},"properties":{"noteIndex":0},"schema":"https://github.com/citation-style-language/schema/raw/master/csl-citation.json"}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(Wahyudi &amp; Fitriah, 2021)</w:t>
      </w:r>
      <w:r>
        <w:rPr>
          <w:rFonts w:ascii="Times New Roman" w:hAnsi="Times New Roman" w:cs="Times New Roman"/>
          <w:b/>
          <w:bCs/>
          <w:sz w:val="24"/>
          <w:szCs w:val="24"/>
        </w:rPr>
        <w:fldChar w:fldCharType="end"/>
      </w:r>
      <w:r>
        <w:rPr>
          <w:rFonts w:ascii="Times New Roman" w:hAnsi="Times New Roman" w:cs="Times New Roman"/>
          <w:sz w:val="24"/>
          <w:szCs w:val="24"/>
        </w:rPr>
        <w:t>. </w:t>
      </w:r>
    </w:p>
    <w:p w14:paraId="475C6D6F"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Kesulitan dalam mengukur nilai wajar pada transaksi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seringkali dimanfaatkan perusahaan dalam memaksimalkan keuntungan yang diterima dimana perusahaan yang berada di negara dengan tarif pajak rendah akan membayar penggunaan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dalam bentuk royalti lebih rendah kepada perusahaan afiliasi yang berada di negara dengan tarif pajak tinggi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{"citationItems":[{"id":"ITEM-1","itemData":{"DOI":"10.30871/jaat.v5i1.1852","abstract":"Transfer pricing is the price for the delivery of goods, services, or other intangible assets at related parties transact with each other based on the arm’s lenght principle. The purpose of this study to examine the influence factors of tax, intangible assets, and bonus mechanism on transfer pricing decisions. The population in this study are mining sector companies listed on the Indonesian Stock Exchange from 2015-2018. Sample selection technique used in purposive sampling and acquired 13 sample companies. The data used in this study was obtained from financial statement. Methods of data analysis in this research in logistic regression analysis using SPSS software version 23. The result showed that simultaneous tax, intangible assets, and bonus mechanism have a significant effect on transfer pricing decision. Tax partially have no significant effect on transfer pricing decision, while intangible assets has a significant positive effect on transfer pricing, and bonus mechanism have no significant effect on transfer pricing decision.","author":[{"dropping-particle":"","family":"Novira","given":"Anggun Rizki","non-dropping-particle":"","parse-names":false,"suffix":""},{"dropping-particle":"","family":"Suzan","given":"Leny","non-dropping-particle":"","parse-names":false,"suffix":""},{"dropping-particle":"","family":"Asalam","given":"Ardan Gani","non-dropping-particle":"","parse-names":false,"suffix":""}],"container-title":"Journal of Applied Accounting and Taxation","id":"ITEM-1","issue":"1","issued":{"date-parts":[["2020"]]},"page":"17-23","title":"Pengaruh Pajak, Intangible Assets, dan Mekanisme Bonus Terhadap Keputusan Transfer Pricing","type":"article-journal","volume":"5"},"uris":["http://www.mendeley.com/documents/?uuid=a5fcbd1b-d4a9-4648-a32b-21587efd0bd9"]}],"mendeley":{"formattedCitation":"(Novira et al., 2020)","plainTextFormattedCitation":"(Novira et al., 2020)","previouslyFormattedCitation":"(Novira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(Novira et al., 2020)</w:t>
      </w:r>
      <w:r>
        <w:rPr>
          <w:rFonts w:ascii="Times New Roman" w:hAnsi="Times New Roman" w:cs="Times New Roman"/>
          <w:sz w:val="24"/>
          <w:szCs w:val="24"/>
        </w:rPr>
        <w:fldChar w:fldCharType="end"/>
      </w:r>
      <w:r>
        <w:rPr>
          <w:rFonts w:ascii="Times New Roman" w:hAnsi="Times New Roman" w:cs="Times New Roman"/>
          <w:sz w:val="24"/>
          <w:szCs w:val="24"/>
        </w:rPr>
        <w:t>. Hal ini bertujuan untuk meminimalisir beban pajak royalti yang akan dibayarkan perusahaan di negara dengan tarif pajak yang tinggi.</w:t>
      </w:r>
    </w:p>
    <w:p w14:paraId="3FDF122B"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Teori internalisasi menjelaskan bahwa perusahaan multinasional cenderung melakukan internalisasi transaksi untuk menghindari biaya transaksi ekternal serta internal dan mempertahankan kontrol atas aset strategis salah satunya yaitu dengan </w:t>
      </w:r>
      <w:r>
        <w:rPr>
          <w:rFonts w:ascii="Times New Roman" w:hAnsi="Times New Roman" w:cs="Times New Roman"/>
          <w:sz w:val="24"/>
          <w:szCs w:val="24"/>
        </w:rPr>
        <w:lastRenderedPageBreak/>
        <w:t xml:space="preserve">memanfaatkan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seperti hak paten, merek dagang, dan hak cipta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{"citationItems":[{"id":"ITEM-1","itemData":{"author":[{"dropping-particle":"","family":"Kalsum","given":"Dkk","non-dropping-particle":"","parse-names":false,"suffix":""}],"id":"ITEM-1","issue":"April","issued":{"date-parts":[["2025"]]},"page":"1159-1174","title":"Factors Affecting Transfer Pricing","type":"article-journal","volume":"9"},"uris":["http://www.mendeley.com/documents/?uuid=26fe4110-65ff-4683-b53c-6d4bc9d4009c"]}],"mendeley":{"formattedCitation":"(Kalsum, 2025)","plainTextFormattedCitation":"(Kalsum, 2025)","previouslyFormattedCitation":"(Kalsum, 2025)"},"properties":{"noteIndex":0},"schema":"https://github.com/citation-style-language/schema/raw/master/csl-citation.json"}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(Kalsum, 2025)</w:t>
      </w:r>
      <w:r>
        <w:rPr>
          <w:rFonts w:ascii="Times New Roman" w:hAnsi="Times New Roman" w:cs="Times New Roman"/>
          <w:sz w:val="24"/>
          <w:szCs w:val="24"/>
        </w:rPr>
        <w:fldChar w:fldCharType="end"/>
      </w:r>
      <w:r>
        <w:rPr>
          <w:rFonts w:ascii="Times New Roman" w:hAnsi="Times New Roman" w:cs="Times New Roman"/>
          <w:sz w:val="24"/>
          <w:szCs w:val="24"/>
        </w:rPr>
        <w:t xml:space="preserve">. Aset tidak berwujud memiliki karakteristik yang tidak mudah dinilai serta mudah dipindahkan. Perusahaan akan memanipulasi harga transfer untuk royalti atau biaya lisensi yang dibayarkan dari anak perusahaan dinegara dengan tarif pajak tinggi kepada entitas di negara dengan tarif pajak rendah yang memiliki aset tak berwujud tersebut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{"citationItems":[{"id":"ITEM-1","itemData":{"DOI":"10.33087/ekonomis.v7i1.900","author":[{"dropping-particle":"","family":"Adhika","given":"Firdha Nanda","non-dropping-particle":"","parse-names":false,"suffix":""},{"dropping-particle":"","family":"Wulandari","given":"Sartika","non-dropping-particle":"","parse-names":false,"suffix":""}],"id":"ITEM-1","issued":{"date-parts":[["2023"]]},"page":"246-253","title":"Pengaruh Beban Pajak , Mekanisme Bonus , Exchange Rate , dan Intangible Asset terhadap Keputusan Transfer Pricing","type":"article-journal","volume":"7"},"uris":["http://www.mendeley.com/documents/?uuid=41e4a9b9-f930-4cdc-854a-dd5e95e36cfa"]}],"mendeley":{"formattedCitation":"(Adhika &amp; Wulandari, 2023)","plainTextFormattedCitation":"(Adhika &amp; Wulandari, 2023)","previouslyFormattedCitation":"(Adhika &amp; Wulandari,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(Adhika &amp; Wulandari, 2023)</w:t>
      </w:r>
      <w:r>
        <w:rPr>
          <w:rFonts w:ascii="Times New Roman" w:hAnsi="Times New Roman" w:cs="Times New Roman"/>
          <w:sz w:val="24"/>
          <w:szCs w:val="24"/>
        </w:rPr>
        <w:fldChar w:fldCharType="end"/>
      </w:r>
      <w:r>
        <w:rPr>
          <w:rFonts w:ascii="Times New Roman" w:hAnsi="Times New Roman" w:cs="Times New Roman"/>
          <w:sz w:val="24"/>
          <w:szCs w:val="24"/>
        </w:rPr>
        <w:t xml:space="preserve">. Hal ini secara efektif dapat mengalihkan laba dalam jumlah besar dengan memanfaatkan sifat unik aset tak berwujud yang sulit diukur kewajaran harganya (prinsip arm's length)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rck","given":"Randall","non-dropping-particle":"","parse-names":false,"suffix":""},{"dropping-particle":"","family":"Yeung","given":"Bernard","non-dropping-particle":"","parse-names":false,"suffix":""}],"id":"ITEM-1","issue":"1992","issued":{"date-parts":[["1996"]]},"page":"41-56","title":"Internalization An event study test","type":"article-journal","volume":"33"},"uris":["http://www.mendeley.com/documents/?uuid=ab0b005b-32d3-48b1-b351-8369e13d221a"]}],"mendeley":{"formattedCitation":"(Merck &amp; Yeung, 1996)","plainTextFormattedCitation":"(Merck &amp; Yeung, 1996)","previouslyFormattedCitation":"(Merck &amp; Yeung, 1996)"},"properties":{"noteIndex":0},"schema":"https://github.com/citation-style-language/schema/raw/master/csl-citation.json"}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(Merck &amp; Yeung, 1996)</w:t>
      </w:r>
      <w:r>
        <w:rPr>
          <w:rFonts w:ascii="Times New Roman" w:hAnsi="Times New Roman" w:cs="Times New Roman"/>
          <w:sz w:val="24"/>
          <w:szCs w:val="24"/>
        </w:rPr>
        <w:fldChar w:fldCharType="end"/>
      </w:r>
      <w:r>
        <w:rPr>
          <w:rFonts w:ascii="Times New Roman" w:hAnsi="Times New Roman" w:cs="Times New Roman"/>
          <w:sz w:val="24"/>
          <w:szCs w:val="24"/>
        </w:rPr>
        <w:t xml:space="preserve">. Semakin tinggi nilai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suatu perusahaan, maka semakin besar motivasi manajemen untuk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guna untuk mengoptimalkan keuntungan serta mengurangi beban pajak yang dibayarkan.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{"citationItems":[{"id":"ITEM-1","itemData":{"DOI":"10.33087/ekonomis.v7i1.900","author":[{"dropping-particle":"","family":"Adhika","given":"Firdha Nanda","non-dropping-particle":"","parse-names":false,"suffix":""},{"dropping-particle":"","family":"Wulandari","given":"Sartika","non-dropping-particle":"","parse-names":false,"suffix":""}],"id":"ITEM-1","issued":{"date-parts":[["2023"]]},"page":"246-253","title":"Pengaruh Beban Pajak , Mekanisme Bonus , Exchange Rate , dan Intangible Asset terhadap Keputusan Transfer Pricing","type":"article-journal","volume":"7"},"uris":["http://www.mendeley.com/documents/?uuid=41e4a9b9-f930-4cdc-854a-dd5e95e36cfa"]}],"mendeley":{"formattedCitation":"(Adhika &amp; Wulandari, 2023)","plainTextFormattedCitation":"(Adhika &amp; Wulandari,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(Adhika &amp; Wulandari, 2023)</w:t>
      </w:r>
      <w:r>
        <w:rPr>
          <w:rFonts w:ascii="Times New Roman" w:hAnsi="Times New Roman" w:cs="Times New Roman"/>
          <w:sz w:val="24"/>
          <w:szCs w:val="24"/>
        </w:rPr>
        <w:fldChar w:fldCharType="end"/>
      </w:r>
    </w:p>
    <w:p w14:paraId="6BC8C31A"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{"citationItems":[{"id":"ITEM-1","itemData":{"DOI":"10.30871/jaat.v5i1.1852","abstract":"Transfer pricing is the price for the delivery of goods, services, or other intangible assets at related parties transact with each other based on the arm’s lenght principle. The purpose of this study to examine the influence factors of tax, intangible assets, and bonus mechanism on transfer pricing decisions. The population in this study are mining sector companies listed on the Indonesian Stock Exchange from 2015-2018. Sample selection technique used in purposive sampling and acquired 13 sample companies. The data used in this study was obtained from financial statement. Methods of data analysis in this research in logistic regression analysis using SPSS software version 23. The result showed that simultaneous tax, intangible assets, and bonus mechanism have a significant effect on transfer pricing decision. Tax partially have no significant effect on transfer pricing decision, while intangible assets has a significant positive effect on transfer pricing, and bonus mechanism have no significant effect on transfer pricing decision.","author":[{"dropping-particle":"","family":"Novira","given":"Anggun Rizki","non-dropping-particle":"","parse-names":false,"suffix":""},{"dropping-particle":"","family":"Suzan","given":"Leny","non-dropping-particle":"","parse-names":false,"suffix":""},{"dropping-particle":"","family":"Asalam","given":"Ardan Gani","non-dropping-particle":"","parse-names":false,"suffix":""}],"container-title":"Journal of Applied Accounting and Taxation","id":"ITEM-1","issue":"1","issued":{"date-parts":[["2020"]]},"page":"17-23","title":"Pengaruh Pajak, Intangible Assets, dan Mekanisme Bonus Terhadap Keputusan Transfer Pricing","type":"article-journal","volume":"5"},"uris":["http://www.mendeley.com/documents/?uuid=a5fcbd1b-d4a9-4648-a32b-21587efd0bd9"]}],"mendeley":{"formattedCitation":"(Novira et al., 2020)","manualFormatting":"Novira et al., (2020)","plainTextFormattedCitation":"(Novira et al., 2020)","previouslyFormattedCitation":"(Novira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Novira et al., (2020)</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{"citationItems":[{"id":"ITEM-1","itemData":{"DOI":"10.28932/jam.v13i2.3885","ISSN":"2085-8698","abstract":"Abstract\r This study aims to determine the effect of intangible assets, firm size, tax compliance, leverage on transfer pricing. The data analysis uses multiple linear regressions on 12 manufacturing companies listed on the Indonesia Stock Exchange (IDX) during 2015-2019. The results of this study show that intangible assets, firm size, tax compliance, leverage simultaneously have a significant effect on a company’s decision to practice transfer pricing, as well as intangible assets and leverage partially, have a positive and significant effect on transfer pricing. But firm size partly has a negative and significant effect on transfer pricing. Meanwhile, tax compliance has no significant effect on transfer pricing.\r  Keywords: Intangible Assets, Firm Size, Tax Compliance, Leverage, and Transfer Pricing\r  ","author":[{"dropping-particle":"","family":"Wahyudi","given":"Ickhsanto","non-dropping-particle":"","parse-names":false,"suffix":""},{"dropping-particle":"","family":"Fitriah","given":"Nur","non-dropping-particle":"","parse-names":false,"suffix":""}],"container-title":"Jurnal Akuntansi","id":"ITEM-1","issue":"2","issued":{"date-parts":[["2021"]]},"page":"388-401","title":"Pengaruh Aset Tidak Berwujud, Ukuran Perusahaan, Kepatuhan Perpajakan, dan Leverage Terhadap Transfer Pricing","type":"article-journal","volume":"13"},"uris":["http://www.mendeley.com/documents/?uuid=27706aa7-2bd0-4351-97c6-9b30f6be4f4e"]}],"mendeley":{"formattedCitation":"(Wahyudi &amp; Fitriah, 2021)","manualFormatting":"Wahyudi &amp; Fitriah (2021)","plainTextFormattedCitation":"(Wahyudi &amp; Fitriah, 2021)","previouslyFormattedCitation":"(Wahyudi &amp; Fitriah,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Wahyudi &amp; Fitriah (2021)</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menyatakan bahwa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berpengaruh positif signifikan terhadap keputusan perusahaan dalam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Sama halnya dengan hasil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{"citationItems":[{"id":"ITEM-1","itemData":{"DOI":"10.33005/jasf.v3i2.89","abstract":"This study aims to examine prudence's role in moderating the effect of bonus mechanism, intangible asset, and inventory intensity ratio on transfer pricing decisions. This research population is all property, real estate &amp; construction companies, and manufacturing companies listed on the Indonesia Stock Exchange in 2018. The sampling technique uses a purposive sampling method to obtain 109 units of analysis. This study uses moderated regression analysis (MRA), which is processed using IBM SPSS 21. This study proves that the bonus mechanism does not affect, while intangible assets and inventory intensity ratio significantly affect transfer pricing decisions. Prudence is proven to moderate the intangible assets' influence but does not moderate the impact of the bonus mechanism and inventory intensity ratio on transfer pricing decisions. This study concludes that the bonus mechanism does not affect the transfer pricing decision. Prudence is proven to moderate the effect of intangible assets but does not moderate the impact of the bonus mechanism and inventory intensity ratio on transfer pricing decisions.","author":[{"dropping-particle":"","family":"Khasanah","given":"Uswatun","non-dropping-particle":"","parse-names":false,"suffix":""},{"dropping-particle":"","family":"Suryarini","given":"Trisni","non-dropping-particle":"","parse-names":false,"suffix":""}],"container-title":"Journal of Accounting and Strategic Finance","id":"ITEM-1","issue":"2","issued":{"date-parts":[["2020"]]},"page":"154-168","title":"The Role of Prudence in Moderating the Effect of Bonus Mechanism, Intangible Assets, and Inventory Intensity Ratio on Transfer Pricing","type":"article-journal","volume":"3"},"uris":["http://www.mendeley.com/documents/?uuid=8fb684e5-090f-406a-8020-0bc49f6100d7"]}],"mendeley":{"formattedCitation":"(Khasanah &amp; Suryarini, 2020)","manualFormatting":"Khasanah &amp; Suryarini (2020)","plainTextFormattedCitation":"(Khasanah &amp; Suryarini, 2020)","previouslyFormattedCitation":"(Khasanah &amp; Suryarini,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Khasanah &amp; Suryarini (2020)</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yang menyatakan bahwa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berpengaruh signifikan terhadap keputusan penetapan </w:t>
      </w:r>
      <w:r>
        <w:rPr>
          <w:rFonts w:ascii="Times New Roman" w:hAnsi="Times New Roman" w:cs="Times New Roman"/>
          <w:i/>
          <w:iCs/>
          <w:sz w:val="24"/>
          <w:szCs w:val="24"/>
        </w:rPr>
        <w:t>transfer pricing</w:t>
      </w:r>
      <w:r>
        <w:rPr>
          <w:rFonts w:ascii="Times New Roman" w:hAnsi="Times New Roman" w:cs="Times New Roman"/>
          <w:sz w:val="24"/>
          <w:szCs w:val="24"/>
        </w:rPr>
        <w:t>. Berdasarkan hal tersebut maka hipotesis dari penelitian ini adalah sebagai berikut:</w:t>
      </w:r>
    </w:p>
    <w:p w14:paraId="0FF1A13A" w14:textId="77777777" w:rsidR="00BB58C4" w:rsidRDefault="00000000">
      <w:pPr>
        <w:spacing w:after="0" w:line="480" w:lineRule="auto"/>
        <w:jc w:val="both"/>
        <w:rPr>
          <w:rFonts w:ascii="Times New Roman" w:hAnsi="Times New Roman" w:cs="Times New Roman"/>
          <w:b/>
          <w:bCs/>
          <w:i/>
          <w:iCs/>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w:t>
      </w:r>
      <w:r>
        <w:rPr>
          <w:rFonts w:ascii="Times New Roman" w:hAnsi="Times New Roman" w:cs="Times New Roman"/>
          <w:b/>
          <w:bCs/>
          <w:i/>
          <w:iCs/>
          <w:sz w:val="24"/>
          <w:szCs w:val="24"/>
        </w:rPr>
        <w:t>intangible asset</w:t>
      </w:r>
      <w:r>
        <w:rPr>
          <w:rFonts w:ascii="Times New Roman" w:hAnsi="Times New Roman" w:cs="Times New Roman"/>
          <w:b/>
          <w:bCs/>
          <w:sz w:val="24"/>
          <w:szCs w:val="24"/>
        </w:rPr>
        <w:t xml:space="preserve"> berpengaruh positif terhadap keputusan perusahaan melakukan </w:t>
      </w:r>
      <w:r>
        <w:rPr>
          <w:rFonts w:ascii="Times New Roman" w:hAnsi="Times New Roman" w:cs="Times New Roman"/>
          <w:b/>
          <w:bCs/>
          <w:i/>
          <w:iCs/>
          <w:sz w:val="24"/>
          <w:szCs w:val="24"/>
        </w:rPr>
        <w:t>transfer pricing</w:t>
      </w:r>
    </w:p>
    <w:p w14:paraId="43C2ED63" w14:textId="77777777" w:rsidR="00BB58C4" w:rsidRDefault="00BB58C4">
      <w:pPr>
        <w:spacing w:after="0" w:line="480" w:lineRule="auto"/>
        <w:jc w:val="both"/>
        <w:rPr>
          <w:rFonts w:ascii="Times New Roman" w:hAnsi="Times New Roman" w:cs="Times New Roman"/>
          <w:sz w:val="24"/>
          <w:szCs w:val="24"/>
        </w:rPr>
      </w:pPr>
    </w:p>
    <w:p w14:paraId="2819B519" w14:textId="77777777" w:rsidR="00BB58C4" w:rsidRDefault="00000000">
      <w:pPr>
        <w:pStyle w:val="SubHeading3"/>
        <w:tabs>
          <w:tab w:val="left" w:pos="426"/>
        </w:tabs>
        <w:ind w:left="0" w:firstLine="0"/>
        <w:rPr>
          <w:i/>
          <w:iCs/>
        </w:rPr>
      </w:pPr>
      <w:bookmarkStart w:id="50" w:name="_Toc220995033"/>
      <w:r>
        <w:lastRenderedPageBreak/>
        <w:t>2.4.3.</w:t>
      </w:r>
      <w:r>
        <w:tab/>
        <w:t xml:space="preserve">Pengaruh </w:t>
      </w:r>
      <w:r>
        <w:rPr>
          <w:i/>
          <w:iCs/>
        </w:rPr>
        <w:t xml:space="preserve">Tax Minimization </w:t>
      </w:r>
      <w:r>
        <w:t xml:space="preserve">terhadap Keputusan Perusahaan Melakukan </w:t>
      </w:r>
      <w:r>
        <w:rPr>
          <w:i/>
          <w:iCs/>
        </w:rPr>
        <w:t>Transfer Pricing</w:t>
      </w:r>
      <w:bookmarkEnd w:id="50"/>
    </w:p>
    <w:p w14:paraId="7D455A84" w14:textId="77777777" w:rsidR="00BB58C4" w:rsidRDefault="00000000">
      <w:pPr>
        <w:spacing w:line="480" w:lineRule="auto"/>
        <w:jc w:val="both"/>
        <w:rPr>
          <w:rFonts w:ascii="Times New Roman" w:hAnsi="Times New Roman" w:cs="Times New Roman"/>
          <w:b/>
          <w:bCs/>
          <w:sz w:val="24"/>
          <w:szCs w:val="24"/>
        </w:rPr>
      </w:pPr>
      <w:r>
        <w:tab/>
      </w:r>
      <w:r>
        <w:rPr>
          <w:rFonts w:ascii="Times New Roman" w:hAnsi="Times New Roman" w:cs="Times New Roman"/>
          <w:sz w:val="24"/>
          <w:szCs w:val="24"/>
        </w:rPr>
        <w:t xml:space="preserve">Dalam konteks teori internalisasi, perusahaan menginternalisasi transaksi untuk memaksimalkan nilai perusahaan, termasuk dengan mengelola pajak melalui </w:t>
      </w:r>
      <w:r>
        <w:rPr>
          <w:rFonts w:ascii="Times New Roman" w:hAnsi="Times New Roman" w:cs="Times New Roman"/>
          <w:i/>
          <w:iCs/>
          <w:sz w:val="24"/>
          <w:szCs w:val="24"/>
        </w:rPr>
        <w:t>transfer</w:t>
      </w:r>
      <w:r>
        <w:rPr>
          <w:rFonts w:ascii="Times New Roman" w:hAnsi="Times New Roman" w:cs="Times New Roman"/>
          <w:sz w:val="24"/>
          <w:szCs w:val="24"/>
        </w:rPr>
        <w:t xml:space="preserve"> </w:t>
      </w:r>
      <w:r>
        <w:rPr>
          <w:rFonts w:ascii="Times New Roman" w:hAnsi="Times New Roman" w:cs="Times New Roman"/>
          <w:i/>
          <w:iCs/>
          <w:sz w:val="24"/>
          <w:szCs w:val="24"/>
        </w:rPr>
        <w:t>pricing</w:t>
      </w:r>
      <w:r>
        <w:rPr>
          <w:rFonts w:ascii="Times New Roman" w:hAnsi="Times New Roman" w:cs="Times New Roman"/>
          <w:sz w:val="24"/>
          <w:szCs w:val="24"/>
        </w:rPr>
        <w:t xml:space="preserve">. Dengan adanya </w:t>
      </w:r>
      <w:r>
        <w:rPr>
          <w:rFonts w:ascii="Times New Roman" w:hAnsi="Times New Roman" w:cs="Times New Roman"/>
          <w:i/>
          <w:iCs/>
          <w:sz w:val="24"/>
          <w:szCs w:val="24"/>
        </w:rPr>
        <w:t xml:space="preserve">tax minimization </w:t>
      </w:r>
      <w:r>
        <w:rPr>
          <w:rFonts w:ascii="Times New Roman" w:hAnsi="Times New Roman" w:cs="Times New Roman"/>
          <w:sz w:val="24"/>
          <w:szCs w:val="24"/>
        </w:rPr>
        <w:t>maka perusahaan dapat mengurangi beban pajak dan meningkatkan efisiensi operasional melalui pengelolaan transaksi antar anak perusahaan yang dikontrol secara internal.</w:t>
      </w:r>
    </w:p>
    <w:p w14:paraId="68AE835F" w14:textId="77777777" w:rsidR="00BB58C4" w:rsidRDefault="00000000">
      <w:pPr>
        <w:spacing w:line="480" w:lineRule="auto"/>
        <w:jc w:val="both"/>
        <w:rPr>
          <w:rFonts w:ascii="Times New Roman" w:hAnsi="Times New Roman" w:cs="Times New Roman"/>
          <w:b/>
          <w:bCs/>
          <w:sz w:val="24"/>
          <w:szCs w:val="24"/>
        </w:rPr>
      </w:pPr>
      <w:r>
        <w:rPr>
          <w:rFonts w:ascii="Times New Roman" w:hAnsi="Times New Roman" w:cs="Times New Roman"/>
          <w:sz w:val="24"/>
          <w:szCs w:val="24"/>
        </w:rPr>
        <w:tab/>
        <w:t>Teori internalisasi memiliki peran penting dalam menjelaskan terkait perilaku perusahaan dalam memaksimalkan laba yang dihasilkan dengan mengurangi beban pajak secara legal dan internal. Perusahaan menggunakan internalisasi transaksi internal sebagai alat untuk mengatur laba secara strategis serta dapat mengontrol dan mengelola aset perusahaan secara internal. Strategi ini bertujuan untuk meningkatkan efisiensi dan perlindungan aset serta memberikan kebebasan dalam menentukan harga transaksi secara internal termasuk harga transfer sehingga laba dapat dialihkan ke negara yang menerapkan tarif pajak yang rendah dan total beban pajak perusahaan yang wajib dibayarkan berkurang.</w:t>
      </w:r>
    </w:p>
    <w:p w14:paraId="09F2B273"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 xml:space="preserve">Dari sudut pandang bisnis, perusahaan cenderung mengupayakan efisiensi biaya, termasuk meminimalkan pembayaran pajak penghasilan badan, sedangkan dari perspektif perusahaan multinasional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diyakini sebagai strategi yang efektif untuk memenangkan persaingan dalam perebutan sumber daya yang terbatas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{"citationItems":[{"id":"ITEM-1","itemData":{"DOI":"10.47505/IJRSS.2023.V4.4.1","ISSN":"25826220","abstract":"Profit is the main orientation for every business entitybecause profit is one of the company's performance indicators in order to maintain its sustainability, therefore various strategies are designed and implemented so that the company continues to exist and is able to compete along with increasingly competitive and massive developments. Transfer pricing is a strategy that is oftenimplemented by companies in order to manage resources while achieving profit optimization and as a strategy is certainly influenced by several determinants including Tax minimization, leverage and Good Corporate Governance. This study intends to examine the effect of tax minimization and leverage through the interaction of Good Corporate Governance which is proxied by the number of audit committees with educational backgrounds and accounting experience. The population used are all entities in the industrial sector listed on the Indonesia Stock Exchange, using purposive sampling obtained from 17 selected companies with the observation period 2019 –2021 so that a total sample data of 51 is obtained. Moderating Regression Analysis (MRA) is used as a technique to examine the relationship between variables. The test results show that partially Tax minimization, leverage, and Good Corporate Governance have a significant effect on transfer pricing. The test results also show that GCG is able to moderate both tax minimization and leverage on transfer pricing.","author":[{"dropping-particle":"","family":"Fatmi","given":"Aulia Arie","non-dropping-particle":"","parse-names":false,"suffix":""},{"dropping-particle":"","family":"Amin","given":"Aminul","non-dropping-particle":"","parse-names":false,"suffix":""}],"container-title":"International Journal of Research in Social Science and Humanities (IJRSS)","id":"ITEM-1","issue":"04","issued":{"date-parts":[["2023"]]},"page":"01-15","title":"The Effect of Tax Minimization and Leverage on Transfer Pricing Decisions With GCG as Moderation","type":"article-journal","volume":"09"},"uris":["http://www.mendeley.com/documents/?uuid=3d469e8b-bc9f-4dc0-9ffc-78030bea2052"]}],"mendeley":{"formattedCitation":"(Fatmi &amp; Amin, 2023)","plainTextFormattedCitation":"(Fatmi &amp; Amin, 2023)","previouslyFormattedCitation":"(Fatmi &amp; Amin,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(Fatmi &amp; Amin, 2023)</w:t>
      </w:r>
      <w:r>
        <w:rPr>
          <w:rFonts w:ascii="Times New Roman" w:hAnsi="Times New Roman" w:cs="Times New Roman"/>
          <w:sz w:val="24"/>
          <w:szCs w:val="24"/>
        </w:rPr>
        <w:fldChar w:fldCharType="end"/>
      </w:r>
      <w:r>
        <w:rPr>
          <w:rFonts w:ascii="Times New Roman" w:hAnsi="Times New Roman" w:cs="Times New Roman"/>
          <w:sz w:val="24"/>
          <w:szCs w:val="24"/>
        </w:rPr>
        <w:t xml:space="preserve">. Perusahaan seringkali beranggapan bahwa membayar pajak merupakan suatu beban sehingga berbagai strategi dilakukan agar dapat meminimalisir beban tersebut sehingga laba yang dihasilkan tetap maksimal </w:t>
      </w: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{"citationItems":[{"id":"ITEM-1","itemData":{"DOI":"10.47505/IJRSS.2023.V4.4.1","ISSN":"25826220","abstract":"Profit is the main orientation for every business entitybecause profit is one of the company's performance indicators in order to maintain its sustainability, therefore various strategies are designed and implemented so that the company continues to exist and is able to compete along with increasingly competitive and massive developments. Transfer pricing is a strategy that is oftenimplemented by companies in order to manage resources while achieving profit optimization and as a strategy is certainly influenced by several determinants including Tax minimization, leverage and Good Corporate Governance. This study intends to examine the effect of tax minimization and leverage through the interaction of Good Corporate Governance which is proxied by the number of audit committees with educational backgrounds and accounting experience. The population used are all entities in the industrial sector listed on the Indonesia Stock Exchange, using purposive sampling obtained from 17 selected companies with the observation period 2019 –2021 so that a total sample data of 51 is obtained. Moderating Regression Analysis (MRA) is used as a technique to examine the relationship between variables. The test results show that partially Tax minimization, leverage, and Good Corporate Governance have a significant effect on transfer pricing. The test results also show that GCG is able to moderate both tax minimization and leverage on transfer pricing.","author":[{"dropping-particle":"","family":"Fatmi","given":"Aulia Arie","non-dropping-particle":"","parse-names":false,"suffix":""},{"dropping-particle":"","family":"Amin","given":"Aminul","non-dropping-particle":"","parse-names":false,"suffix":""}],"container-title":"International Journal of Research in Social Science and Humanities (IJRSS)","id":"ITEM-1","issue":"04","issued":{"date-parts":[["2023"]]},"page":"01-15","title":"The Effect of Tax Minimization and Leverage on Transfer Pricing Decisions With GCG as Moderation","type":"article-journal","volume":"09"},"uris":["http://www.mendeley.com/documents/?uuid=3d469e8b-bc9f-4dc0-9ffc-78030bea2052"]}],"mendeley":{"formattedCitation":"(Fatmi &amp; Amin, 2023)","plainTextFormattedCitation":"(Fatmi &amp; Amin, 2023)","previouslyFormattedCitation":"(Fatmi &amp; Amin,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(Fatmi &amp; Amin, 2023)</w:t>
      </w:r>
      <w:r>
        <w:rPr>
          <w:rFonts w:ascii="Times New Roman" w:hAnsi="Times New Roman" w:cs="Times New Roman"/>
          <w:sz w:val="24"/>
          <w:szCs w:val="24"/>
        </w:rPr>
        <w:fldChar w:fldCharType="end"/>
      </w:r>
      <w:r>
        <w:rPr>
          <w:rFonts w:ascii="Times New Roman" w:hAnsi="Times New Roman" w:cs="Times New Roman"/>
          <w:sz w:val="24"/>
          <w:szCs w:val="24"/>
        </w:rPr>
        <w:t xml:space="preserve"> . Beban pajak yang semakin besar memicu perusahaan untuk melakukan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dengan tujuan untuk mengurangi beban pajak yang akan dibayarkan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{"citationItems":[{"id":"ITEM-1","itemData":{"DOI":"10.24123/jbt.v5i1.4079","ISSN":"2580-4928","abstract":"Abstract\r The purpose of this study was to determine the effect of tax minimization, bonus mechanisms, foreign ownership, exchange rates, and audit quality on transfer pricing in manufacturing companies in Indonesia. The population of this research was all manufacturing companies listed on the Indonesia Stock Exchange from 2017 to 2019. By using the purposive sampling method, 81 companies were selected as the research sample. Based on logistic regression analysis, it was proven that the tax minimization variable has a significant positive effect on transfer pricing decisions. Likewise, the audit quality variable is proven to have a significant negative effect on transfer pricing decisions in manufacturing companies in Indonesia. Meanwhile, the bonus mechanism, foreign ownership, and exchange rate variables were not proven to have a significant effect on the company's transfer pricing decision. These results indicated that the greater the tax minimization carried out by the company and the lower the audit quality will increase the probability of the company in conducting transfer pricing, and vice versa. The results of this study have implications for encouraging the government to make regulations that can prevent transfer pricing practices between companies that have a special relationship that might harm the government from tax revenue.\r  Keywords: bonus mechanism; foreign ownership; tax minimization; transfer pricing","author":[{"dropping-particle":"","family":"Marfuah","given":"Marfuah","non-dropping-particle":"","parse-names":false,"suffix":""},{"dropping-particle":"","family":"Sanintya Mayantya","given":"","non-dropping-particle":"","parse-names":false,"suffix":""},{"dropping-particle":"","family":"Priyono Puji Prasetyo","given":"","non-dropping-particle":"","parse-names":false,"suffix":""}],"container-title":"Jurnal Bisnis Terapan","id":"ITEM-1","issue":"1","issued":{"date-parts":[["2021"]]},"page":"57-72","title":"the Effect of Tax Minimization, Bonus Mechanism, Foreign Ownership, Exchange Rate, Audit Quality on Transfer Pricing Decisions","type":"article-journal","volume":"5"},"uris":["http://www.mendeley.com/documents/?uuid=585f3e42-702a-4a8a-9d48-2a9b7a37c2a6"]}],"mendeley":{"formattedCitation":"(Marfuah et al., 2021)","plainTextFormattedCitation":"(Marfuah et al., 2021)","previouslyFormattedCitation":"(Marfuah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(Marfuah et al., 2021)</w:t>
      </w:r>
      <w:r>
        <w:rPr>
          <w:rFonts w:ascii="Times New Roman" w:hAnsi="Times New Roman" w:cs="Times New Roman"/>
          <w:sz w:val="24"/>
          <w:szCs w:val="24"/>
        </w:rPr>
        <w:fldChar w:fldCharType="end"/>
      </w:r>
      <w:r>
        <w:rPr>
          <w:rFonts w:ascii="Times New Roman" w:hAnsi="Times New Roman" w:cs="Times New Roman"/>
          <w:sz w:val="24"/>
          <w:szCs w:val="24"/>
        </w:rPr>
        <w:t>. </w:t>
      </w:r>
    </w:p>
    <w:p w14:paraId="3EB49E93"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merupakan salah satu tindakan penghindaran pajak yang digunakan perusahaan untuk meminimalkan beban pajak yang wajib dibayarkan perusahaan kepada otoritas pajak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ska","given":"Amilia","non-dropping-particle":"","parse-names":false,"suffix":""},{"dropping-particle":"","family":"Anwar","given":"Saiful","non-dropping-particle":"","parse-names":false,"suffix":""}],"container-title":"Jurnal Akuntansi Berkelanjutan Indonesia","id":"ITEM-1","issue":"3","issued":{"date-parts":[["2021"]]},"page":"266-280","title":"PENGARUH TUNNELING INCENTIVE , BONUS MECHANISM , DEBT COVENANT DAN TAX MINIMIZATION TERHADAP KEPUTUSAN TRANSFER PRICING Abstrack Abstrak","type":"article-journal","volume":"4"},"uris":["http://www.mendeley.com/documents/?uuid=c7389544-506d-4b61-8826-e95b132c1889"]}],"mendeley":{"formattedCitation":"(Riska &amp; Anwar, 2021)","plainTextFormattedCitation":"(Riska &amp; Anwar, 2021)","previouslyFormattedCitation":"(Riska &amp; Anwar,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(Riska &amp; Anwar,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dilakukan dengan cara mengalihkan penghasilan serta biaya perusahaan yang mempunyai hubungan istimewa dengan perusahaan afiliasi di negara lain yang memiliki tarif pajak yang berbeda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{"citationItems":[{"id":"ITEM-1","itemData":{"DOI":"10.37481/sjr.v6i1.634","ISSN":"2615-3009","abstract":"This study aims to find out and test empirically the effect of tax minimization, exchange rates and tunneling incentives on transfer tricing decisions in manufacturing companies listed on the Indonesia Stock Exchange in 2015-2020. The type of research used is associative quantitative which uses secondary data in the form of financial reports that have been published by the company on the Indonesia Stock Exchange. The population of this study were 138 companies and the selected sample was 11 companies using purposive sampling method, with 61 data analyzed. The data analysis technique for testing this hypothesis was carried out using the Eviews 9 application. The results of this study show that simultaneously tax minimization, exchange rate and tunneling incentives have a significant effect on transfer pricing. Partially, tax minimization has no effect on transfer pricing, the exchange rate has a significant positive effect on transfer pricing. Tunneling incentive has a significant positive effect on transfer pricing.","author":[{"dropping-particle":"","family":"Putri","given":"Wulandari Cahyani","non-dropping-particle":"","parse-names":false,"suffix":""},{"dropping-particle":"","family":"Lindawati","given":"Lindawati","non-dropping-particle":"","parse-names":false,"suffix":""}],"container-title":"SCIENTIFIC JOURNAL OF REFLECTION : Economic, Accounting, Management and Business","id":"ITEM-1","issue":"1","issued":{"date-parts":[["2023"]]},"page":"195-204","title":"Pengaruh Tax Minimization, Exchange Rate Dan Tunneling Incentive Terhadap Keputusan Transfer Pricing","type":"article-journal","volume":"6"},"uris":["http://www.mendeley.com/documents/?uuid=737bddbc-edfa-4071-9c61-e6720a578abf"]}],"mendeley":{"formattedCitation":"(Putri &amp; Lindawati, 2023)","plainTextFormattedCitation":"(Putri &amp; Lindawati, 2023)","previouslyFormattedCitation":"(Putri &amp; Lindawati,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(Putri &amp; Lindawati,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{"citationItems":[{"id":"ITEM-1","itemData":{"DOI":"10.15294/aaj.v9i2.36469","ISSN":"2252-6765","abstract":"The aims of this research are to analyze and to find empirical evidence about the effect of tax minimization and exchange rate on company decision of transfer pricing with leverage as moderating variable. The population of this research was mining companies which listed in Indonesia Stock Exchange (IDX) over the period 2013 to 2018 from 45 companies. The sampling technique used purposive sampling. Eighteen companies were selected with 65 units analysis were obtained. In addition, data was analyzed using descriptive statistics and inferential statistics using Moderated Regression Analysis (MRA). The data was processed by IBM SPSS Statistics 21 software. The results show that tax minimization and exchange rate have positive and significant effect on transfer pricing. Leverage does not moderate the effect of tax minimization on transfer pricing but leverage significantly moderate the effect of exchange rate on transfer pricing. The conclusion of this research is transfer pricing decision will be higher when tax minimization and exchange rate be higher, but leverage can moderate the effect of exchange rate to transfer pricing.","author":[{"dropping-particle":"","family":"Devi","given":"Diah Kumala","non-dropping-particle":"","parse-names":false,"suffix":""},{"dropping-particle":"","family":"Suryarini","given":"Trisni","non-dropping-particle":"","parse-names":false,"suffix":""}],"container-title":"Accounting Analysis Journal","id":"ITEM-1","issue":"2","issued":{"date-parts":[["2020"]]},"page":"110-115","title":"The Effect of Tax Minimization and Exchange Rate on Transfer Pricing Decisions with Leverage as Moderating","type":"article","volume":"9"},"uris":["http://www.mendeley.com/documents/?uuid=30276047-531a-4d4d-91ff-504c4b05dec6"]}],"mendeley":{"formattedCitation":"(D. K. Devi &amp; Suryarini, 2020)","manualFormatting":"Devi &amp; Suryarini (2020)","plainTextFormattedCitation":"(D. K. Devi &amp; Suryarini, 2020)","previouslyFormattedCitation":"(D. K. Devi &amp; Suryarini,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Devi &amp; Suryarini (2020)</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menyatakan bahwa perusahaan akan melakukan minimalisasi pajak, salah satunya melalui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sehingga semakin tinggi minimalisasi pajak yang dilakukan suatu perusahaan maka semakin tinggi pula keputusan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yang akan diambil perusahaan. Hal ini sejalan dengan hasil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{"citationItems":[{"id":"ITEM-1","itemData":{"DOI":"10.24123/jbt.v5i1.4079","ISSN":"2580-4928","abstract":"Abstract\r The purpose of this study was to determine the effect of tax minimization, bonus mechanisms, foreign ownership, exchange rates, and audit quality on transfer pricing in manufacturing companies in Indonesia. The population of this research was all manufacturing companies listed on the Indonesia Stock Exchange from 2017 to 2019. By using the purposive sampling method, 81 companies were selected as the research sample. Based on logistic regression analysis, it was proven that the tax minimization variable has a significant positive effect on transfer pricing decisions. Likewise, the audit quality variable is proven to have a significant negative effect on transfer pricing decisions in manufacturing companies in Indonesia. Meanwhile, the bonus mechanism, foreign ownership, and exchange rate variables were not proven to have a significant effect on the company's transfer pricing decision. These results indicated that the greater the tax minimization carried out by the company and the lower the audit quality will increase the probability of the company in conducting transfer pricing, and vice versa. The results of this study have implications for encouraging the government to make regulations that can prevent transfer pricing practices between companies that have a special relationship that might harm the government from tax revenue.\r  Keywords: bonus mechanism; foreign ownership; tax minimization; transfer pricing","author":[{"dropping-particle":"","family":"Marfuah","given":"Marfuah","non-dropping-particle":"","parse-names":false,"suffix":""},{"dropping-particle":"","family":"Sanintya Mayantya","given":"","non-dropping-particle":"","parse-names":false,"suffix":""},{"dropping-particle":"","family":"Priyono Puji Prasetyo","given":"","non-dropping-particle":"","parse-names":false,"suffix":""}],"container-title":"Jurnal Bisnis Terapan","id":"ITEM-1","issue":"1","issued":{"date-parts":[["2021"]]},"page":"57-72","title":"the Effect of Tax Minimization, Bonus Mechanism, Foreign Ownership, Exchange Rate, Audit Quality on Transfer Pricing Decisions","type":"article-journal","volume":"5"},"uris":["http://www.mendeley.com/documents/?uuid=585f3e42-702a-4a8a-9d48-2a9b7a37c2a6"]}],"mendeley":{"formattedCitation":"(Marfuah et al., 2021)","manualFormatting":"Marfuah et al., (2021)","plainTextFormattedCitation":"(Marfuah et al., 2021)","previouslyFormattedCitation":"(Marfuah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Marfuah et al., (2021)</w:t>
      </w:r>
      <w:r>
        <w:rPr>
          <w:rFonts w:ascii="Times New Roman" w:hAnsi="Times New Roman" w:cs="Times New Roman"/>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yang menyatakan bahwa adanya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berpengaruh secara positif terhadap keputusan perusahaan dalam melakukan </w:t>
      </w:r>
      <w:r>
        <w:rPr>
          <w:rFonts w:ascii="Times New Roman" w:hAnsi="Times New Roman" w:cs="Times New Roman"/>
          <w:i/>
          <w:iCs/>
          <w:sz w:val="24"/>
          <w:szCs w:val="24"/>
        </w:rPr>
        <w:t>transfer pricing</w:t>
      </w:r>
      <w:r>
        <w:rPr>
          <w:rFonts w:ascii="Times New Roman" w:hAnsi="Times New Roman" w:cs="Times New Roman"/>
          <w:sz w:val="24"/>
          <w:szCs w:val="24"/>
        </w:rPr>
        <w:t>. Sama halnya dengan penelitian yang dilakukan oleh</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{"citationItems":[{"id":"ITEM-1","itemData":{"DOI":"10.47505/IJRSS.2023.V4.4.1","ISSN":"25826220","abstract":"Profit is the main orientation for every business entitybecause profit is one of the company's performance indicators in order to maintain its sustainability, therefore various strategies are designed and implemented so that the company continues to exist and is able to compete along with increasingly competitive and massive developments. Transfer pricing is a strategy that is oftenimplemented by companies in order to manage resources while achieving profit optimization and as a strategy is certainly influenced by several determinants including Tax minimization, leverage and Good Corporate Governance. This study intends to examine the effect of tax minimization and leverage through the interaction of Good Corporate Governance which is proxied by the number of audit committees with educational backgrounds and accounting experience. The population used are all entities in the industrial sector listed on the Indonesia Stock Exchange, using purposive sampling obtained from 17 selected companies with the observation period 2019 –2021 so that a total sample data of 51 is obtained. Moderating Regression Analysis (MRA) is used as a technique to examine the relationship between variables. The test results show that partially Tax minimization, leverage, and Good Corporate Governance have a significant effect on transfer pricing. The test results also show that GCG is able to moderate both tax minimization and leverage on transfer pricing.","author":[{"dropping-particle":"","family":"Fatmi","given":"Aulia Arie","non-dropping-particle":"","parse-names":false,"suffix":""},{"dropping-particle":"","family":"Amin","given":"Aminul","non-dropping-particle":"","parse-names":false,"suffix":""}],"container-title":"International Journal of Research in Social Science and Humanities (IJRSS)","id":"ITEM-1","issue":"04","issued":{"date-parts":[["2023"]]},"page":"01-15","title":"The Effect of Tax Minimization and Leverage on Transfer Pricing Decisions With GCG as Moderation","type":"article-journal","volume":"09"},"uris":["http://www.mendeley.com/documents/?uuid=3d469e8b-bc9f-4dc0-9ffc-78030bea2052"]}],"mendeley":{"formattedCitation":"(Fatmi &amp; Amin, 2023)","manualFormatting":"Fatmi &amp; Amin (2023)","plainTextFormattedCitation":"(Fatmi &amp; Amin, 2023)","previouslyFormattedCitation":"(Fatmi &amp; Amin, 2023)"},"properties":{"noteIndex":0},"schema":"https://github.com/citation-style-language/schema/raw/master/csl-citation.json"}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Fatmi &amp; Amin (2023)</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yang menyatakan bahwa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berpengaruh positif signifikan terhadap </w:t>
      </w:r>
      <w:r>
        <w:rPr>
          <w:rFonts w:ascii="Times New Roman" w:hAnsi="Times New Roman" w:cs="Times New Roman"/>
          <w:i/>
          <w:iCs/>
          <w:sz w:val="24"/>
          <w:szCs w:val="24"/>
        </w:rPr>
        <w:t>transfer pricing</w:t>
      </w:r>
      <w:r>
        <w:rPr>
          <w:rFonts w:ascii="Times New Roman" w:hAnsi="Times New Roman" w:cs="Times New Roman"/>
          <w:sz w:val="24"/>
          <w:szCs w:val="24"/>
        </w:rPr>
        <w:t>. Berdasarkan uraian tersebut maka hipotesis dari penelitian ini yaitu:</w:t>
      </w:r>
    </w:p>
    <w:p w14:paraId="32343B1B" w14:textId="77777777" w:rsidR="00BB58C4" w:rsidRDefault="00000000">
      <w:pPr>
        <w:spacing w:line="480" w:lineRule="auto"/>
        <w:jc w:val="both"/>
        <w:rPr>
          <w:rFonts w:ascii="Times New Roman" w:hAnsi="Times New Roman" w:cs="Times New Roman"/>
          <w:b/>
          <w:bCs/>
          <w:i/>
          <w:iCs/>
          <w:sz w:val="24"/>
          <w:szCs w:val="24"/>
        </w:rPr>
        <w:sectPr w:rsidR="00BB58C4">
          <w:pgSz w:w="11906" w:h="16838"/>
          <w:pgMar w:top="2268" w:right="1701" w:bottom="1701" w:left="2268" w:header="709" w:footer="709" w:gutter="0"/>
          <w:cols w:space="708"/>
          <w:docGrid w:linePitch="360"/>
        </w:sectPr>
      </w:pP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b/>
          <w:bCs/>
          <w:sz w:val="24"/>
          <w:szCs w:val="24"/>
        </w:rPr>
        <w:t xml:space="preserve">: </w:t>
      </w:r>
      <w:r>
        <w:rPr>
          <w:rFonts w:ascii="Times New Roman" w:hAnsi="Times New Roman" w:cs="Times New Roman"/>
          <w:b/>
          <w:bCs/>
          <w:i/>
          <w:iCs/>
          <w:sz w:val="24"/>
          <w:szCs w:val="24"/>
        </w:rPr>
        <w:t>tax minimization</w:t>
      </w:r>
      <w:r>
        <w:rPr>
          <w:rFonts w:ascii="Times New Roman" w:hAnsi="Times New Roman" w:cs="Times New Roman"/>
          <w:b/>
          <w:bCs/>
          <w:sz w:val="24"/>
          <w:szCs w:val="24"/>
        </w:rPr>
        <w:t xml:space="preserve"> berpengaruh positif terhadap keputusan perusahaan melakukan </w:t>
      </w:r>
      <w:r>
        <w:rPr>
          <w:rFonts w:ascii="Times New Roman" w:hAnsi="Times New Roman" w:cs="Times New Roman"/>
          <w:b/>
          <w:bCs/>
          <w:i/>
          <w:iCs/>
          <w:sz w:val="24"/>
          <w:szCs w:val="24"/>
        </w:rPr>
        <w:t>transfer pricing</w:t>
      </w:r>
    </w:p>
    <w:p w14:paraId="18CC3C26" w14:textId="77777777" w:rsidR="00BB58C4" w:rsidRDefault="00000000">
      <w:pPr>
        <w:pStyle w:val="Heading1"/>
        <w:rPr>
          <w:rFonts w:cs="Times New Roman"/>
        </w:rPr>
      </w:pPr>
      <w:bookmarkStart w:id="51" w:name="_Toc220995034"/>
      <w:bookmarkEnd w:id="48"/>
      <w:r>
        <w:rPr>
          <w:rFonts w:cs="Times New Roman"/>
        </w:rPr>
        <w:lastRenderedPageBreak/>
        <w:t>BAB III</w:t>
      </w:r>
      <w:r>
        <w:rPr>
          <w:rFonts w:cs="Times New Roman"/>
        </w:rPr>
        <w:br/>
        <w:t>METODE PENELITIAN</w:t>
      </w:r>
      <w:bookmarkEnd w:id="51"/>
    </w:p>
    <w:p w14:paraId="6E2C4043" w14:textId="77777777" w:rsidR="00BB58C4" w:rsidRDefault="00000000">
      <w:pPr>
        <w:pStyle w:val="SubHeadingBab3"/>
        <w:ind w:left="426" w:hanging="426"/>
      </w:pPr>
      <w:bookmarkStart w:id="52" w:name="_Toc220995035"/>
      <w:r>
        <w:t>Definisi Operasional dan Pengukuran Variabel</w:t>
      </w:r>
      <w:bookmarkEnd w:id="52"/>
    </w:p>
    <w:p w14:paraId="32AA4EF7" w14:textId="77777777" w:rsidR="00BB58C4" w:rsidRDefault="00000000">
      <w:pPr>
        <w:pStyle w:val="Subsubbab3"/>
      </w:pPr>
      <w:bookmarkStart w:id="53" w:name="_Toc220995036"/>
      <w:r>
        <w:rPr>
          <w:bCs/>
        </w:rPr>
        <w:t>Variabel Dependen</w:t>
      </w:r>
      <w:bookmarkEnd w:id="53"/>
    </w:p>
    <w:p w14:paraId="4AA420B0"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3.1.1.1. Transfer Pricing</w:t>
      </w:r>
    </w:p>
    <w:p w14:paraId="1586DA4E"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merupakan penetapan harga penyerahan barang, jasa, ataupun harta tak berwujud dengan pihak berelasi baik yang terjadi dalam satu perusahaan yang sama maupun dalam perusahaan yang berbeda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{"citationItems":[{"id":"ITEM-1","itemData":{"DOI":"10.21831/nominal.v11i2.51444","ISSN":"2303-2065","abstract":"Abstrak: Pengaruh Tax Haven, Foreign Ownership, dan Intangible Assets terhadap Keputusan Transfer Pricing. Transfer pricing merupakan penetapan terhadap harga barang, jasa, maupun aset tidak berwujud yang dilakukan dari satu divisi ke divisi lain dalam perusahaan yang sama atau antar perusahaan yang saling memiliki hubungan istimewa. Motif transfer pricing yaitu untuk meminimalkan beban pajak yang ditanggung perusahaan guna mendapatkan keuntungan yang lebih tinggi. Tujuan dari penelitian ini untuk mengetahui pengaruh tax haven, foreign ownership, dan intangible assets terhadap transfer pricing. Populasi yang digunakan yaitu perusahaan infrastruktur, utilitas, dan transportasi yang terdaftar di BEI tahun 2016 hingga 2020 sejumlah 400 perusahaan. Penelitian ini menggunakan metode pengambilan sampel purposive sampling dan terpilih 40 unit analisis. Teknik analisis yang digunakan yakni analisis regresi linear berganda. Hasil penelitian menunjukkan bahwa tax haven berpengaruh positif signifikan terhadap keputusan transfer pricing, sedangkan foreign ownership dan intangible assets tidak berpengaruh signifikan terhadap keputusan transfer pricing. Kata kunci: Transfer Pricing, Surga Pajak, Kepemilikan Asing, Aset Tidak BerwujudAbstract: The Effect of Tax Haven, Foreign Ownership, and Intangible Assets on Transfer Pricing Decisions. Transfer pricing is the determination of the price of goods, services, or intangible assets carried out from one division to another within the same company or between companies that have special relationships. The transfer pricing motive is to minimize the tax burden borne by the company in order to obtain higher profits. The purpose of this study is to determine the effect of tax havens, foreign ownership, and intangible assets on transfer pricing decisions. The population used are infrastructure, utility, and transportation companies listed on the Indonesia Stock Exchange from 2016 to 2020 with a total of 400 companies. This study used a purposive sampling method and selected 40 units of analysis. The analysis technique used is multiple linear regression analysis. The results of the study show that tax havens have a positive and significant effect on transfer pricing decisions. Meanwhile, foreign ownership and intangible assets variables have no significant effect on transfer pricing decisions.Keywords: Transfer Pricing, Tax Haven, Foreign Ownership, Intangible Asset","author":[{"dropping-particle":"","family":"Bhudiyanti","given":"Khopifa","non-dropping-particle":"","parse-names":false,"suffix":""},{"dropping-particle":"","family":"Suryarini","given":"Trisni","non-dropping-particle":"","parse-names":false,"suffix":""}],"container-title":"Nominal Barometer Riset Akuntansi dan Manajemen","id":"ITEM-1","issue":"2","issued":{"date-parts":[["2022"]]},"page":"272-273","title":"Pengaruh Tax Haven, Foreign Ownership, dan Intangible Assets terhadap Keputusan Transfer Pricing","type":"article-journal","volume":"11"},"uris":["http://www.mendeley.com/documents/?uuid=0b2f6a8a-9bb6-4d81-9e2d-2b9294cd64c7"]}],"mendeley":{"formattedCitation":"(Bhudiyanti &amp; Suryarini, 2022)","plainTextFormattedCitation":"(Bhudiyanti &amp; Suryarini, 2022)","previouslyFormattedCitation":"(Bhudiyanti &amp; Suryarini,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(Bhudiyanti &amp; Suryarini, 2022)</w:t>
      </w:r>
      <w:r>
        <w:rPr>
          <w:rFonts w:ascii="Times New Roman" w:hAnsi="Times New Roman" w:cs="Times New Roman"/>
          <w:sz w:val="24"/>
          <w:szCs w:val="24"/>
        </w:rPr>
        <w:fldChar w:fldCharType="end"/>
      </w:r>
      <w:r>
        <w:rPr>
          <w:rFonts w:ascii="Times New Roman" w:hAnsi="Times New Roman" w:cs="Times New Roman"/>
          <w:sz w:val="24"/>
          <w:szCs w:val="24"/>
        </w:rPr>
        <w:t xml:space="preserve">. Dalam penelitian </w:t>
      </w:r>
      <w:r>
        <w:rPr>
          <w:rFonts w:ascii="Times New Roman" w:hAnsi="Times New Roman" w:cs="Times New Roman"/>
          <w:i/>
          <w:iCs/>
          <w:sz w:val="24"/>
          <w:szCs w:val="24"/>
        </w:rPr>
        <w:t xml:space="preserve">transfer pricing </w:t>
      </w:r>
      <w:r>
        <w:rPr>
          <w:rFonts w:ascii="Times New Roman" w:hAnsi="Times New Roman" w:cs="Times New Roman"/>
          <w:sz w:val="24"/>
          <w:szCs w:val="24"/>
        </w:rPr>
        <w:t>diukur dengan menggunakan proksi rasio nilai transaksi pihak berelasi (</w:t>
      </w:r>
      <w:r>
        <w:rPr>
          <w:rFonts w:ascii="Times New Roman" w:hAnsi="Times New Roman" w:cs="Times New Roman"/>
          <w:i/>
          <w:iCs/>
          <w:sz w:val="24"/>
          <w:szCs w:val="24"/>
        </w:rPr>
        <w:t>Related Party Transaction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{"citationItems":[{"id":"ITEM-1","itemData":{"DOI":"10.15294/aaj.v9i2.36469","ISSN":"2252-6765","abstract":"The aims of this research are to analyze and to find empirical evidence about the effect of tax minimization and exchange rate on company decision of transfer pricing with leverage as moderating variable. The population of this research was mining companies which listed in Indonesia Stock Exchange (IDX) over the period 2013 to 2018 from 45 companies. The sampling technique used purposive sampling. Eighteen companies were selected with 65 units analysis were obtained. In addition, data was analyzed using descriptive statistics and inferential statistics using Moderated Regression Analysis (MRA). The data was processed by IBM SPSS Statistics 21 software. The results show that tax minimization and exchange rate have positive and significant effect on transfer pricing. Leverage does not moderate the effect of tax minimization on transfer pricing but leverage significantly moderate the effect of exchange rate on transfer pricing. The conclusion of this research is transfer pricing decision will be higher when tax minimization and exchange rate be higher, but leverage can moderate the effect of exchange rate to transfer pricing.","author":[{"dropping-particle":"","family":"Devi","given":"Diah Kumala","non-dropping-particle":"","parse-names":false,"suffix":""},{"dropping-particle":"","family":"Suryarini","given":"Trisni","non-dropping-particle":"","parse-names":false,"suffix":""}],"container-title":"Accounting Analysis Journal","id":"ITEM-1","issue":"2","issued":{"date-parts":[["2020"]]},"page":"110-115","title":"The Effect of Tax Minimization and Exchange Rate on Transfer Pricing Decisions with Leverage as Moderating","type":"article","volume":"9"},"uris":["http://www.mendeley.com/documents/?uuid=30276047-531a-4d4d-91ff-504c4b05dec6"]}],"mendeley":{"formattedCitation":"(D. K. Devi &amp; Suryarini, 2020)","manualFormatting":"(Devi &amp; Suryarini, 2020; ","plainTextFormattedCitation":"(D. K. Devi &amp; Suryarini, 2020)","previouslyFormattedCitation":"(D. K. Devi &amp; Suryarini,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(Devi &amp; Suryarini, 2020; </w:t>
      </w:r>
      <w:r>
        <w:rPr>
          <w:rFonts w:ascii="Times New Roman" w:hAnsi="Times New Roman" w:cs="Times New Roman"/>
          <w:sz w:val="24"/>
          <w:szCs w:val="24"/>
        </w:rPr>
        <w:fldChar w:fldCharType="end"/>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{"citationItems":[{"id":"ITEM-1","itemData":{"DOI":"10.54371/jiip.v7i9.5917","abstract":"Transfer pricing merupakan penentuan jumlah pembagian pendapatan perusahaan induk ke anak perusahaan berdasarkan hubungan istimewa. Debt covenant, ingitable asset, dan tax minimization berpengaruh terhadap perilaku transfer pricing manajemen perusahaan. Penelitian ini bertujuan untuk mengetahui pengaruh Debt covenant, ingitable asset, dan tax minimization pada Transfer Pricing. Sampel penelitian ini adalah perusahaan manufaktur sektor barang konsumsi yang terdaftar di BEI periode 2019 - 2022. Teknik penentuan sampel yang digunakan dalam penelitian ini adalah Purposive Sampling dan total perusahaan amatan yang digunakan dalam penelitian ini 120 perusahaan. Pengujian data dalam penelitian ini menggunakan multiple regression analysis bantuan aplikasi SPSS versi 28. Berdasarkan hasil analisis penelitian diperoleh (1) debt covenant berpengaruh positif terhadap transfer pricing (2) ingitable asset berpengaruh positif terhadap transfer pricing; (3) tax minimization berpengaruh positif terhadap transfer pricing.","author":[{"dropping-particle":"","family":"Wayan","given":"Maria Vianney Lelang","non-dropping-particle":"","parse-names":false,"suffix":""},{"dropping-particle":"","family":"Khomsiyah","given":"Khomsiyah","non-dropping-particle":"","parse-names":false,"suffix":""}],"container-title":"JIIP - Jurnal Ilmiah Ilmu Pendidikan","id":"ITEM-1","issue":"9","issued":{"date-parts":[["2024"]]},"page":"9533-9539","title":"Pengaruh Debt Covenant, Ingitable Assets, Tax Minimization terhadap Transfer Pricing","type":"article-journal","volume":"7"},"uris":["http://www.mendeley.com/documents/?uuid=c29a9e23-982d-4574-95f4-0246e7767828"]}],"mendeley":{"formattedCitation":"(Wayan &amp; Khomsiyah, 2024)","manualFormatting":"Wayan &amp; Khomsiyah, 2024","plainTextFormattedCitation":"(Wayan &amp; Khomsiyah, 2024)","previouslyFormattedCitation":"(Wayan &amp; Khomsiyah, 2024)"},"properties":{"noteIndex":0},"schema":"https://github.com/citation-style-language/schema/raw/master/csl-citation.json"}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Wayan &amp; Khomsiyah, 2024</w:t>
      </w:r>
      <w:r>
        <w:rPr>
          <w:rFonts w:ascii="Times New Roman" w:hAnsi="Times New Roman" w:cs="Times New Roman"/>
          <w:b/>
          <w:bCs/>
          <w:sz w:val="24"/>
          <w:szCs w:val="24"/>
        </w:rPr>
        <w:fldChar w:fldCharType="end"/>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{"citationItems":[{"id":"ITEM-1","itemData":{"DOI":"10.55587/jla.v4i1.112","author":[{"dropping-particle":"","family":"Sari Apriliyani","given":"Jobelina Jelma Ribeiro Soares","non-dropping-particle":"","parse-names":false,"suffix":""}],"container-title":"LITERA: Jurnal Literasi Akuntansi","id":"ITEM-1","issue":"1","issued":{"date-parts":[["2024"]]},"page":"238-254","title":"TRANSFER PRICING: TUNNELLING INCENTIVE DAN TAX HAVEN DIMOEDERASI FOREIGN OWNERSHIP","type":"article-journal","volume":"4"},"uris":["http://www.mendeley.com/documents/?uuid=2ea18b66-0bb6-4cf9-aa09-ae516ffaaaa7"]}],"mendeley":{"formattedCitation":"(Sari Apriliyani, 2024)","manualFormatting":"Sari Apriliyani, 2024)","plainTextFormattedCitation":"(Sari Apriliyani, 2024)","previouslyFormattedCitation":"(Sari Apriliyani, 2024)"},"properties":{"noteIndex":0},"schema":"https://github.com/citation-style-language/schema/raw/master/csl-citation.json"}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Sari Apriliyani, 2024)</w:t>
      </w:r>
      <w:r>
        <w:rPr>
          <w:rFonts w:ascii="Times New Roman" w:hAnsi="Times New Roman" w:cs="Times New Roman"/>
          <w:b/>
          <w:bCs/>
          <w:sz w:val="24"/>
          <w:szCs w:val="24"/>
        </w:rPr>
        <w:fldChar w:fldCharType="end"/>
      </w:r>
      <w:r>
        <w:rPr>
          <w:rFonts w:ascii="Times New Roman" w:hAnsi="Times New Roman" w:cs="Times New Roman"/>
          <w:sz w:val="24"/>
          <w:szCs w:val="24"/>
        </w:rPr>
        <w:t xml:space="preserve">. </w:t>
      </w:r>
      <w:r>
        <w:rPr>
          <w:rFonts w:ascii="Times New Roman" w:hAnsi="Times New Roman" w:cs="Times New Roman"/>
          <w:b/>
          <w:bCs/>
          <w:sz w:val="24"/>
          <w:szCs w:val="24"/>
        </w:rPr>
        <w:t> </w:t>
      </w:r>
      <w:r>
        <w:rPr>
          <w:rFonts w:ascii="Times New Roman" w:hAnsi="Times New Roman" w:cs="Times New Roman"/>
          <w:sz w:val="24"/>
          <w:szCs w:val="24"/>
        </w:rPr>
        <w:t xml:space="preserve">Tingginya nilai RPT berbanding lurus dengan indikasi perusahaan untuk melakukan praktik </w:t>
      </w:r>
      <w:r>
        <w:rPr>
          <w:rFonts w:ascii="Times New Roman" w:hAnsi="Times New Roman" w:cs="Times New Roman"/>
          <w:i/>
          <w:iCs/>
          <w:sz w:val="24"/>
          <w:szCs w:val="24"/>
        </w:rPr>
        <w:t xml:space="preserve">transfer pricing </w:t>
      </w: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{"citationItems":[{"id":"ITEM-1","itemData":{"DOI":"https://doi.org/10.60090/kar.v5i1.1049.24-46","author":[{"dropping-particle":"","family":"Soetardjo","given":"Messyi Augesti Wijaya dan Mulyadi Noto","non-dropping-particle":"","parse-names":false,"suffix":""}],"container-title":"Klabat Accounting Review","id":"ITEM-1","issue":"1","issued":{"date-parts":[["2024"]]},"page":"24-46","title":"PENGARUH BEBAN PAJAK , ASET TIDAK BERWUJUD DAN KUALITAS AUDIT TERHADAP KEPUTUSAN TRANSFER PRICING","type":"article-journal","volume":"5"},"uris":["http://www.mendeley.com/documents/?uuid=9375451c-1661-45a4-97bc-277bb803a346"]}],"mendeley":{"formattedCitation":"(Soetardjo, 2024)","plainTextFormattedCitation":"(Soetardjo, 2024)","previouslyFormattedCitation":"(Soetardjo, 2024)"},"properties":{"noteIndex":0},"schema":"https://github.com/citation-style-language/schema/raw/master/csl-citation.json"}</w:instrText>
      </w:r>
      <w:r>
        <w:rPr>
          <w:rFonts w:ascii="Times New Roman" w:hAnsi="Times New Roman" w:cs="Times New Roman"/>
          <w:i/>
          <w:iCs/>
          <w:sz w:val="24"/>
          <w:szCs w:val="24"/>
        </w:rPr>
        <w:fldChar w:fldCharType="separate"/>
      </w:r>
      <w:r>
        <w:rPr>
          <w:rFonts w:ascii="Times New Roman" w:hAnsi="Times New Roman" w:cs="Times New Roman"/>
          <w:iCs/>
          <w:sz w:val="24"/>
          <w:szCs w:val="24"/>
        </w:rPr>
        <w:t>(Soetardjo, 2024)</w:t>
      </w:r>
      <w:r>
        <w:rPr>
          <w:rFonts w:ascii="Times New Roman" w:hAnsi="Times New Roman" w:cs="Times New Roman"/>
          <w:i/>
          <w:iCs/>
          <w:sz w:val="24"/>
          <w:szCs w:val="24"/>
        </w:rPr>
        <w:fldChar w:fldCharType="end"/>
      </w:r>
      <w:r>
        <w:rPr>
          <w:rFonts w:ascii="Times New Roman" w:hAnsi="Times New Roman" w:cs="Times New Roman"/>
          <w:b/>
          <w:bCs/>
          <w:sz w:val="24"/>
          <w:szCs w:val="24"/>
        </w:rPr>
        <w:t>.</w:t>
      </w:r>
    </w:p>
    <w:p w14:paraId="7171980F" w14:textId="77777777" w:rsidR="00BB58C4" w:rsidRDefault="00000000">
      <w:pPr>
        <w:spacing w:after="0" w:line="48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 xml:space="preserve">RPT= </m:t>
        </m:r>
        <m:f>
          <m:fPr>
            <m:ctrlPr>
              <w:rPr>
                <w:rFonts w:ascii="Cambria Math" w:hAnsi="Cambria Math" w:cs="Times New Roman"/>
                <w:i/>
                <w:sz w:val="28"/>
                <w:szCs w:val="28"/>
              </w:rPr>
            </m:ctrlPr>
          </m:fPr>
          <m:num>
            <m:r>
              <w:rPr>
                <w:rFonts w:ascii="Cambria Math" w:hAnsi="Cambria Math" w:cs="Times New Roman"/>
                <w:sz w:val="28"/>
                <w:szCs w:val="28"/>
              </w:rPr>
              <m:t>Piutang transaksi pihak berelasi</m:t>
            </m:r>
          </m:num>
          <m:den>
            <m:r>
              <w:rPr>
                <w:rFonts w:ascii="Cambria Math" w:hAnsi="Cambria Math" w:cs="Times New Roman"/>
                <w:sz w:val="28"/>
                <w:szCs w:val="28"/>
              </w:rPr>
              <m:t>Total Piutang</m:t>
            </m:r>
          </m:den>
        </m:f>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4"/>
            <w:szCs w:val="24"/>
          </w:rPr>
          <m:t>×100</m:t>
        </m:r>
      </m:oMath>
    </w:p>
    <w:p w14:paraId="2DE35A5B"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Piutang transaksi pihak berelasi yang dimaksud pada penelitian diatas adalah piutang yang diberikan oleh perusahaan kepada pihak berelasi, yaitu seseorang atau entitas yang memiliki kontrol atau pengaruh signifikan baik secara langsung maupun tidak langsung terhadap satu atau lebih </w:t>
      </w:r>
    </w:p>
    <w:p w14:paraId="060E25E9" w14:textId="77777777" w:rsidR="00BB58C4" w:rsidRDefault="00000000">
      <w:pPr>
        <w:pStyle w:val="SubHeading3"/>
        <w:ind w:left="709" w:hanging="709"/>
      </w:pPr>
      <w:bookmarkStart w:id="54" w:name="_Toc220995037"/>
      <w:r>
        <w:t>3.1.2.</w:t>
      </w:r>
      <w:r>
        <w:tab/>
        <w:t>Variabel Independen</w:t>
      </w:r>
      <w:bookmarkEnd w:id="54"/>
    </w:p>
    <w:p w14:paraId="67D10EBE"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3.1.2.1</w:t>
      </w:r>
      <w:r>
        <w:rPr>
          <w:rFonts w:ascii="Times New Roman" w:hAnsi="Times New Roman" w:cs="Times New Roman"/>
          <w:b/>
          <w:bCs/>
          <w:sz w:val="24"/>
          <w:szCs w:val="24"/>
        </w:rPr>
        <w:tab/>
        <w:t>Tax Haven</w:t>
      </w:r>
    </w:p>
    <w:p w14:paraId="5A2F8A94"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Tax haven </w:t>
      </w:r>
      <w:r>
        <w:rPr>
          <w:rFonts w:ascii="Times New Roman" w:hAnsi="Times New Roman" w:cs="Times New Roman"/>
          <w:sz w:val="24"/>
          <w:szCs w:val="24"/>
        </w:rPr>
        <w:t>merupakan kondisi dimana suatu Negara mengenakan pajak dengan tarif yang rendah atau bahkan tidak ada tarif (0%)</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uthor":[{"dropping-particle":"","family":"Samalagi","given":"Fitriyani","non-dropping-particle":"","parse-names":false,"suffix":""},{"dropping-particle":"","family":"Hormati","given":"Asrudin","non-dropping-particle":"","parse-names":false,"suffix":""},{"dropping-particle":"","family":"Ali","given":"Iqbal M Aris","non-dropping-particle":"","parse-names":false,"suffix":""},{"dropping-particle":"","family":"Ternate","given":"Universitas Khairun","non-dropping-particle":"","parse-names":false,"suffix":""}],"container-title":"Ekonomika45: Jurnal Ilmiah Manajemen, Ekonomi Bisnis, Kewirausahaan","id":"ITEM-1","issue":"1","issued":{"date-parts":[["2024"]]},"page":"32-42","title":"Pengaruh Pajak , Tax Havens , Exchange Rate , dan Tunneling Incentive Terhadap transfer Pricing pada Perusahaan Multinasional","type":"article-journal","volume":"12"},"uris":["http://www.mendeley.com/documents/?uuid=1e62d46e-e8da-4738-8451-f7fe2804afc4"]}],"mendeley":{"formattedCitation":"(Samalagi et al., 2024)","plainTextFormattedCitation":"(Samalagi et al., 2024)","previouslyFormattedCitation":"(Samalagi et al., 2024)"},"properties":{"noteIndex":0},"schema":"https://github.com/citation-style-language/schema/raw/master/csl-citation.json"}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(Samalagi et al., 2024)</w:t>
      </w:r>
      <w:r>
        <w:rPr>
          <w:rFonts w:ascii="Times New Roman" w:hAnsi="Times New Roman" w:cs="Times New Roman"/>
          <w:b/>
          <w:bCs/>
          <w:sz w:val="24"/>
          <w:szCs w:val="24"/>
        </w:rP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Tax haven</w:t>
      </w:r>
      <w:r>
        <w:rPr>
          <w:rFonts w:ascii="Times New Roman" w:hAnsi="Times New Roman" w:cs="Times New Roman"/>
          <w:sz w:val="24"/>
          <w:szCs w:val="24"/>
        </w:rPr>
        <w:t xml:space="preserve"> dalam penelitian ini diproksikan dengan menggunakan variabel </w:t>
      </w:r>
      <w:r>
        <w:rPr>
          <w:rFonts w:ascii="Times New Roman" w:hAnsi="Times New Roman" w:cs="Times New Roman"/>
          <w:i/>
          <w:iCs/>
          <w:sz w:val="24"/>
          <w:szCs w:val="24"/>
        </w:rPr>
        <w:t xml:space="preserve">dummy </w:t>
      </w:r>
      <w:r>
        <w:rPr>
          <w:rFonts w:ascii="Times New Roman" w:hAnsi="Times New Roman" w:cs="Times New Roman"/>
          <w:sz w:val="24"/>
          <w:szCs w:val="24"/>
        </w:rPr>
        <w:lastRenderedPageBreak/>
        <w:t xml:space="preserve">dengan ketentuan jika perusahaan afiliasi menjalankan kegiatan operasinya di negara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yang terdaftar dalam </w:t>
      </w:r>
      <w:r>
        <w:rPr>
          <w:rFonts w:ascii="Times New Roman" w:hAnsi="Times New Roman" w:cs="Times New Roman"/>
          <w:i/>
          <w:iCs/>
          <w:sz w:val="24"/>
          <w:szCs w:val="24"/>
        </w:rPr>
        <w:t xml:space="preserve">Tax Justice Network </w:t>
      </w:r>
      <w:r>
        <w:rPr>
          <w:rFonts w:ascii="Times New Roman" w:hAnsi="Times New Roman" w:cs="Times New Roman"/>
          <w:sz w:val="24"/>
          <w:szCs w:val="24"/>
        </w:rPr>
        <w:t xml:space="preserve">diberi skor 1 sedangkan skor 0 diberikan apabila perusahaan afiliasi tidak menjalankan kegiatan operasionalnya di negara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yang terdaftar dalam </w:t>
      </w:r>
      <w:r>
        <w:rPr>
          <w:rFonts w:ascii="Times New Roman" w:hAnsi="Times New Roman" w:cs="Times New Roman"/>
          <w:i/>
          <w:iCs/>
          <w:sz w:val="24"/>
          <w:szCs w:val="24"/>
        </w:rPr>
        <w:t>Tax Justice Network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{"citationItems":[{"id":"ITEM-1","itemData":{"DOI":"10.21831/nominal.v11i2.51444","ISSN":"2303-2065","abstract":"Abstrak: Pengaruh Tax Haven, Foreign Ownership, dan Intangible Assets terhadap Keputusan Transfer Pricing. Transfer pricing merupakan penetapan terhadap harga barang, jasa, maupun aset tidak berwujud yang dilakukan dari satu divisi ke divisi lain dalam perusahaan yang sama atau antar perusahaan yang saling memiliki hubungan istimewa. Motif transfer pricing yaitu untuk meminimalkan beban pajak yang ditanggung perusahaan guna mendapatkan keuntungan yang lebih tinggi. Tujuan dari penelitian ini untuk mengetahui pengaruh tax haven, foreign ownership, dan intangible assets terhadap transfer pricing. Populasi yang digunakan yaitu perusahaan infrastruktur, utilitas, dan transportasi yang terdaftar di BEI tahun 2016 hingga 2020 sejumlah 400 perusahaan. Penelitian ini menggunakan metode pengambilan sampel purposive sampling dan terpilih 40 unit analisis. Teknik analisis yang digunakan yakni analisis regresi linear berganda. Hasil penelitian menunjukkan bahwa tax haven berpengaruh positif signifikan terhadap keputusan transfer pricing, sedangkan foreign ownership dan intangible assets tidak berpengaruh signifikan terhadap keputusan transfer pricing. Kata kunci: Transfer Pricing, Surga Pajak, Kepemilikan Asing, Aset Tidak BerwujudAbstract: The Effect of Tax Haven, Foreign Ownership, and Intangible Assets on Transfer Pricing Decisions. Transfer pricing is the determination of the price of goods, services, or intangible assets carried out from one division to another within the same company or between companies that have special relationships. The transfer pricing motive is to minimize the tax burden borne by the company in order to obtain higher profits. The purpose of this study is to determine the effect of tax havens, foreign ownership, and intangible assets on transfer pricing decisions. The population used are infrastructure, utility, and transportation companies listed on the Indonesia Stock Exchange from 2016 to 2020 with a total of 400 companies. This study used a purposive sampling method and selected 40 units of analysis. The analysis technique used is multiple linear regression analysis. The results of the study show that tax havens have a positive and significant effect on transfer pricing decisions. Meanwhile, foreign ownership and intangible assets variables have no significant effect on transfer pricing decisions.Keywords: Transfer Pricing, Tax Haven, Foreign Ownership, Intangible Asset","author":[{"dropping-particle":"","family":"Bhudiyanti","given":"Khopifa","non-dropping-particle":"","parse-names":false,"suffix":""},{"dropping-particle":"","family":"Suryarini","given":"Trisni","non-dropping-particle":"","parse-names":false,"suffix":""}],"container-title":"Nominal Barometer Riset Akuntansi dan Manajemen","id":"ITEM-1","issue":"2","issued":{"date-parts":[["2022"]]},"page":"272-273","title":"Pengaruh Tax Haven, Foreign Ownership, dan Intangible Assets terhadap Keputusan Transfer Pricing","type":"article-journal","volume":"11"},"uris":["http://www.mendeley.com/documents/?uuid=0b2f6a8a-9bb6-4d81-9e2d-2b9294cd64c7"]}],"mendeley":{"formattedCitation":"(Bhudiyanti &amp; Suryarini, 2022)","plainTextFormattedCitation":"(Bhudiyanti &amp; Suryarini, 2022)","previouslyFormattedCitation":"(Bhudiyanti &amp; Suryarini,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(Bhudiyanti &amp; Suryarini, 2022)</w:t>
      </w:r>
      <w:r>
        <w:rPr>
          <w:rFonts w:ascii="Times New Roman" w:hAnsi="Times New Roman" w:cs="Times New Roman"/>
          <w:sz w:val="24"/>
          <w:szCs w:val="24"/>
        </w:rPr>
        <w:fldChar w:fldCharType="end"/>
      </w:r>
      <w:r>
        <w:rPr>
          <w:rFonts w:ascii="Times New Roman" w:hAnsi="Times New Roman" w:cs="Times New Roman"/>
          <w:sz w:val="24"/>
          <w:szCs w:val="24"/>
        </w:rPr>
        <w:t>.</w:t>
      </w:r>
    </w:p>
    <w:p w14:paraId="6CE43DC2"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3.1.2.2</w:t>
      </w:r>
      <w:r>
        <w:rPr>
          <w:rFonts w:ascii="Times New Roman" w:hAnsi="Times New Roman" w:cs="Times New Roman"/>
          <w:b/>
          <w:bCs/>
          <w:sz w:val="24"/>
          <w:szCs w:val="24"/>
        </w:rPr>
        <w:tab/>
        <w:t>Intangible Asset</w:t>
      </w:r>
    </w:p>
    <w:p w14:paraId="0B222E32"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PSAK No. 19 (Revisi 2015), aset tak berwujud merupakan aset yang pada umumnya memiliki masa manfaat yang panjang dan tidak memiliki wujud fisik serta berguna dalam kegiatan operasional perusahaan dan penggunaannya tidak untuk dijual kembali. </w:t>
      </w:r>
      <w:r>
        <w:rPr>
          <w:rFonts w:ascii="Times New Roman" w:hAnsi="Times New Roman" w:cs="Times New Roman"/>
          <w:i/>
          <w:iCs/>
          <w:sz w:val="24"/>
          <w:szCs w:val="24"/>
        </w:rPr>
        <w:t xml:space="preserve">Intangible asset </w:t>
      </w:r>
      <w:r>
        <w:rPr>
          <w:rFonts w:ascii="Times New Roman" w:hAnsi="Times New Roman" w:cs="Times New Roman"/>
          <w:sz w:val="24"/>
          <w:szCs w:val="24"/>
        </w:rPr>
        <w:t>memiliki karakteristik tingkat ketidakpastian nilai yang menyebabkan sulit dideteksi dan diukur menggunakan nilai wajar</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{"citationItems":[{"id":"ITEM-1","itemData":{"DOI":"https://doi.org/10.37676/ekombis.v11i1","author":[{"dropping-particle":"","family":"Azzuhriyyah","given":"Azka Aminah","non-dropping-particle":"","parse-names":false,"suffix":""}],"container-title":"EKOMBIS REVIEW: Jurnal Ilmiah Ekonomi dan Bisnis","id":"ITEM-1","issue":"1","issued":{"date-parts":[["2023"]]},"page":"63-72","title":"Pengaruh Tunneling Incentive , Intangible Asset , Dan Debt Covenant Terhadap Keputusan Transfer Pricing Dengan Tax Minimization Sebagai Variabel Moderasi ( Studi Empiris pada Perusahaan Manufaktur yang Terdaftar di Bursa Efek Indonesia Tahun 2015-2021 )","type":"article-journal","volume":"11"},"uris":["http://www.mendeley.com/documents/?uuid=6138fc77-90e1-4e7c-93ba-304f5efdabc5"]}],"mendeley":{"formattedCitation":"(Azzuhriyyah, 2023)","plainTextFormattedCitation":"(Azzuhriyyah, 2023)","previouslyFormattedCitation":"(Azzuhriyyah, 2023)"},"properties":{"noteIndex":0},"schema":"https://github.com/citation-style-language/schema/raw/master/csl-citation.json"}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(Azzuhriyyah, 2023)</w:t>
      </w:r>
      <w:r>
        <w:rPr>
          <w:rFonts w:ascii="Times New Roman" w:hAnsi="Times New Roman" w:cs="Times New Roman"/>
          <w:b/>
          <w:bCs/>
          <w:sz w:val="24"/>
          <w:szCs w:val="24"/>
        </w:rPr>
        <w:fldChar w:fldCharType="end"/>
      </w:r>
      <w:r>
        <w:rPr>
          <w:rFonts w:ascii="Times New Roman" w:hAnsi="Times New Roman" w:cs="Times New Roman"/>
          <w:sz w:val="24"/>
          <w:szCs w:val="24"/>
        </w:rPr>
        <w:t xml:space="preserve">. Perumusan Aset tak berwujud tersebut ini berdasarkan penelitian sebelumnya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isah","given":"Nur","non-dropping-particle":"","parse-names":false,"suffix":""},{"dropping-particle":"","family":"Pratiwi","given":"Eka","non-dropping-particle":"","parse-names":false,"suffix":""},{"dropping-particle":"","family":"Wadi","given":"Indra","non-dropping-particle":"","parse-names":false,"suffix":""},{"dropping-particle":"","family":"Pamulang","given":"Universitas","non-dropping-particle":"","parse-names":false,"suffix":""},{"dropping-particle":"","family":"Pamulang","given":"Universitas","non-dropping-particle":"","parse-names":false,"suffix":""}],"container-title":"EDUCORETAX","id":"ITEM-1","issue":"11","issued":{"date-parts":[["2024"]]},"page":"1345-1353","title":"THE INFLUENCE OF TAX BURDEN , INTANGIBLE ASSETS , AND FOREIGN OWNERSHIP ON TRANSFER PRICING POLICIES","type":"article-journal","volume":"4"},"uris":["http://www.mendeley.com/documents/?uuid=680568b2-6199-4d40-9916-4042bb179bfa"]}],"mendeley":{"formattedCitation":"(Aisah et al., 2024)","plainTextFormattedCitation":"(Aisah et al., 2024)","previouslyFormattedCitation":"(Aisah et al.,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(Aisah et al., 2024)</w:t>
      </w:r>
      <w:r>
        <w:rPr>
          <w:rFonts w:ascii="Times New Roman" w:hAnsi="Times New Roman" w:cs="Times New Roman"/>
          <w:sz w:val="24"/>
          <w:szCs w:val="24"/>
        </w:rPr>
        <w:fldChar w:fldCharType="end"/>
      </w:r>
      <w:r>
        <w:rPr>
          <w:rFonts w:ascii="Times New Roman" w:hAnsi="Times New Roman" w:cs="Times New Roman"/>
          <w:sz w:val="24"/>
          <w:szCs w:val="24"/>
        </w:rPr>
        <w:t>.</w:t>
      </w:r>
    </w:p>
    <w:p w14:paraId="3952EB3D" w14:textId="77777777" w:rsidR="00BB58C4" w:rsidRDefault="00000000">
      <w:pPr>
        <w:spacing w:after="0" w:line="480" w:lineRule="auto"/>
        <w:jc w:val="both"/>
        <w:rPr>
          <w:rFonts w:ascii="Times New Roman" w:eastAsiaTheme="minorEastAsia" w:hAnsi="Times New Roman" w:cs="Times New Roman"/>
        </w:rPr>
      </w:pPr>
      <m:oMathPara>
        <m:oMath>
          <m:r>
            <w:rPr>
              <w:rFonts w:ascii="Cambria Math" w:hAnsi="Cambria Math" w:cs="Times New Roman"/>
            </w:rPr>
            <m:t xml:space="preserve">Aset Tak Berwujud= </m:t>
          </m:r>
          <m:f>
            <m:fPr>
              <m:ctrlPr>
                <w:rPr>
                  <w:rFonts w:ascii="Cambria Math" w:eastAsiaTheme="minorEastAsia" w:hAnsi="Cambria Math" w:cs="Times New Roman"/>
                  <w:i/>
                </w:rPr>
              </m:ctrlPr>
            </m:fPr>
            <m:num>
              <m:r>
                <w:rPr>
                  <w:rFonts w:ascii="Cambria Math" w:eastAsiaTheme="minorEastAsia" w:hAnsi="Cambria Math" w:cs="Times New Roman"/>
                </w:rPr>
                <m:t>Total aset tak berwujud</m:t>
              </m:r>
            </m:num>
            <m:den>
              <m:r>
                <w:rPr>
                  <w:rFonts w:ascii="Cambria Math" w:eastAsiaTheme="minorEastAsia" w:hAnsi="Cambria Math" w:cs="Times New Roman"/>
                </w:rPr>
                <m:t>Total Penjualan</m:t>
              </m:r>
            </m:den>
          </m:f>
        </m:oMath>
      </m:oMathPara>
    </w:p>
    <w:p w14:paraId="3D174A0B"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3.1.2.3</w:t>
      </w:r>
      <w:r>
        <w:rPr>
          <w:rFonts w:ascii="Times New Roman" w:hAnsi="Times New Roman" w:cs="Times New Roman"/>
          <w:b/>
          <w:bCs/>
          <w:sz w:val="24"/>
          <w:szCs w:val="24"/>
        </w:rPr>
        <w:tab/>
        <w:t>Tax Minimization</w:t>
      </w:r>
    </w:p>
    <w:p w14:paraId="41805B64"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Strategi untuk meminimalkan beban pajak yang terutang melalui tindakan penetapan harga transfer dan pada akhirnya mentransfer pendapatan ke negara-negara dengan tarif pajak rendah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{"citationItems":[{"id":"ITEM-1","itemData":{"DOI":"10.15294/aaj.v9i2.36469","ISSN":"2252-6765","abstract":"The aims of this research are to analyze and to find empirical evidence about the effect of tax minimization and exchange rate on company decision of transfer pricing with leverage as moderating variable. The population of this research was mining companies which listed in Indonesia Stock Exchange (IDX) over the period 2013 to 2018 from 45 companies. The sampling technique used purposive sampling. Eighteen companies were selected with 65 units analysis were obtained. In addition, data was analyzed using descriptive statistics and inferential statistics using Moderated Regression Analysis (MRA). The data was processed by IBM SPSS Statistics 21 software. The results show that tax minimization and exchange rate have positive and significant effect on transfer pricing. Leverage does not moderate the effect of tax minimization on transfer pricing but leverage significantly moderate the effect of exchange rate on transfer pricing. The conclusion of this research is transfer pricing decision will be higher when tax minimization and exchange rate be higher, but leverage can moderate the effect of exchange rate to transfer pricing.","author":[{"dropping-particle":"","family":"Devi","given":"Diah Kumala","non-dropping-particle":"","parse-names":false,"suffix":""},{"dropping-particle":"","family":"Suryarini","given":"Trisni","non-dropping-particle":"","parse-names":false,"suffix":""}],"container-title":"Accounting Analysis Journal","id":"ITEM-1","issue":"2","issued":{"date-parts":[["2020"]]},"page":"110-115","title":"The Effect of Tax Minimization and Exchange Rate on Transfer Pricing Decisions with Leverage as Moderating","type":"article","volume":"9"},"uris":["http://www.mendeley.com/documents/?uuid=30276047-531a-4d4d-91ff-504c4b05dec6"]}],"mendeley":{"formattedCitation":"(D. K. Devi &amp; Suryarini, 2020)","manualFormatting":"(Devi &amp; Suryarini, 2020)","plainTextFormattedCitation":"(D. K. Devi &amp; Suryarini, 2020)","previouslyFormattedCitation":"(D. K. Devi &amp; Suryarini,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(Devi &amp; Suryarini, 2020)</w:t>
      </w:r>
      <w:r>
        <w:rPr>
          <w:rFonts w:ascii="Times New Roman" w:hAnsi="Times New Roman" w:cs="Times New Roman"/>
          <w:sz w:val="24"/>
          <w:szCs w:val="24"/>
        </w:rPr>
        <w:fldChar w:fldCharType="end"/>
      </w:r>
      <w:r>
        <w:rPr>
          <w:rFonts w:ascii="Times New Roman" w:hAnsi="Times New Roman" w:cs="Times New Roman"/>
          <w:sz w:val="24"/>
          <w:szCs w:val="24"/>
        </w:rPr>
        <w:t xml:space="preserve">. Taktik perusahaan menggunakan metode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dilakukan dengan memanipulasi beban harga transaksi yang dilakukan oleh perusahaan yang memiliki hubungan istimewa dengan meminimalkan beban pajak terutang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ska","given":"Amilia","non-dropping-particle":"","parse-names":false,"suffix":""},{"dropping-particle":"","family":"Anwar","given":"Saiful","non-dropping-particle":"","parse-names":false,"suffix":""}],"container-title":"Jurnal Akuntansi Berkelanjutan Indonesia","id":"ITEM-1","issue":"3","issued":{"date-parts":[["2021"]]},"page":"266-280","title":"PENGARUH TUNNELING INCENTIVE , BONUS MECHANISM , DEBT COVENANT DAN TAX MINIMIZATION TERHADAP KEPUTUSAN TRANSFER PRICING Abstrack Abstrak","type":"article-journal","volume":"4"},"uris":["http://www.mendeley.com/documents/?uuid=c7389544-506d-4b61-8826-e95b132c1889"]}],"mendeley":{"formattedCitation":"(Riska &amp; Anwar, 2021)","plainTextFormattedCitation":"(Riska &amp; Anwar, 2021)","previouslyFormattedCitation":"(Riska &amp; Anwar,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(Riska &amp; Anwar, 2021)</w:t>
      </w:r>
      <w:r>
        <w:rPr>
          <w:rFonts w:ascii="Times New Roman" w:hAnsi="Times New Roman" w:cs="Times New Roman"/>
          <w:sz w:val="24"/>
          <w:szCs w:val="24"/>
        </w:rPr>
        <w:fldChar w:fldCharType="end"/>
      </w:r>
      <w:r>
        <w:rPr>
          <w:rFonts w:ascii="Times New Roman" w:hAnsi="Times New Roman" w:cs="Times New Roman"/>
          <w:sz w:val="24"/>
          <w:szCs w:val="24"/>
        </w:rPr>
        <w:t>. </w:t>
      </w:r>
    </w:p>
    <w:p w14:paraId="743EEB88" w14:textId="77777777" w:rsidR="00BB58C4" w:rsidRDefault="000000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diukur menggunakan skala rasio. Rasio yang digunakan yaitu </w:t>
      </w:r>
      <w:r>
        <w:rPr>
          <w:rFonts w:ascii="Times New Roman" w:hAnsi="Times New Roman" w:cs="Times New Roman"/>
          <w:i/>
          <w:iCs/>
          <w:sz w:val="24"/>
          <w:szCs w:val="24"/>
        </w:rPr>
        <w:t>Effective Tax Rate</w:t>
      </w:r>
      <w:r>
        <w:rPr>
          <w:rFonts w:ascii="Times New Roman" w:hAnsi="Times New Roman" w:cs="Times New Roman"/>
          <w:sz w:val="24"/>
          <w:szCs w:val="24"/>
        </w:rPr>
        <w:t xml:space="preserve"> (ETR). Tarif pajak efektif adalah rasio beban pajak dikurangi beban pajak terutang dibagi laba kena pajak. </w:t>
      </w:r>
    </w:p>
    <w:p w14:paraId="2CDEC94D" w14:textId="77777777" w:rsidR="00BB58C4" w:rsidRDefault="00000000">
      <w:pPr>
        <w:spacing w:line="480" w:lineRule="auto"/>
        <w:jc w:val="both"/>
        <w:rPr>
          <w:rFonts w:ascii="Times New Roman" w:eastAsiaTheme="minorEastAsia" w:hAnsi="Times New Roman" w:cs="Times New Roman"/>
        </w:rPr>
      </w:pPr>
      <m:oMathPara>
        <m:oMath>
          <m:r>
            <w:rPr>
              <w:rFonts w:ascii="Cambria Math" w:hAnsi="Cambria Math" w:cs="Times New Roman"/>
            </w:rPr>
            <m:t xml:space="preserve">ETR= </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Beban pajak-Beban Pajak Terutang</m:t>
                  </m:r>
                </m:e>
              </m:d>
            </m:num>
            <m:den>
              <m:r>
                <w:rPr>
                  <w:rFonts w:ascii="Cambria Math" w:eastAsiaTheme="minorEastAsia" w:hAnsi="Cambria Math" w:cs="Times New Roman"/>
                </w:rPr>
                <m:t>Laba Kena Pajak</m:t>
              </m:r>
            </m:den>
          </m:f>
          <m:r>
            <w:rPr>
              <w:rFonts w:ascii="Cambria Math" w:eastAsiaTheme="minorEastAsia" w:hAnsi="Cambria Math" w:cs="Times New Roman"/>
            </w:rPr>
            <m:t xml:space="preserve"> x 100%</m:t>
          </m:r>
        </m:oMath>
      </m:oMathPara>
    </w:p>
    <w:p w14:paraId="79DD636A" w14:textId="77777777" w:rsidR="00BB58C4" w:rsidRDefault="00000000">
      <w:pPr>
        <w:pStyle w:val="SubHeadingBab3"/>
        <w:ind w:left="426" w:hanging="426"/>
      </w:pPr>
      <w:bookmarkStart w:id="55" w:name="_Toc220995038"/>
      <w:r>
        <w:t>Populasi dan Sampel Penelitian</w:t>
      </w:r>
      <w:bookmarkEnd w:id="55"/>
    </w:p>
    <w:p w14:paraId="3D3BCE8C"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menggunakan populasi seluruh perusahaan pertambangan yang terdaftar di Bursa Efek Indonesia (BEI) pada tahun 2019 - 2023, yaitu sebanyak 82 perusahaan. Perusahaan pertambangan dipilih sebagai populasi dalam penelitian ini karena sebagian besar penanaman modal asing dilakukan pada perusahaan yang bergerak di bidang pertambangan dan mempunyai kaitan intern perusahaan yang cukup substansial dengan perusahaan induk di luar negeri. Sampel yang digunakan dalam penelitian ini adalah sebagian perusahaan pertambangan yang sudah ditentukan yakni perusahaan pertambangan yang terdaftar di BEI dari tahun 2019 sampai dengan tahun 2023 yang berjumlah 82</w:t>
      </w:r>
      <w:r>
        <w:rPr>
          <w:rFonts w:ascii="Times New Roman" w:hAnsi="Times New Roman" w:cs="Times New Roman"/>
          <w:b/>
          <w:bCs/>
          <w:sz w:val="24"/>
          <w:szCs w:val="24"/>
        </w:rPr>
        <w:t xml:space="preserve"> </w:t>
      </w:r>
      <w:r>
        <w:rPr>
          <w:rFonts w:ascii="Times New Roman" w:hAnsi="Times New Roman" w:cs="Times New Roman"/>
          <w:sz w:val="24"/>
          <w:szCs w:val="24"/>
        </w:rPr>
        <w:t>perusahaan. Berdasarkan jumlah sampel perusahaan tersebut yang digunakan dalam penelitian ini, maka jumlah akhir sampel perusahaan dalam periode penelitian yaitu 125 sampel.</w:t>
      </w:r>
    </w:p>
    <w:p w14:paraId="3A6FA036"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Pengambilan sampel dilakukan dengan metode </w:t>
      </w:r>
      <w:r>
        <w:rPr>
          <w:rFonts w:ascii="Times New Roman" w:hAnsi="Times New Roman" w:cs="Times New Roman"/>
          <w:i/>
          <w:iCs/>
          <w:sz w:val="24"/>
          <w:szCs w:val="24"/>
        </w:rPr>
        <w:t>purposive sampling</w:t>
      </w:r>
      <w:r>
        <w:rPr>
          <w:rFonts w:ascii="Times New Roman" w:hAnsi="Times New Roman" w:cs="Times New Roman"/>
          <w:sz w:val="24"/>
          <w:szCs w:val="24"/>
        </w:rPr>
        <w:t>, yaitu teknik pengambilan sampel dengan mempertimbangkan kriteria-kriteria tertentu. Kriteria tertentu diperlukan untuk menghasilkan informasi yang diinginkan. Kriteria pengambilan sampel dalam penelitian ini adalah sebagai berikut:</w:t>
      </w:r>
    </w:p>
    <w:p w14:paraId="6761F8CD" w14:textId="77777777" w:rsidR="00BB58C4" w:rsidRDefault="00BB58C4">
      <w:pPr>
        <w:spacing w:after="0" w:line="480" w:lineRule="auto"/>
        <w:ind w:firstLine="720"/>
        <w:jc w:val="both"/>
        <w:rPr>
          <w:rFonts w:ascii="Times New Roman" w:hAnsi="Times New Roman" w:cs="Times New Roman"/>
          <w:sz w:val="24"/>
          <w:szCs w:val="24"/>
        </w:rPr>
      </w:pPr>
    </w:p>
    <w:p w14:paraId="3492D1BA" w14:textId="77777777" w:rsidR="00BB58C4" w:rsidRDefault="00000000">
      <w:pPr>
        <w:pStyle w:val="ListParagraph"/>
        <w:numPr>
          <w:ilvl w:val="0"/>
          <w:numId w:val="11"/>
        </w:numPr>
        <w:tabs>
          <w:tab w:val="clear" w:pos="720"/>
          <w:tab w:val="left" w:pos="0"/>
        </w:tabs>
        <w:spacing w:after="0" w:line="480" w:lineRule="auto"/>
        <w:ind w:left="142" w:hanging="284"/>
        <w:jc w:val="both"/>
        <w:rPr>
          <w:rFonts w:ascii="Times New Roman" w:hAnsi="Times New Roman" w:cs="Times New Roman"/>
          <w:sz w:val="24"/>
          <w:szCs w:val="24"/>
        </w:rPr>
      </w:pPr>
      <w:r>
        <w:rPr>
          <w:rFonts w:ascii="Times New Roman" w:hAnsi="Times New Roman" w:cs="Times New Roman"/>
          <w:sz w:val="24"/>
          <w:szCs w:val="24"/>
        </w:rPr>
        <w:lastRenderedPageBreak/>
        <w:t>Perusahaan pertambangan yang terdaftar secara konsisten di Bursa Efek Indonesia (BEI).</w:t>
      </w:r>
    </w:p>
    <w:p w14:paraId="7F848CB5" w14:textId="77777777" w:rsidR="00BB58C4" w:rsidRDefault="00000000">
      <w:pPr>
        <w:pStyle w:val="ListParagraph"/>
        <w:numPr>
          <w:ilvl w:val="0"/>
          <w:numId w:val="11"/>
        </w:numPr>
        <w:tabs>
          <w:tab w:val="clear" w:pos="720"/>
          <w:tab w:val="left" w:pos="0"/>
        </w:tabs>
        <w:spacing w:line="480" w:lineRule="auto"/>
        <w:ind w:left="142" w:hanging="284"/>
        <w:jc w:val="both"/>
        <w:rPr>
          <w:rFonts w:ascii="Times New Roman" w:hAnsi="Times New Roman" w:cs="Times New Roman"/>
          <w:sz w:val="24"/>
          <w:szCs w:val="24"/>
        </w:rPr>
      </w:pPr>
      <w:r>
        <w:rPr>
          <w:rFonts w:ascii="Times New Roman" w:hAnsi="Times New Roman" w:cs="Times New Roman"/>
          <w:sz w:val="24"/>
          <w:szCs w:val="24"/>
        </w:rPr>
        <w:t>Perusahaan pertambangan yang tidak mengalami kerugian di tahun 2019 hingga 2023.</w:t>
      </w:r>
    </w:p>
    <w:p w14:paraId="1B16E82D" w14:textId="77777777" w:rsidR="00BB58C4" w:rsidRDefault="00000000">
      <w:pPr>
        <w:pStyle w:val="ListParagraph"/>
        <w:numPr>
          <w:ilvl w:val="0"/>
          <w:numId w:val="11"/>
        </w:numPr>
        <w:tabs>
          <w:tab w:val="clear" w:pos="720"/>
          <w:tab w:val="left" w:pos="0"/>
        </w:tabs>
        <w:spacing w:line="480" w:lineRule="auto"/>
        <w:ind w:left="142" w:hanging="284"/>
        <w:jc w:val="both"/>
        <w:rPr>
          <w:rFonts w:ascii="Times New Roman" w:hAnsi="Times New Roman" w:cs="Times New Roman"/>
          <w:sz w:val="24"/>
          <w:szCs w:val="24"/>
        </w:rPr>
      </w:pPr>
      <w:r>
        <w:rPr>
          <w:rFonts w:ascii="Times New Roman" w:hAnsi="Times New Roman" w:cs="Times New Roman"/>
          <w:sz w:val="24"/>
          <w:szCs w:val="24"/>
        </w:rPr>
        <w:t>Perusahaan pertambangan yang memiliki anak perusahaan.</w:t>
      </w:r>
    </w:p>
    <w:p w14:paraId="58D5D9E4" w14:textId="77777777" w:rsidR="00BB58C4" w:rsidRDefault="00000000">
      <w:pPr>
        <w:pStyle w:val="ListParagraph"/>
        <w:numPr>
          <w:ilvl w:val="0"/>
          <w:numId w:val="11"/>
        </w:numPr>
        <w:tabs>
          <w:tab w:val="clear" w:pos="720"/>
          <w:tab w:val="left" w:pos="0"/>
        </w:tabs>
        <w:spacing w:after="0" w:line="480" w:lineRule="auto"/>
        <w:ind w:left="142" w:hanging="284"/>
        <w:jc w:val="both"/>
        <w:rPr>
          <w:rFonts w:ascii="Times New Roman" w:hAnsi="Times New Roman" w:cs="Times New Roman"/>
          <w:sz w:val="24"/>
          <w:szCs w:val="24"/>
        </w:rPr>
      </w:pPr>
      <w:r>
        <w:rPr>
          <w:rFonts w:ascii="Times New Roman" w:hAnsi="Times New Roman" w:cs="Times New Roman"/>
          <w:sz w:val="24"/>
          <w:szCs w:val="24"/>
        </w:rPr>
        <w:t>Perusahaan yang menampilkan atau menyajikan data yang diperlukan terkait dengan variabel penelitian.</w:t>
      </w:r>
    </w:p>
    <w:p w14:paraId="1F14EDFA" w14:textId="77777777" w:rsidR="00BB58C4" w:rsidRDefault="0000000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Penyaringan atau penarikan sampel penelitian berdasarkan metode </w:t>
      </w:r>
      <w:r>
        <w:rPr>
          <w:rFonts w:ascii="Times New Roman" w:hAnsi="Times New Roman" w:cs="Times New Roman"/>
          <w:i/>
          <w:iCs/>
          <w:sz w:val="24"/>
          <w:szCs w:val="24"/>
        </w:rPr>
        <w:t xml:space="preserve">purposive sampling </w:t>
      </w:r>
      <w:r>
        <w:rPr>
          <w:rFonts w:ascii="Times New Roman" w:hAnsi="Times New Roman" w:cs="Times New Roman"/>
          <w:sz w:val="24"/>
          <w:szCs w:val="24"/>
        </w:rPr>
        <w:t>disajikan pada tabel dibawah ini:</w:t>
      </w:r>
    </w:p>
    <w:p w14:paraId="00FA43C0" w14:textId="7578795D" w:rsidR="00BB58C4" w:rsidRDefault="00000000">
      <w:pPr>
        <w:pStyle w:val="Caption"/>
        <w:keepNext/>
        <w:spacing w:after="0" w:line="360" w:lineRule="auto"/>
        <w:jc w:val="both"/>
        <w:rPr>
          <w:rFonts w:cs="Times New Roman"/>
          <w:b w:val="0"/>
          <w:bCs/>
          <w:i/>
          <w:iCs w:val="0"/>
          <w:color w:val="auto"/>
          <w:sz w:val="22"/>
          <w:szCs w:val="22"/>
        </w:rPr>
      </w:pPr>
      <w:bookmarkStart w:id="56" w:name="_Toc196817465"/>
      <w:r>
        <w:rPr>
          <w:rFonts w:cs="Times New Roman"/>
          <w:bCs/>
          <w:iCs w:val="0"/>
          <w:color w:val="auto"/>
          <w:sz w:val="22"/>
          <w:szCs w:val="22"/>
        </w:rPr>
        <w:t>Tabel 3.</w:t>
      </w:r>
      <w:r>
        <w:rPr>
          <w:rFonts w:cs="Times New Roman"/>
          <w:b w:val="0"/>
          <w:bCs/>
          <w:i/>
          <w:iCs w:val="0"/>
          <w:color w:val="auto"/>
          <w:sz w:val="22"/>
          <w:szCs w:val="22"/>
        </w:rPr>
        <w:fldChar w:fldCharType="begin"/>
      </w:r>
      <w:r>
        <w:rPr>
          <w:rFonts w:cs="Times New Roman"/>
          <w:bCs/>
          <w:iCs w:val="0"/>
          <w:color w:val="auto"/>
          <w:sz w:val="22"/>
          <w:szCs w:val="22"/>
        </w:rPr>
        <w:instrText xml:space="preserve"> SEQ Tabel_3. \* ARABIC </w:instrText>
      </w:r>
      <w:r>
        <w:rPr>
          <w:rFonts w:cs="Times New Roman"/>
          <w:b w:val="0"/>
          <w:bCs/>
          <w:i/>
          <w:iCs w:val="0"/>
          <w:color w:val="auto"/>
          <w:sz w:val="22"/>
          <w:szCs w:val="22"/>
        </w:rPr>
        <w:fldChar w:fldCharType="separate"/>
      </w:r>
      <w:r w:rsidR="00DB7568">
        <w:rPr>
          <w:rFonts w:cs="Times New Roman"/>
          <w:bCs/>
          <w:iCs w:val="0"/>
          <w:noProof/>
          <w:color w:val="auto"/>
          <w:sz w:val="22"/>
          <w:szCs w:val="22"/>
        </w:rPr>
        <w:t>1</w:t>
      </w:r>
      <w:r>
        <w:rPr>
          <w:rFonts w:cs="Times New Roman"/>
          <w:b w:val="0"/>
          <w:bCs/>
          <w:i/>
          <w:iCs w:val="0"/>
          <w:color w:val="auto"/>
          <w:sz w:val="22"/>
          <w:szCs w:val="22"/>
        </w:rPr>
        <w:fldChar w:fldCharType="end"/>
      </w:r>
      <w:r>
        <w:rPr>
          <w:rFonts w:cs="Times New Roman"/>
          <w:bCs/>
          <w:iCs w:val="0"/>
          <w:color w:val="auto"/>
          <w:sz w:val="22"/>
          <w:szCs w:val="22"/>
        </w:rPr>
        <w:t xml:space="preserve"> Penyaringan Sampel Penelitian berdasarkan Metode </w:t>
      </w:r>
      <w:r>
        <w:rPr>
          <w:rFonts w:cs="Times New Roman"/>
          <w:bCs/>
          <w:i/>
          <w:iCs w:val="0"/>
          <w:color w:val="auto"/>
          <w:sz w:val="22"/>
          <w:szCs w:val="22"/>
        </w:rPr>
        <w:t>Purposive Sampling</w:t>
      </w:r>
      <w:bookmarkEnd w:id="56"/>
    </w:p>
    <w:tbl>
      <w:tblPr>
        <w:tblW w:w="7938" w:type="dxa"/>
        <w:tblInd w:w="-10" w:type="dxa"/>
        <w:tblCellMar>
          <w:top w:w="15" w:type="dxa"/>
          <w:left w:w="15" w:type="dxa"/>
          <w:bottom w:w="15" w:type="dxa"/>
          <w:right w:w="15" w:type="dxa"/>
        </w:tblCellMar>
        <w:tblLook w:val="04A0" w:firstRow="1" w:lastRow="0" w:firstColumn="1" w:lastColumn="0" w:noHBand="0" w:noVBand="1"/>
      </w:tblPr>
      <w:tblGrid>
        <w:gridCol w:w="1012"/>
        <w:gridCol w:w="5531"/>
        <w:gridCol w:w="1395"/>
      </w:tblGrid>
      <w:tr w:rsidR="00BB58C4" w14:paraId="76B71C1B" w14:textId="77777777">
        <w:trPr>
          <w:trHeight w:val="463"/>
        </w:trPr>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05CB82" w14:textId="77777777" w:rsidR="00BB58C4" w:rsidRDefault="00000000">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No</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5CFAE5" w14:textId="77777777" w:rsidR="00BB58C4" w:rsidRDefault="00000000">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Kriteria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11D8CD" w14:textId="77777777" w:rsidR="00BB58C4" w:rsidRDefault="00000000">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Jumlah Objek</w:t>
            </w:r>
          </w:p>
        </w:tc>
      </w:tr>
      <w:tr w:rsidR="00BB58C4" w14:paraId="7C5A9A57" w14:textId="77777777">
        <w:trPr>
          <w:trHeight w:val="473"/>
        </w:trPr>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BE2221"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30429A" w14:textId="77777777" w:rsidR="00BB58C4"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 xml:space="preserve">Perusahaan pertambangan yang terdaftar secara konsisten di Bursa Efek Indonesia (BEI) </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77D606"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82</w:t>
            </w:r>
          </w:p>
        </w:tc>
      </w:tr>
      <w:tr w:rsidR="00BB58C4" w14:paraId="13873543" w14:textId="77777777">
        <w:trPr>
          <w:trHeight w:val="57"/>
        </w:trPr>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DFE69B"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9E8A79" w14:textId="77777777" w:rsidR="00BB58C4"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Perusahaan pertambangan yang mengalami kerugian periode 2019 hingga 2023</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330657"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(52)</w:t>
            </w:r>
          </w:p>
        </w:tc>
      </w:tr>
      <w:tr w:rsidR="00BB58C4" w14:paraId="647CDD59" w14:textId="77777777">
        <w:trPr>
          <w:trHeight w:val="57"/>
        </w:trPr>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131658"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D00FE" w14:textId="77777777" w:rsidR="00BB58C4"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Perusahaan pertambangan yang tidak memiliki anak perusahaan</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2BCDA5"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BB58C4" w14:paraId="53DBAD67" w14:textId="77777777">
        <w:trPr>
          <w:trHeight w:val="57"/>
        </w:trPr>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449831"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5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8F691D" w14:textId="77777777" w:rsidR="00BB58C4" w:rsidRDefault="00000000">
            <w:pPr>
              <w:spacing w:line="240" w:lineRule="auto"/>
              <w:rPr>
                <w:rFonts w:ascii="Times New Roman" w:hAnsi="Times New Roman" w:cs="Times New Roman"/>
                <w:sz w:val="20"/>
                <w:szCs w:val="20"/>
              </w:rPr>
            </w:pPr>
            <w:r>
              <w:rPr>
                <w:rFonts w:ascii="Times New Roman" w:hAnsi="Times New Roman" w:cs="Times New Roman"/>
                <w:sz w:val="20"/>
                <w:szCs w:val="20"/>
              </w:rPr>
              <w:t>Perusahaan yang tidak menampilkan atau menyajikan data yang diperlukan terkait dengan variabel penelitian</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C06B28"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BB58C4" w14:paraId="01615D7E" w14:textId="77777777">
        <w:trPr>
          <w:trHeight w:val="352"/>
        </w:trPr>
        <w:tc>
          <w:tcPr>
            <w:tcW w:w="654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83A63" w14:textId="77777777" w:rsidR="00BB58C4" w:rsidRDefault="00000000">
            <w:pPr>
              <w:spacing w:line="240" w:lineRule="auto"/>
              <w:jc w:val="both"/>
              <w:rPr>
                <w:rFonts w:ascii="Times New Roman" w:hAnsi="Times New Roman" w:cs="Times New Roman"/>
                <w:sz w:val="20"/>
                <w:szCs w:val="20"/>
              </w:rPr>
            </w:pPr>
            <w:r>
              <w:rPr>
                <w:rFonts w:ascii="Times New Roman" w:hAnsi="Times New Roman" w:cs="Times New Roman"/>
                <w:sz w:val="20"/>
                <w:szCs w:val="20"/>
              </w:rPr>
              <w:t>Jumlah perusahaan sampel</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04A601"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25</w:t>
            </w:r>
          </w:p>
        </w:tc>
      </w:tr>
      <w:tr w:rsidR="00BB58C4" w14:paraId="67D8577B" w14:textId="77777777">
        <w:trPr>
          <w:trHeight w:val="57"/>
        </w:trPr>
        <w:tc>
          <w:tcPr>
            <w:tcW w:w="654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C582F" w14:textId="77777777" w:rsidR="00BB58C4" w:rsidRDefault="00000000">
            <w:pPr>
              <w:spacing w:line="240" w:lineRule="auto"/>
              <w:jc w:val="both"/>
              <w:rPr>
                <w:rFonts w:ascii="Times New Roman" w:hAnsi="Times New Roman" w:cs="Times New Roman"/>
                <w:sz w:val="20"/>
                <w:szCs w:val="20"/>
              </w:rPr>
            </w:pPr>
            <w:r>
              <w:rPr>
                <w:rFonts w:ascii="Times New Roman" w:hAnsi="Times New Roman" w:cs="Times New Roman"/>
                <w:sz w:val="20"/>
                <w:szCs w:val="20"/>
              </w:rPr>
              <w:t>Jumlah observasi penelitian (25 perusahaan x 5 tahun)</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DFB965" w14:textId="77777777" w:rsidR="00BB58C4" w:rsidRDefault="00000000">
            <w:pPr>
              <w:spacing w:line="240" w:lineRule="auto"/>
              <w:jc w:val="center"/>
              <w:rPr>
                <w:rFonts w:ascii="Times New Roman" w:hAnsi="Times New Roman" w:cs="Times New Roman"/>
                <w:sz w:val="20"/>
                <w:szCs w:val="20"/>
              </w:rPr>
            </w:pPr>
            <w:r>
              <w:rPr>
                <w:rFonts w:ascii="Times New Roman" w:hAnsi="Times New Roman" w:cs="Times New Roman"/>
                <w:sz w:val="20"/>
                <w:szCs w:val="20"/>
              </w:rPr>
              <w:t>125</w:t>
            </w:r>
          </w:p>
        </w:tc>
      </w:tr>
    </w:tbl>
    <w:p w14:paraId="71A0EE9C" w14:textId="77777777" w:rsidR="00BB58C4" w:rsidRDefault="00000000">
      <w:pPr>
        <w:tabs>
          <w:tab w:val="left" w:pos="142"/>
          <w:tab w:val="left" w:pos="284"/>
        </w:tabs>
        <w:spacing w:after="0" w:line="480" w:lineRule="auto"/>
        <w:jc w:val="both"/>
        <w:rPr>
          <w:rFonts w:ascii="Times New Roman" w:hAnsi="Times New Roman" w:cs="Times New Roman"/>
          <w:i/>
          <w:iCs/>
          <w:sz w:val="20"/>
          <w:szCs w:val="20"/>
        </w:rPr>
      </w:pPr>
      <w:r>
        <w:rPr>
          <w:rFonts w:ascii="Times New Roman" w:hAnsi="Times New Roman" w:cs="Times New Roman"/>
          <w:i/>
          <w:iCs/>
          <w:sz w:val="20"/>
          <w:szCs w:val="20"/>
        </w:rPr>
        <w:t>Sumber: Data Diolah, 2025</w:t>
      </w:r>
    </w:p>
    <w:p w14:paraId="45EECA36"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diatas, maka jumlah perusahaan pertambangan yang diteliti dalam penelitian ini adalah sebanyak 125 perusahaan periode pengamatan 2019 hingga 2023 dengan total sampel 25 perusahaan/tahun.</w:t>
      </w:r>
    </w:p>
    <w:p w14:paraId="74D0570D" w14:textId="77777777" w:rsidR="00BB58C4" w:rsidRDefault="00BB58C4">
      <w:pPr>
        <w:spacing w:after="0" w:line="480" w:lineRule="auto"/>
        <w:jc w:val="both"/>
        <w:rPr>
          <w:rFonts w:ascii="Times New Roman" w:hAnsi="Times New Roman" w:cs="Times New Roman"/>
          <w:sz w:val="24"/>
          <w:szCs w:val="24"/>
        </w:rPr>
      </w:pPr>
    </w:p>
    <w:p w14:paraId="77A87AF7" w14:textId="77777777" w:rsidR="00BB58C4" w:rsidRDefault="00000000">
      <w:pPr>
        <w:pStyle w:val="SubHeadingBab3"/>
        <w:ind w:left="426" w:hanging="426"/>
      </w:pPr>
      <w:bookmarkStart w:id="57" w:name="_Toc220995039"/>
      <w:r>
        <w:lastRenderedPageBreak/>
        <w:t>Jenis dan Sumber Data</w:t>
      </w:r>
      <w:bookmarkEnd w:id="57"/>
    </w:p>
    <w:p w14:paraId="15824FA4"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Data pada penelitian ini menggunakan data kuantitatif berupa laporan keuangan perusahaan (</w:t>
      </w:r>
      <w:r>
        <w:rPr>
          <w:rFonts w:ascii="Times New Roman" w:hAnsi="Times New Roman" w:cs="Times New Roman"/>
          <w:i/>
          <w:iCs/>
          <w:sz w:val="24"/>
          <w:szCs w:val="24"/>
        </w:rPr>
        <w:t>annual report</w:t>
      </w:r>
      <w:r>
        <w:rPr>
          <w:rFonts w:ascii="Times New Roman" w:hAnsi="Times New Roman" w:cs="Times New Roman"/>
          <w:sz w:val="24"/>
          <w:szCs w:val="24"/>
        </w:rPr>
        <w:t xml:space="preserve">) yaitu laporan laba rugi komprehensif, laporan posisi keuangan, laporan perubahan ekuitas, dan laporan arus kas. Penelitian ini menggunakan data sekunder perusahaan pertambangan yang terdaftar di Bursa Efek Indonesia (BEI) selama tahun 2019 - 2023. Data tersebut diperoleh dari situs resmi Bursa Efek Indonesia (BEI) yaitu website www.idx.co.id dan data pendukung yaitu situs IDN </w:t>
      </w:r>
      <w:r>
        <w:rPr>
          <w:rFonts w:ascii="Times New Roman" w:hAnsi="Times New Roman" w:cs="Times New Roman"/>
          <w:i/>
          <w:iCs/>
          <w:sz w:val="24"/>
          <w:szCs w:val="24"/>
        </w:rPr>
        <w:t>Financial</w:t>
      </w:r>
      <w:r>
        <w:rPr>
          <w:rFonts w:ascii="Times New Roman" w:hAnsi="Times New Roman" w:cs="Times New Roman"/>
          <w:sz w:val="24"/>
          <w:szCs w:val="24"/>
        </w:rPr>
        <w:t xml:space="preserve"> dengan website www.idnfinancials.com.</w:t>
      </w:r>
    </w:p>
    <w:p w14:paraId="43360E6F" w14:textId="77777777" w:rsidR="00BB58C4" w:rsidRDefault="00000000">
      <w:pPr>
        <w:pStyle w:val="SubHeadingBab3"/>
        <w:ind w:left="426" w:hanging="426"/>
      </w:pPr>
      <w:bookmarkStart w:id="58" w:name="_Toc220995040"/>
      <w:r>
        <w:rPr>
          <w:rStyle w:val="SubHeadingBab3Char"/>
          <w:b/>
          <w:bCs/>
        </w:rPr>
        <w:t>Metode Pengumpulan Data</w:t>
      </w:r>
      <w:bookmarkEnd w:id="58"/>
    </w:p>
    <w:p w14:paraId="0BD49996"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pengumpulan data yang digunakan dalam penelitian ini menggunakan metode dokumentasi, seperti teknik pengambilan data dengan cara mengumpulkan, mencatat dan mengkaji data sekunder. Penelitian ini menggunakan data sekunder yang diperoleh dari laporan tahunan perusahaan-perusahaan multinasional di sektor pertambangan yang terdaftar di Bursa Efek Indonesia, serta website perusahaan dengan periode waktu tahun 2019-2023. Selain itu, metode studi pustaka berupa jurnal-jurnal ilmiah dan literatur yang berkaitan dengan pembahasan penelitian ini juga digunakan. </w:t>
      </w:r>
    </w:p>
    <w:p w14:paraId="7614BA20" w14:textId="77777777" w:rsidR="00BB58C4" w:rsidRDefault="00000000">
      <w:pPr>
        <w:pStyle w:val="SubHeadingBab3"/>
        <w:ind w:left="426" w:hanging="426"/>
      </w:pPr>
      <w:bookmarkStart w:id="59" w:name="_Toc220995041"/>
      <w:r>
        <w:t>Alat Analisis Data</w:t>
      </w:r>
      <w:bookmarkEnd w:id="59"/>
    </w:p>
    <w:p w14:paraId="14354507"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Analisis data digunakan untuk mengolah data sehingga dapat menjawab rumusan masalah yang diajukan pada penelitian ini. Penelitian ini menggunakan alat analisis berupa aplikasi STATA (Statistika dan Data) dan </w:t>
      </w:r>
      <w:r>
        <w:rPr>
          <w:rFonts w:ascii="Times New Roman" w:hAnsi="Times New Roman" w:cs="Times New Roman"/>
          <w:i/>
          <w:iCs/>
          <w:sz w:val="24"/>
          <w:szCs w:val="24"/>
        </w:rPr>
        <w:t>Microsoft Excel</w:t>
      </w:r>
      <w:r>
        <w:rPr>
          <w:rFonts w:ascii="Times New Roman" w:hAnsi="Times New Roman" w:cs="Times New Roman"/>
          <w:sz w:val="24"/>
          <w:szCs w:val="24"/>
        </w:rPr>
        <w:t xml:space="preserve"> . STATA digunakan untuk menganalisis data dan melakukan perhitungan statistik. </w:t>
      </w:r>
      <w:r>
        <w:rPr>
          <w:rFonts w:ascii="Times New Roman" w:hAnsi="Times New Roman" w:cs="Times New Roman"/>
          <w:sz w:val="24"/>
          <w:szCs w:val="24"/>
        </w:rPr>
        <w:lastRenderedPageBreak/>
        <w:t xml:space="preserve">Sedangkan </w:t>
      </w:r>
      <w:r>
        <w:rPr>
          <w:rFonts w:ascii="Times New Roman" w:hAnsi="Times New Roman" w:cs="Times New Roman"/>
          <w:i/>
          <w:iCs/>
          <w:sz w:val="24"/>
          <w:szCs w:val="24"/>
        </w:rPr>
        <w:t xml:space="preserve">microsoft excel </w:t>
      </w:r>
      <w:r>
        <w:rPr>
          <w:rFonts w:ascii="Times New Roman" w:hAnsi="Times New Roman" w:cs="Times New Roman"/>
          <w:sz w:val="24"/>
          <w:szCs w:val="24"/>
        </w:rPr>
        <w:t>digunakan untuk mengumpulkan data setiap variabel yang akan dimasukkan ke dalam STATA.</w:t>
      </w:r>
    </w:p>
    <w:p w14:paraId="5AA5EA7E" w14:textId="77777777" w:rsidR="00BB58C4" w:rsidRDefault="00000000">
      <w:pPr>
        <w:pStyle w:val="351subheading"/>
        <w:numPr>
          <w:ilvl w:val="0"/>
          <w:numId w:val="0"/>
        </w:numPr>
        <w:ind w:left="567" w:hanging="567"/>
      </w:pPr>
      <w:bookmarkStart w:id="60" w:name="_Toc220995042"/>
      <w:r>
        <w:t>3.5.1.</w:t>
      </w:r>
      <w:r>
        <w:tab/>
        <w:t xml:space="preserve"> Analisis Statistik Deskriptif</w:t>
      </w:r>
      <w:bookmarkEnd w:id="60"/>
    </w:p>
    <w:p w14:paraId="2A21D285"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Analisis ini ditujukan untuk memberikan gambaran atau deskripsi suatu data yang dilihat dari nilai rata-rata (mean), standar deviasi, varian, maksimum, dan minimum. Dalam penelitian ini, analisis statistik deskriptif digunakan untuk mendeskripsikan variabel-variabel yang digunakan dalam penelitian, yaitu </w:t>
      </w:r>
      <w:r>
        <w:rPr>
          <w:rFonts w:ascii="Times New Roman" w:hAnsi="Times New Roman" w:cs="Times New Roman"/>
          <w:i/>
          <w:iCs/>
          <w:sz w:val="24"/>
          <w:szCs w:val="24"/>
        </w:rPr>
        <w:t xml:space="preserve">tax haven, intangible asset, tax minimization, </w:t>
      </w:r>
      <w:r>
        <w:rPr>
          <w:rFonts w:ascii="Times New Roman" w:hAnsi="Times New Roman" w:cs="Times New Roman"/>
          <w:sz w:val="24"/>
          <w:szCs w:val="24"/>
        </w:rPr>
        <w:t xml:space="preserve">dan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6E95FD9F" w14:textId="77777777" w:rsidR="00BB58C4" w:rsidRDefault="00000000">
      <w:pPr>
        <w:pStyle w:val="SubHeading3"/>
        <w:ind w:left="567" w:hanging="567"/>
      </w:pPr>
      <w:bookmarkStart w:id="61" w:name="_Toc220995043"/>
      <w:r>
        <w:t>3.5.2.</w:t>
      </w:r>
      <w:r>
        <w:tab/>
        <w:t xml:space="preserve"> Model Regresi Data Panel</w:t>
      </w:r>
      <w:bookmarkEnd w:id="61"/>
    </w:p>
    <w:p w14:paraId="0B2FBDA4"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Data Panel merupakan gabungan antara data runtut waktu (</w:t>
      </w:r>
      <w:r>
        <w:rPr>
          <w:rFonts w:ascii="Times New Roman" w:hAnsi="Times New Roman" w:cs="Times New Roman"/>
          <w:i/>
          <w:iCs/>
          <w:sz w:val="24"/>
          <w:szCs w:val="24"/>
        </w:rPr>
        <w:t>time series</w:t>
      </w:r>
      <w:r>
        <w:rPr>
          <w:rFonts w:ascii="Times New Roman" w:hAnsi="Times New Roman" w:cs="Times New Roman"/>
          <w:sz w:val="24"/>
          <w:szCs w:val="24"/>
        </w:rPr>
        <w:t>) dan data silang (</w:t>
      </w:r>
      <w:r>
        <w:rPr>
          <w:rFonts w:ascii="Times New Roman" w:hAnsi="Times New Roman" w:cs="Times New Roman"/>
          <w:i/>
          <w:iCs/>
          <w:sz w:val="24"/>
          <w:szCs w:val="24"/>
        </w:rPr>
        <w:t>cross-section</w:t>
      </w:r>
      <w:r>
        <w:rPr>
          <w:rFonts w:ascii="Times New Roman" w:hAnsi="Times New Roman" w:cs="Times New Roman"/>
          <w:sz w:val="24"/>
          <w:szCs w:val="24"/>
        </w:rPr>
        <w:t xml:space="preserve">). Data </w:t>
      </w:r>
      <w:r>
        <w:rPr>
          <w:rFonts w:ascii="Times New Roman" w:hAnsi="Times New Roman" w:cs="Times New Roman"/>
          <w:i/>
          <w:iCs/>
          <w:sz w:val="24"/>
          <w:szCs w:val="24"/>
        </w:rPr>
        <w:t xml:space="preserve">time series </w:t>
      </w:r>
      <w:r>
        <w:rPr>
          <w:rFonts w:ascii="Times New Roman" w:hAnsi="Times New Roman" w:cs="Times New Roman"/>
          <w:sz w:val="24"/>
          <w:szCs w:val="24"/>
        </w:rPr>
        <w:t xml:space="preserve">merupakan data yang terdiri dari atas satu atau lebih variabel yang akan diamati pada satu unit observasi dalam kurun waktu tertentu. Sedangkan data </w:t>
      </w:r>
      <w:r>
        <w:rPr>
          <w:rFonts w:ascii="Times New Roman" w:hAnsi="Times New Roman" w:cs="Times New Roman"/>
          <w:i/>
          <w:iCs/>
          <w:sz w:val="24"/>
          <w:szCs w:val="24"/>
        </w:rPr>
        <w:t>cross section</w:t>
      </w:r>
      <w:r>
        <w:rPr>
          <w:rFonts w:ascii="Times New Roman" w:hAnsi="Times New Roman" w:cs="Times New Roman"/>
          <w:sz w:val="24"/>
          <w:szCs w:val="24"/>
        </w:rPr>
        <w:t xml:space="preserve"> merupakan data observasi dari beberapa unit observasi dalam satu titik tertentu. </w:t>
      </w:r>
    </w:p>
    <w:p w14:paraId="418B003D"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penelitian ini data </w:t>
      </w:r>
      <w:r>
        <w:rPr>
          <w:rFonts w:ascii="Times New Roman" w:hAnsi="Times New Roman" w:cs="Times New Roman"/>
          <w:i/>
          <w:iCs/>
          <w:sz w:val="24"/>
          <w:szCs w:val="24"/>
        </w:rPr>
        <w:t xml:space="preserve">time series </w:t>
      </w:r>
      <w:r>
        <w:rPr>
          <w:rFonts w:ascii="Times New Roman" w:hAnsi="Times New Roman" w:cs="Times New Roman"/>
          <w:sz w:val="24"/>
          <w:szCs w:val="24"/>
        </w:rPr>
        <w:t xml:space="preserve">yang digunakan adalah periode waktu 5 tahun, yaitu tahun 2019-2023. Untuk data </w:t>
      </w:r>
      <w:r>
        <w:rPr>
          <w:rFonts w:ascii="Times New Roman" w:hAnsi="Times New Roman" w:cs="Times New Roman"/>
          <w:i/>
          <w:iCs/>
          <w:sz w:val="24"/>
          <w:szCs w:val="24"/>
        </w:rPr>
        <w:t xml:space="preserve">cross section, </w:t>
      </w:r>
      <w:r>
        <w:rPr>
          <w:rFonts w:ascii="Times New Roman" w:hAnsi="Times New Roman" w:cs="Times New Roman"/>
          <w:sz w:val="24"/>
          <w:szCs w:val="24"/>
        </w:rPr>
        <w:t xml:space="preserve">yaitu perusahaan pertambangan yang terdaftar di Bursa Efek Indonesia dan sampel yang digunakan berjumlah 25 sampel. </w:t>
      </w:r>
    </w:p>
    <w:p w14:paraId="0C94FED4"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Hal yang perlu dilakukan dalam menentukan data panel adalah menentukan metode estimasi data panel. Terdapat tiga model estimasi yang tersedia yaitu:</w:t>
      </w:r>
    </w:p>
    <w:p w14:paraId="4B00B640" w14:textId="77777777" w:rsidR="00BB58C4" w:rsidRDefault="00000000">
      <w:pPr>
        <w:pStyle w:val="ListParagraph"/>
        <w:numPr>
          <w:ilvl w:val="0"/>
          <w:numId w:val="12"/>
        </w:numPr>
        <w:spacing w:after="0" w:line="480" w:lineRule="auto"/>
        <w:ind w:left="426" w:hanging="426"/>
        <w:jc w:val="both"/>
        <w:rPr>
          <w:rFonts w:ascii="Times New Roman" w:hAnsi="Times New Roman" w:cs="Times New Roman"/>
          <w:sz w:val="24"/>
          <w:szCs w:val="24"/>
        </w:rPr>
      </w:pPr>
      <w:bookmarkStart w:id="62" w:name="_Hlk201660850"/>
      <w:r>
        <w:rPr>
          <w:rFonts w:ascii="Times New Roman" w:hAnsi="Times New Roman" w:cs="Times New Roman"/>
          <w:i/>
          <w:iCs/>
          <w:sz w:val="24"/>
          <w:szCs w:val="24"/>
        </w:rPr>
        <w:t>Pooled Least Square</w:t>
      </w:r>
      <w:r>
        <w:rPr>
          <w:rFonts w:ascii="Times New Roman" w:hAnsi="Times New Roman" w:cs="Times New Roman"/>
          <w:sz w:val="24"/>
          <w:szCs w:val="24"/>
        </w:rPr>
        <w:t xml:space="preserve"> (PLS)</w:t>
      </w:r>
      <w:bookmarkEnd w:id="62"/>
    </w:p>
    <w:p w14:paraId="755C87AB" w14:textId="77777777" w:rsidR="00BB58C4" w:rsidRDefault="0000000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i/>
          <w:iCs/>
          <w:sz w:val="24"/>
          <w:szCs w:val="24"/>
        </w:rPr>
        <w:t>Pooled Least Square</w:t>
      </w:r>
      <w:r>
        <w:rPr>
          <w:rFonts w:ascii="Times New Roman" w:hAnsi="Times New Roman" w:cs="Times New Roman"/>
          <w:sz w:val="24"/>
          <w:szCs w:val="24"/>
        </w:rPr>
        <w:t xml:space="preserve"> (PLS) atau biasa juga dikenal dengan </w:t>
      </w:r>
      <w:r>
        <w:rPr>
          <w:rFonts w:ascii="Times New Roman" w:hAnsi="Times New Roman" w:cs="Times New Roman"/>
          <w:i/>
          <w:iCs/>
          <w:sz w:val="24"/>
          <w:szCs w:val="24"/>
        </w:rPr>
        <w:t xml:space="preserve">Common Effect Model </w:t>
      </w:r>
      <w:r>
        <w:rPr>
          <w:rFonts w:ascii="Times New Roman" w:hAnsi="Times New Roman" w:cs="Times New Roman"/>
          <w:sz w:val="24"/>
          <w:szCs w:val="24"/>
        </w:rPr>
        <w:t xml:space="preserve">merupakan teknik data panel paling sederhana yang hanya </w:t>
      </w:r>
      <w:r>
        <w:rPr>
          <w:rFonts w:ascii="Times New Roman" w:hAnsi="Times New Roman" w:cs="Times New Roman"/>
          <w:sz w:val="24"/>
          <w:szCs w:val="24"/>
        </w:rPr>
        <w:lastRenderedPageBreak/>
        <w:t xml:space="preserve">menggabungkan data </w:t>
      </w:r>
      <w:r>
        <w:rPr>
          <w:rFonts w:ascii="Times New Roman" w:hAnsi="Times New Roman" w:cs="Times New Roman"/>
          <w:i/>
          <w:iCs/>
          <w:sz w:val="24"/>
          <w:szCs w:val="24"/>
        </w:rPr>
        <w:t>cross-section</w:t>
      </w:r>
      <w:r>
        <w:rPr>
          <w:rFonts w:ascii="Times New Roman" w:hAnsi="Times New Roman" w:cs="Times New Roman"/>
          <w:sz w:val="24"/>
          <w:szCs w:val="24"/>
        </w:rPr>
        <w:t xml:space="preserve"> dan </w:t>
      </w:r>
      <w:r>
        <w:rPr>
          <w:rFonts w:ascii="Times New Roman" w:hAnsi="Times New Roman" w:cs="Times New Roman"/>
          <w:i/>
          <w:iCs/>
          <w:sz w:val="24"/>
          <w:szCs w:val="24"/>
        </w:rPr>
        <w:t>time series</w:t>
      </w:r>
      <w:r>
        <w:rPr>
          <w:rFonts w:ascii="Times New Roman" w:hAnsi="Times New Roman" w:cs="Times New Roman"/>
          <w:sz w:val="24"/>
          <w:szCs w:val="24"/>
        </w:rPr>
        <w:t xml:space="preserve">. Model ini menggunakan pendekatan yang sama dengan </w:t>
      </w:r>
      <w:r>
        <w:rPr>
          <w:rFonts w:ascii="Times New Roman" w:hAnsi="Times New Roman" w:cs="Times New Roman"/>
          <w:i/>
          <w:iCs/>
          <w:sz w:val="24"/>
          <w:szCs w:val="24"/>
        </w:rPr>
        <w:t>Ordinary Least Square</w:t>
      </w:r>
      <w:r>
        <w:rPr>
          <w:rFonts w:ascii="Times New Roman" w:hAnsi="Times New Roman" w:cs="Times New Roman"/>
          <w:sz w:val="24"/>
          <w:szCs w:val="24"/>
        </w:rPr>
        <w:t xml:space="preserve"> (OLS).</w:t>
      </w:r>
    </w:p>
    <w:p w14:paraId="79CDA3D4" w14:textId="77777777" w:rsidR="00BB58C4" w:rsidRDefault="00000000">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iCs/>
          <w:sz w:val="24"/>
          <w:szCs w:val="24"/>
        </w:rPr>
        <w:t>Fixed Effect</w:t>
      </w:r>
      <w:r>
        <w:rPr>
          <w:rFonts w:ascii="Times New Roman" w:hAnsi="Times New Roman" w:cs="Times New Roman"/>
          <w:sz w:val="24"/>
          <w:szCs w:val="24"/>
        </w:rPr>
        <w:t xml:space="preserve"> </w:t>
      </w:r>
      <w:r>
        <w:rPr>
          <w:rFonts w:ascii="Times New Roman" w:hAnsi="Times New Roman" w:cs="Times New Roman"/>
          <w:i/>
          <w:iCs/>
          <w:sz w:val="24"/>
          <w:szCs w:val="24"/>
        </w:rPr>
        <w:t xml:space="preserve">Model </w:t>
      </w:r>
      <w:r>
        <w:rPr>
          <w:rFonts w:ascii="Times New Roman" w:hAnsi="Times New Roman" w:cs="Times New Roman"/>
          <w:sz w:val="24"/>
          <w:szCs w:val="24"/>
        </w:rPr>
        <w:t>(FEM)</w:t>
      </w:r>
    </w:p>
    <w:p w14:paraId="6112EDD4" w14:textId="77777777" w:rsidR="00BB58C4" w:rsidRDefault="0000000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Model ini mengasumsikan bahwa perbedaan antar </w:t>
      </w:r>
      <w:r>
        <w:rPr>
          <w:rFonts w:ascii="Times New Roman" w:hAnsi="Times New Roman" w:cs="Times New Roman"/>
          <w:i/>
          <w:iCs/>
          <w:sz w:val="24"/>
          <w:szCs w:val="24"/>
        </w:rPr>
        <w:t xml:space="preserve">cross-section </w:t>
      </w:r>
      <w:r>
        <w:rPr>
          <w:rFonts w:ascii="Times New Roman" w:hAnsi="Times New Roman" w:cs="Times New Roman"/>
          <w:sz w:val="24"/>
          <w:szCs w:val="24"/>
        </w:rPr>
        <w:t>diakomodasi oleh nilai konstanta (</w:t>
      </w:r>
      <w:r>
        <w:rPr>
          <w:rFonts w:ascii="Times New Roman" w:hAnsi="Times New Roman" w:cs="Times New Roman"/>
          <w:i/>
          <w:iCs/>
          <w:sz w:val="24"/>
          <w:szCs w:val="24"/>
        </w:rPr>
        <w:t>intercept</w:t>
      </w:r>
      <w:r>
        <w:rPr>
          <w:rFonts w:ascii="Times New Roman" w:hAnsi="Times New Roman" w:cs="Times New Roman"/>
          <w:sz w:val="24"/>
          <w:szCs w:val="24"/>
        </w:rPr>
        <w:t xml:space="preserve">). Bila menggunakan metode ini, estimasi akan dilakukan menggunakan variabel </w:t>
      </w:r>
      <w:r>
        <w:rPr>
          <w:rFonts w:ascii="Times New Roman" w:hAnsi="Times New Roman" w:cs="Times New Roman"/>
          <w:i/>
          <w:iCs/>
          <w:sz w:val="24"/>
          <w:szCs w:val="24"/>
        </w:rPr>
        <w:t xml:space="preserve">dummy </w:t>
      </w:r>
      <w:r>
        <w:rPr>
          <w:rFonts w:ascii="Times New Roman" w:hAnsi="Times New Roman" w:cs="Times New Roman"/>
          <w:sz w:val="24"/>
          <w:szCs w:val="24"/>
        </w:rPr>
        <w:t xml:space="preserve">yang akan menangkap perbedaan antar </w:t>
      </w:r>
      <w:r>
        <w:rPr>
          <w:rFonts w:ascii="Times New Roman" w:hAnsi="Times New Roman" w:cs="Times New Roman"/>
          <w:i/>
          <w:iCs/>
          <w:sz w:val="24"/>
          <w:szCs w:val="24"/>
        </w:rPr>
        <w:t>cross-section</w:t>
      </w:r>
      <w:r>
        <w:rPr>
          <w:rFonts w:ascii="Times New Roman" w:hAnsi="Times New Roman" w:cs="Times New Roman"/>
          <w:sz w:val="24"/>
          <w:szCs w:val="24"/>
        </w:rPr>
        <w:t>.</w:t>
      </w:r>
    </w:p>
    <w:p w14:paraId="2E3ADAEC" w14:textId="77777777" w:rsidR="00BB58C4" w:rsidRDefault="00000000">
      <w:pPr>
        <w:pStyle w:val="ListParagraph"/>
        <w:numPr>
          <w:ilvl w:val="0"/>
          <w:numId w:val="12"/>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iCs/>
          <w:sz w:val="24"/>
          <w:szCs w:val="24"/>
        </w:rPr>
        <w:t>Random Effect</w:t>
      </w:r>
      <w:r>
        <w:rPr>
          <w:rFonts w:ascii="Times New Roman" w:hAnsi="Times New Roman" w:cs="Times New Roman"/>
          <w:sz w:val="24"/>
          <w:szCs w:val="24"/>
        </w:rPr>
        <w:t xml:space="preserve"> </w:t>
      </w:r>
      <w:r>
        <w:rPr>
          <w:rFonts w:ascii="Times New Roman" w:hAnsi="Times New Roman" w:cs="Times New Roman"/>
          <w:i/>
          <w:iCs/>
          <w:sz w:val="24"/>
          <w:szCs w:val="24"/>
        </w:rPr>
        <w:t xml:space="preserve">Model </w:t>
      </w:r>
      <w:r>
        <w:rPr>
          <w:rFonts w:ascii="Times New Roman" w:hAnsi="Times New Roman" w:cs="Times New Roman"/>
          <w:sz w:val="24"/>
          <w:szCs w:val="24"/>
        </w:rPr>
        <w:t>(REM)</w:t>
      </w:r>
    </w:p>
    <w:p w14:paraId="22ED61B5" w14:textId="77777777" w:rsidR="00BB58C4" w:rsidRDefault="00000000">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Model ini mengasumsikan bahwa </w:t>
      </w:r>
      <w:r>
        <w:rPr>
          <w:rFonts w:ascii="Times New Roman" w:hAnsi="Times New Roman" w:cs="Times New Roman"/>
          <w:i/>
          <w:iCs/>
          <w:sz w:val="24"/>
          <w:szCs w:val="24"/>
        </w:rPr>
        <w:t xml:space="preserve">error </w:t>
      </w:r>
      <w:r>
        <w:rPr>
          <w:rFonts w:ascii="Times New Roman" w:hAnsi="Times New Roman" w:cs="Times New Roman"/>
          <w:sz w:val="24"/>
          <w:szCs w:val="24"/>
        </w:rPr>
        <w:t xml:space="preserve">memiliki hubungan antarwaktu dan antar </w:t>
      </w:r>
      <w:r>
        <w:rPr>
          <w:rFonts w:ascii="Times New Roman" w:hAnsi="Times New Roman" w:cs="Times New Roman"/>
          <w:i/>
          <w:iCs/>
          <w:sz w:val="24"/>
          <w:szCs w:val="24"/>
        </w:rPr>
        <w:t>cross-section</w:t>
      </w:r>
      <w:r>
        <w:rPr>
          <w:rFonts w:ascii="Times New Roman" w:hAnsi="Times New Roman" w:cs="Times New Roman"/>
          <w:sz w:val="24"/>
          <w:szCs w:val="24"/>
        </w:rPr>
        <w:t xml:space="preserve">. Oleh karena itu, hasil estimasi menggunakan </w:t>
      </w:r>
      <w:r>
        <w:rPr>
          <w:rFonts w:ascii="Times New Roman" w:hAnsi="Times New Roman" w:cs="Times New Roman"/>
          <w:i/>
          <w:iCs/>
          <w:sz w:val="24"/>
          <w:szCs w:val="24"/>
        </w:rPr>
        <w:t xml:space="preserve">random effect </w:t>
      </w:r>
      <w:r>
        <w:rPr>
          <w:rFonts w:ascii="Times New Roman" w:hAnsi="Times New Roman" w:cs="Times New Roman"/>
          <w:sz w:val="24"/>
          <w:szCs w:val="24"/>
        </w:rPr>
        <w:t>(RE) yang akan menyesuaikan nilai konstanta (</w:t>
      </w:r>
      <w:r>
        <w:rPr>
          <w:rFonts w:ascii="Times New Roman" w:hAnsi="Times New Roman" w:cs="Times New Roman"/>
          <w:i/>
          <w:iCs/>
          <w:sz w:val="24"/>
          <w:szCs w:val="24"/>
        </w:rPr>
        <w:t>intercept</w:t>
      </w:r>
      <w:r>
        <w:rPr>
          <w:rFonts w:ascii="Times New Roman" w:hAnsi="Times New Roman" w:cs="Times New Roman"/>
          <w:sz w:val="24"/>
          <w:szCs w:val="24"/>
        </w:rPr>
        <w:t xml:space="preserve">) dengan </w:t>
      </w:r>
      <w:r>
        <w:rPr>
          <w:rFonts w:ascii="Times New Roman" w:hAnsi="Times New Roman" w:cs="Times New Roman"/>
          <w:i/>
          <w:iCs/>
          <w:sz w:val="24"/>
          <w:szCs w:val="24"/>
        </w:rPr>
        <w:t xml:space="preserve">error </w:t>
      </w:r>
      <w:r>
        <w:rPr>
          <w:rFonts w:ascii="Times New Roman" w:hAnsi="Times New Roman" w:cs="Times New Roman"/>
          <w:sz w:val="24"/>
          <w:szCs w:val="24"/>
        </w:rPr>
        <w:t xml:space="preserve">setiap </w:t>
      </w:r>
      <w:r>
        <w:rPr>
          <w:rFonts w:ascii="Times New Roman" w:hAnsi="Times New Roman" w:cs="Times New Roman"/>
          <w:i/>
          <w:iCs/>
          <w:sz w:val="24"/>
          <w:szCs w:val="24"/>
        </w:rPr>
        <w:t>cross-section</w:t>
      </w:r>
      <w:r>
        <w:rPr>
          <w:rFonts w:ascii="Times New Roman" w:hAnsi="Times New Roman" w:cs="Times New Roman"/>
          <w:sz w:val="24"/>
          <w:szCs w:val="24"/>
        </w:rPr>
        <w:t xml:space="preserve">. Model </w:t>
      </w:r>
      <w:r>
        <w:rPr>
          <w:rFonts w:ascii="Times New Roman" w:hAnsi="Times New Roman" w:cs="Times New Roman"/>
          <w:i/>
          <w:iCs/>
          <w:sz w:val="24"/>
          <w:szCs w:val="24"/>
        </w:rPr>
        <w:t>random effec</w:t>
      </w:r>
      <w:r>
        <w:rPr>
          <w:rFonts w:ascii="Times New Roman" w:hAnsi="Times New Roman" w:cs="Times New Roman"/>
          <w:sz w:val="24"/>
          <w:szCs w:val="24"/>
        </w:rPr>
        <w:t xml:space="preserve">t juga dikenal dengan teknik </w:t>
      </w:r>
      <w:r>
        <w:rPr>
          <w:rFonts w:ascii="Times New Roman" w:hAnsi="Times New Roman" w:cs="Times New Roman"/>
          <w:i/>
          <w:iCs/>
          <w:sz w:val="24"/>
          <w:szCs w:val="24"/>
        </w:rPr>
        <w:t>Generalized Least Square</w:t>
      </w:r>
      <w:r>
        <w:rPr>
          <w:rFonts w:ascii="Times New Roman" w:hAnsi="Times New Roman" w:cs="Times New Roman"/>
          <w:sz w:val="24"/>
          <w:szCs w:val="24"/>
        </w:rPr>
        <w:t xml:space="preserve"> (GLS) sehingga asumsi homoskedastisitas pasti tidak terpenuhi (tidak terdapat heteroskedastisitas)</w:t>
      </w:r>
    </w:p>
    <w:p w14:paraId="07CA2BA8" w14:textId="77777777" w:rsidR="00BB58C4" w:rsidRDefault="00000000">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Dalam menentukan model estimasi yang tepat, maka dapat dilakukan dengan membandingkan hasil dari tiga jenis pengujian berikut:</w:t>
      </w:r>
    </w:p>
    <w:p w14:paraId="71F989C5" w14:textId="77777777" w:rsidR="00BB58C4" w:rsidRDefault="00000000">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Chow</w:t>
      </w:r>
    </w:p>
    <w:p w14:paraId="0D273E2F" w14:textId="77777777" w:rsidR="00BB58C4" w:rsidRDefault="0000000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 xml:space="preserve">chow </w:t>
      </w:r>
      <w:r>
        <w:rPr>
          <w:rFonts w:ascii="Times New Roman" w:hAnsi="Times New Roman" w:cs="Times New Roman"/>
          <w:sz w:val="24"/>
          <w:szCs w:val="24"/>
        </w:rPr>
        <w:t xml:space="preserve">digunakan untuk menentukan estimasi yang baik digunakan antara </w:t>
      </w:r>
      <w:r>
        <w:rPr>
          <w:rFonts w:ascii="Times New Roman" w:hAnsi="Times New Roman" w:cs="Times New Roman"/>
          <w:i/>
          <w:iCs/>
          <w:sz w:val="24"/>
          <w:szCs w:val="24"/>
        </w:rPr>
        <w:t xml:space="preserve">fixed effect </w:t>
      </w:r>
      <w:r>
        <w:rPr>
          <w:rFonts w:ascii="Times New Roman" w:hAnsi="Times New Roman" w:cs="Times New Roman"/>
          <w:sz w:val="24"/>
          <w:szCs w:val="24"/>
        </w:rPr>
        <w:t xml:space="preserve">dengan </w:t>
      </w:r>
      <w:r>
        <w:rPr>
          <w:rFonts w:ascii="Times New Roman" w:hAnsi="Times New Roman" w:cs="Times New Roman"/>
          <w:i/>
          <w:iCs/>
          <w:sz w:val="24"/>
          <w:szCs w:val="24"/>
        </w:rPr>
        <w:t>pooled least square</w:t>
      </w:r>
      <w:r>
        <w:rPr>
          <w:rFonts w:ascii="Times New Roman" w:hAnsi="Times New Roman" w:cs="Times New Roman"/>
          <w:sz w:val="24"/>
          <w:szCs w:val="24"/>
        </w:rPr>
        <w:t xml:space="preserve">. Dasar pengambilan kesimpulan yang akan digunakan pada uji </w:t>
      </w:r>
      <w:r>
        <w:rPr>
          <w:rFonts w:ascii="Times New Roman" w:hAnsi="Times New Roman" w:cs="Times New Roman"/>
          <w:i/>
          <w:iCs/>
          <w:sz w:val="24"/>
          <w:szCs w:val="24"/>
        </w:rPr>
        <w:t xml:space="preserve">chow </w:t>
      </w:r>
      <w:r>
        <w:rPr>
          <w:rFonts w:ascii="Times New Roman" w:hAnsi="Times New Roman" w:cs="Times New Roman"/>
          <w:sz w:val="24"/>
          <w:szCs w:val="24"/>
        </w:rPr>
        <w:t>yaitu:</w:t>
      </w:r>
    </w:p>
    <w:p w14:paraId="35894F0A" w14:textId="77777777" w:rsidR="00BB58C4" w:rsidRDefault="00000000">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Jika nilai </w:t>
      </w:r>
      <w:r>
        <w:rPr>
          <w:rFonts w:ascii="Times New Roman" w:hAnsi="Times New Roman" w:cs="Times New Roman"/>
          <w:i/>
          <w:iCs/>
          <w:sz w:val="24"/>
          <w:szCs w:val="24"/>
        </w:rPr>
        <w:t xml:space="preserve">probability cross section chi-square ≤ α </w:t>
      </w:r>
      <w:r>
        <w:rPr>
          <w:rFonts w:ascii="Times New Roman" w:hAnsi="Times New Roman" w:cs="Times New Roman"/>
          <w:sz w:val="24"/>
          <w:szCs w:val="24"/>
        </w:rPr>
        <w:t xml:space="preserve">(0,05), maka model </w:t>
      </w:r>
      <w:r>
        <w:rPr>
          <w:rFonts w:ascii="Times New Roman" w:hAnsi="Times New Roman" w:cs="Times New Roman"/>
          <w:i/>
          <w:iCs/>
          <w:sz w:val="24"/>
          <w:szCs w:val="24"/>
        </w:rPr>
        <w:t xml:space="preserve">fixed effect </w:t>
      </w:r>
      <w:r>
        <w:rPr>
          <w:rFonts w:ascii="Times New Roman" w:hAnsi="Times New Roman" w:cs="Times New Roman"/>
          <w:sz w:val="24"/>
          <w:szCs w:val="24"/>
        </w:rPr>
        <w:t>(FE) yang digunakan.</w:t>
      </w:r>
    </w:p>
    <w:p w14:paraId="6FAA14C9" w14:textId="77777777" w:rsidR="00BB58C4" w:rsidRDefault="00000000">
      <w:pPr>
        <w:pStyle w:val="ListParagraph"/>
        <w:numPr>
          <w:ilvl w:val="0"/>
          <w:numId w:val="14"/>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Jika nilai </w:t>
      </w:r>
      <w:r>
        <w:rPr>
          <w:rFonts w:ascii="Times New Roman" w:hAnsi="Times New Roman" w:cs="Times New Roman"/>
          <w:i/>
          <w:iCs/>
          <w:sz w:val="24"/>
          <w:szCs w:val="24"/>
        </w:rPr>
        <w:t xml:space="preserve">probability cross section chi-square </w:t>
      </w:r>
      <w:r>
        <w:rPr>
          <w:rFonts w:ascii="Times New Roman" w:hAnsi="Times New Roman" w:cs="Times New Roman"/>
          <w:sz w:val="24"/>
          <w:szCs w:val="24"/>
        </w:rPr>
        <w:t>≥ α</w:t>
      </w:r>
      <w:r>
        <w:rPr>
          <w:rFonts w:ascii="Times New Roman" w:hAnsi="Times New Roman" w:cs="Times New Roman"/>
          <w:i/>
          <w:iCs/>
          <w:sz w:val="24"/>
          <w:szCs w:val="24"/>
        </w:rPr>
        <w:t xml:space="preserve"> </w:t>
      </w:r>
      <w:r>
        <w:rPr>
          <w:rFonts w:ascii="Times New Roman" w:hAnsi="Times New Roman" w:cs="Times New Roman"/>
          <w:sz w:val="24"/>
          <w:szCs w:val="24"/>
        </w:rPr>
        <w:t xml:space="preserve">(0,05), maka model </w:t>
      </w:r>
      <w:r>
        <w:rPr>
          <w:rFonts w:ascii="Times New Roman" w:hAnsi="Times New Roman" w:cs="Times New Roman"/>
          <w:i/>
          <w:iCs/>
          <w:sz w:val="24"/>
          <w:szCs w:val="24"/>
        </w:rPr>
        <w:t xml:space="preserve">pooled least square </w:t>
      </w:r>
      <w:r>
        <w:rPr>
          <w:rFonts w:ascii="Times New Roman" w:hAnsi="Times New Roman" w:cs="Times New Roman"/>
          <w:sz w:val="24"/>
          <w:szCs w:val="24"/>
        </w:rPr>
        <w:t>(PLS) yang digunakan.</w:t>
      </w:r>
    </w:p>
    <w:p w14:paraId="6AEC6145" w14:textId="77777777" w:rsidR="00BB58C4" w:rsidRDefault="00000000">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Hausman</w:t>
      </w:r>
    </w:p>
    <w:p w14:paraId="095C96D2" w14:textId="77777777" w:rsidR="00BB58C4" w:rsidRDefault="0000000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 xml:space="preserve">hausman </w:t>
      </w:r>
      <w:r>
        <w:rPr>
          <w:rFonts w:ascii="Times New Roman" w:hAnsi="Times New Roman" w:cs="Times New Roman"/>
          <w:sz w:val="24"/>
          <w:szCs w:val="24"/>
        </w:rPr>
        <w:t xml:space="preserve">digunakan dalam menentukan model estimasi yang baik digunakan antara model </w:t>
      </w:r>
      <w:r>
        <w:rPr>
          <w:rFonts w:ascii="Times New Roman" w:hAnsi="Times New Roman" w:cs="Times New Roman"/>
          <w:i/>
          <w:iCs/>
          <w:sz w:val="24"/>
          <w:szCs w:val="24"/>
        </w:rPr>
        <w:t xml:space="preserve">random effect </w:t>
      </w:r>
      <w:r>
        <w:rPr>
          <w:rFonts w:ascii="Times New Roman" w:hAnsi="Times New Roman" w:cs="Times New Roman"/>
          <w:sz w:val="24"/>
          <w:szCs w:val="24"/>
        </w:rPr>
        <w:t xml:space="preserve">atau </w:t>
      </w:r>
      <w:r>
        <w:rPr>
          <w:rFonts w:ascii="Times New Roman" w:hAnsi="Times New Roman" w:cs="Times New Roman"/>
          <w:i/>
          <w:iCs/>
          <w:sz w:val="24"/>
          <w:szCs w:val="24"/>
        </w:rPr>
        <w:t>fixed effect</w:t>
      </w:r>
      <w:r>
        <w:rPr>
          <w:rFonts w:ascii="Times New Roman" w:hAnsi="Times New Roman" w:cs="Times New Roman"/>
          <w:sz w:val="24"/>
          <w:szCs w:val="24"/>
        </w:rPr>
        <w:t xml:space="preserve">. Dasar pengambilan kesimpulan yang akan digunakan pada uji </w:t>
      </w:r>
      <w:r>
        <w:rPr>
          <w:rFonts w:ascii="Times New Roman" w:hAnsi="Times New Roman" w:cs="Times New Roman"/>
          <w:i/>
          <w:iCs/>
          <w:sz w:val="24"/>
          <w:szCs w:val="24"/>
        </w:rPr>
        <w:t xml:space="preserve">hausman </w:t>
      </w:r>
      <w:r>
        <w:rPr>
          <w:rFonts w:ascii="Times New Roman" w:hAnsi="Times New Roman" w:cs="Times New Roman"/>
          <w:sz w:val="24"/>
          <w:szCs w:val="24"/>
        </w:rPr>
        <w:t>yaitu:</w:t>
      </w:r>
    </w:p>
    <w:p w14:paraId="4012A86B" w14:textId="77777777" w:rsidR="00BB58C4" w:rsidRDefault="00000000">
      <w:pPr>
        <w:pStyle w:val="ListParagraph"/>
        <w:numPr>
          <w:ilvl w:val="0"/>
          <w:numId w:val="1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Jika nilai </w:t>
      </w:r>
      <w:r>
        <w:rPr>
          <w:rFonts w:ascii="Times New Roman" w:hAnsi="Times New Roman" w:cs="Times New Roman"/>
          <w:i/>
          <w:iCs/>
          <w:sz w:val="24"/>
          <w:szCs w:val="24"/>
        </w:rPr>
        <w:t xml:space="preserve">probability cross section random </w:t>
      </w:r>
      <w:r>
        <w:rPr>
          <w:rFonts w:ascii="Times New Roman" w:hAnsi="Times New Roman" w:cs="Times New Roman"/>
          <w:sz w:val="24"/>
          <w:szCs w:val="24"/>
        </w:rPr>
        <w:t xml:space="preserve">≤ α (0,05), maka model </w:t>
      </w:r>
      <w:r>
        <w:rPr>
          <w:rFonts w:ascii="Times New Roman" w:hAnsi="Times New Roman" w:cs="Times New Roman"/>
          <w:i/>
          <w:iCs/>
          <w:sz w:val="24"/>
          <w:szCs w:val="24"/>
        </w:rPr>
        <w:t xml:space="preserve">fixed effect </w:t>
      </w:r>
      <w:r>
        <w:rPr>
          <w:rFonts w:ascii="Times New Roman" w:hAnsi="Times New Roman" w:cs="Times New Roman"/>
          <w:sz w:val="24"/>
          <w:szCs w:val="24"/>
        </w:rPr>
        <w:t>(FE) yang digunakan.</w:t>
      </w:r>
    </w:p>
    <w:p w14:paraId="26D3D834" w14:textId="77777777" w:rsidR="00BB58C4" w:rsidRDefault="00000000">
      <w:pPr>
        <w:pStyle w:val="ListParagraph"/>
        <w:numPr>
          <w:ilvl w:val="0"/>
          <w:numId w:val="1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Jika nilai </w:t>
      </w:r>
      <w:r>
        <w:rPr>
          <w:rFonts w:ascii="Times New Roman" w:hAnsi="Times New Roman" w:cs="Times New Roman"/>
          <w:i/>
          <w:iCs/>
          <w:sz w:val="24"/>
          <w:szCs w:val="24"/>
        </w:rPr>
        <w:t xml:space="preserve">probability cross section random </w:t>
      </w:r>
      <w:r>
        <w:rPr>
          <w:rFonts w:ascii="Times New Roman" w:hAnsi="Times New Roman" w:cs="Times New Roman"/>
          <w:sz w:val="24"/>
          <w:szCs w:val="24"/>
        </w:rPr>
        <w:t xml:space="preserve">≥ α (0,05), maka model </w:t>
      </w:r>
      <w:r>
        <w:rPr>
          <w:rFonts w:ascii="Times New Roman" w:hAnsi="Times New Roman" w:cs="Times New Roman"/>
          <w:i/>
          <w:iCs/>
          <w:sz w:val="24"/>
          <w:szCs w:val="24"/>
        </w:rPr>
        <w:t>random effect</w:t>
      </w:r>
      <w:r>
        <w:rPr>
          <w:rFonts w:ascii="Times New Roman" w:hAnsi="Times New Roman" w:cs="Times New Roman"/>
          <w:sz w:val="24"/>
          <w:szCs w:val="24"/>
        </w:rPr>
        <w:t xml:space="preserve"> (RE) yang digunakan. </w:t>
      </w:r>
    </w:p>
    <w:p w14:paraId="281A19BC" w14:textId="77777777" w:rsidR="00BB58C4" w:rsidRDefault="00000000">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Lagrange Multiplier</w:t>
      </w:r>
    </w:p>
    <w:p w14:paraId="0C5A08C8" w14:textId="77777777" w:rsidR="00BB58C4" w:rsidRDefault="00000000">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 xml:space="preserve">lagrange multiplier </w:t>
      </w:r>
      <w:r>
        <w:rPr>
          <w:rFonts w:ascii="Times New Roman" w:hAnsi="Times New Roman" w:cs="Times New Roman"/>
          <w:sz w:val="24"/>
          <w:szCs w:val="24"/>
        </w:rPr>
        <w:t xml:space="preserve">digunakan untuk menentukan estimasi yang sebaiknya digunakan antara model </w:t>
      </w:r>
      <w:r>
        <w:rPr>
          <w:rFonts w:ascii="Times New Roman" w:hAnsi="Times New Roman" w:cs="Times New Roman"/>
          <w:i/>
          <w:iCs/>
          <w:sz w:val="24"/>
          <w:szCs w:val="24"/>
        </w:rPr>
        <w:t xml:space="preserve">random effect </w:t>
      </w:r>
      <w:r>
        <w:rPr>
          <w:rFonts w:ascii="Times New Roman" w:hAnsi="Times New Roman" w:cs="Times New Roman"/>
          <w:sz w:val="24"/>
          <w:szCs w:val="24"/>
        </w:rPr>
        <w:t xml:space="preserve">atau </w:t>
      </w:r>
      <w:r>
        <w:rPr>
          <w:rFonts w:ascii="Times New Roman" w:hAnsi="Times New Roman" w:cs="Times New Roman"/>
          <w:i/>
          <w:iCs/>
          <w:sz w:val="24"/>
          <w:szCs w:val="24"/>
        </w:rPr>
        <w:t>pooled least square</w:t>
      </w:r>
      <w:r>
        <w:rPr>
          <w:rFonts w:ascii="Times New Roman" w:hAnsi="Times New Roman" w:cs="Times New Roman"/>
          <w:sz w:val="24"/>
          <w:szCs w:val="24"/>
        </w:rPr>
        <w:t xml:space="preserve">. Adapun metode perhitungan yang akan digunakan dalam uji </w:t>
      </w:r>
      <w:r>
        <w:rPr>
          <w:rFonts w:ascii="Times New Roman" w:hAnsi="Times New Roman" w:cs="Times New Roman"/>
          <w:i/>
          <w:iCs/>
          <w:sz w:val="24"/>
          <w:szCs w:val="24"/>
        </w:rPr>
        <w:t xml:space="preserve">lagrange multiplier </w:t>
      </w:r>
      <w:r>
        <w:rPr>
          <w:rFonts w:ascii="Times New Roman" w:hAnsi="Times New Roman" w:cs="Times New Roman"/>
          <w:sz w:val="24"/>
          <w:szCs w:val="24"/>
        </w:rPr>
        <w:t xml:space="preserve">yaitu metode </w:t>
      </w:r>
      <w:r>
        <w:rPr>
          <w:rFonts w:ascii="Times New Roman" w:hAnsi="Times New Roman" w:cs="Times New Roman"/>
          <w:i/>
          <w:iCs/>
          <w:sz w:val="24"/>
          <w:szCs w:val="24"/>
        </w:rPr>
        <w:t>Breusch-Pagan</w:t>
      </w:r>
      <w:r>
        <w:rPr>
          <w:rFonts w:ascii="Times New Roman" w:hAnsi="Times New Roman" w:cs="Times New Roman"/>
          <w:sz w:val="24"/>
          <w:szCs w:val="24"/>
        </w:rPr>
        <w:t xml:space="preserve">. Dasar pengambilan kesimpulan yang akan digunakan pada uji </w:t>
      </w:r>
      <w:r>
        <w:rPr>
          <w:rFonts w:ascii="Times New Roman" w:hAnsi="Times New Roman" w:cs="Times New Roman"/>
          <w:i/>
          <w:iCs/>
          <w:sz w:val="24"/>
          <w:szCs w:val="24"/>
        </w:rPr>
        <w:t>lagrange multiplier</w:t>
      </w:r>
      <w:r>
        <w:rPr>
          <w:rFonts w:ascii="Times New Roman" w:hAnsi="Times New Roman" w:cs="Times New Roman"/>
          <w:sz w:val="24"/>
          <w:szCs w:val="24"/>
        </w:rPr>
        <w:t xml:space="preserve"> berdasarkan metode </w:t>
      </w:r>
      <w:r>
        <w:rPr>
          <w:rFonts w:ascii="Times New Roman" w:hAnsi="Times New Roman" w:cs="Times New Roman"/>
          <w:i/>
          <w:iCs/>
          <w:sz w:val="24"/>
          <w:szCs w:val="24"/>
        </w:rPr>
        <w:t>Breusch-Pagan</w:t>
      </w:r>
      <w:r>
        <w:rPr>
          <w:rFonts w:ascii="Times New Roman" w:hAnsi="Times New Roman" w:cs="Times New Roman"/>
          <w:sz w:val="24"/>
          <w:szCs w:val="24"/>
        </w:rPr>
        <w:t xml:space="preserve"> yaitu:</w:t>
      </w:r>
    </w:p>
    <w:p w14:paraId="750F9F12" w14:textId="77777777" w:rsidR="00BB58C4" w:rsidRDefault="00000000">
      <w:pPr>
        <w:pStyle w:val="ListParagraph"/>
        <w:numPr>
          <w:ilvl w:val="0"/>
          <w:numId w:val="16"/>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Jika nilai </w:t>
      </w:r>
      <w:r>
        <w:rPr>
          <w:rFonts w:ascii="Times New Roman" w:hAnsi="Times New Roman" w:cs="Times New Roman"/>
          <w:i/>
          <w:iCs/>
          <w:sz w:val="24"/>
          <w:szCs w:val="24"/>
        </w:rPr>
        <w:t xml:space="preserve">probability cross section Breusch-Pagann </w:t>
      </w:r>
      <w:r>
        <w:rPr>
          <w:rFonts w:ascii="Times New Roman" w:hAnsi="Times New Roman" w:cs="Times New Roman"/>
          <w:sz w:val="24"/>
          <w:szCs w:val="24"/>
        </w:rPr>
        <w:t xml:space="preserve">≤ α (0,05), maka model </w:t>
      </w:r>
      <w:r>
        <w:rPr>
          <w:rFonts w:ascii="Times New Roman" w:hAnsi="Times New Roman" w:cs="Times New Roman"/>
          <w:i/>
          <w:iCs/>
          <w:sz w:val="24"/>
          <w:szCs w:val="24"/>
        </w:rPr>
        <w:t xml:space="preserve">random effect </w:t>
      </w:r>
      <w:r>
        <w:rPr>
          <w:rFonts w:ascii="Times New Roman" w:hAnsi="Times New Roman" w:cs="Times New Roman"/>
          <w:sz w:val="24"/>
          <w:szCs w:val="24"/>
        </w:rPr>
        <w:t>(RE) yang digunakan.</w:t>
      </w:r>
    </w:p>
    <w:p w14:paraId="73565B24" w14:textId="77777777" w:rsidR="00BB58C4" w:rsidRDefault="00000000">
      <w:pPr>
        <w:pStyle w:val="ListParagraph"/>
        <w:numPr>
          <w:ilvl w:val="0"/>
          <w:numId w:val="16"/>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Jika nilai </w:t>
      </w:r>
      <w:r>
        <w:rPr>
          <w:rFonts w:ascii="Times New Roman" w:hAnsi="Times New Roman" w:cs="Times New Roman"/>
          <w:i/>
          <w:iCs/>
          <w:sz w:val="24"/>
          <w:szCs w:val="24"/>
        </w:rPr>
        <w:t>probability cross section Breusch-Pagann</w:t>
      </w:r>
      <w:r>
        <w:rPr>
          <w:rFonts w:ascii="Times New Roman" w:hAnsi="Times New Roman" w:cs="Times New Roman"/>
          <w:sz w:val="24"/>
          <w:szCs w:val="24"/>
        </w:rPr>
        <w:t xml:space="preserve"> ≤ α (0,05), maka model</w:t>
      </w:r>
      <w:r>
        <w:rPr>
          <w:rFonts w:ascii="Times New Roman" w:hAnsi="Times New Roman" w:cs="Times New Roman"/>
          <w:i/>
          <w:iCs/>
          <w:sz w:val="24"/>
          <w:szCs w:val="24"/>
        </w:rPr>
        <w:t xml:space="preserve"> pooled least square </w:t>
      </w:r>
      <w:r>
        <w:rPr>
          <w:rFonts w:ascii="Times New Roman" w:hAnsi="Times New Roman" w:cs="Times New Roman"/>
          <w:sz w:val="24"/>
          <w:szCs w:val="24"/>
        </w:rPr>
        <w:t>(PLS) yang digunakan.</w:t>
      </w:r>
    </w:p>
    <w:p w14:paraId="52F3599B" w14:textId="77777777" w:rsidR="00BB58C4" w:rsidRDefault="00BB58C4">
      <w:pPr>
        <w:spacing w:after="0" w:line="480" w:lineRule="auto"/>
        <w:jc w:val="both"/>
        <w:rPr>
          <w:rFonts w:ascii="Times New Roman" w:hAnsi="Times New Roman" w:cs="Times New Roman"/>
          <w:sz w:val="24"/>
          <w:szCs w:val="24"/>
        </w:rPr>
      </w:pPr>
    </w:p>
    <w:p w14:paraId="5CC16DF1" w14:textId="77777777" w:rsidR="00BB58C4" w:rsidRDefault="00BB58C4">
      <w:pPr>
        <w:spacing w:after="0" w:line="480" w:lineRule="auto"/>
        <w:jc w:val="both"/>
        <w:rPr>
          <w:rFonts w:ascii="Times New Roman" w:hAnsi="Times New Roman" w:cs="Times New Roman"/>
          <w:sz w:val="24"/>
          <w:szCs w:val="24"/>
        </w:rPr>
      </w:pPr>
    </w:p>
    <w:p w14:paraId="03A3A034" w14:textId="77777777" w:rsidR="00BB58C4" w:rsidRDefault="00BB58C4">
      <w:pPr>
        <w:spacing w:after="0" w:line="480" w:lineRule="auto"/>
        <w:jc w:val="both"/>
        <w:rPr>
          <w:rFonts w:ascii="Times New Roman" w:hAnsi="Times New Roman" w:cs="Times New Roman"/>
          <w:sz w:val="24"/>
          <w:szCs w:val="24"/>
        </w:rPr>
      </w:pPr>
    </w:p>
    <w:p w14:paraId="3745A2B7" w14:textId="77777777" w:rsidR="00BB58C4" w:rsidRDefault="00000000">
      <w:pPr>
        <w:pStyle w:val="SubHeading3"/>
        <w:ind w:left="567" w:hanging="567"/>
      </w:pPr>
      <w:bookmarkStart w:id="63" w:name="_Toc220995044"/>
      <w:r>
        <w:lastRenderedPageBreak/>
        <w:t xml:space="preserve">3.5.3. </w:t>
      </w:r>
      <w:r>
        <w:tab/>
        <w:t>Uji Asumsi Klasik</w:t>
      </w:r>
      <w:bookmarkEnd w:id="63"/>
    </w:p>
    <w:p w14:paraId="05800653"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Uji asumsi klasik merupakan suatu syarat penting bagi model regresi. Asumsi klasik menggambarkan apakah model regresi yang diuji valid sebagai alat penduga.</w:t>
      </w:r>
    </w:p>
    <w:p w14:paraId="1B7F4857"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3.5.3.1</w:t>
      </w:r>
      <w:r>
        <w:rPr>
          <w:rFonts w:ascii="Times New Roman" w:hAnsi="Times New Roman" w:cs="Times New Roman"/>
          <w:b/>
          <w:bCs/>
          <w:sz w:val="24"/>
          <w:szCs w:val="24"/>
        </w:rPr>
        <w:tab/>
        <w:t>Uji Normalitas</w:t>
      </w:r>
    </w:p>
    <w:p w14:paraId="7D06EF31"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Uji normalitas bertujuan untuk mengetahui apakah nilai residual berdistribusi normal atau tidak. Uji Normalitas data dapat dilakukan dengan menggunakan uji statistik melalui identifikasi nilai uji Jarque-Bera dari residual</w:t>
      </w:r>
      <w:r>
        <w:rPr>
          <w:rFonts w:ascii="Times New Roman" w:hAnsi="Times New Roman" w:cs="Times New Roman"/>
          <w:i/>
          <w:iCs/>
          <w:sz w:val="24"/>
          <w:szCs w:val="24"/>
        </w:rPr>
        <w:t xml:space="preserve">. </w:t>
      </w:r>
      <w:r>
        <w:rPr>
          <w:rFonts w:ascii="Times New Roman" w:hAnsi="Times New Roman" w:cs="Times New Roman"/>
          <w:sz w:val="24"/>
          <w:szCs w:val="24"/>
        </w:rPr>
        <w:t>Data dapat dinyatakan berdistribusi normal apabila nilai prob &gt; 0,05 sebaliknya jika nilai prob &lt; 0,05 maka nilai residual dinyatakan tidak berdistribusi normal. </w:t>
      </w:r>
    </w:p>
    <w:p w14:paraId="0E1336D8"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3.5.3.2</w:t>
      </w:r>
      <w:r>
        <w:rPr>
          <w:rFonts w:ascii="Times New Roman" w:hAnsi="Times New Roman" w:cs="Times New Roman"/>
          <w:b/>
          <w:bCs/>
          <w:sz w:val="24"/>
          <w:szCs w:val="24"/>
        </w:rPr>
        <w:tab/>
        <w:t>Uji Multikolinearitas</w:t>
      </w:r>
    </w:p>
    <w:p w14:paraId="122BC2AE"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multikolinearitas bertujuan untuk menguji apakah terdapat model regresi ditemukan adanya korelasi antar variabel bebas, uji multikolinearitas dapat dilakukan dengan melihat nilai </w:t>
      </w:r>
      <w:r>
        <w:rPr>
          <w:rFonts w:ascii="Times New Roman" w:hAnsi="Times New Roman" w:cs="Times New Roman"/>
          <w:i/>
          <w:iCs/>
          <w:sz w:val="24"/>
          <w:szCs w:val="24"/>
        </w:rPr>
        <w:t xml:space="preserve">Variance Inflation Factor </w:t>
      </w:r>
      <w:r>
        <w:rPr>
          <w:rFonts w:ascii="Times New Roman" w:hAnsi="Times New Roman" w:cs="Times New Roman"/>
          <w:sz w:val="24"/>
          <w:szCs w:val="24"/>
        </w:rPr>
        <w:t>(VIF), suatu model regresi menunjukkan adanya  multikolinearitas jika nilai tolerance  &lt; 0,10 dan VIF &gt; 10.</w:t>
      </w:r>
    </w:p>
    <w:p w14:paraId="33D84841"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3.5.3.3</w:t>
      </w:r>
      <w:r>
        <w:rPr>
          <w:rFonts w:ascii="Times New Roman" w:hAnsi="Times New Roman" w:cs="Times New Roman"/>
          <w:b/>
          <w:bCs/>
          <w:sz w:val="24"/>
          <w:szCs w:val="24"/>
        </w:rPr>
        <w:tab/>
        <w:t>Autokorelasi</w:t>
      </w:r>
    </w:p>
    <w:p w14:paraId="0B58C48D"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Uji autokorelasi bertujuan untuk menguji apakah dalam model regresi linear ada korelasi antara </w:t>
      </w:r>
      <w:r>
        <w:rPr>
          <w:rFonts w:ascii="Times New Roman" w:hAnsi="Times New Roman" w:cs="Times New Roman"/>
          <w:i/>
          <w:iCs/>
          <w:sz w:val="24"/>
          <w:szCs w:val="24"/>
        </w:rPr>
        <w:t xml:space="preserve">error </w:t>
      </w:r>
      <w:r>
        <w:rPr>
          <w:rFonts w:ascii="Times New Roman" w:hAnsi="Times New Roman" w:cs="Times New Roman"/>
          <w:sz w:val="24"/>
          <w:szCs w:val="24"/>
        </w:rPr>
        <w:t xml:space="preserve">(residuals) dari model regresi dengan kesalahan pada waktu sebelumnya dalam deret waktu. Uji korelasi dilakukan dengan menggunakan uji </w:t>
      </w:r>
      <w:r>
        <w:rPr>
          <w:rFonts w:ascii="Times New Roman" w:hAnsi="Times New Roman" w:cs="Times New Roman"/>
          <w:i/>
          <w:iCs/>
          <w:sz w:val="24"/>
          <w:szCs w:val="24"/>
        </w:rPr>
        <w:t xml:space="preserve">Breusch-Godfrey </w:t>
      </w:r>
      <w:r>
        <w:rPr>
          <w:rFonts w:ascii="Times New Roman" w:hAnsi="Times New Roman" w:cs="Times New Roman"/>
          <w:sz w:val="24"/>
          <w:szCs w:val="24"/>
        </w:rPr>
        <w:t xml:space="preserve">jika hasil prob. </w:t>
      </w:r>
      <w:r>
        <w:rPr>
          <w:rFonts w:ascii="Times New Roman" w:hAnsi="Times New Roman" w:cs="Times New Roman"/>
          <w:i/>
          <w:iCs/>
          <w:sz w:val="24"/>
          <w:szCs w:val="24"/>
        </w:rPr>
        <w:t>Chi square</w:t>
      </w:r>
      <w:r>
        <w:rPr>
          <w:rFonts w:ascii="Times New Roman" w:hAnsi="Times New Roman" w:cs="Times New Roman"/>
          <w:sz w:val="24"/>
          <w:szCs w:val="24"/>
        </w:rPr>
        <w:t xml:space="preserve"> ≥ 0,05 maka dapat disimpulkan tidak terjadi autokorelasi antar residual pada model panel data yang disusun. </w:t>
      </w:r>
    </w:p>
    <w:p w14:paraId="67790E04"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3.5.3.4</w:t>
      </w:r>
      <w:r>
        <w:rPr>
          <w:rFonts w:ascii="Times New Roman" w:hAnsi="Times New Roman" w:cs="Times New Roman"/>
          <w:b/>
          <w:bCs/>
          <w:sz w:val="24"/>
          <w:szCs w:val="24"/>
        </w:rPr>
        <w:tab/>
        <w:t>Uji Heteroskedastisitas</w:t>
      </w:r>
    </w:p>
    <w:p w14:paraId="2A1BA385"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Heteroskedastisitas adalah sebuah uji statistik yang bertujuan untuk memeriksa apakah terdapat ketidaksamaan varians dari residual pada model regresi. </w:t>
      </w:r>
      <w:r>
        <w:rPr>
          <w:rFonts w:ascii="Times New Roman" w:hAnsi="Times New Roman" w:cs="Times New Roman"/>
          <w:sz w:val="24"/>
          <w:szCs w:val="24"/>
        </w:rPr>
        <w:lastRenderedPageBreak/>
        <w:t>Dengan kata lain, uji ini melihat apakah kesalahan (</w:t>
      </w:r>
      <w:r>
        <w:rPr>
          <w:rFonts w:ascii="Times New Roman" w:hAnsi="Times New Roman" w:cs="Times New Roman"/>
          <w:i/>
          <w:iCs/>
          <w:sz w:val="24"/>
          <w:szCs w:val="24"/>
        </w:rPr>
        <w:t>error</w:t>
      </w:r>
      <w:r>
        <w:rPr>
          <w:rFonts w:ascii="Times New Roman" w:hAnsi="Times New Roman" w:cs="Times New Roman"/>
          <w:sz w:val="24"/>
          <w:szCs w:val="24"/>
        </w:rPr>
        <w:t xml:space="preserve">) dalam model regresi memiliki varians yang konstan untuk semua observasi atau tidak. Model regresi yang baik adalah tidak terjadi heteroskedastisitas. Apabila nilai </w:t>
      </w:r>
      <w:r>
        <w:rPr>
          <w:rFonts w:ascii="Times New Roman" w:hAnsi="Times New Roman" w:cs="Times New Roman"/>
          <w:i/>
          <w:iCs/>
          <w:sz w:val="24"/>
          <w:szCs w:val="24"/>
        </w:rPr>
        <w:t xml:space="preserve">P-Value </w:t>
      </w:r>
      <w:r>
        <w:rPr>
          <w:rFonts w:ascii="Times New Roman" w:hAnsi="Times New Roman" w:cs="Times New Roman"/>
          <w:sz w:val="24"/>
          <w:szCs w:val="24"/>
        </w:rPr>
        <w:t xml:space="preserve">lebih dari ≥ 0,05 maka dapat disimpulkan tidak terdapat masalah heteroskedastisitas. </w:t>
      </w:r>
    </w:p>
    <w:p w14:paraId="015CE6A8" w14:textId="77777777" w:rsidR="00BB58C4" w:rsidRDefault="00000000">
      <w:pPr>
        <w:pStyle w:val="subheading312"/>
      </w:pPr>
      <w:bookmarkStart w:id="64" w:name="_Toc220995045"/>
      <w:r>
        <w:t>3.5.4.</w:t>
      </w:r>
      <w:r>
        <w:tab/>
        <w:t>Uji Kelayakan Model</w:t>
      </w:r>
      <w:bookmarkEnd w:id="64"/>
    </w:p>
    <w:p w14:paraId="64097D7E"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Pada penelitian ini peneliti menggunakan </w:t>
      </w:r>
      <w:r>
        <w:rPr>
          <w:rFonts w:ascii="Times New Roman" w:hAnsi="Times New Roman" w:cs="Times New Roman"/>
          <w:i/>
          <w:iCs/>
          <w:sz w:val="24"/>
          <w:szCs w:val="24"/>
        </w:rPr>
        <w:t>software</w:t>
      </w:r>
      <w:r>
        <w:rPr>
          <w:rFonts w:ascii="Times New Roman" w:hAnsi="Times New Roman" w:cs="Times New Roman"/>
          <w:sz w:val="24"/>
          <w:szCs w:val="24"/>
        </w:rPr>
        <w:t xml:space="preserve"> berupa aplikasi STATA yang digunakan untuk memprediksi hubungan antara variabel dependen dan variabel independen. </w:t>
      </w:r>
    </w:p>
    <w:p w14:paraId="5B202908"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3.5.4.1</w:t>
      </w:r>
      <w:r>
        <w:rPr>
          <w:rFonts w:ascii="Times New Roman" w:hAnsi="Times New Roman" w:cs="Times New Roman"/>
          <w:b/>
          <w:bCs/>
          <w:sz w:val="24"/>
          <w:szCs w:val="24"/>
        </w:rPr>
        <w:tab/>
        <w:t>Koefisien Determinasi (R2)</w:t>
      </w:r>
    </w:p>
    <w:p w14:paraId="7BD3108A"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 merupakan sebuah bilangan yang menyatakan proporsi (persentase) variasi perubahan nilai-nilai variabel dependen yang ditentukan oleh variasi perubahan nilai-nilai seluruh variabel independen (Ghozali, 2018). Nilai koefisien determinasi adalah nol atau satu. Nilai yang mendekati satu artinya variabel-variabel independen memberikan hampir seluruh informasi yang dibutuhkan untuk memprediksi varian variabel dependen. Bila terdapat nilai adjusted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bernilai negatif, maka adjusted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dianggap nol.</w:t>
      </w:r>
    </w:p>
    <w:p w14:paraId="6B2E68E7"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3.5.4.2 Uji F</w:t>
      </w:r>
    </w:p>
    <w:p w14:paraId="6E7B5FF9"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Model yang layak adalah model yang dapat digunakan untuk mengestimasi populasi, model regresi dikatakan layak apabila nilai F sebuah model memenuhi kriteria yang telah ditetapkan (Ghozali, 2018). Pengujian dilakukan dengan menggunakan tingkat kesalahan 0.05 (α = 5%). Penentuan penerimaan atau penolakan hipotesis adalah sebagai berikut : </w:t>
      </w:r>
    </w:p>
    <w:p w14:paraId="0E1DCF9E" w14:textId="77777777" w:rsidR="00BB58C4" w:rsidRDefault="00000000">
      <w:pPr>
        <w:pStyle w:val="ListParagraph"/>
        <w:numPr>
          <w:ilvl w:val="0"/>
          <w:numId w:val="1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Apabila probabilitas &gt; 0,05, menunjukkan bahwa uji model ini tidak layak untuk digunakan pada penelitian.</w:t>
      </w:r>
    </w:p>
    <w:p w14:paraId="28B29320" w14:textId="77777777" w:rsidR="00BB58C4" w:rsidRDefault="00000000">
      <w:pPr>
        <w:pStyle w:val="ListParagraph"/>
        <w:numPr>
          <w:ilvl w:val="0"/>
          <w:numId w:val="17"/>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Apabila probabilitas &lt; 0,05, menunjukkan bahwa uji model ini layak untuk digunakan pada penelitian.</w:t>
      </w:r>
    </w:p>
    <w:p w14:paraId="65C30B57" w14:textId="77777777" w:rsidR="00BB58C4" w:rsidRDefault="00000000">
      <w:pPr>
        <w:pStyle w:val="subheading312"/>
      </w:pPr>
      <w:bookmarkStart w:id="65" w:name="_Toc220995046"/>
      <w:r>
        <w:t>3.5.5.</w:t>
      </w:r>
      <w:r>
        <w:tab/>
        <w:t>Analisis Regresi Linear Berganda</w:t>
      </w:r>
      <w:bookmarkEnd w:id="65"/>
    </w:p>
    <w:p w14:paraId="0696E4D9"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Analisis regresi linear digunakan untuk mengetahui arah dan pengaruh variabel independen terhadap variabel dependen. Sejalan dengan (Ghozali, 2018) Model Regresi linear berganda dapat menjelaskan hubungan antara beberapa variabel, yang terdiri dari satu variabel dependen dan beberapa variabel independen. Model analisis linier berganda dalam penelitian ini adalah:</w:t>
      </w:r>
    </w:p>
    <w:p w14:paraId="65D5FCF2" w14:textId="77777777" w:rsidR="00BB58C4" w:rsidRDefault="00000000">
      <w:pPr>
        <w:spacing w:after="0" w:line="480" w:lineRule="auto"/>
        <w:jc w:val="both"/>
        <w:rPr>
          <w:rFonts w:ascii="Times New Roman" w:hAnsi="Times New Roman" w:cs="Times New Roman"/>
          <w:sz w:val="32"/>
          <w:szCs w:val="32"/>
        </w:rPr>
      </w:pPr>
      <w:r>
        <w:rPr>
          <w:rFonts w:ascii="Times New Roman" w:hAnsi="Times New Roman" w:cs="Times New Roman"/>
          <w:i/>
          <w:iCs/>
          <w:sz w:val="24"/>
          <w:szCs w:val="24"/>
        </w:rPr>
        <w:t xml:space="preserve">Y = α </w:t>
      </w:r>
      <w:r>
        <w:rPr>
          <w:rFonts w:ascii="Times New Roman" w:hAnsi="Times New Roman" w:cs="Times New Roman"/>
          <w:sz w:val="24"/>
          <w:szCs w:val="24"/>
        </w:rPr>
        <w:t>+ β</w:t>
      </w:r>
      <w:r>
        <w:rPr>
          <w:rFonts w:ascii="Times New Roman" w:hAnsi="Times New Roman" w:cs="Times New Roman"/>
          <w:sz w:val="24"/>
          <w:szCs w:val="24"/>
          <w:vertAlign w:val="subscript"/>
        </w:rPr>
        <w:t>1</w:t>
      </w:r>
      <w:r>
        <w:rPr>
          <w:rFonts w:ascii="Times New Roman" w:hAnsi="Times New Roman" w:cs="Times New Roman"/>
          <w:i/>
          <w:iCs/>
          <w:sz w:val="24"/>
          <w:szCs w:val="24"/>
        </w:rPr>
        <w:t>X</w:t>
      </w:r>
      <w:r>
        <w:rPr>
          <w:rFonts w:ascii="Times New Roman" w:hAnsi="Times New Roman" w:cs="Times New Roman"/>
          <w:sz w:val="24"/>
          <w:szCs w:val="24"/>
          <w:vertAlign w:val="subscript"/>
        </w:rPr>
        <w:t>1</w:t>
      </w:r>
      <w:r>
        <w:rPr>
          <w:rFonts w:ascii="Times New Roman" w:hAnsi="Times New Roman" w:cs="Times New Roman"/>
          <w:i/>
          <w:iCs/>
          <w:sz w:val="24"/>
          <w:szCs w:val="24"/>
          <w:vertAlign w:val="subscript"/>
        </w:rPr>
        <w:t xml:space="preserve"> </w:t>
      </w:r>
      <w:r>
        <w:rPr>
          <w:rFonts w:ascii="Times New Roman" w:hAnsi="Times New Roman" w:cs="Times New Roman"/>
          <w:sz w:val="24"/>
          <w:szCs w:val="24"/>
        </w:rPr>
        <w:t>+ β</w:t>
      </w:r>
      <w:r>
        <w:rPr>
          <w:rFonts w:ascii="Times New Roman" w:hAnsi="Times New Roman" w:cs="Times New Roman"/>
          <w:sz w:val="24"/>
          <w:szCs w:val="24"/>
          <w:vertAlign w:val="subscript"/>
        </w:rPr>
        <w:t>2</w:t>
      </w:r>
      <w:r>
        <w:rPr>
          <w:rFonts w:ascii="Times New Roman" w:hAnsi="Times New Roman" w:cs="Times New Roman"/>
          <w:i/>
          <w:iCs/>
          <w:sz w:val="24"/>
          <w:szCs w:val="24"/>
        </w:rPr>
        <w:t>X</w:t>
      </w:r>
      <w:r>
        <w:rPr>
          <w:rFonts w:ascii="Times New Roman" w:hAnsi="Times New Roman" w:cs="Times New Roman"/>
          <w:sz w:val="24"/>
          <w:szCs w:val="24"/>
          <w:vertAlign w:val="subscript"/>
        </w:rPr>
        <w:t xml:space="preserve">2 </w:t>
      </w:r>
      <w:r>
        <w:rPr>
          <w:rFonts w:ascii="Times New Roman" w:hAnsi="Times New Roman" w:cs="Times New Roman"/>
          <w:sz w:val="24"/>
          <w:szCs w:val="24"/>
        </w:rPr>
        <w:t>+ β</w:t>
      </w:r>
      <w:r>
        <w:rPr>
          <w:rFonts w:ascii="Times New Roman" w:hAnsi="Times New Roman" w:cs="Times New Roman"/>
          <w:sz w:val="24"/>
          <w:szCs w:val="24"/>
          <w:vertAlign w:val="subscript"/>
        </w:rPr>
        <w:t>3</w:t>
      </w:r>
      <w:r>
        <w:rPr>
          <w:rFonts w:ascii="Times New Roman" w:hAnsi="Times New Roman" w:cs="Times New Roman"/>
          <w:i/>
          <w:iCs/>
          <w:sz w:val="24"/>
          <w:szCs w:val="24"/>
        </w:rPr>
        <w:t>X</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w:t>
      </w:r>
      <w:r>
        <w:rPr>
          <w:rFonts w:ascii="Times New Roman" w:hAnsi="Times New Roman" w:cs="Times New Roman"/>
          <w:sz w:val="32"/>
          <w:szCs w:val="32"/>
        </w:rPr>
        <w:t>ε</w:t>
      </w:r>
    </w:p>
    <w:p w14:paraId="5D55BEE2"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3D88BE51"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xml:space="preserve">: </w:t>
      </w:r>
      <w:r>
        <w:rPr>
          <w:rFonts w:ascii="Times New Roman" w:hAnsi="Times New Roman" w:cs="Times New Roman"/>
          <w:i/>
          <w:iCs/>
          <w:sz w:val="24"/>
          <w:szCs w:val="24"/>
        </w:rPr>
        <w:t>transfer pricing</w:t>
      </w:r>
    </w:p>
    <w:p w14:paraId="41F9F794"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α</w:t>
      </w:r>
      <w:r>
        <w:rPr>
          <w:rFonts w:ascii="Times New Roman" w:hAnsi="Times New Roman" w:cs="Times New Roman"/>
          <w:sz w:val="24"/>
          <w:szCs w:val="24"/>
        </w:rPr>
        <w:tab/>
        <w:t>: konstanta (nilai Y saat X bernilai 0)</w:t>
      </w:r>
    </w:p>
    <w:p w14:paraId="2D9BAD8D"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β</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rPr>
        <w:t xml:space="preserve">: koefisien regresi </w:t>
      </w:r>
      <w:r>
        <w:rPr>
          <w:rFonts w:ascii="Times New Roman" w:hAnsi="Times New Roman" w:cs="Times New Roman"/>
          <w:i/>
          <w:iCs/>
          <w:sz w:val="24"/>
          <w:szCs w:val="24"/>
        </w:rPr>
        <w:t>tax haven</w:t>
      </w:r>
    </w:p>
    <w:p w14:paraId="485DCA52"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rPr>
        <w:t xml:space="preserve">: </w:t>
      </w:r>
      <w:r>
        <w:rPr>
          <w:rFonts w:ascii="Times New Roman" w:hAnsi="Times New Roman" w:cs="Times New Roman"/>
          <w:i/>
          <w:iCs/>
          <w:sz w:val="24"/>
          <w:szCs w:val="24"/>
        </w:rPr>
        <w:t>tax haven</w:t>
      </w:r>
    </w:p>
    <w:p w14:paraId="51278C4C"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β</w:t>
      </w:r>
      <w:r>
        <w:rPr>
          <w:rFonts w:ascii="Times New Roman" w:hAnsi="Times New Roman" w:cs="Times New Roman"/>
          <w:sz w:val="24"/>
          <w:szCs w:val="24"/>
          <w:vertAlign w:val="subscript"/>
        </w:rPr>
        <w:t>2</w:t>
      </w:r>
      <w:r>
        <w:rPr>
          <w:rFonts w:ascii="Times New Roman" w:hAnsi="Times New Roman" w:cs="Times New Roman"/>
          <w:sz w:val="24"/>
          <w:szCs w:val="24"/>
        </w:rPr>
        <w:tab/>
        <w:t xml:space="preserve">: koefisien </w:t>
      </w:r>
      <w:r>
        <w:rPr>
          <w:rFonts w:ascii="Times New Roman" w:hAnsi="Times New Roman" w:cs="Times New Roman"/>
          <w:i/>
          <w:iCs/>
          <w:sz w:val="24"/>
          <w:szCs w:val="24"/>
        </w:rPr>
        <w:t>intangible asset</w:t>
      </w:r>
    </w:p>
    <w:p w14:paraId="753E17A6"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rPr>
        <w:t xml:space="preserve">: </w:t>
      </w:r>
      <w:r>
        <w:rPr>
          <w:rFonts w:ascii="Times New Roman" w:hAnsi="Times New Roman" w:cs="Times New Roman"/>
          <w:i/>
          <w:iCs/>
          <w:sz w:val="24"/>
          <w:szCs w:val="24"/>
        </w:rPr>
        <w:t>intangible asset</w:t>
      </w:r>
    </w:p>
    <w:p w14:paraId="6A1E258D"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β</w:t>
      </w:r>
      <w:r>
        <w:rPr>
          <w:rFonts w:ascii="Times New Roman" w:hAnsi="Times New Roman" w:cs="Times New Roman"/>
          <w:sz w:val="24"/>
          <w:szCs w:val="24"/>
          <w:vertAlign w:val="subscript"/>
        </w:rPr>
        <w:t>3</w:t>
      </w:r>
      <w:r>
        <w:rPr>
          <w:rFonts w:ascii="Times New Roman" w:hAnsi="Times New Roman" w:cs="Times New Roman"/>
          <w:sz w:val="24"/>
          <w:szCs w:val="24"/>
        </w:rPr>
        <w:tab/>
        <w:t xml:space="preserve">: koefisien </w:t>
      </w:r>
      <w:r>
        <w:rPr>
          <w:rFonts w:ascii="Times New Roman" w:hAnsi="Times New Roman" w:cs="Times New Roman"/>
          <w:i/>
          <w:iCs/>
          <w:sz w:val="24"/>
          <w:szCs w:val="24"/>
        </w:rPr>
        <w:t>tax minimization</w:t>
      </w:r>
    </w:p>
    <w:p w14:paraId="219381F1"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ab/>
        <w:t xml:space="preserve">: </w:t>
      </w:r>
      <w:r>
        <w:rPr>
          <w:rFonts w:ascii="Times New Roman" w:hAnsi="Times New Roman" w:cs="Times New Roman"/>
          <w:i/>
          <w:iCs/>
          <w:sz w:val="24"/>
          <w:szCs w:val="24"/>
        </w:rPr>
        <w:t>tax minimization</w:t>
      </w:r>
    </w:p>
    <w:p w14:paraId="32ECCDB9" w14:textId="77777777" w:rsidR="00BB58C4" w:rsidRDefault="00000000">
      <w:pPr>
        <w:spacing w:after="0" w:line="480" w:lineRule="auto"/>
        <w:rPr>
          <w:rFonts w:ascii="Times New Roman" w:hAnsi="Times New Roman" w:cs="Times New Roman"/>
          <w:sz w:val="24"/>
          <w:szCs w:val="24"/>
        </w:rPr>
      </w:pPr>
      <w:bookmarkStart w:id="66" w:name="_Toc201440062"/>
      <w:r>
        <w:rPr>
          <w:rFonts w:ascii="Times New Roman" w:hAnsi="Times New Roman" w:cs="Times New Roman"/>
          <w:sz w:val="24"/>
          <w:szCs w:val="24"/>
        </w:rPr>
        <w:t>ε</w:t>
      </w:r>
      <w:r>
        <w:rPr>
          <w:rFonts w:ascii="Times New Roman" w:hAnsi="Times New Roman" w:cs="Times New Roman"/>
          <w:sz w:val="24"/>
          <w:szCs w:val="24"/>
        </w:rPr>
        <w:tab/>
        <w:t>: error term</w:t>
      </w:r>
      <w:bookmarkEnd w:id="66"/>
    </w:p>
    <w:p w14:paraId="419CFD83" w14:textId="77777777" w:rsidR="00BB58C4" w:rsidRDefault="00BB58C4">
      <w:pPr>
        <w:rPr>
          <w:rFonts w:ascii="Times New Roman" w:hAnsi="Times New Roman" w:cs="Times New Roman"/>
          <w:b/>
          <w:bCs/>
          <w:sz w:val="24"/>
          <w:szCs w:val="24"/>
        </w:rPr>
      </w:pPr>
    </w:p>
    <w:p w14:paraId="3EB6531F" w14:textId="77777777" w:rsidR="00BB58C4" w:rsidRDefault="00BB58C4">
      <w:pPr>
        <w:rPr>
          <w:rFonts w:ascii="Times New Roman" w:hAnsi="Times New Roman" w:cs="Times New Roman"/>
          <w:b/>
          <w:bCs/>
          <w:sz w:val="24"/>
          <w:szCs w:val="24"/>
        </w:rPr>
      </w:pPr>
    </w:p>
    <w:p w14:paraId="739F9F81" w14:textId="77777777" w:rsidR="00BB58C4" w:rsidRDefault="00BB58C4">
      <w:pPr>
        <w:rPr>
          <w:rFonts w:ascii="Times New Roman" w:hAnsi="Times New Roman" w:cs="Times New Roman"/>
          <w:b/>
          <w:bCs/>
          <w:sz w:val="24"/>
          <w:szCs w:val="24"/>
        </w:rPr>
      </w:pPr>
    </w:p>
    <w:p w14:paraId="4DB7107F" w14:textId="77777777" w:rsidR="00BB58C4" w:rsidRDefault="00BB58C4">
      <w:pPr>
        <w:rPr>
          <w:rFonts w:ascii="Times New Roman" w:hAnsi="Times New Roman" w:cs="Times New Roman"/>
          <w:b/>
          <w:bCs/>
          <w:sz w:val="24"/>
          <w:szCs w:val="24"/>
        </w:rPr>
      </w:pPr>
    </w:p>
    <w:p w14:paraId="0300C310" w14:textId="77777777" w:rsidR="00BB58C4" w:rsidRDefault="00BB58C4">
      <w:pPr>
        <w:rPr>
          <w:rFonts w:ascii="Times New Roman" w:hAnsi="Times New Roman" w:cs="Times New Roman"/>
          <w:b/>
          <w:bCs/>
          <w:sz w:val="24"/>
          <w:szCs w:val="24"/>
        </w:rPr>
      </w:pPr>
    </w:p>
    <w:p w14:paraId="4F47F801" w14:textId="77777777" w:rsidR="00BB58C4" w:rsidRDefault="00000000">
      <w:pPr>
        <w:pStyle w:val="subheading312"/>
        <w:tabs>
          <w:tab w:val="left" w:pos="284"/>
        </w:tabs>
      </w:pPr>
      <w:bookmarkStart w:id="67" w:name="_Toc220995047"/>
      <w:r>
        <w:lastRenderedPageBreak/>
        <w:t>3.5.6 Uji t</w:t>
      </w:r>
      <w:bookmarkEnd w:id="67"/>
    </w:p>
    <w:p w14:paraId="17022B3D"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Pengujian hipotesis dilakukan untuk mengetahui pengaruh nyata (signifikansi) variabel independen terhadap variabel dependen, metode yang digunakan yaitu alat uji t (</w:t>
      </w:r>
      <w:r>
        <w:rPr>
          <w:rFonts w:ascii="Times New Roman" w:hAnsi="Times New Roman" w:cs="Times New Roman"/>
          <w:i/>
          <w:iCs/>
          <w:sz w:val="24"/>
          <w:szCs w:val="24"/>
        </w:rPr>
        <w:t>t test</w:t>
      </w:r>
      <w:r>
        <w:rPr>
          <w:rFonts w:ascii="Times New Roman" w:hAnsi="Times New Roman" w:cs="Times New Roman"/>
          <w:sz w:val="24"/>
          <w:szCs w:val="24"/>
        </w:rPr>
        <w:t>) (Ghozali, 2018).</w:t>
      </w:r>
    </w:p>
    <w:p w14:paraId="49418AB7"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Dasar pengambilan keputusan yang digunakan dalam uji t yaitu : </w:t>
      </w:r>
    </w:p>
    <w:p w14:paraId="72737A39" w14:textId="77777777" w:rsidR="00BB58C4" w:rsidRDefault="00000000">
      <w:pPr>
        <w:pStyle w:val="ListParagraph"/>
        <w:numPr>
          <w:ilvl w:val="0"/>
          <w:numId w:val="18"/>
        </w:numPr>
        <w:tabs>
          <w:tab w:val="left" w:pos="284"/>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Jika nilai probabilitas signifikansi &gt; 0,05, maka hipotesis ditolak. Hipotesis ditolak artinya bahwa variabel independen tidak berpengaruh terhadap variabel dependen.</w:t>
      </w:r>
    </w:p>
    <w:p w14:paraId="5324E48D" w14:textId="77777777" w:rsidR="00BB58C4" w:rsidRDefault="00000000">
      <w:pPr>
        <w:pStyle w:val="ListParagraph"/>
        <w:numPr>
          <w:ilvl w:val="0"/>
          <w:numId w:val="18"/>
        </w:numPr>
        <w:tabs>
          <w:tab w:val="left" w:pos="284"/>
        </w:tabs>
        <w:spacing w:line="480" w:lineRule="auto"/>
        <w:ind w:left="0"/>
        <w:jc w:val="both"/>
        <w:rPr>
          <w:rFonts w:ascii="Times New Roman" w:hAnsi="Times New Roman" w:cs="Times New Roman"/>
          <w:i/>
          <w:iCs/>
          <w:sz w:val="24"/>
          <w:szCs w:val="24"/>
        </w:rPr>
      </w:pPr>
      <w:r>
        <w:rPr>
          <w:rFonts w:ascii="Times New Roman" w:hAnsi="Times New Roman" w:cs="Times New Roman"/>
          <w:sz w:val="24"/>
          <w:szCs w:val="24"/>
        </w:rPr>
        <w:t>Jika nilai probabilitas signifikansi &lt; 0,05, maka hipotesis tidak dapat ditolak. Hipotesis tidak dapat ditolak artinya bahwa variabel independen berpengaruh terhadap variabel dependen.</w:t>
      </w:r>
    </w:p>
    <w:p w14:paraId="4960DB33" w14:textId="77777777" w:rsidR="00BB58C4" w:rsidRDefault="00000000">
      <w:pPr>
        <w:pStyle w:val="ListParagraph"/>
        <w:tabs>
          <w:tab w:val="left" w:pos="709"/>
          <w:tab w:val="left" w:pos="230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Adapun kriteria yang digunakan dalam penelitian ini terkait pengaruh </w:t>
      </w:r>
      <w:r>
        <w:rPr>
          <w:rFonts w:ascii="Times New Roman" w:hAnsi="Times New Roman" w:cs="Times New Roman"/>
          <w:i/>
          <w:iCs/>
          <w:sz w:val="24"/>
          <w:szCs w:val="24"/>
        </w:rPr>
        <w:t xml:space="preserve">tax haven, intangible asset </w:t>
      </w:r>
      <w:r>
        <w:rPr>
          <w:rFonts w:ascii="Times New Roman" w:hAnsi="Times New Roman" w:cs="Times New Roman"/>
          <w:sz w:val="24"/>
          <w:szCs w:val="24"/>
        </w:rPr>
        <w:t xml:space="preserve">dan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terhadap keputusan perusahaan melakukan </w:t>
      </w:r>
      <w:r>
        <w:rPr>
          <w:rFonts w:ascii="Times New Roman" w:hAnsi="Times New Roman" w:cs="Times New Roman"/>
          <w:i/>
          <w:iCs/>
          <w:sz w:val="24"/>
          <w:szCs w:val="24"/>
        </w:rPr>
        <w:t xml:space="preserve">tranfer pricing </w:t>
      </w:r>
      <w:r>
        <w:rPr>
          <w:rFonts w:ascii="Times New Roman" w:hAnsi="Times New Roman" w:cs="Times New Roman"/>
          <w:sz w:val="24"/>
          <w:szCs w:val="24"/>
        </w:rPr>
        <w:t>adalah sebagai berikut:</w:t>
      </w:r>
    </w:p>
    <w:p w14:paraId="23C61589" w14:textId="77777777" w:rsidR="00BB58C4" w:rsidRDefault="00000000">
      <w:pPr>
        <w:pStyle w:val="ListParagraph"/>
        <w:tabs>
          <w:tab w:val="left" w:pos="709"/>
          <w:tab w:val="left" w:pos="230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berpengaruh positif signifikan terhadap keputusan perusahaan melakukan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jika, nilai signifikan &lt; 0,05. </w:t>
      </w:r>
    </w:p>
    <w:p w14:paraId="0134F2BA" w14:textId="77777777" w:rsidR="00BB58C4" w:rsidRDefault="00000000">
      <w:pPr>
        <w:pStyle w:val="ListParagraph"/>
        <w:tabs>
          <w:tab w:val="left" w:pos="709"/>
          <w:tab w:val="left" w:pos="2304"/>
        </w:tabs>
        <w:spacing w:line="480" w:lineRule="auto"/>
        <w:ind w:left="0"/>
        <w:jc w:val="both"/>
        <w:rPr>
          <w:rFonts w:ascii="Times New Roman" w:hAnsi="Times New Roman" w:cs="Times New Roman"/>
          <w:sz w:val="24"/>
          <w:szCs w:val="24"/>
        </w:rPr>
      </w:pPr>
      <w:bookmarkStart w:id="68" w:name="_Hlk201438993"/>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Pr>
          <w:rFonts w:ascii="Times New Roman" w:hAnsi="Times New Roman" w:cs="Times New Roman"/>
          <w:i/>
          <w:iCs/>
          <w:sz w:val="24"/>
          <w:szCs w:val="24"/>
        </w:rPr>
        <w:t>Intangible asset</w:t>
      </w:r>
      <w:r>
        <w:rPr>
          <w:rFonts w:ascii="Times New Roman" w:hAnsi="Times New Roman" w:cs="Times New Roman"/>
          <w:sz w:val="24"/>
          <w:szCs w:val="24"/>
        </w:rPr>
        <w:t xml:space="preserve"> berpengaruh positif signifikan terhadap keputusan perusahaan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jika, nilai signifikan &lt; 0,05.</w:t>
      </w:r>
    </w:p>
    <w:bookmarkEnd w:id="68"/>
    <w:p w14:paraId="675087C2" w14:textId="77777777" w:rsidR="00BB58C4" w:rsidRDefault="00000000">
      <w:pPr>
        <w:pStyle w:val="ListParagraph"/>
        <w:tabs>
          <w:tab w:val="left" w:pos="2304"/>
        </w:tabs>
        <w:spacing w:line="480" w:lineRule="auto"/>
        <w:ind w:left="0"/>
        <w:jc w:val="both"/>
        <w:rPr>
          <w:rFonts w:ascii="Times New Roman" w:hAnsi="Times New Roman" w:cs="Times New Roman"/>
          <w:sz w:val="24"/>
          <w:szCs w:val="24"/>
        </w:rPr>
        <w:sectPr w:rsidR="00BB58C4">
          <w:headerReference w:type="default" r:id="rId18"/>
          <w:footerReference w:type="default" r:id="rId19"/>
          <w:headerReference w:type="first" r:id="rId20"/>
          <w:footerReference w:type="first" r:id="rId21"/>
          <w:pgSz w:w="11906" w:h="16838"/>
          <w:pgMar w:top="2268" w:right="1701" w:bottom="1701" w:left="2268" w:header="709" w:footer="709" w:gutter="0"/>
          <w:cols w:space="708"/>
          <w:titlePg/>
          <w:docGrid w:linePitch="360"/>
        </w:sectPr>
      </w:pP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 xml:space="preserve"> :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berpengaruh positif signifikan terhadap keputusan perusahaan melakukan </w:t>
      </w:r>
      <w:r>
        <w:rPr>
          <w:rFonts w:ascii="Times New Roman" w:hAnsi="Times New Roman" w:cs="Times New Roman"/>
          <w:i/>
          <w:iCs/>
          <w:sz w:val="24"/>
          <w:szCs w:val="24"/>
        </w:rPr>
        <w:t xml:space="preserve">transfer pricing </w:t>
      </w:r>
      <w:r>
        <w:rPr>
          <w:rFonts w:ascii="Times New Roman" w:hAnsi="Times New Roman" w:cs="Times New Roman"/>
          <w:sz w:val="24"/>
          <w:szCs w:val="24"/>
        </w:rPr>
        <w:t>jika, nilai signifikan &lt; 0,05.</w:t>
      </w:r>
    </w:p>
    <w:p w14:paraId="1775148B" w14:textId="77777777" w:rsidR="00BB58C4" w:rsidRDefault="00000000">
      <w:pPr>
        <w:pStyle w:val="Heading1"/>
        <w:spacing w:before="0"/>
      </w:pPr>
      <w:bookmarkStart w:id="69" w:name="_Toc220995048"/>
      <w:r>
        <w:lastRenderedPageBreak/>
        <w:t xml:space="preserve">BAB IV  </w:t>
      </w:r>
      <w:r>
        <w:br/>
        <w:t>HASIL DAN PEMBAHASAN</w:t>
      </w:r>
      <w:bookmarkEnd w:id="69"/>
    </w:p>
    <w:p w14:paraId="01A1C921" w14:textId="77777777" w:rsidR="00BB58C4" w:rsidRDefault="00BB58C4">
      <w:pPr>
        <w:pStyle w:val="ListParagraph"/>
        <w:numPr>
          <w:ilvl w:val="0"/>
          <w:numId w:val="19"/>
        </w:numPr>
        <w:spacing w:after="0" w:line="480" w:lineRule="auto"/>
        <w:outlineLvl w:val="1"/>
        <w:rPr>
          <w:rFonts w:ascii="Times New Roman" w:hAnsi="Times New Roman" w:cs="Times New Roman"/>
          <w:b/>
          <w:bCs/>
          <w:vanish/>
          <w:sz w:val="24"/>
          <w:szCs w:val="24"/>
        </w:rPr>
      </w:pPr>
      <w:bookmarkStart w:id="70" w:name="_Toc210257114"/>
      <w:bookmarkStart w:id="71" w:name="_Toc210172448"/>
      <w:bookmarkStart w:id="72" w:name="_Toc210623695"/>
      <w:bookmarkStart w:id="73" w:name="_Toc210205656"/>
      <w:bookmarkStart w:id="74" w:name="_Toc210205134"/>
      <w:bookmarkStart w:id="75" w:name="_Toc210205067"/>
      <w:bookmarkStart w:id="76" w:name="_Toc210205001"/>
      <w:bookmarkStart w:id="77" w:name="_Toc210173152"/>
      <w:bookmarkStart w:id="78" w:name="_Toc210632949"/>
      <w:bookmarkStart w:id="79" w:name="_Toc220995049"/>
      <w:bookmarkEnd w:id="70"/>
      <w:bookmarkEnd w:id="71"/>
      <w:bookmarkEnd w:id="72"/>
      <w:bookmarkEnd w:id="73"/>
      <w:bookmarkEnd w:id="74"/>
      <w:bookmarkEnd w:id="75"/>
      <w:bookmarkEnd w:id="76"/>
      <w:bookmarkEnd w:id="77"/>
      <w:bookmarkEnd w:id="78"/>
      <w:bookmarkEnd w:id="79"/>
    </w:p>
    <w:p w14:paraId="36ADA60B" w14:textId="77777777" w:rsidR="00BB58C4" w:rsidRDefault="00BB58C4">
      <w:pPr>
        <w:pStyle w:val="ListParagraph"/>
        <w:numPr>
          <w:ilvl w:val="0"/>
          <w:numId w:val="19"/>
        </w:numPr>
        <w:spacing w:after="0" w:line="480" w:lineRule="auto"/>
        <w:outlineLvl w:val="1"/>
        <w:rPr>
          <w:rFonts w:ascii="Times New Roman" w:hAnsi="Times New Roman" w:cs="Times New Roman"/>
          <w:b/>
          <w:bCs/>
          <w:vanish/>
          <w:sz w:val="24"/>
          <w:szCs w:val="24"/>
        </w:rPr>
      </w:pPr>
      <w:bookmarkStart w:id="80" w:name="_Toc210205002"/>
      <w:bookmarkStart w:id="81" w:name="_Toc210205135"/>
      <w:bookmarkStart w:id="82" w:name="_Toc210205657"/>
      <w:bookmarkStart w:id="83" w:name="_Toc210205068"/>
      <w:bookmarkStart w:id="84" w:name="_Toc210172449"/>
      <w:bookmarkStart w:id="85" w:name="_Toc210257115"/>
      <w:bookmarkStart w:id="86" w:name="_Toc210632950"/>
      <w:bookmarkStart w:id="87" w:name="_Toc210173153"/>
      <w:bookmarkStart w:id="88" w:name="_Toc210623696"/>
      <w:bookmarkStart w:id="89" w:name="_Toc220995050"/>
      <w:bookmarkEnd w:id="80"/>
      <w:bookmarkEnd w:id="81"/>
      <w:bookmarkEnd w:id="82"/>
      <w:bookmarkEnd w:id="83"/>
      <w:bookmarkEnd w:id="84"/>
      <w:bookmarkEnd w:id="85"/>
      <w:bookmarkEnd w:id="86"/>
      <w:bookmarkEnd w:id="87"/>
      <w:bookmarkEnd w:id="88"/>
      <w:bookmarkEnd w:id="89"/>
    </w:p>
    <w:p w14:paraId="3EC7D089" w14:textId="77777777" w:rsidR="00BB58C4" w:rsidRDefault="00BB58C4">
      <w:pPr>
        <w:pStyle w:val="ListParagraph"/>
        <w:numPr>
          <w:ilvl w:val="0"/>
          <w:numId w:val="19"/>
        </w:numPr>
        <w:spacing w:after="0" w:line="480" w:lineRule="auto"/>
        <w:outlineLvl w:val="1"/>
        <w:rPr>
          <w:rFonts w:ascii="Times New Roman" w:hAnsi="Times New Roman" w:cs="Times New Roman"/>
          <w:b/>
          <w:bCs/>
          <w:vanish/>
          <w:sz w:val="24"/>
          <w:szCs w:val="24"/>
        </w:rPr>
      </w:pPr>
      <w:bookmarkStart w:id="90" w:name="_Toc210205658"/>
      <w:bookmarkStart w:id="91" w:name="_Toc210205069"/>
      <w:bookmarkStart w:id="92" w:name="_Toc210205003"/>
      <w:bookmarkStart w:id="93" w:name="_Toc210623697"/>
      <w:bookmarkStart w:id="94" w:name="_Toc210172450"/>
      <w:bookmarkStart w:id="95" w:name="_Toc210632951"/>
      <w:bookmarkStart w:id="96" w:name="_Toc210205136"/>
      <w:bookmarkStart w:id="97" w:name="_Toc210173154"/>
      <w:bookmarkStart w:id="98" w:name="_Toc210257116"/>
      <w:bookmarkStart w:id="99" w:name="_Toc220995051"/>
      <w:bookmarkEnd w:id="90"/>
      <w:bookmarkEnd w:id="91"/>
      <w:bookmarkEnd w:id="92"/>
      <w:bookmarkEnd w:id="93"/>
      <w:bookmarkEnd w:id="94"/>
      <w:bookmarkEnd w:id="95"/>
      <w:bookmarkEnd w:id="96"/>
      <w:bookmarkEnd w:id="97"/>
      <w:bookmarkEnd w:id="98"/>
      <w:bookmarkEnd w:id="99"/>
    </w:p>
    <w:p w14:paraId="1297E33A" w14:textId="77777777" w:rsidR="00BB58C4" w:rsidRDefault="00BB58C4">
      <w:pPr>
        <w:pStyle w:val="ListParagraph"/>
        <w:numPr>
          <w:ilvl w:val="0"/>
          <w:numId w:val="19"/>
        </w:numPr>
        <w:spacing w:after="0" w:line="480" w:lineRule="auto"/>
        <w:outlineLvl w:val="1"/>
        <w:rPr>
          <w:rFonts w:ascii="Times New Roman" w:hAnsi="Times New Roman" w:cs="Times New Roman"/>
          <w:b/>
          <w:bCs/>
          <w:vanish/>
          <w:sz w:val="24"/>
          <w:szCs w:val="24"/>
        </w:rPr>
      </w:pPr>
      <w:bookmarkStart w:id="100" w:name="_Toc210205004"/>
      <w:bookmarkStart w:id="101" w:name="_Toc210632952"/>
      <w:bookmarkStart w:id="102" w:name="_Toc210623698"/>
      <w:bookmarkStart w:id="103" w:name="_Toc210257117"/>
      <w:bookmarkStart w:id="104" w:name="_Toc210205070"/>
      <w:bookmarkStart w:id="105" w:name="_Toc210172451"/>
      <w:bookmarkStart w:id="106" w:name="_Toc210173155"/>
      <w:bookmarkStart w:id="107" w:name="_Toc210205659"/>
      <w:bookmarkStart w:id="108" w:name="_Toc210205137"/>
      <w:bookmarkStart w:id="109" w:name="_Toc220995052"/>
      <w:bookmarkEnd w:id="100"/>
      <w:bookmarkEnd w:id="101"/>
      <w:bookmarkEnd w:id="102"/>
      <w:bookmarkEnd w:id="103"/>
      <w:bookmarkEnd w:id="104"/>
      <w:bookmarkEnd w:id="105"/>
      <w:bookmarkEnd w:id="106"/>
      <w:bookmarkEnd w:id="107"/>
      <w:bookmarkEnd w:id="108"/>
      <w:bookmarkEnd w:id="109"/>
    </w:p>
    <w:p w14:paraId="67F4D82C" w14:textId="77777777" w:rsidR="00BB58C4" w:rsidRDefault="00000000">
      <w:pPr>
        <w:pStyle w:val="subbab40"/>
        <w:numPr>
          <w:ilvl w:val="1"/>
          <w:numId w:val="19"/>
        </w:numPr>
        <w:ind w:left="426"/>
      </w:pPr>
      <w:bookmarkStart w:id="110" w:name="_Toc220995053"/>
      <w:r>
        <w:t>Deskripsi dan Data Penelitian</w:t>
      </w:r>
      <w:bookmarkEnd w:id="110"/>
      <w:r>
        <w:t xml:space="preserve"> </w:t>
      </w:r>
    </w:p>
    <w:p w14:paraId="3716015A"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Pembahasan pada bab ini menyajikan hasil analisis olah data penelitian berdasarkan pengamatan yang dilakukan penulis menggunakan model regresi linear berganda yang bertujuan untuk mengetahui pengaruh dari variabel independen yaitu </w:t>
      </w:r>
      <w:r>
        <w:rPr>
          <w:rFonts w:ascii="Times New Roman" w:hAnsi="Times New Roman" w:cs="Times New Roman"/>
          <w:i/>
          <w:iCs/>
          <w:sz w:val="24"/>
          <w:szCs w:val="24"/>
        </w:rPr>
        <w:t>tax haven</w:t>
      </w:r>
      <w:r>
        <w:rPr>
          <w:rFonts w:ascii="Times New Roman" w:hAnsi="Times New Roman" w:cs="Times New Roman"/>
          <w:sz w:val="24"/>
          <w:szCs w:val="24"/>
        </w:rPr>
        <w:t xml:space="preserve">, </w:t>
      </w:r>
      <w:r>
        <w:rPr>
          <w:rFonts w:ascii="Times New Roman" w:hAnsi="Times New Roman" w:cs="Times New Roman"/>
          <w:i/>
          <w:iCs/>
          <w:sz w:val="24"/>
          <w:szCs w:val="24"/>
        </w:rPr>
        <w:t>intangible asset</w:t>
      </w:r>
      <w:r>
        <w:rPr>
          <w:rFonts w:ascii="Times New Roman" w:hAnsi="Times New Roman" w:cs="Times New Roman"/>
          <w:sz w:val="24"/>
          <w:szCs w:val="24"/>
        </w:rPr>
        <w:t xml:space="preserve">, dan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terhadap variabel dependen yaitu keputusan perusahaan dalam melakukan praktik </w:t>
      </w:r>
      <w:r>
        <w:rPr>
          <w:rFonts w:ascii="Times New Roman" w:hAnsi="Times New Roman" w:cs="Times New Roman"/>
          <w:i/>
          <w:iCs/>
          <w:sz w:val="24"/>
          <w:szCs w:val="24"/>
        </w:rPr>
        <w:t>transfer pricing</w:t>
      </w:r>
      <w:r>
        <w:rPr>
          <w:rFonts w:ascii="Times New Roman" w:hAnsi="Times New Roman" w:cs="Times New Roman"/>
          <w:sz w:val="24"/>
          <w:szCs w:val="24"/>
        </w:rPr>
        <w:t>. Data yang digunakan dalam penelitian ini berupa data panel dari gabungan antara data runtut waktu (</w:t>
      </w:r>
      <w:r>
        <w:rPr>
          <w:rFonts w:ascii="Times New Roman" w:hAnsi="Times New Roman" w:cs="Times New Roman"/>
          <w:i/>
          <w:iCs/>
          <w:sz w:val="24"/>
          <w:szCs w:val="24"/>
        </w:rPr>
        <w:t>time series</w:t>
      </w:r>
      <w:r>
        <w:rPr>
          <w:rFonts w:ascii="Times New Roman" w:hAnsi="Times New Roman" w:cs="Times New Roman"/>
          <w:sz w:val="24"/>
          <w:szCs w:val="24"/>
        </w:rPr>
        <w:t>) dengan data silang (</w:t>
      </w:r>
      <w:r>
        <w:rPr>
          <w:rFonts w:ascii="Times New Roman" w:hAnsi="Times New Roman" w:cs="Times New Roman"/>
          <w:i/>
          <w:iCs/>
          <w:sz w:val="24"/>
          <w:szCs w:val="24"/>
        </w:rPr>
        <w:t>cross section</w:t>
      </w:r>
      <w:r>
        <w:rPr>
          <w:rFonts w:ascii="Times New Roman" w:hAnsi="Times New Roman" w:cs="Times New Roman"/>
          <w:sz w:val="24"/>
          <w:szCs w:val="24"/>
        </w:rPr>
        <w:t xml:space="preserve">). Penelitian ini menggunakan data sekunder perusahaan pertambangan yang terdaftar di Bursa Efek Indonesia selama tahun 2019 – 2023 yang diperoleh melalui media perantara secara tidak langsung. </w:t>
      </w:r>
    </w:p>
    <w:p w14:paraId="623EACB7" w14:textId="77777777" w:rsidR="00BB58C4" w:rsidRDefault="00BB58C4">
      <w:pPr>
        <w:pStyle w:val="ListParagraph"/>
        <w:numPr>
          <w:ilvl w:val="0"/>
          <w:numId w:val="20"/>
        </w:numPr>
        <w:spacing w:after="0" w:line="480" w:lineRule="auto"/>
        <w:contextualSpacing w:val="0"/>
        <w:jc w:val="both"/>
        <w:outlineLvl w:val="3"/>
        <w:rPr>
          <w:rFonts w:ascii="Times New Roman" w:hAnsi="Times New Roman" w:cs="Times New Roman"/>
          <w:b/>
          <w:bCs/>
          <w:vanish/>
          <w:sz w:val="24"/>
          <w:szCs w:val="24"/>
        </w:rPr>
      </w:pPr>
    </w:p>
    <w:p w14:paraId="1974CC36" w14:textId="77777777" w:rsidR="00BB58C4" w:rsidRDefault="00BB58C4">
      <w:pPr>
        <w:pStyle w:val="ListParagraph"/>
        <w:numPr>
          <w:ilvl w:val="0"/>
          <w:numId w:val="20"/>
        </w:numPr>
        <w:spacing w:after="0" w:line="480" w:lineRule="auto"/>
        <w:contextualSpacing w:val="0"/>
        <w:jc w:val="both"/>
        <w:outlineLvl w:val="3"/>
        <w:rPr>
          <w:rFonts w:ascii="Times New Roman" w:hAnsi="Times New Roman" w:cs="Times New Roman"/>
          <w:b/>
          <w:bCs/>
          <w:vanish/>
          <w:sz w:val="24"/>
          <w:szCs w:val="24"/>
        </w:rPr>
      </w:pPr>
    </w:p>
    <w:p w14:paraId="30CB0464" w14:textId="77777777" w:rsidR="00BB58C4" w:rsidRDefault="00BB58C4">
      <w:pPr>
        <w:pStyle w:val="ListParagraph"/>
        <w:numPr>
          <w:ilvl w:val="0"/>
          <w:numId w:val="20"/>
        </w:numPr>
        <w:spacing w:after="0" w:line="480" w:lineRule="auto"/>
        <w:contextualSpacing w:val="0"/>
        <w:jc w:val="both"/>
        <w:outlineLvl w:val="3"/>
        <w:rPr>
          <w:rFonts w:ascii="Times New Roman" w:hAnsi="Times New Roman" w:cs="Times New Roman"/>
          <w:b/>
          <w:bCs/>
          <w:vanish/>
          <w:sz w:val="24"/>
          <w:szCs w:val="24"/>
        </w:rPr>
      </w:pPr>
    </w:p>
    <w:p w14:paraId="777442D2" w14:textId="77777777" w:rsidR="00BB58C4" w:rsidRDefault="00BB58C4">
      <w:pPr>
        <w:pStyle w:val="ListParagraph"/>
        <w:numPr>
          <w:ilvl w:val="0"/>
          <w:numId w:val="20"/>
        </w:numPr>
        <w:spacing w:after="0" w:line="480" w:lineRule="auto"/>
        <w:contextualSpacing w:val="0"/>
        <w:jc w:val="both"/>
        <w:outlineLvl w:val="3"/>
        <w:rPr>
          <w:rFonts w:ascii="Times New Roman" w:hAnsi="Times New Roman" w:cs="Times New Roman"/>
          <w:b/>
          <w:bCs/>
          <w:vanish/>
          <w:sz w:val="24"/>
          <w:szCs w:val="24"/>
        </w:rPr>
      </w:pPr>
    </w:p>
    <w:p w14:paraId="423471F8" w14:textId="77777777" w:rsidR="00BB58C4" w:rsidRDefault="00BB58C4">
      <w:pPr>
        <w:pStyle w:val="ListParagraph"/>
        <w:numPr>
          <w:ilvl w:val="1"/>
          <w:numId w:val="20"/>
        </w:numPr>
        <w:spacing w:after="0" w:line="480" w:lineRule="auto"/>
        <w:contextualSpacing w:val="0"/>
        <w:jc w:val="both"/>
        <w:outlineLvl w:val="3"/>
        <w:rPr>
          <w:rFonts w:ascii="Times New Roman" w:hAnsi="Times New Roman" w:cs="Times New Roman"/>
          <w:b/>
          <w:bCs/>
          <w:vanish/>
          <w:sz w:val="24"/>
          <w:szCs w:val="24"/>
        </w:rPr>
      </w:pPr>
    </w:p>
    <w:p w14:paraId="7104FE59" w14:textId="77777777" w:rsidR="00BB58C4" w:rsidRDefault="00BB58C4">
      <w:pPr>
        <w:pStyle w:val="ListParagraph"/>
        <w:numPr>
          <w:ilvl w:val="0"/>
          <w:numId w:val="1"/>
        </w:numPr>
        <w:spacing w:after="0" w:line="480" w:lineRule="auto"/>
        <w:outlineLvl w:val="1"/>
        <w:rPr>
          <w:rFonts w:ascii="Times New Roman" w:hAnsi="Times New Roman" w:cs="Times New Roman"/>
          <w:b/>
          <w:bCs/>
          <w:vanish/>
          <w:sz w:val="24"/>
          <w:szCs w:val="24"/>
        </w:rPr>
      </w:pPr>
      <w:bookmarkStart w:id="111" w:name="_Toc210173157"/>
      <w:bookmarkStart w:id="112" w:name="_Toc210205006"/>
      <w:bookmarkStart w:id="113" w:name="_Toc210172453"/>
      <w:bookmarkStart w:id="114" w:name="_Toc210632954"/>
      <w:bookmarkStart w:id="115" w:name="_Toc210205072"/>
      <w:bookmarkStart w:id="116" w:name="_Toc210205661"/>
      <w:bookmarkStart w:id="117" w:name="_Toc210623700"/>
      <w:bookmarkStart w:id="118" w:name="_Toc210205139"/>
      <w:bookmarkStart w:id="119" w:name="_Toc210257119"/>
      <w:bookmarkStart w:id="120" w:name="_Toc220995054"/>
      <w:bookmarkEnd w:id="111"/>
      <w:bookmarkEnd w:id="112"/>
      <w:bookmarkEnd w:id="113"/>
      <w:bookmarkEnd w:id="114"/>
      <w:bookmarkEnd w:id="115"/>
      <w:bookmarkEnd w:id="116"/>
      <w:bookmarkEnd w:id="117"/>
      <w:bookmarkEnd w:id="118"/>
      <w:bookmarkEnd w:id="119"/>
      <w:bookmarkEnd w:id="120"/>
    </w:p>
    <w:p w14:paraId="679E9291" w14:textId="77777777" w:rsidR="00BB58C4" w:rsidRDefault="00BB58C4">
      <w:pPr>
        <w:pStyle w:val="ListParagraph"/>
        <w:numPr>
          <w:ilvl w:val="0"/>
          <w:numId w:val="1"/>
        </w:numPr>
        <w:spacing w:after="0" w:line="480" w:lineRule="auto"/>
        <w:outlineLvl w:val="1"/>
        <w:rPr>
          <w:rFonts w:ascii="Times New Roman" w:hAnsi="Times New Roman" w:cs="Times New Roman"/>
          <w:b/>
          <w:bCs/>
          <w:vanish/>
          <w:sz w:val="24"/>
          <w:szCs w:val="24"/>
        </w:rPr>
      </w:pPr>
      <w:bookmarkStart w:id="121" w:name="_Toc210623701"/>
      <w:bookmarkStart w:id="122" w:name="_Toc210257120"/>
      <w:bookmarkStart w:id="123" w:name="_Toc210172454"/>
      <w:bookmarkStart w:id="124" w:name="_Toc210632955"/>
      <w:bookmarkStart w:id="125" w:name="_Toc210173158"/>
      <w:bookmarkStart w:id="126" w:name="_Toc210205007"/>
      <w:bookmarkStart w:id="127" w:name="_Toc210205073"/>
      <w:bookmarkStart w:id="128" w:name="_Toc210205140"/>
      <w:bookmarkStart w:id="129" w:name="_Toc210205662"/>
      <w:bookmarkStart w:id="130" w:name="_Toc220995055"/>
      <w:bookmarkEnd w:id="121"/>
      <w:bookmarkEnd w:id="122"/>
      <w:bookmarkEnd w:id="123"/>
      <w:bookmarkEnd w:id="124"/>
      <w:bookmarkEnd w:id="125"/>
      <w:bookmarkEnd w:id="126"/>
      <w:bookmarkEnd w:id="127"/>
      <w:bookmarkEnd w:id="128"/>
      <w:bookmarkEnd w:id="129"/>
      <w:bookmarkEnd w:id="130"/>
    </w:p>
    <w:p w14:paraId="4969B6CB" w14:textId="77777777" w:rsidR="00BB58C4" w:rsidRDefault="00BB58C4">
      <w:pPr>
        <w:pStyle w:val="ListParagraph"/>
        <w:numPr>
          <w:ilvl w:val="0"/>
          <w:numId w:val="1"/>
        </w:numPr>
        <w:spacing w:after="0" w:line="480" w:lineRule="auto"/>
        <w:outlineLvl w:val="1"/>
        <w:rPr>
          <w:rFonts w:ascii="Times New Roman" w:hAnsi="Times New Roman" w:cs="Times New Roman"/>
          <w:b/>
          <w:bCs/>
          <w:vanish/>
          <w:sz w:val="24"/>
          <w:szCs w:val="24"/>
        </w:rPr>
      </w:pPr>
      <w:bookmarkStart w:id="131" w:name="_Toc210205074"/>
      <w:bookmarkStart w:id="132" w:name="_Toc210205141"/>
      <w:bookmarkStart w:id="133" w:name="_Toc210173159"/>
      <w:bookmarkStart w:id="134" w:name="_Toc210205008"/>
      <w:bookmarkStart w:id="135" w:name="_Toc210172455"/>
      <w:bookmarkStart w:id="136" w:name="_Toc210205663"/>
      <w:bookmarkStart w:id="137" w:name="_Toc210632956"/>
      <w:bookmarkStart w:id="138" w:name="_Toc210257121"/>
      <w:bookmarkStart w:id="139" w:name="_Toc210623702"/>
      <w:bookmarkStart w:id="140" w:name="_Toc220995056"/>
      <w:bookmarkEnd w:id="131"/>
      <w:bookmarkEnd w:id="132"/>
      <w:bookmarkEnd w:id="133"/>
      <w:bookmarkEnd w:id="134"/>
      <w:bookmarkEnd w:id="135"/>
      <w:bookmarkEnd w:id="136"/>
      <w:bookmarkEnd w:id="137"/>
      <w:bookmarkEnd w:id="138"/>
      <w:bookmarkEnd w:id="139"/>
      <w:bookmarkEnd w:id="140"/>
    </w:p>
    <w:p w14:paraId="779655B8" w14:textId="77777777" w:rsidR="00BB58C4" w:rsidRDefault="00BB58C4">
      <w:pPr>
        <w:pStyle w:val="ListParagraph"/>
        <w:numPr>
          <w:ilvl w:val="1"/>
          <w:numId w:val="1"/>
        </w:numPr>
        <w:spacing w:after="0" w:line="480" w:lineRule="auto"/>
        <w:ind w:left="426" w:hanging="426"/>
        <w:jc w:val="both"/>
        <w:outlineLvl w:val="1"/>
        <w:rPr>
          <w:rFonts w:ascii="Times New Roman" w:hAnsi="Times New Roman" w:cs="Times New Roman"/>
          <w:b/>
          <w:bCs/>
          <w:vanish/>
          <w:sz w:val="24"/>
          <w:szCs w:val="24"/>
        </w:rPr>
      </w:pPr>
      <w:bookmarkStart w:id="141" w:name="_Toc210623703"/>
      <w:bookmarkStart w:id="142" w:name="_Toc210257122"/>
      <w:bookmarkStart w:id="143" w:name="_Toc210205009"/>
      <w:bookmarkStart w:id="144" w:name="_Toc210632957"/>
      <w:bookmarkStart w:id="145" w:name="_Toc210205075"/>
      <w:bookmarkStart w:id="146" w:name="_Toc210173160"/>
      <w:bookmarkStart w:id="147" w:name="_Toc210205142"/>
      <w:bookmarkStart w:id="148" w:name="_Toc210205664"/>
      <w:bookmarkStart w:id="149" w:name="_Toc210172456"/>
      <w:bookmarkStart w:id="150" w:name="_Toc220995057"/>
      <w:bookmarkEnd w:id="141"/>
      <w:bookmarkEnd w:id="142"/>
      <w:bookmarkEnd w:id="143"/>
      <w:bookmarkEnd w:id="144"/>
      <w:bookmarkEnd w:id="145"/>
      <w:bookmarkEnd w:id="146"/>
      <w:bookmarkEnd w:id="147"/>
      <w:bookmarkEnd w:id="148"/>
      <w:bookmarkEnd w:id="149"/>
      <w:bookmarkEnd w:id="150"/>
    </w:p>
    <w:p w14:paraId="5D637B16" w14:textId="77777777" w:rsidR="00BB58C4" w:rsidRDefault="00000000">
      <w:pPr>
        <w:pStyle w:val="Heading2"/>
      </w:pPr>
      <w:bookmarkStart w:id="151" w:name="_Toc220995058"/>
      <w:r>
        <w:t>Hasil Penelitian</w:t>
      </w:r>
      <w:bookmarkEnd w:id="151"/>
    </w:p>
    <w:p w14:paraId="4C75F5F3" w14:textId="77777777" w:rsidR="00BB58C4" w:rsidRDefault="00000000">
      <w:pPr>
        <w:pStyle w:val="subheading312"/>
      </w:pPr>
      <w:bookmarkStart w:id="152" w:name="_Toc220995059"/>
      <w:r>
        <w:t>4.2.1.  Analisis Statistik Deskriptif</w:t>
      </w:r>
      <w:bookmarkEnd w:id="152"/>
    </w:p>
    <w:p w14:paraId="646947E3"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Analisis statistik deskriptif digunakan untuk memberikan gambaran umum terhadap data yang telah dikumpulkan, baik dari sampel maupun populasi sehingga data lebih mudah dipahami dan diinterpretasikan. Data yang diperoleh berupa nilai rata-rata (</w:t>
      </w:r>
      <w:r>
        <w:rPr>
          <w:rFonts w:ascii="Times New Roman" w:hAnsi="Times New Roman" w:cs="Times New Roman"/>
          <w:i/>
          <w:iCs/>
          <w:sz w:val="24"/>
          <w:szCs w:val="24"/>
        </w:rPr>
        <w:t>mean</w:t>
      </w:r>
      <w:r>
        <w:rPr>
          <w:rFonts w:ascii="Times New Roman" w:hAnsi="Times New Roman" w:cs="Times New Roman"/>
          <w:sz w:val="24"/>
          <w:szCs w:val="24"/>
        </w:rPr>
        <w:t>), standar deviasi, minimum dan maksimum. Data yang diuji terdiri dari 125 sampel data. Hasil dari analisis statistik deskriptif disajikan dalam tabel pada halaman berikut :</w:t>
      </w:r>
    </w:p>
    <w:p w14:paraId="35F7BCC9" w14:textId="77777777" w:rsidR="00BB58C4" w:rsidRDefault="00BB58C4">
      <w:pPr>
        <w:spacing w:after="0" w:line="480" w:lineRule="auto"/>
        <w:jc w:val="both"/>
        <w:rPr>
          <w:rFonts w:ascii="Times New Roman" w:hAnsi="Times New Roman" w:cs="Times New Roman"/>
          <w:sz w:val="24"/>
          <w:szCs w:val="24"/>
        </w:rPr>
      </w:pPr>
    </w:p>
    <w:p w14:paraId="7C124561" w14:textId="77777777" w:rsidR="00BB58C4" w:rsidRDefault="00BB58C4">
      <w:pPr>
        <w:spacing w:after="0" w:line="480" w:lineRule="auto"/>
        <w:jc w:val="both"/>
        <w:rPr>
          <w:rFonts w:ascii="Times New Roman" w:hAnsi="Times New Roman" w:cs="Times New Roman"/>
          <w:sz w:val="24"/>
          <w:szCs w:val="24"/>
        </w:rPr>
      </w:pPr>
    </w:p>
    <w:p w14:paraId="63FC9CB0" w14:textId="071482C5" w:rsidR="00BB58C4" w:rsidRDefault="00000000">
      <w:pPr>
        <w:pStyle w:val="Caption"/>
        <w:spacing w:after="0" w:line="360" w:lineRule="auto"/>
        <w:rPr>
          <w:sz w:val="24"/>
          <w:szCs w:val="22"/>
        </w:rPr>
      </w:pPr>
      <w:bookmarkStart w:id="153" w:name="_Toc210177609"/>
      <w:r>
        <w:rPr>
          <w:sz w:val="22"/>
          <w:szCs w:val="20"/>
        </w:rPr>
        <w:lastRenderedPageBreak/>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1</w:t>
      </w:r>
      <w:r>
        <w:rPr>
          <w:sz w:val="22"/>
          <w:szCs w:val="20"/>
        </w:rPr>
        <w:fldChar w:fldCharType="end"/>
      </w:r>
      <w:r>
        <w:rPr>
          <w:sz w:val="22"/>
          <w:szCs w:val="20"/>
        </w:rPr>
        <w:t xml:space="preserve"> Tabel Analisis Statistik Deskriptif</w:t>
      </w:r>
      <w:bookmarkEnd w:id="153"/>
    </w:p>
    <w:tbl>
      <w:tblPr>
        <w:tblStyle w:val="TableGrid"/>
        <w:tblW w:w="0" w:type="auto"/>
        <w:jc w:val="center"/>
        <w:tblLook w:val="04A0" w:firstRow="1" w:lastRow="0" w:firstColumn="1" w:lastColumn="0" w:noHBand="0" w:noVBand="1"/>
      </w:tblPr>
      <w:tblGrid>
        <w:gridCol w:w="1834"/>
        <w:gridCol w:w="566"/>
        <w:gridCol w:w="1272"/>
        <w:gridCol w:w="1552"/>
        <w:gridCol w:w="1017"/>
        <w:gridCol w:w="1686"/>
      </w:tblGrid>
      <w:tr w:rsidR="00BB58C4" w14:paraId="30C18530" w14:textId="77777777">
        <w:trPr>
          <w:jc w:val="center"/>
        </w:trPr>
        <w:tc>
          <w:tcPr>
            <w:tcW w:w="7927" w:type="dxa"/>
            <w:gridSpan w:val="6"/>
            <w:vAlign w:val="center"/>
          </w:tcPr>
          <w:p w14:paraId="6D13EEEA" w14:textId="77777777" w:rsidR="00BB58C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Descriptive Statistics</w:t>
            </w:r>
          </w:p>
        </w:tc>
      </w:tr>
      <w:tr w:rsidR="00BB58C4" w14:paraId="68E2B1E9" w14:textId="77777777">
        <w:trPr>
          <w:jc w:val="center"/>
        </w:trPr>
        <w:tc>
          <w:tcPr>
            <w:tcW w:w="1838" w:type="dxa"/>
          </w:tcPr>
          <w:p w14:paraId="0B1F57C9" w14:textId="77777777" w:rsidR="00BB58C4" w:rsidRDefault="00BB58C4">
            <w:pPr>
              <w:spacing w:after="0" w:line="240" w:lineRule="auto"/>
              <w:jc w:val="center"/>
              <w:rPr>
                <w:rFonts w:ascii="Times New Roman" w:hAnsi="Times New Roman" w:cs="Times New Roman"/>
                <w:sz w:val="20"/>
                <w:szCs w:val="20"/>
              </w:rPr>
            </w:pPr>
          </w:p>
        </w:tc>
        <w:tc>
          <w:tcPr>
            <w:tcW w:w="567" w:type="dxa"/>
          </w:tcPr>
          <w:p w14:paraId="4C776939"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w:t>
            </w:r>
          </w:p>
        </w:tc>
        <w:tc>
          <w:tcPr>
            <w:tcW w:w="1276" w:type="dxa"/>
          </w:tcPr>
          <w:p w14:paraId="1C0C9A2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Mean</w:t>
            </w:r>
          </w:p>
        </w:tc>
        <w:tc>
          <w:tcPr>
            <w:tcW w:w="1559" w:type="dxa"/>
          </w:tcPr>
          <w:p w14:paraId="2A83B4D3"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Std. Deviation</w:t>
            </w:r>
          </w:p>
        </w:tc>
        <w:tc>
          <w:tcPr>
            <w:tcW w:w="992" w:type="dxa"/>
          </w:tcPr>
          <w:p w14:paraId="19BCBB87"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Minimum</w:t>
            </w:r>
          </w:p>
        </w:tc>
        <w:tc>
          <w:tcPr>
            <w:tcW w:w="1695" w:type="dxa"/>
          </w:tcPr>
          <w:p w14:paraId="7872D85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Maximum</w:t>
            </w:r>
          </w:p>
        </w:tc>
      </w:tr>
      <w:tr w:rsidR="00BB58C4" w14:paraId="21781D2D" w14:textId="77777777">
        <w:trPr>
          <w:jc w:val="center"/>
        </w:trPr>
        <w:tc>
          <w:tcPr>
            <w:tcW w:w="1838" w:type="dxa"/>
          </w:tcPr>
          <w:p w14:paraId="5BD020EB" w14:textId="77777777" w:rsidR="00BB58C4"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Tax Haven</w:t>
            </w:r>
          </w:p>
        </w:tc>
        <w:tc>
          <w:tcPr>
            <w:tcW w:w="567" w:type="dxa"/>
          </w:tcPr>
          <w:p w14:paraId="5A8BB914" w14:textId="77777777" w:rsidR="00BB58C4"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125</w:t>
            </w:r>
          </w:p>
        </w:tc>
        <w:tc>
          <w:tcPr>
            <w:tcW w:w="1276" w:type="dxa"/>
          </w:tcPr>
          <w:p w14:paraId="3D4808B6"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1.4</w:t>
            </w:r>
          </w:p>
        </w:tc>
        <w:tc>
          <w:tcPr>
            <w:tcW w:w="1559" w:type="dxa"/>
          </w:tcPr>
          <w:p w14:paraId="0F82FCCC"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.4919</w:t>
            </w:r>
          </w:p>
        </w:tc>
        <w:tc>
          <w:tcPr>
            <w:tcW w:w="992" w:type="dxa"/>
          </w:tcPr>
          <w:p w14:paraId="2F28C6F2"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w:t>
            </w:r>
          </w:p>
        </w:tc>
        <w:tc>
          <w:tcPr>
            <w:tcW w:w="1695" w:type="dxa"/>
          </w:tcPr>
          <w:p w14:paraId="4A650B87"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w:t>
            </w:r>
          </w:p>
        </w:tc>
      </w:tr>
      <w:tr w:rsidR="00BB58C4" w14:paraId="25844F7D" w14:textId="77777777">
        <w:trPr>
          <w:jc w:val="center"/>
        </w:trPr>
        <w:tc>
          <w:tcPr>
            <w:tcW w:w="1838" w:type="dxa"/>
          </w:tcPr>
          <w:p w14:paraId="180406BD" w14:textId="77777777" w:rsidR="00BB58C4"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Intangible Asset</w:t>
            </w:r>
          </w:p>
        </w:tc>
        <w:tc>
          <w:tcPr>
            <w:tcW w:w="567" w:type="dxa"/>
          </w:tcPr>
          <w:p w14:paraId="6D834DC2" w14:textId="77777777" w:rsidR="00BB58C4"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125</w:t>
            </w:r>
          </w:p>
        </w:tc>
        <w:tc>
          <w:tcPr>
            <w:tcW w:w="1276" w:type="dxa"/>
          </w:tcPr>
          <w:p w14:paraId="614B0828"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3.173064</w:t>
            </w:r>
          </w:p>
        </w:tc>
        <w:tc>
          <w:tcPr>
            <w:tcW w:w="1559" w:type="dxa"/>
          </w:tcPr>
          <w:p w14:paraId="1684C9F7"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4.481813</w:t>
            </w:r>
          </w:p>
        </w:tc>
        <w:tc>
          <w:tcPr>
            <w:tcW w:w="992" w:type="dxa"/>
          </w:tcPr>
          <w:p w14:paraId="7F44BDA0"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.0069023</w:t>
            </w:r>
          </w:p>
        </w:tc>
        <w:tc>
          <w:tcPr>
            <w:tcW w:w="1695" w:type="dxa"/>
          </w:tcPr>
          <w:p w14:paraId="0B2BAC79"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26.33066</w:t>
            </w:r>
          </w:p>
        </w:tc>
      </w:tr>
      <w:tr w:rsidR="00BB58C4" w14:paraId="101AF668" w14:textId="77777777">
        <w:trPr>
          <w:jc w:val="center"/>
        </w:trPr>
        <w:tc>
          <w:tcPr>
            <w:tcW w:w="1838" w:type="dxa"/>
          </w:tcPr>
          <w:p w14:paraId="5FEA245B" w14:textId="77777777" w:rsidR="00BB58C4"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Tax Minimization</w:t>
            </w:r>
          </w:p>
        </w:tc>
        <w:tc>
          <w:tcPr>
            <w:tcW w:w="567" w:type="dxa"/>
          </w:tcPr>
          <w:p w14:paraId="3481AEDF" w14:textId="77777777" w:rsidR="00BB58C4"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125</w:t>
            </w:r>
          </w:p>
        </w:tc>
        <w:tc>
          <w:tcPr>
            <w:tcW w:w="1276" w:type="dxa"/>
          </w:tcPr>
          <w:p w14:paraId="6E1E657E"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1.219725</w:t>
            </w:r>
          </w:p>
        </w:tc>
        <w:tc>
          <w:tcPr>
            <w:tcW w:w="1559" w:type="dxa"/>
          </w:tcPr>
          <w:p w14:paraId="1F2893BA"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1.446734</w:t>
            </w:r>
          </w:p>
        </w:tc>
        <w:tc>
          <w:tcPr>
            <w:tcW w:w="992" w:type="dxa"/>
          </w:tcPr>
          <w:p w14:paraId="72B81145"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.0065619</w:t>
            </w:r>
          </w:p>
        </w:tc>
        <w:tc>
          <w:tcPr>
            <w:tcW w:w="1695" w:type="dxa"/>
          </w:tcPr>
          <w:p w14:paraId="1A7B87F1"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9.923672</w:t>
            </w:r>
          </w:p>
        </w:tc>
      </w:tr>
      <w:tr w:rsidR="00BB58C4" w14:paraId="54B8FF48" w14:textId="77777777">
        <w:trPr>
          <w:jc w:val="center"/>
        </w:trPr>
        <w:tc>
          <w:tcPr>
            <w:tcW w:w="1838" w:type="dxa"/>
          </w:tcPr>
          <w:p w14:paraId="756B9CB0" w14:textId="77777777" w:rsidR="00BB58C4" w:rsidRDefault="00000000">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Transfer Pricing</w:t>
            </w:r>
          </w:p>
        </w:tc>
        <w:tc>
          <w:tcPr>
            <w:tcW w:w="567" w:type="dxa"/>
          </w:tcPr>
          <w:p w14:paraId="3C6712E2" w14:textId="77777777" w:rsidR="00BB58C4" w:rsidRDefault="00000000">
            <w:pPr>
              <w:spacing w:after="0" w:line="240" w:lineRule="auto"/>
              <w:rPr>
                <w:rFonts w:ascii="Times New Roman" w:hAnsi="Times New Roman" w:cs="Times New Roman"/>
                <w:sz w:val="20"/>
                <w:szCs w:val="20"/>
              </w:rPr>
            </w:pPr>
            <w:r>
              <w:rPr>
                <w:rFonts w:ascii="Times New Roman" w:hAnsi="Times New Roman" w:cs="Times New Roman"/>
                <w:sz w:val="20"/>
                <w:szCs w:val="20"/>
              </w:rPr>
              <w:t>125</w:t>
            </w:r>
          </w:p>
        </w:tc>
        <w:tc>
          <w:tcPr>
            <w:tcW w:w="1276" w:type="dxa"/>
          </w:tcPr>
          <w:p w14:paraId="594C472F"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60.7097</w:t>
            </w:r>
          </w:p>
        </w:tc>
        <w:tc>
          <w:tcPr>
            <w:tcW w:w="1559" w:type="dxa"/>
          </w:tcPr>
          <w:p w14:paraId="5E53C32B"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32.58742</w:t>
            </w:r>
          </w:p>
        </w:tc>
        <w:tc>
          <w:tcPr>
            <w:tcW w:w="992" w:type="dxa"/>
          </w:tcPr>
          <w:p w14:paraId="4E733471"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5.736597</w:t>
            </w:r>
          </w:p>
        </w:tc>
        <w:tc>
          <w:tcPr>
            <w:tcW w:w="1695" w:type="dxa"/>
          </w:tcPr>
          <w:p w14:paraId="34AFBB80"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166.7315</w:t>
            </w:r>
          </w:p>
        </w:tc>
      </w:tr>
    </w:tbl>
    <w:p w14:paraId="58264891" w14:textId="77777777" w:rsidR="00BB58C4" w:rsidRDefault="00000000">
      <w:pPr>
        <w:spacing w:after="0" w:line="360" w:lineRule="auto"/>
        <w:rPr>
          <w:rFonts w:ascii="Times New Roman" w:hAnsi="Times New Roman" w:cs="Times New Roman"/>
          <w:i/>
          <w:iCs/>
          <w:sz w:val="20"/>
          <w:szCs w:val="20"/>
        </w:rPr>
      </w:pPr>
      <w:r>
        <w:rPr>
          <w:rFonts w:ascii="Times New Roman" w:hAnsi="Times New Roman" w:cs="Times New Roman"/>
          <w:i/>
          <w:iCs/>
          <w:sz w:val="20"/>
          <w:szCs w:val="20"/>
        </w:rPr>
        <w:t>Sumber : Data Diolah, 2025</w:t>
      </w:r>
    </w:p>
    <w:p w14:paraId="4FBAD398" w14:textId="77777777" w:rsidR="00BB58C4" w:rsidRDefault="00000000">
      <w:pPr>
        <w:spacing w:before="240" w:after="0" w:line="360" w:lineRule="auto"/>
        <w:rPr>
          <w:rFonts w:ascii="Times New Roman" w:hAnsi="Times New Roman" w:cs="Times New Roman"/>
          <w:i/>
          <w:iCs/>
          <w:sz w:val="20"/>
          <w:szCs w:val="20"/>
        </w:rPr>
      </w:pPr>
      <w:r>
        <w:rPr>
          <w:rFonts w:ascii="Times New Roman" w:hAnsi="Times New Roman" w:cs="Times New Roman"/>
          <w:sz w:val="24"/>
          <w:szCs w:val="24"/>
        </w:rPr>
        <w:t>Berdasarkan tabel yang telah diuraikan diatas dapat diketahui bahwa :</w:t>
      </w:r>
    </w:p>
    <w:p w14:paraId="4D543DCB" w14:textId="77777777" w:rsidR="00BB58C4" w:rsidRDefault="00000000">
      <w:pPr>
        <w:pStyle w:val="ListParagraph"/>
        <w:numPr>
          <w:ilvl w:val="0"/>
          <w:numId w:val="21"/>
        </w:numPr>
        <w:spacing w:after="0"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Variabel Dependen</w:t>
      </w:r>
    </w:p>
    <w:p w14:paraId="33D36AD7" w14:textId="77777777" w:rsidR="00BB58C4" w:rsidRDefault="00000000">
      <w:pPr>
        <w:pStyle w:val="ListParagraph"/>
        <w:numPr>
          <w:ilvl w:val="0"/>
          <w:numId w:val="22"/>
        </w:num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Variabel </w:t>
      </w:r>
      <w:r>
        <w:rPr>
          <w:rFonts w:ascii="Times New Roman" w:hAnsi="Times New Roman" w:cs="Times New Roman"/>
          <w:i/>
          <w:iCs/>
          <w:sz w:val="24"/>
          <w:szCs w:val="24"/>
        </w:rPr>
        <w:t>Transfer Pricing</w:t>
      </w:r>
      <w:r>
        <w:rPr>
          <w:rFonts w:ascii="Times New Roman" w:hAnsi="Times New Roman" w:cs="Times New Roman"/>
          <w:sz w:val="24"/>
          <w:szCs w:val="24"/>
        </w:rPr>
        <w:t xml:space="preserve"> memiliki rata-rata sebesar 60,7097 dengan standar deviasi 32,5874, nilai minimum sebesar 5,7366, dan nilai maksimum sebesar 166,7315</w:t>
      </w:r>
    </w:p>
    <w:p w14:paraId="50B688A1" w14:textId="77777777" w:rsidR="00BB58C4" w:rsidRDefault="00000000">
      <w:pPr>
        <w:pStyle w:val="ListParagraph"/>
        <w:numPr>
          <w:ilvl w:val="0"/>
          <w:numId w:val="21"/>
        </w:numPr>
        <w:spacing w:after="0"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Variabel Independen</w:t>
      </w:r>
    </w:p>
    <w:p w14:paraId="05A4701E" w14:textId="77777777" w:rsidR="00BB58C4" w:rsidRDefault="00000000">
      <w:pPr>
        <w:pStyle w:val="ListParagraph"/>
        <w:numPr>
          <w:ilvl w:val="0"/>
          <w:numId w:val="23"/>
        </w:numPr>
        <w:spacing w:line="48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Tax Haven </w:t>
      </w:r>
      <w:r>
        <w:rPr>
          <w:rFonts w:ascii="Times New Roman" w:hAnsi="Times New Roman" w:cs="Times New Roman"/>
          <w:sz w:val="24"/>
          <w:szCs w:val="24"/>
          <w:lang w:val="en-US"/>
        </w:rPr>
        <w:t xml:space="preserve">(X1)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1,4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standar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deviasi</w:t>
      </w:r>
      <w:proofErr w:type="spellEnd"/>
      <w:r>
        <w:rPr>
          <w:rFonts w:ascii="Times New Roman" w:hAnsi="Times New Roman" w:cs="Times New Roman"/>
          <w:sz w:val="24"/>
          <w:szCs w:val="24"/>
          <w:lang w:val="en-US"/>
        </w:rPr>
        <w:t xml:space="preserve"> 0,4919,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minimum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 dan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maksimum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2</w:t>
      </w:r>
    </w:p>
    <w:p w14:paraId="106DEA65" w14:textId="77777777" w:rsidR="00BB58C4" w:rsidRDefault="00000000">
      <w:pPr>
        <w:pStyle w:val="ListParagraph"/>
        <w:numPr>
          <w:ilvl w:val="0"/>
          <w:numId w:val="23"/>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Variabel </w:t>
      </w: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(X2)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3,1731, </w:t>
      </w:r>
      <w:proofErr w:type="spellStart"/>
      <w:r>
        <w:rPr>
          <w:rFonts w:ascii="Times New Roman" w:hAnsi="Times New Roman" w:cs="Times New Roman"/>
          <w:sz w:val="24"/>
          <w:szCs w:val="24"/>
          <w:lang w:val="en-US"/>
        </w:rPr>
        <w:t>standar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deviasi</w:t>
      </w:r>
      <w:proofErr w:type="spellEnd"/>
      <w:r>
        <w:rPr>
          <w:rFonts w:ascii="Times New Roman" w:hAnsi="Times New Roman" w:cs="Times New Roman"/>
          <w:sz w:val="24"/>
          <w:szCs w:val="24"/>
          <w:lang w:val="en-US"/>
        </w:rPr>
        <w:t xml:space="preserve"> 4,4818,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minimum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0,0069, dan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maksimum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26,3307.</w:t>
      </w:r>
    </w:p>
    <w:p w14:paraId="63C5E0B5" w14:textId="77777777" w:rsidR="00BB58C4" w:rsidRDefault="00000000">
      <w:pPr>
        <w:pStyle w:val="ListParagraph"/>
        <w:numPr>
          <w:ilvl w:val="0"/>
          <w:numId w:val="23"/>
        </w:numPr>
        <w:spacing w:after="0" w:line="480" w:lineRule="auto"/>
        <w:ind w:left="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Tax Minimization </w:t>
      </w:r>
      <w:r>
        <w:rPr>
          <w:rFonts w:ascii="Times New Roman" w:hAnsi="Times New Roman" w:cs="Times New Roman"/>
          <w:sz w:val="24"/>
          <w:szCs w:val="24"/>
          <w:lang w:val="en-US"/>
        </w:rPr>
        <w:t xml:space="preserve">(X3)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1,2197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standar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deviasi</w:t>
      </w:r>
      <w:proofErr w:type="spellEnd"/>
      <w:r>
        <w:rPr>
          <w:rFonts w:ascii="Times New Roman" w:hAnsi="Times New Roman" w:cs="Times New Roman"/>
          <w:sz w:val="24"/>
          <w:szCs w:val="24"/>
          <w:lang w:val="en-US"/>
        </w:rPr>
        <w:t xml:space="preserve"> 1,4467,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minimum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0,0066, dan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maksimum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9,9237.</w:t>
      </w:r>
    </w:p>
    <w:p w14:paraId="394A6C8D" w14:textId="77777777" w:rsidR="00BB58C4" w:rsidRDefault="00000000">
      <w:pPr>
        <w:pStyle w:val="subheading312"/>
        <w:rPr>
          <w:lang w:val="en-US"/>
        </w:rPr>
      </w:pPr>
      <w:bookmarkStart w:id="154" w:name="_Toc220995060"/>
      <w:r>
        <w:rPr>
          <w:lang w:val="en-US"/>
        </w:rPr>
        <w:t>4.2.2.</w:t>
      </w:r>
      <w:r>
        <w:rPr>
          <w:lang w:val="en-US"/>
        </w:rPr>
        <w:tab/>
        <w:t xml:space="preserve">Hasil </w:t>
      </w:r>
      <w:proofErr w:type="spellStart"/>
      <w:r>
        <w:rPr>
          <w:lang w:val="en-US"/>
        </w:rPr>
        <w:t>Regresi</w:t>
      </w:r>
      <w:proofErr w:type="spellEnd"/>
      <w:r>
        <w:rPr>
          <w:lang w:val="en-US"/>
        </w:rPr>
        <w:t xml:space="preserve"> Data Panel</w:t>
      </w:r>
      <w:bookmarkEnd w:id="154"/>
    </w:p>
    <w:p w14:paraId="77332D2B" w14:textId="77777777" w:rsidR="00BB58C4" w:rsidRDefault="00000000">
      <w:p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pemilihan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Pooled Least Square </w:t>
      </w:r>
      <w:r>
        <w:rPr>
          <w:rFonts w:ascii="Times New Roman" w:hAnsi="Times New Roman" w:cs="Times New Roman"/>
          <w:sz w:val="24"/>
          <w:szCs w:val="24"/>
          <w:lang w:val="en-US"/>
        </w:rPr>
        <w:t>(PLS)</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i/>
          <w:iCs/>
          <w:sz w:val="24"/>
          <w:szCs w:val="24"/>
          <w:lang w:val="en-US"/>
        </w:rPr>
        <w:t xml:space="preserve"> Common Effect Model, Fixed Effect Model </w:t>
      </w:r>
      <w:r>
        <w:rPr>
          <w:rFonts w:ascii="Times New Roman" w:hAnsi="Times New Roman" w:cs="Times New Roman"/>
          <w:sz w:val="24"/>
          <w:szCs w:val="24"/>
          <w:lang w:val="en-US"/>
        </w:rPr>
        <w:t xml:space="preserve">(FEM) dan </w:t>
      </w:r>
      <w:r>
        <w:rPr>
          <w:rFonts w:ascii="Times New Roman" w:hAnsi="Times New Roman" w:cs="Times New Roman"/>
          <w:i/>
          <w:iCs/>
          <w:sz w:val="24"/>
          <w:szCs w:val="24"/>
          <w:lang w:val="en-US"/>
        </w:rPr>
        <w:t xml:space="preserve">Random Effect Model </w:t>
      </w:r>
      <w:r>
        <w:rPr>
          <w:rFonts w:ascii="Times New Roman" w:hAnsi="Times New Roman" w:cs="Times New Roman"/>
          <w:sz w:val="24"/>
          <w:szCs w:val="24"/>
          <w:lang w:val="en-US"/>
        </w:rPr>
        <w:t xml:space="preserve">(REM).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model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efisiensi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mengestimasi</w:t>
      </w:r>
      <w:proofErr w:type="spellEnd"/>
      <w:r>
        <w:rPr>
          <w:rFonts w:ascii="Times New Roman" w:hAnsi="Times New Roman" w:cs="Times New Roman"/>
          <w:sz w:val="24"/>
          <w:szCs w:val="24"/>
          <w:lang w:val="en-US"/>
        </w:rPr>
        <w:t xml:space="preserve"> parameter data panel. Ada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uji </w:t>
      </w:r>
      <w:r>
        <w:rPr>
          <w:rFonts w:ascii="Times New Roman" w:hAnsi="Times New Roman" w:cs="Times New Roman"/>
          <w:i/>
          <w:iCs/>
          <w:sz w:val="24"/>
          <w:szCs w:val="24"/>
          <w:lang w:val="en-US"/>
        </w:rPr>
        <w:t>chow</w:t>
      </w:r>
      <w:r>
        <w:rPr>
          <w:rFonts w:ascii="Times New Roman" w:hAnsi="Times New Roman" w:cs="Times New Roman"/>
          <w:sz w:val="24"/>
          <w:szCs w:val="24"/>
          <w:lang w:val="en-US"/>
        </w:rPr>
        <w:t xml:space="preserve">, uji </w:t>
      </w:r>
      <w:proofErr w:type="spellStart"/>
      <w:r>
        <w:rPr>
          <w:rFonts w:ascii="Times New Roman" w:hAnsi="Times New Roman" w:cs="Times New Roman"/>
          <w:i/>
          <w:iCs/>
          <w:sz w:val="24"/>
          <w:szCs w:val="24"/>
          <w:lang w:val="en-US"/>
        </w:rPr>
        <w:t>hausman</w:t>
      </w:r>
      <w:proofErr w:type="spellEnd"/>
      <w:r>
        <w:rPr>
          <w:rFonts w:ascii="Times New Roman" w:hAnsi="Times New Roman" w:cs="Times New Roman"/>
          <w:sz w:val="24"/>
          <w:szCs w:val="24"/>
          <w:lang w:val="en-US"/>
        </w:rPr>
        <w:t xml:space="preserve">, dan uji </w:t>
      </w:r>
      <w:proofErr w:type="spellStart"/>
      <w:r>
        <w:rPr>
          <w:rFonts w:ascii="Times New Roman" w:hAnsi="Times New Roman" w:cs="Times New Roman"/>
          <w:i/>
          <w:iCs/>
          <w:sz w:val="24"/>
          <w:szCs w:val="24"/>
          <w:lang w:val="en-US"/>
        </w:rPr>
        <w:t>lagrange</w:t>
      </w:r>
      <w:proofErr w:type="spellEnd"/>
      <w:r>
        <w:rPr>
          <w:rFonts w:ascii="Times New Roman" w:hAnsi="Times New Roman" w:cs="Times New Roman"/>
          <w:i/>
          <w:iCs/>
          <w:sz w:val="24"/>
          <w:szCs w:val="24"/>
          <w:lang w:val="en-US"/>
        </w:rPr>
        <w:t xml:space="preserve"> multiplier </w:t>
      </w:r>
      <w:r>
        <w:rPr>
          <w:rFonts w:ascii="Times New Roman" w:hAnsi="Times New Roman" w:cs="Times New Roman"/>
          <w:sz w:val="24"/>
          <w:szCs w:val="24"/>
          <w:lang w:val="en-US"/>
        </w:rPr>
        <w:t xml:space="preserve">(LM).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masing-masing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0158C38F" w14:textId="77777777" w:rsidR="00BB58C4" w:rsidRDefault="00000000">
      <w:pPr>
        <w:pStyle w:val="ListParagraph"/>
        <w:numPr>
          <w:ilvl w:val="0"/>
          <w:numId w:val="24"/>
        </w:numPr>
        <w:spacing w:after="0" w:line="480" w:lineRule="auto"/>
        <w:ind w:left="426" w:hanging="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Common Effect Model</w:t>
      </w:r>
    </w:p>
    <w:p w14:paraId="4552FF05" w14:textId="77777777" w:rsidR="00BB58C4" w:rsidRDefault="00000000">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i/>
          <w:iCs/>
          <w:sz w:val="24"/>
          <w:szCs w:val="24"/>
          <w:lang w:val="en-US"/>
        </w:rPr>
        <w:t>Common effect model</w:t>
      </w:r>
      <w:r>
        <w:rPr>
          <w:rFonts w:ascii="Times New Roman" w:hAnsi="Times New Roman" w:cs="Times New Roman"/>
          <w:sz w:val="24"/>
          <w:szCs w:val="24"/>
          <w:lang w:val="en-US"/>
        </w:rPr>
        <w:t xml:space="preserve"> (CEM)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pooled least square</w:t>
      </w:r>
      <w:r>
        <w:rPr>
          <w:rFonts w:ascii="Times New Roman" w:hAnsi="Times New Roman" w:cs="Times New Roman"/>
          <w:sz w:val="24"/>
          <w:szCs w:val="24"/>
          <w:lang w:val="en-US"/>
        </w:rPr>
        <w:t xml:space="preserve"> (PLS)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intercept dan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diperhitungkan</w:t>
      </w:r>
      <w:proofErr w:type="spellEnd"/>
      <w:r>
        <w:rPr>
          <w:rFonts w:ascii="Times New Roman" w:hAnsi="Times New Roman" w:cs="Times New Roman"/>
          <w:sz w:val="24"/>
          <w:szCs w:val="24"/>
          <w:lang w:val="en-US"/>
        </w:rPr>
        <w:t>.</w:t>
      </w:r>
    </w:p>
    <w:p w14:paraId="1C0E33E4" w14:textId="43463941" w:rsidR="00BB58C4" w:rsidRDefault="00000000">
      <w:pPr>
        <w:pStyle w:val="Caption"/>
        <w:spacing w:after="0" w:line="360" w:lineRule="auto"/>
        <w:rPr>
          <w:sz w:val="22"/>
          <w:szCs w:val="22"/>
        </w:rPr>
      </w:pPr>
      <w:bookmarkStart w:id="155" w:name="_Toc210177610"/>
      <w:r>
        <w:rPr>
          <w:sz w:val="22"/>
          <w:szCs w:val="22"/>
        </w:rPr>
        <w:t>Tabel 4.</w:t>
      </w:r>
      <w:r>
        <w:rPr>
          <w:sz w:val="22"/>
          <w:szCs w:val="22"/>
        </w:rPr>
        <w:fldChar w:fldCharType="begin"/>
      </w:r>
      <w:r>
        <w:rPr>
          <w:sz w:val="22"/>
          <w:szCs w:val="22"/>
        </w:rPr>
        <w:instrText xml:space="preserve"> SEQ Tabel_4 \* ARABIC </w:instrText>
      </w:r>
      <w:r>
        <w:rPr>
          <w:sz w:val="22"/>
          <w:szCs w:val="22"/>
        </w:rPr>
        <w:fldChar w:fldCharType="separate"/>
      </w:r>
      <w:r w:rsidR="00DB7568">
        <w:rPr>
          <w:noProof/>
          <w:sz w:val="22"/>
          <w:szCs w:val="22"/>
        </w:rPr>
        <w:t>2</w:t>
      </w:r>
      <w:r>
        <w:rPr>
          <w:sz w:val="22"/>
          <w:szCs w:val="22"/>
        </w:rPr>
        <w:fldChar w:fldCharType="end"/>
      </w:r>
      <w:r>
        <w:rPr>
          <w:sz w:val="22"/>
          <w:szCs w:val="22"/>
        </w:rPr>
        <w:t xml:space="preserve"> Tabel Common Effect Model</w:t>
      </w:r>
      <w:bookmarkEnd w:id="155"/>
    </w:p>
    <w:tbl>
      <w:tblPr>
        <w:tblStyle w:val="TableGrid"/>
        <w:tblpPr w:leftFromText="180" w:rightFromText="180" w:vertAnchor="text" w:horzAnchor="margin" w:tblpY="2"/>
        <w:tblW w:w="0" w:type="auto"/>
        <w:tblLook w:val="04A0" w:firstRow="1" w:lastRow="0" w:firstColumn="1" w:lastColumn="0" w:noHBand="0" w:noVBand="1"/>
      </w:tblPr>
      <w:tblGrid>
        <w:gridCol w:w="3179"/>
        <w:gridCol w:w="4748"/>
      </w:tblGrid>
      <w:tr w:rsidR="00BB58C4" w14:paraId="46844C6E" w14:textId="77777777" w:rsidTr="00DC0847">
        <w:trPr>
          <w:trHeight w:val="232"/>
        </w:trPr>
        <w:tc>
          <w:tcPr>
            <w:tcW w:w="3179" w:type="dxa"/>
          </w:tcPr>
          <w:p w14:paraId="67E9854C" w14:textId="77777777" w:rsidR="00BB58C4" w:rsidRDefault="00000000" w:rsidP="00DC0847">
            <w:pPr>
              <w:spacing w:after="0" w:line="36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Prob&gt;F</w:t>
            </w:r>
          </w:p>
        </w:tc>
        <w:tc>
          <w:tcPr>
            <w:tcW w:w="4748" w:type="dxa"/>
            <w:vAlign w:val="bottom"/>
          </w:tcPr>
          <w:p w14:paraId="04AB9BCA" w14:textId="77777777" w:rsidR="00BB58C4" w:rsidRDefault="00000000" w:rsidP="00DC0847">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1.0000</w:t>
            </w:r>
          </w:p>
        </w:tc>
      </w:tr>
      <w:tr w:rsidR="00BB58C4" w14:paraId="62699F44" w14:textId="77777777" w:rsidTr="00DC0847">
        <w:tc>
          <w:tcPr>
            <w:tcW w:w="3179" w:type="dxa"/>
          </w:tcPr>
          <w:p w14:paraId="5C74ECB4" w14:textId="77777777" w:rsidR="00BB58C4" w:rsidRDefault="00000000" w:rsidP="00DC0847">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R-Squared</w:t>
            </w:r>
          </w:p>
        </w:tc>
        <w:tc>
          <w:tcPr>
            <w:tcW w:w="4748" w:type="dxa"/>
          </w:tcPr>
          <w:p w14:paraId="0CA99FF1" w14:textId="77777777" w:rsidR="00BB58C4" w:rsidRDefault="00000000" w:rsidP="00DC08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0.8480</w:t>
            </w:r>
          </w:p>
        </w:tc>
      </w:tr>
      <w:tr w:rsidR="00BB58C4" w14:paraId="025E9628" w14:textId="77777777" w:rsidTr="00DC0847">
        <w:tc>
          <w:tcPr>
            <w:tcW w:w="3179" w:type="dxa"/>
          </w:tcPr>
          <w:p w14:paraId="090FCED2" w14:textId="77777777" w:rsidR="00BB58C4" w:rsidRDefault="00000000" w:rsidP="00DC0847">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Adj R-Squared</w:t>
            </w:r>
          </w:p>
        </w:tc>
        <w:tc>
          <w:tcPr>
            <w:tcW w:w="4748" w:type="dxa"/>
          </w:tcPr>
          <w:p w14:paraId="3E7DFCF8" w14:textId="77777777" w:rsidR="00BB58C4" w:rsidRDefault="00000000" w:rsidP="00DC08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0.9755</w:t>
            </w:r>
          </w:p>
        </w:tc>
      </w:tr>
    </w:tbl>
    <w:p w14:paraId="2969E05A" w14:textId="77777777" w:rsidR="00BB58C4" w:rsidRDefault="00000000">
      <w:pPr>
        <w:spacing w:after="0" w:line="480" w:lineRule="auto"/>
        <w:jc w:val="both"/>
        <w:rPr>
          <w:rFonts w:ascii="Times New Roman" w:hAnsi="Times New Roman" w:cs="Times New Roman"/>
          <w:i/>
          <w:iCs/>
          <w:lang w:val="en-US"/>
        </w:rPr>
      </w:pPr>
      <w:proofErr w:type="spellStart"/>
      <w:proofErr w:type="gramStart"/>
      <w:r>
        <w:rPr>
          <w:rFonts w:ascii="Times New Roman" w:hAnsi="Times New Roman" w:cs="Times New Roman"/>
          <w:i/>
          <w:iCs/>
          <w:lang w:val="en-US"/>
        </w:rPr>
        <w:t>Sumber</w:t>
      </w:r>
      <w:proofErr w:type="spellEnd"/>
      <w:r>
        <w:rPr>
          <w:rFonts w:ascii="Times New Roman" w:hAnsi="Times New Roman" w:cs="Times New Roman"/>
          <w:i/>
          <w:iCs/>
          <w:lang w:val="en-US"/>
        </w:rPr>
        <w:t xml:space="preserve"> :</w:t>
      </w:r>
      <w:proofErr w:type="gramEnd"/>
      <w:r>
        <w:rPr>
          <w:rFonts w:ascii="Times New Roman" w:hAnsi="Times New Roman" w:cs="Times New Roman"/>
          <w:i/>
          <w:iCs/>
          <w:lang w:val="en-US"/>
        </w:rPr>
        <w:t xml:space="preserve"> Data </w:t>
      </w:r>
      <w:proofErr w:type="spellStart"/>
      <w:r>
        <w:rPr>
          <w:rFonts w:ascii="Times New Roman" w:hAnsi="Times New Roman" w:cs="Times New Roman"/>
          <w:i/>
          <w:iCs/>
          <w:lang w:val="en-US"/>
        </w:rPr>
        <w:t>Diolah</w:t>
      </w:r>
      <w:proofErr w:type="spellEnd"/>
      <w:r>
        <w:rPr>
          <w:rFonts w:ascii="Times New Roman" w:hAnsi="Times New Roman" w:cs="Times New Roman"/>
          <w:i/>
          <w:iCs/>
          <w:lang w:val="en-US"/>
        </w:rPr>
        <w:t>, 2025</w:t>
      </w:r>
    </w:p>
    <w:p w14:paraId="5DD0AA2B" w14:textId="77777777" w:rsidR="00BB58C4" w:rsidRDefault="00000000">
      <w:pPr>
        <w:pStyle w:val="ListParagraph"/>
        <w:numPr>
          <w:ilvl w:val="0"/>
          <w:numId w:val="24"/>
        </w:numPr>
        <w:spacing w:after="0" w:line="480" w:lineRule="auto"/>
        <w:ind w:left="426" w:hanging="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Fixed Effect Model (FEM)</w:t>
      </w:r>
    </w:p>
    <w:p w14:paraId="2DD66E6D" w14:textId="0495B29D" w:rsidR="00BB58C4" w:rsidRDefault="00000000" w:rsidP="00DF09DF">
      <w:pPr>
        <w:pStyle w:val="ListParagraph"/>
        <w:spacing w:after="0" w:line="480" w:lineRule="auto"/>
        <w:ind w:left="0" w:firstLine="426"/>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Model fixed effect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data panel yang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gabungan</w:t>
      </w:r>
      <w:proofErr w:type="spellEnd"/>
      <w:r>
        <w:rPr>
          <w:rFonts w:ascii="Times New Roman" w:hAnsi="Times New Roman" w:cs="Times New Roman"/>
          <w:sz w:val="24"/>
          <w:szCs w:val="24"/>
          <w:lang w:val="en-US"/>
        </w:rPr>
        <w:t xml:space="preserve"> data </w:t>
      </w:r>
      <w:r>
        <w:rPr>
          <w:rFonts w:ascii="Times New Roman" w:hAnsi="Times New Roman" w:cs="Times New Roman"/>
          <w:i/>
          <w:iCs/>
          <w:sz w:val="24"/>
          <w:szCs w:val="24"/>
          <w:lang w:val="en-US"/>
        </w:rPr>
        <w:t xml:space="preserve">cross section </w:t>
      </w:r>
      <w:r>
        <w:rPr>
          <w:rFonts w:ascii="Times New Roman" w:hAnsi="Times New Roman" w:cs="Times New Roman"/>
          <w:sz w:val="24"/>
          <w:szCs w:val="24"/>
          <w:lang w:val="en-US"/>
        </w:rPr>
        <w:t xml:space="preserve">dan </w:t>
      </w:r>
      <w:r>
        <w:rPr>
          <w:rFonts w:ascii="Times New Roman" w:hAnsi="Times New Roman" w:cs="Times New Roman"/>
          <w:i/>
          <w:iCs/>
          <w:sz w:val="24"/>
          <w:szCs w:val="24"/>
          <w:lang w:val="en-US"/>
        </w:rPr>
        <w:t>time series</w:t>
      </w:r>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dianggap</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berguna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mengatasi</w:t>
      </w:r>
      <w:proofErr w:type="spellEnd"/>
      <w:r>
        <w:rPr>
          <w:rFonts w:ascii="Times New Roman" w:hAnsi="Times New Roman" w:cs="Times New Roman"/>
          <w:sz w:val="24"/>
          <w:szCs w:val="24"/>
          <w:lang w:val="en-US"/>
        </w:rPr>
        <w:t xml:space="preserve"> bias-bias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diamati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sepanjang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estimasi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konsisten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model </w:t>
      </w:r>
      <w:r>
        <w:rPr>
          <w:rFonts w:ascii="Times New Roman" w:hAnsi="Times New Roman" w:cs="Times New Roman"/>
          <w:i/>
          <w:iCs/>
          <w:sz w:val="24"/>
          <w:szCs w:val="24"/>
          <w:lang w:val="en-US"/>
        </w:rPr>
        <w:t>fixed effect.</w:t>
      </w:r>
    </w:p>
    <w:p w14:paraId="165711E2" w14:textId="613A4D6C" w:rsidR="00BB58C4" w:rsidRDefault="00000000">
      <w:pPr>
        <w:pStyle w:val="Caption"/>
        <w:spacing w:after="0" w:line="360" w:lineRule="auto"/>
        <w:rPr>
          <w:rFonts w:cs="Times New Roman"/>
          <w:b w:val="0"/>
          <w:bCs/>
          <w:i/>
          <w:iCs w:val="0"/>
          <w:sz w:val="22"/>
          <w:szCs w:val="20"/>
          <w:lang w:val="en-US"/>
        </w:rPr>
      </w:pPr>
      <w:bookmarkStart w:id="156" w:name="_Toc210177611"/>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3</w:t>
      </w:r>
      <w:r>
        <w:rPr>
          <w:sz w:val="22"/>
          <w:szCs w:val="20"/>
        </w:rPr>
        <w:fldChar w:fldCharType="end"/>
      </w:r>
      <w:r>
        <w:rPr>
          <w:sz w:val="22"/>
          <w:szCs w:val="20"/>
        </w:rPr>
        <w:t xml:space="preserve"> </w:t>
      </w:r>
      <w:r>
        <w:rPr>
          <w:rFonts w:cs="Times New Roman"/>
          <w:bCs/>
          <w:sz w:val="22"/>
          <w:szCs w:val="20"/>
          <w:lang w:val="en-US"/>
        </w:rPr>
        <w:t xml:space="preserve">Tabel </w:t>
      </w:r>
      <w:r>
        <w:rPr>
          <w:rFonts w:cs="Times New Roman"/>
          <w:bCs/>
          <w:i/>
          <w:sz w:val="22"/>
          <w:szCs w:val="20"/>
          <w:lang w:val="en-US"/>
        </w:rPr>
        <w:t>Fixed Effect Model</w:t>
      </w:r>
      <w:bookmarkEnd w:id="156"/>
    </w:p>
    <w:tbl>
      <w:tblPr>
        <w:tblStyle w:val="TableGrid"/>
        <w:tblpPr w:leftFromText="180" w:rightFromText="180" w:vertAnchor="text" w:horzAnchor="margin" w:tblpY="2"/>
        <w:tblW w:w="0" w:type="auto"/>
        <w:tblLook w:val="04A0" w:firstRow="1" w:lastRow="0" w:firstColumn="1" w:lastColumn="0" w:noHBand="0" w:noVBand="1"/>
      </w:tblPr>
      <w:tblGrid>
        <w:gridCol w:w="3179"/>
        <w:gridCol w:w="4748"/>
      </w:tblGrid>
      <w:tr w:rsidR="00BB58C4" w14:paraId="19A2B1DE" w14:textId="77777777">
        <w:tc>
          <w:tcPr>
            <w:tcW w:w="3179" w:type="dxa"/>
          </w:tcPr>
          <w:p w14:paraId="2555CD1E" w14:textId="77777777" w:rsidR="00BB58C4" w:rsidRDefault="00000000">
            <w:pPr>
              <w:spacing w:after="0" w:line="240" w:lineRule="auto"/>
              <w:jc w:val="center"/>
              <w:rPr>
                <w:rFonts w:ascii="Times New Roman" w:hAnsi="Times New Roman" w:cs="Times New Roman"/>
                <w:b/>
                <w:bCs/>
                <w:i/>
                <w:iCs/>
                <w:sz w:val="20"/>
                <w:szCs w:val="20"/>
              </w:rPr>
            </w:pPr>
            <w:bookmarkStart w:id="157" w:name="_Hlk209397078"/>
            <w:r>
              <w:rPr>
                <w:rFonts w:ascii="Times New Roman" w:hAnsi="Times New Roman" w:cs="Times New Roman"/>
                <w:b/>
                <w:bCs/>
                <w:i/>
                <w:iCs/>
                <w:sz w:val="20"/>
                <w:szCs w:val="20"/>
              </w:rPr>
              <w:t>Prob&gt;F</w:t>
            </w:r>
          </w:p>
        </w:tc>
        <w:tc>
          <w:tcPr>
            <w:tcW w:w="4748" w:type="dxa"/>
          </w:tcPr>
          <w:p w14:paraId="67AAAC59"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0.0000</w:t>
            </w:r>
          </w:p>
        </w:tc>
      </w:tr>
      <w:tr w:rsidR="00BB58C4" w14:paraId="5FC8C7DE" w14:textId="77777777">
        <w:tc>
          <w:tcPr>
            <w:tcW w:w="3179" w:type="dxa"/>
          </w:tcPr>
          <w:p w14:paraId="118E5BD5" w14:textId="77777777" w:rsidR="00BB58C4" w:rsidRDefault="00000000">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R-Squared</w:t>
            </w:r>
          </w:p>
        </w:tc>
        <w:tc>
          <w:tcPr>
            <w:tcW w:w="4748" w:type="dxa"/>
          </w:tcPr>
          <w:p w14:paraId="1D65A71D"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0.8490</w:t>
            </w:r>
          </w:p>
        </w:tc>
      </w:tr>
      <w:tr w:rsidR="00BB58C4" w14:paraId="659EA447" w14:textId="77777777">
        <w:tc>
          <w:tcPr>
            <w:tcW w:w="3179" w:type="dxa"/>
          </w:tcPr>
          <w:p w14:paraId="34A882AA" w14:textId="77777777" w:rsidR="00BB58C4" w:rsidRDefault="00000000">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Adj R-Squared</w:t>
            </w:r>
          </w:p>
        </w:tc>
        <w:tc>
          <w:tcPr>
            <w:tcW w:w="4748" w:type="dxa"/>
          </w:tcPr>
          <w:p w14:paraId="3FA986A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0.9737</w:t>
            </w:r>
          </w:p>
        </w:tc>
      </w:tr>
    </w:tbl>
    <w:bookmarkEnd w:id="157"/>
    <w:p w14:paraId="00DD25CC" w14:textId="77777777" w:rsidR="00BB58C4" w:rsidRDefault="00000000" w:rsidP="00DF09DF">
      <w:pPr>
        <w:pStyle w:val="ListParagraph"/>
        <w:numPr>
          <w:ilvl w:val="0"/>
          <w:numId w:val="24"/>
        </w:numPr>
        <w:spacing w:before="240" w:after="0" w:line="480" w:lineRule="auto"/>
        <w:ind w:left="426" w:hanging="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Random Effect Model</w:t>
      </w:r>
    </w:p>
    <w:p w14:paraId="3EFFBDB4" w14:textId="77777777" w:rsidR="00BB58C4" w:rsidRDefault="00000000">
      <w:pPr>
        <w:spacing w:after="0" w:line="480" w:lineRule="auto"/>
        <w:ind w:firstLine="426"/>
        <w:jc w:val="both"/>
        <w:rPr>
          <w:rFonts w:ascii="Times New Roman" w:hAnsi="Times New Roman" w:cs="Times New Roman"/>
          <w:b/>
          <w:bCs/>
          <w:i/>
          <w:iCs/>
          <w:lang w:val="en-US"/>
        </w:rPr>
      </w:pPr>
      <w:r>
        <w:rPr>
          <w:rFonts w:ascii="Times New Roman" w:hAnsi="Times New Roman" w:cs="Times New Roman"/>
          <w:sz w:val="24"/>
          <w:szCs w:val="24"/>
          <w:lang w:val="en-US"/>
        </w:rPr>
        <w:t xml:space="preserve">Model </w:t>
      </w:r>
      <w:r>
        <w:rPr>
          <w:rFonts w:ascii="Times New Roman" w:hAnsi="Times New Roman" w:cs="Times New Roman"/>
          <w:i/>
          <w:iCs/>
          <w:sz w:val="24"/>
          <w:szCs w:val="24"/>
          <w:lang w:val="en-US"/>
        </w:rPr>
        <w:t xml:space="preserve">random effect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data panel yang </w:t>
      </w:r>
      <w:proofErr w:type="spellStart"/>
      <w:r>
        <w:rPr>
          <w:rFonts w:ascii="Times New Roman" w:hAnsi="Times New Roman" w:cs="Times New Roman"/>
          <w:sz w:val="24"/>
          <w:szCs w:val="24"/>
          <w:lang w:val="en-US"/>
        </w:rPr>
        <w:t>menganggap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lastRenderedPageBreak/>
        <w:t>berbeda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intercept</w:t>
      </w:r>
      <w:r>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model </w:t>
      </w:r>
      <w:r>
        <w:rPr>
          <w:rFonts w:ascii="Times New Roman" w:hAnsi="Times New Roman" w:cs="Times New Roman"/>
          <w:i/>
          <w:iCs/>
          <w:sz w:val="24"/>
          <w:szCs w:val="24"/>
          <w:lang w:val="en-US"/>
        </w:rPr>
        <w:t>random effect</w:t>
      </w:r>
      <w:r>
        <w:rPr>
          <w:rFonts w:ascii="Times New Roman" w:hAnsi="Times New Roman" w:cs="Times New Roman"/>
          <w:sz w:val="24"/>
          <w:szCs w:val="24"/>
          <w:lang w:val="en-US"/>
        </w:rPr>
        <w:t>.</w:t>
      </w:r>
    </w:p>
    <w:p w14:paraId="741D7DE0" w14:textId="26B60321" w:rsidR="00BB58C4" w:rsidRDefault="00000000">
      <w:pPr>
        <w:pStyle w:val="Caption"/>
        <w:spacing w:after="0" w:line="360" w:lineRule="auto"/>
        <w:rPr>
          <w:rFonts w:cs="Times New Roman"/>
          <w:b w:val="0"/>
          <w:bCs/>
          <w:sz w:val="22"/>
          <w:szCs w:val="20"/>
          <w:lang w:val="en-US"/>
        </w:rPr>
      </w:pPr>
      <w:bookmarkStart w:id="158" w:name="_Toc210177612"/>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4</w:t>
      </w:r>
      <w:r>
        <w:rPr>
          <w:sz w:val="22"/>
          <w:szCs w:val="20"/>
        </w:rPr>
        <w:fldChar w:fldCharType="end"/>
      </w:r>
      <w:r>
        <w:rPr>
          <w:sz w:val="22"/>
          <w:szCs w:val="20"/>
        </w:rPr>
        <w:t xml:space="preserve"> </w:t>
      </w:r>
      <w:r>
        <w:rPr>
          <w:rFonts w:cs="Times New Roman"/>
          <w:bCs/>
          <w:sz w:val="22"/>
          <w:szCs w:val="20"/>
          <w:lang w:val="en-US"/>
        </w:rPr>
        <w:t xml:space="preserve">Tabel </w:t>
      </w:r>
      <w:r>
        <w:rPr>
          <w:rFonts w:cs="Times New Roman"/>
          <w:bCs/>
          <w:i/>
          <w:sz w:val="22"/>
          <w:szCs w:val="20"/>
          <w:lang w:val="en-US"/>
        </w:rPr>
        <w:t>Random Effect Model</w:t>
      </w:r>
      <w:bookmarkStart w:id="159" w:name="_Hlk201741848"/>
      <w:bookmarkEnd w:id="158"/>
    </w:p>
    <w:tbl>
      <w:tblPr>
        <w:tblStyle w:val="TableGrid"/>
        <w:tblpPr w:leftFromText="180" w:rightFromText="180" w:vertAnchor="text" w:horzAnchor="margin" w:tblpY="2"/>
        <w:tblW w:w="0" w:type="auto"/>
        <w:tblLook w:val="04A0" w:firstRow="1" w:lastRow="0" w:firstColumn="1" w:lastColumn="0" w:noHBand="0" w:noVBand="1"/>
      </w:tblPr>
      <w:tblGrid>
        <w:gridCol w:w="3179"/>
        <w:gridCol w:w="4748"/>
      </w:tblGrid>
      <w:tr w:rsidR="00BB58C4" w14:paraId="7D16CE5A" w14:textId="77777777">
        <w:tc>
          <w:tcPr>
            <w:tcW w:w="3179" w:type="dxa"/>
          </w:tcPr>
          <w:p w14:paraId="2A72FDBA" w14:textId="77777777" w:rsidR="00BB58C4" w:rsidRDefault="00000000">
            <w:pPr>
              <w:spacing w:after="0" w:line="240" w:lineRule="auto"/>
              <w:jc w:val="center"/>
              <w:rPr>
                <w:rFonts w:ascii="Times New Roman" w:hAnsi="Times New Roman" w:cs="Times New Roman"/>
                <w:b/>
                <w:bCs/>
                <w:i/>
                <w:iCs/>
                <w:sz w:val="20"/>
                <w:szCs w:val="20"/>
              </w:rPr>
            </w:pPr>
            <w:bookmarkStart w:id="160" w:name="_Hlk209446098"/>
            <w:r>
              <w:rPr>
                <w:rFonts w:ascii="Times New Roman" w:hAnsi="Times New Roman" w:cs="Times New Roman"/>
                <w:b/>
                <w:bCs/>
                <w:i/>
                <w:iCs/>
                <w:sz w:val="20"/>
                <w:szCs w:val="20"/>
              </w:rPr>
              <w:t>Prob&gt;F</w:t>
            </w:r>
          </w:p>
        </w:tc>
        <w:tc>
          <w:tcPr>
            <w:tcW w:w="4748" w:type="dxa"/>
          </w:tcPr>
          <w:p w14:paraId="187C8C15"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0.0000</w:t>
            </w:r>
          </w:p>
        </w:tc>
      </w:tr>
      <w:tr w:rsidR="00BB58C4" w14:paraId="65D55167" w14:textId="77777777">
        <w:tc>
          <w:tcPr>
            <w:tcW w:w="3179" w:type="dxa"/>
          </w:tcPr>
          <w:p w14:paraId="6EF752E5" w14:textId="77777777" w:rsidR="00BB58C4" w:rsidRDefault="00000000">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R-Squared</w:t>
            </w:r>
          </w:p>
        </w:tc>
        <w:tc>
          <w:tcPr>
            <w:tcW w:w="4748" w:type="dxa"/>
          </w:tcPr>
          <w:p w14:paraId="2134134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0.8480</w:t>
            </w:r>
          </w:p>
        </w:tc>
      </w:tr>
      <w:tr w:rsidR="00BB58C4" w14:paraId="0175C383" w14:textId="77777777">
        <w:tc>
          <w:tcPr>
            <w:tcW w:w="3179" w:type="dxa"/>
          </w:tcPr>
          <w:p w14:paraId="43A0D3DB" w14:textId="77777777" w:rsidR="00BB58C4" w:rsidRDefault="00000000">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Adj R-Squared</w:t>
            </w:r>
          </w:p>
        </w:tc>
        <w:tc>
          <w:tcPr>
            <w:tcW w:w="4748" w:type="dxa"/>
          </w:tcPr>
          <w:p w14:paraId="0BEC409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0.9755</w:t>
            </w:r>
          </w:p>
        </w:tc>
      </w:tr>
    </w:tbl>
    <w:bookmarkEnd w:id="160"/>
    <w:p w14:paraId="4C8107DE" w14:textId="77777777" w:rsidR="00BB58C4" w:rsidRDefault="00000000">
      <w:pPr>
        <w:spacing w:after="0" w:line="480" w:lineRule="auto"/>
        <w:jc w:val="both"/>
        <w:rPr>
          <w:rFonts w:ascii="Times New Roman" w:hAnsi="Times New Roman" w:cs="Times New Roman"/>
          <w:i/>
          <w:iCs/>
          <w:sz w:val="20"/>
          <w:szCs w:val="20"/>
          <w:lang w:val="en-US"/>
        </w:rPr>
      </w:pPr>
      <w:proofErr w:type="spellStart"/>
      <w:proofErr w:type="gramStart"/>
      <w:r>
        <w:rPr>
          <w:rFonts w:ascii="Times New Roman" w:hAnsi="Times New Roman" w:cs="Times New Roman"/>
          <w:i/>
          <w:iCs/>
          <w:sz w:val="20"/>
          <w:szCs w:val="20"/>
          <w:lang w:val="en-US"/>
        </w:rPr>
        <w:t>Sumber</w:t>
      </w:r>
      <w:proofErr w:type="spellEnd"/>
      <w:r>
        <w:rPr>
          <w:rFonts w:ascii="Times New Roman" w:hAnsi="Times New Roman" w:cs="Times New Roman"/>
          <w:i/>
          <w:iCs/>
          <w:sz w:val="20"/>
          <w:szCs w:val="20"/>
          <w:lang w:val="en-US"/>
        </w:rPr>
        <w:t xml:space="preserve"> :</w:t>
      </w:r>
      <w:proofErr w:type="gramEnd"/>
      <w:r>
        <w:rPr>
          <w:rFonts w:ascii="Times New Roman" w:hAnsi="Times New Roman" w:cs="Times New Roman"/>
          <w:i/>
          <w:iCs/>
          <w:sz w:val="20"/>
          <w:szCs w:val="20"/>
          <w:lang w:val="en-US"/>
        </w:rPr>
        <w:t xml:space="preserve"> Data </w:t>
      </w:r>
      <w:proofErr w:type="spellStart"/>
      <w:r>
        <w:rPr>
          <w:rFonts w:ascii="Times New Roman" w:hAnsi="Times New Roman" w:cs="Times New Roman"/>
          <w:i/>
          <w:iCs/>
          <w:sz w:val="20"/>
          <w:szCs w:val="20"/>
          <w:lang w:val="en-US"/>
        </w:rPr>
        <w:t>Diolah</w:t>
      </w:r>
      <w:proofErr w:type="spellEnd"/>
      <w:r>
        <w:rPr>
          <w:rFonts w:ascii="Times New Roman" w:hAnsi="Times New Roman" w:cs="Times New Roman"/>
          <w:i/>
          <w:iCs/>
          <w:sz w:val="20"/>
          <w:szCs w:val="20"/>
          <w:lang w:val="en-US"/>
        </w:rPr>
        <w:t>, 2025</w:t>
      </w:r>
    </w:p>
    <w:bookmarkEnd w:id="159"/>
    <w:p w14:paraId="0D17A140" w14:textId="77777777" w:rsidR="00BB58C4" w:rsidRDefault="00000000">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model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efisiensi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mengestimasi</w:t>
      </w:r>
      <w:proofErr w:type="spellEnd"/>
      <w:r>
        <w:rPr>
          <w:rFonts w:ascii="Times New Roman" w:hAnsi="Times New Roman" w:cs="Times New Roman"/>
          <w:sz w:val="24"/>
          <w:szCs w:val="24"/>
          <w:lang w:val="en-US"/>
        </w:rPr>
        <w:t xml:space="preserve"> parameter data panel. Ada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uji </w:t>
      </w:r>
      <w:r>
        <w:rPr>
          <w:rFonts w:ascii="Times New Roman" w:hAnsi="Times New Roman" w:cs="Times New Roman"/>
          <w:i/>
          <w:iCs/>
          <w:sz w:val="24"/>
          <w:szCs w:val="24"/>
          <w:lang w:val="en-US"/>
        </w:rPr>
        <w:t>chow</w:t>
      </w:r>
      <w:r>
        <w:rPr>
          <w:rFonts w:ascii="Times New Roman" w:hAnsi="Times New Roman" w:cs="Times New Roman"/>
          <w:sz w:val="24"/>
          <w:szCs w:val="24"/>
          <w:lang w:val="en-US"/>
        </w:rPr>
        <w:t xml:space="preserve">, uji </w:t>
      </w:r>
      <w:proofErr w:type="spellStart"/>
      <w:r>
        <w:rPr>
          <w:rFonts w:ascii="Times New Roman" w:hAnsi="Times New Roman" w:cs="Times New Roman"/>
          <w:i/>
          <w:iCs/>
          <w:sz w:val="24"/>
          <w:szCs w:val="24"/>
          <w:lang w:val="en-US"/>
        </w:rPr>
        <w:t>hausman</w:t>
      </w:r>
      <w:proofErr w:type="spellEnd"/>
      <w:r>
        <w:rPr>
          <w:rFonts w:ascii="Times New Roman" w:hAnsi="Times New Roman" w:cs="Times New Roman"/>
          <w:sz w:val="24"/>
          <w:szCs w:val="24"/>
          <w:lang w:val="en-US"/>
        </w:rPr>
        <w:t xml:space="preserve">, dan uji </w:t>
      </w:r>
      <w:proofErr w:type="spellStart"/>
      <w:r>
        <w:rPr>
          <w:rFonts w:ascii="Times New Roman" w:hAnsi="Times New Roman" w:cs="Times New Roman"/>
          <w:i/>
          <w:iCs/>
          <w:sz w:val="24"/>
          <w:szCs w:val="24"/>
          <w:lang w:val="en-US"/>
        </w:rPr>
        <w:t>lagrange</w:t>
      </w:r>
      <w:proofErr w:type="spellEnd"/>
      <w:r>
        <w:rPr>
          <w:rFonts w:ascii="Times New Roman" w:hAnsi="Times New Roman" w:cs="Times New Roman"/>
          <w:i/>
          <w:iCs/>
          <w:sz w:val="24"/>
          <w:szCs w:val="24"/>
          <w:lang w:val="en-US"/>
        </w:rPr>
        <w:t xml:space="preserve"> multiplier</w:t>
      </w:r>
      <w:r>
        <w:rPr>
          <w:rFonts w:ascii="Times New Roman" w:hAnsi="Times New Roman" w:cs="Times New Roman"/>
          <w:sz w:val="24"/>
          <w:szCs w:val="24"/>
          <w:lang w:val="en-US"/>
        </w:rPr>
        <w:t xml:space="preserve"> (LM).</w:t>
      </w:r>
    </w:p>
    <w:p w14:paraId="5E91C04E" w14:textId="77777777" w:rsidR="00BB58C4" w:rsidRDefault="00000000">
      <w:pPr>
        <w:pStyle w:val="ListParagraph"/>
        <w:numPr>
          <w:ilvl w:val="0"/>
          <w:numId w:val="25"/>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r>
        <w:rPr>
          <w:rFonts w:ascii="Times New Roman" w:hAnsi="Times New Roman" w:cs="Times New Roman"/>
          <w:i/>
          <w:iCs/>
          <w:sz w:val="24"/>
          <w:szCs w:val="24"/>
          <w:lang w:val="en-US"/>
        </w:rPr>
        <w:t>Chow</w:t>
      </w:r>
    </w:p>
    <w:p w14:paraId="3749BCBD" w14:textId="4BCD5F9C" w:rsidR="00BB58C4" w:rsidRPr="00DF09DF" w:rsidRDefault="00000000" w:rsidP="00DF09DF">
      <w:pPr>
        <w:pStyle w:val="ListParagraph"/>
        <w:spacing w:after="0" w:line="480" w:lineRule="auto"/>
        <w:ind w:left="426"/>
        <w:jc w:val="both"/>
        <w:rPr>
          <w:rFonts w:ascii="Times New Roman" w:hAnsi="Times New Roman" w:cs="Times New Roman"/>
          <w:sz w:val="24"/>
          <w:szCs w:val="24"/>
          <w:lang w:val="en-US"/>
        </w:rPr>
      </w:pPr>
      <w:bookmarkStart w:id="161" w:name="_Hlk201742502"/>
      <w:r>
        <w:rPr>
          <w:rFonts w:ascii="Times New Roman" w:hAnsi="Times New Roman" w:cs="Times New Roman"/>
          <w:sz w:val="24"/>
          <w:szCs w:val="24"/>
          <w:lang w:val="en-US"/>
        </w:rPr>
        <w:t xml:space="preserve">Uji </w:t>
      </w:r>
      <w:r>
        <w:rPr>
          <w:rFonts w:ascii="Times New Roman" w:hAnsi="Times New Roman" w:cs="Times New Roman"/>
          <w:i/>
          <w:iCs/>
          <w:sz w:val="24"/>
          <w:szCs w:val="24"/>
          <w:lang w:val="en-US"/>
        </w:rPr>
        <w:t xml:space="preserve">chow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estimasi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2 model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common effect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model </w:t>
      </w:r>
      <w:r>
        <w:rPr>
          <w:rFonts w:ascii="Times New Roman" w:hAnsi="Times New Roman" w:cs="Times New Roman"/>
          <w:i/>
          <w:iCs/>
          <w:sz w:val="24"/>
          <w:szCs w:val="24"/>
          <w:lang w:val="en-US"/>
        </w:rPr>
        <w:t xml:space="preserve">fixed effect.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w:t>
      </w:r>
      <w:r>
        <w:rPr>
          <w:rFonts w:ascii="Times New Roman" w:hAnsi="Times New Roman" w:cs="Times New Roman"/>
          <w:i/>
          <w:iCs/>
          <w:sz w:val="24"/>
          <w:szCs w:val="24"/>
          <w:lang w:val="en-US"/>
        </w:rPr>
        <w:t>chow</w:t>
      </w:r>
      <w:r>
        <w:rPr>
          <w:rFonts w:ascii="Times New Roman" w:hAnsi="Times New Roman" w:cs="Times New Roman"/>
          <w:sz w:val="24"/>
          <w:szCs w:val="24"/>
          <w:lang w:val="en-US"/>
        </w:rPr>
        <w:t>.</w:t>
      </w:r>
    </w:p>
    <w:p w14:paraId="22DA6E29" w14:textId="3E5DF81C" w:rsidR="00BB58C4" w:rsidRDefault="00000000">
      <w:pPr>
        <w:pStyle w:val="Caption"/>
        <w:spacing w:after="0" w:line="360" w:lineRule="auto"/>
        <w:ind w:left="426"/>
        <w:rPr>
          <w:rFonts w:cs="Times New Roman"/>
          <w:b w:val="0"/>
          <w:bCs/>
          <w:i/>
          <w:iCs w:val="0"/>
          <w:sz w:val="22"/>
          <w:szCs w:val="22"/>
          <w:lang w:val="en-US"/>
        </w:rPr>
      </w:pPr>
      <w:bookmarkStart w:id="162" w:name="_Toc210177613"/>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5</w:t>
      </w:r>
      <w:r>
        <w:rPr>
          <w:sz w:val="22"/>
          <w:szCs w:val="20"/>
        </w:rPr>
        <w:fldChar w:fldCharType="end"/>
      </w:r>
      <w:r>
        <w:rPr>
          <w:sz w:val="22"/>
          <w:szCs w:val="20"/>
        </w:rPr>
        <w:t xml:space="preserve"> </w:t>
      </w:r>
      <w:r>
        <w:rPr>
          <w:rFonts w:cs="Times New Roman"/>
          <w:bCs/>
          <w:sz w:val="22"/>
          <w:szCs w:val="22"/>
          <w:lang w:val="en-US"/>
        </w:rPr>
        <w:t xml:space="preserve">Tabel Uji </w:t>
      </w:r>
      <w:r>
        <w:rPr>
          <w:rFonts w:cs="Times New Roman"/>
          <w:bCs/>
          <w:i/>
          <w:sz w:val="22"/>
          <w:szCs w:val="22"/>
          <w:lang w:val="en-US"/>
        </w:rPr>
        <w:t>Chow</w:t>
      </w:r>
      <w:bookmarkEnd w:id="162"/>
    </w:p>
    <w:tbl>
      <w:tblPr>
        <w:tblStyle w:val="TableGrid"/>
        <w:tblW w:w="0" w:type="auto"/>
        <w:tblInd w:w="426" w:type="dxa"/>
        <w:tblLook w:val="04A0" w:firstRow="1" w:lastRow="0" w:firstColumn="1" w:lastColumn="0" w:noHBand="0" w:noVBand="1"/>
      </w:tblPr>
      <w:tblGrid>
        <w:gridCol w:w="2500"/>
        <w:gridCol w:w="2500"/>
      </w:tblGrid>
      <w:tr w:rsidR="00BB58C4" w14:paraId="3CF25A1E" w14:textId="77777777">
        <w:tc>
          <w:tcPr>
            <w:tcW w:w="2500" w:type="dxa"/>
          </w:tcPr>
          <w:p w14:paraId="30C0EA05" w14:textId="77777777" w:rsidR="00BB58C4" w:rsidRDefault="00000000">
            <w:pPr>
              <w:pStyle w:val="ListParagraph"/>
              <w:spacing w:after="0" w:line="360" w:lineRule="auto"/>
              <w:ind w:left="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Hasil Uji</w:t>
            </w:r>
          </w:p>
        </w:tc>
        <w:tc>
          <w:tcPr>
            <w:tcW w:w="2500" w:type="dxa"/>
          </w:tcPr>
          <w:p w14:paraId="73DE9476" w14:textId="77777777" w:rsidR="00BB58C4" w:rsidRDefault="00000000">
            <w:pPr>
              <w:pStyle w:val="ListParagraph"/>
              <w:spacing w:after="0" w:line="360" w:lineRule="auto"/>
              <w:ind w:left="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Model </w:t>
            </w:r>
            <w:proofErr w:type="spellStart"/>
            <w:r>
              <w:rPr>
                <w:rFonts w:ascii="Times New Roman" w:hAnsi="Times New Roman" w:cs="Times New Roman"/>
                <w:b/>
                <w:bCs/>
                <w:sz w:val="20"/>
                <w:szCs w:val="20"/>
                <w:lang w:val="en-US"/>
              </w:rPr>
              <w:t>Terpilih</w:t>
            </w:r>
            <w:proofErr w:type="spellEnd"/>
          </w:p>
        </w:tc>
      </w:tr>
      <w:tr w:rsidR="00BB58C4" w14:paraId="7ECD3B6E" w14:textId="77777777">
        <w:tc>
          <w:tcPr>
            <w:tcW w:w="2500" w:type="dxa"/>
          </w:tcPr>
          <w:p w14:paraId="3878166D" w14:textId="77777777" w:rsidR="00BB58C4" w:rsidRDefault="00000000">
            <w:pPr>
              <w:pStyle w:val="ListParagraph"/>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Prob &gt; 0.05</w:t>
            </w:r>
          </w:p>
          <w:p w14:paraId="72013228" w14:textId="77777777" w:rsidR="00BB58C4" w:rsidRDefault="00000000">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0.00 &lt; 0.05</w:t>
            </w:r>
          </w:p>
        </w:tc>
        <w:tc>
          <w:tcPr>
            <w:tcW w:w="2500" w:type="dxa"/>
          </w:tcPr>
          <w:p w14:paraId="32EE0B37" w14:textId="77777777" w:rsidR="00BB58C4" w:rsidRDefault="00000000">
            <w:pPr>
              <w:pStyle w:val="ListParagraph"/>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CEM</w:t>
            </w:r>
          </w:p>
          <w:p w14:paraId="7130F8FF" w14:textId="77777777" w:rsidR="00BB58C4" w:rsidRDefault="00000000">
            <w:pPr>
              <w:pStyle w:val="ListParagraph"/>
              <w:spacing w:after="0" w:line="240" w:lineRule="auto"/>
              <w:ind w:left="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FEM</w:t>
            </w:r>
          </w:p>
        </w:tc>
      </w:tr>
    </w:tbl>
    <w:p w14:paraId="226DE146" w14:textId="77777777" w:rsidR="00BB58C4" w:rsidRDefault="00BB58C4">
      <w:pPr>
        <w:pStyle w:val="ListParagraph"/>
        <w:spacing w:after="0" w:line="240" w:lineRule="auto"/>
        <w:ind w:left="426"/>
        <w:jc w:val="both"/>
        <w:rPr>
          <w:rFonts w:ascii="Times New Roman" w:hAnsi="Times New Roman" w:cs="Times New Roman"/>
          <w:sz w:val="24"/>
          <w:szCs w:val="24"/>
          <w:lang w:val="en-US"/>
        </w:rPr>
      </w:pPr>
    </w:p>
    <w:p w14:paraId="6C680D13" w14:textId="77777777" w:rsidR="00BB58C4" w:rsidRDefault="00000000">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r>
        <w:rPr>
          <w:rFonts w:ascii="Times New Roman" w:hAnsi="Times New Roman" w:cs="Times New Roman"/>
          <w:i/>
          <w:iCs/>
          <w:sz w:val="24"/>
          <w:szCs w:val="24"/>
          <w:lang w:val="en-US"/>
        </w:rPr>
        <w:t>chow</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0,00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(Prob &lt; 0.05),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model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Fixed Effect Model </w:t>
      </w:r>
      <w:r>
        <w:rPr>
          <w:rFonts w:ascii="Times New Roman" w:hAnsi="Times New Roman" w:cs="Times New Roman"/>
          <w:sz w:val="24"/>
          <w:szCs w:val="24"/>
          <w:lang w:val="en-US"/>
        </w:rPr>
        <w:t>(FEM).</w:t>
      </w:r>
    </w:p>
    <w:bookmarkEnd w:id="161"/>
    <w:p w14:paraId="6ECA7927" w14:textId="77777777" w:rsidR="00BB58C4" w:rsidRDefault="00000000">
      <w:pPr>
        <w:pStyle w:val="ListParagraph"/>
        <w:numPr>
          <w:ilvl w:val="0"/>
          <w:numId w:val="25"/>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r>
        <w:rPr>
          <w:rFonts w:ascii="Times New Roman" w:hAnsi="Times New Roman" w:cs="Times New Roman"/>
          <w:i/>
          <w:iCs/>
          <w:sz w:val="24"/>
          <w:szCs w:val="24"/>
          <w:lang w:val="en-US"/>
        </w:rPr>
        <w:t>Hausman</w:t>
      </w:r>
    </w:p>
    <w:p w14:paraId="6896B2B2" w14:textId="77777777" w:rsidR="00BB58C4" w:rsidRDefault="00000000">
      <w:pPr>
        <w:pStyle w:val="ListParagraph"/>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i/>
          <w:iCs/>
          <w:sz w:val="24"/>
          <w:szCs w:val="24"/>
          <w:lang w:val="en-US"/>
        </w:rPr>
        <w:t>hausman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estimasi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2 model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model </w:t>
      </w:r>
      <w:r>
        <w:rPr>
          <w:rFonts w:ascii="Times New Roman" w:hAnsi="Times New Roman" w:cs="Times New Roman"/>
          <w:i/>
          <w:iCs/>
          <w:sz w:val="24"/>
          <w:szCs w:val="24"/>
          <w:lang w:val="en-US"/>
        </w:rPr>
        <w:t>fixed effect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model </w:t>
      </w:r>
      <w:r>
        <w:rPr>
          <w:rFonts w:ascii="Times New Roman" w:hAnsi="Times New Roman" w:cs="Times New Roman"/>
          <w:i/>
          <w:iCs/>
          <w:sz w:val="24"/>
          <w:szCs w:val="24"/>
          <w:lang w:val="en-US"/>
        </w:rPr>
        <w:t>random</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effect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i/>
          <w:iCs/>
          <w:sz w:val="24"/>
          <w:szCs w:val="24"/>
          <w:lang w:val="en-US"/>
        </w:rPr>
        <w:t>hausman</w:t>
      </w:r>
      <w:proofErr w:type="spellEnd"/>
      <w:r>
        <w:rPr>
          <w:rFonts w:ascii="Times New Roman" w:hAnsi="Times New Roman" w:cs="Times New Roman"/>
          <w:sz w:val="24"/>
          <w:szCs w:val="24"/>
          <w:lang w:val="en-US"/>
        </w:rPr>
        <w:t>.</w:t>
      </w:r>
    </w:p>
    <w:p w14:paraId="7852354C" w14:textId="5D1EB0F3" w:rsidR="00BB58C4" w:rsidRDefault="00000000">
      <w:pPr>
        <w:pStyle w:val="Caption"/>
        <w:spacing w:after="0" w:line="360" w:lineRule="auto"/>
        <w:ind w:left="426"/>
        <w:rPr>
          <w:rFonts w:cs="Times New Roman"/>
          <w:b w:val="0"/>
          <w:bCs/>
          <w:i/>
          <w:iCs w:val="0"/>
          <w:sz w:val="22"/>
          <w:szCs w:val="22"/>
          <w:lang w:val="en-US"/>
        </w:rPr>
      </w:pPr>
      <w:bookmarkStart w:id="163" w:name="_Toc210177614"/>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6</w:t>
      </w:r>
      <w:r>
        <w:rPr>
          <w:sz w:val="22"/>
          <w:szCs w:val="20"/>
        </w:rPr>
        <w:fldChar w:fldCharType="end"/>
      </w:r>
      <w:r>
        <w:rPr>
          <w:sz w:val="22"/>
          <w:szCs w:val="20"/>
        </w:rPr>
        <w:t xml:space="preserve"> </w:t>
      </w:r>
      <w:r>
        <w:rPr>
          <w:rFonts w:cs="Times New Roman"/>
          <w:bCs/>
          <w:sz w:val="22"/>
          <w:szCs w:val="22"/>
          <w:lang w:val="en-US"/>
        </w:rPr>
        <w:t xml:space="preserve">Tabel Uji </w:t>
      </w:r>
      <w:r>
        <w:rPr>
          <w:rFonts w:cs="Times New Roman"/>
          <w:bCs/>
          <w:i/>
          <w:sz w:val="22"/>
          <w:szCs w:val="22"/>
          <w:lang w:val="en-US"/>
        </w:rPr>
        <w:t>Hausman</w:t>
      </w:r>
      <w:bookmarkEnd w:id="163"/>
    </w:p>
    <w:tbl>
      <w:tblPr>
        <w:tblStyle w:val="TableGrid"/>
        <w:tblW w:w="0" w:type="auto"/>
        <w:tblInd w:w="426" w:type="dxa"/>
        <w:tblLook w:val="04A0" w:firstRow="1" w:lastRow="0" w:firstColumn="1" w:lastColumn="0" w:noHBand="0" w:noVBand="1"/>
      </w:tblPr>
      <w:tblGrid>
        <w:gridCol w:w="2500"/>
        <w:gridCol w:w="2500"/>
      </w:tblGrid>
      <w:tr w:rsidR="00BB58C4" w14:paraId="3F19C2D7" w14:textId="77777777">
        <w:tc>
          <w:tcPr>
            <w:tcW w:w="2500" w:type="dxa"/>
          </w:tcPr>
          <w:p w14:paraId="04D38E43" w14:textId="77777777" w:rsidR="00BB58C4" w:rsidRDefault="00000000">
            <w:pPr>
              <w:pStyle w:val="ListParagraph"/>
              <w:spacing w:after="0" w:line="240" w:lineRule="auto"/>
              <w:ind w:left="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Hasil Uji</w:t>
            </w:r>
          </w:p>
        </w:tc>
        <w:tc>
          <w:tcPr>
            <w:tcW w:w="2500" w:type="dxa"/>
          </w:tcPr>
          <w:p w14:paraId="43055850" w14:textId="77777777" w:rsidR="00BB58C4" w:rsidRDefault="00000000">
            <w:pPr>
              <w:pStyle w:val="ListParagraph"/>
              <w:spacing w:after="0" w:line="240" w:lineRule="auto"/>
              <w:ind w:left="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Model </w:t>
            </w:r>
            <w:proofErr w:type="spellStart"/>
            <w:r>
              <w:rPr>
                <w:rFonts w:ascii="Times New Roman" w:hAnsi="Times New Roman" w:cs="Times New Roman"/>
                <w:b/>
                <w:bCs/>
                <w:sz w:val="20"/>
                <w:szCs w:val="20"/>
                <w:lang w:val="en-US"/>
              </w:rPr>
              <w:t>Terpilih</w:t>
            </w:r>
            <w:proofErr w:type="spellEnd"/>
          </w:p>
        </w:tc>
      </w:tr>
      <w:tr w:rsidR="00BB58C4" w14:paraId="7BE6F0CA" w14:textId="77777777">
        <w:tc>
          <w:tcPr>
            <w:tcW w:w="2500" w:type="dxa"/>
          </w:tcPr>
          <w:p w14:paraId="5A547A69" w14:textId="77777777" w:rsidR="00BB58C4" w:rsidRDefault="00000000">
            <w:pPr>
              <w:pStyle w:val="ListParagraph"/>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Prob &gt; 0.05</w:t>
            </w:r>
          </w:p>
          <w:p w14:paraId="75E8F2D8" w14:textId="77777777" w:rsidR="00BB58C4" w:rsidRDefault="00000000">
            <w:pPr>
              <w:pStyle w:val="ListParagraph"/>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0.00 &lt; 0.05</w:t>
            </w:r>
          </w:p>
        </w:tc>
        <w:tc>
          <w:tcPr>
            <w:tcW w:w="2500" w:type="dxa"/>
          </w:tcPr>
          <w:p w14:paraId="04B94D78" w14:textId="77777777" w:rsidR="00BB58C4" w:rsidRDefault="00000000">
            <w:pPr>
              <w:pStyle w:val="ListParagraph"/>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REM</w:t>
            </w:r>
          </w:p>
          <w:p w14:paraId="53DDB7F4" w14:textId="77777777" w:rsidR="00BB58C4" w:rsidRDefault="00000000">
            <w:pPr>
              <w:pStyle w:val="ListParagraph"/>
              <w:spacing w:after="0" w:line="240" w:lineRule="auto"/>
              <w:ind w:left="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FEM</w:t>
            </w:r>
          </w:p>
        </w:tc>
      </w:tr>
    </w:tbl>
    <w:p w14:paraId="65B07DD3" w14:textId="77777777" w:rsidR="00BB58C4" w:rsidRDefault="00BB58C4">
      <w:pPr>
        <w:pStyle w:val="ListParagraph"/>
        <w:spacing w:after="0" w:line="240" w:lineRule="auto"/>
        <w:ind w:left="426"/>
        <w:jc w:val="both"/>
        <w:rPr>
          <w:rFonts w:ascii="Times New Roman" w:hAnsi="Times New Roman" w:cs="Times New Roman"/>
          <w:sz w:val="24"/>
          <w:szCs w:val="24"/>
          <w:lang w:val="en-US"/>
        </w:rPr>
      </w:pPr>
    </w:p>
    <w:p w14:paraId="3ED7FF03" w14:textId="77777777" w:rsidR="00BB58C4" w:rsidRDefault="00000000">
      <w:pPr>
        <w:pStyle w:val="ListParagraph"/>
        <w:spacing w:after="0" w:line="48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i/>
          <w:iCs/>
          <w:sz w:val="24"/>
          <w:szCs w:val="24"/>
          <w:lang w:val="en-US"/>
        </w:rPr>
        <w:t>hausman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0,00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(Prob &lt; 0.05),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kembali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mengindikasi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Fixed Effect Model (FEM)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model yang paling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7F5EFD7D" w14:textId="77777777" w:rsidR="00BB58C4" w:rsidRDefault="00000000">
      <w:pPr>
        <w:pStyle w:val="ListParagraph"/>
        <w:numPr>
          <w:ilvl w:val="0"/>
          <w:numId w:val="25"/>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r>
        <w:rPr>
          <w:rFonts w:ascii="Times New Roman" w:hAnsi="Times New Roman" w:cs="Times New Roman"/>
          <w:i/>
          <w:iCs/>
          <w:sz w:val="24"/>
          <w:szCs w:val="24"/>
          <w:lang w:val="en-US"/>
        </w:rPr>
        <w:t>Lagrange Multiplier</w:t>
      </w:r>
    </w:p>
    <w:p w14:paraId="7A2F97B9" w14:textId="77777777" w:rsidR="00BB58C4" w:rsidRDefault="00000000">
      <w:pPr>
        <w:pStyle w:val="ListParagraph"/>
        <w:spacing w:after="0" w:line="480" w:lineRule="auto"/>
        <w:ind w:left="426"/>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i/>
          <w:iCs/>
          <w:sz w:val="24"/>
          <w:szCs w:val="24"/>
          <w:lang w:val="en-US"/>
        </w:rPr>
        <w:t>lagrange</w:t>
      </w:r>
      <w:proofErr w:type="spellEnd"/>
      <w:r>
        <w:rPr>
          <w:rFonts w:ascii="Times New Roman" w:hAnsi="Times New Roman" w:cs="Times New Roman"/>
          <w:i/>
          <w:iCs/>
          <w:sz w:val="24"/>
          <w:szCs w:val="24"/>
          <w:lang w:val="en-US"/>
        </w:rPr>
        <w:t xml:space="preserve"> multiplier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estimasi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2 model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model </w:t>
      </w:r>
      <w:r>
        <w:rPr>
          <w:rFonts w:ascii="Times New Roman" w:hAnsi="Times New Roman" w:cs="Times New Roman"/>
          <w:i/>
          <w:iCs/>
          <w:sz w:val="24"/>
          <w:szCs w:val="24"/>
          <w:lang w:val="en-US"/>
        </w:rPr>
        <w:t>common effect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model </w:t>
      </w:r>
      <w:r>
        <w:rPr>
          <w:rFonts w:ascii="Times New Roman" w:hAnsi="Times New Roman" w:cs="Times New Roman"/>
          <w:i/>
          <w:iCs/>
          <w:sz w:val="24"/>
          <w:szCs w:val="24"/>
          <w:lang w:val="en-US"/>
        </w:rPr>
        <w:t>random effect</w:t>
      </w:r>
      <w:r>
        <w:rPr>
          <w:rFonts w:ascii="Times New Roman" w:hAnsi="Times New Roman" w:cs="Times New Roman"/>
          <w:sz w:val="24"/>
          <w:szCs w:val="24"/>
          <w:lang w:val="en-US"/>
        </w:rPr>
        <w:t xml:space="preserve">. Metode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Breusch-Pagan</w:t>
      </w:r>
      <w:r>
        <w:rPr>
          <w:rFonts w:ascii="Times New Roman" w:hAnsi="Times New Roman" w:cs="Times New Roman"/>
          <w:sz w:val="24"/>
          <w:szCs w:val="24"/>
          <w:lang w:val="en-US"/>
        </w:rPr>
        <w:t xml:space="preserve">. Metode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perhitungan</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i/>
          <w:iCs/>
          <w:sz w:val="24"/>
          <w:szCs w:val="24"/>
          <w:lang w:val="en-US"/>
        </w:rPr>
        <w:t>lagrange</w:t>
      </w:r>
      <w:proofErr w:type="spellEnd"/>
      <w:r>
        <w:rPr>
          <w:rFonts w:ascii="Times New Roman" w:hAnsi="Times New Roman" w:cs="Times New Roman"/>
          <w:i/>
          <w:iCs/>
          <w:sz w:val="24"/>
          <w:szCs w:val="24"/>
          <w:lang w:val="en-US"/>
        </w:rPr>
        <w:t xml:space="preserve"> multiplier.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i/>
          <w:iCs/>
          <w:sz w:val="24"/>
          <w:szCs w:val="24"/>
          <w:lang w:val="en-US"/>
        </w:rPr>
        <w:t>lagrange</w:t>
      </w:r>
      <w:proofErr w:type="spellEnd"/>
      <w:r>
        <w:rPr>
          <w:rFonts w:ascii="Times New Roman" w:hAnsi="Times New Roman" w:cs="Times New Roman"/>
          <w:i/>
          <w:iCs/>
          <w:sz w:val="24"/>
          <w:szCs w:val="24"/>
          <w:lang w:val="en-US"/>
        </w:rPr>
        <w:t xml:space="preserve"> multiplier.</w:t>
      </w:r>
    </w:p>
    <w:p w14:paraId="0EDC8308" w14:textId="7A66195F" w:rsidR="00BB58C4" w:rsidRDefault="00000000">
      <w:pPr>
        <w:spacing w:after="0" w:line="360" w:lineRule="auto"/>
        <w:ind w:firstLine="426"/>
        <w:jc w:val="both"/>
        <w:rPr>
          <w:rFonts w:ascii="Times New Roman" w:hAnsi="Times New Roman" w:cs="Times New Roman"/>
          <w:b/>
          <w:bCs/>
          <w:i/>
          <w:iCs/>
          <w:lang w:val="en-US"/>
        </w:rPr>
      </w:pPr>
      <w:bookmarkStart w:id="164" w:name="_Toc210177615"/>
      <w:r>
        <w:rPr>
          <w:rFonts w:ascii="Times New Roman" w:hAnsi="Times New Roman" w:cs="Times New Roman"/>
          <w:b/>
          <w:bCs/>
          <w:szCs w:val="20"/>
        </w:rPr>
        <w:t>Tabel 4.</w:t>
      </w:r>
      <w:r>
        <w:rPr>
          <w:rFonts w:ascii="Times New Roman" w:hAnsi="Times New Roman" w:cs="Times New Roman"/>
          <w:b/>
          <w:bCs/>
          <w:szCs w:val="20"/>
        </w:rPr>
        <w:fldChar w:fldCharType="begin"/>
      </w:r>
      <w:r>
        <w:rPr>
          <w:rFonts w:ascii="Times New Roman" w:hAnsi="Times New Roman" w:cs="Times New Roman"/>
          <w:b/>
          <w:bCs/>
          <w:szCs w:val="20"/>
        </w:rPr>
        <w:instrText xml:space="preserve"> SEQ Tabel_4 \* ARABIC </w:instrText>
      </w:r>
      <w:r>
        <w:rPr>
          <w:rFonts w:ascii="Times New Roman" w:hAnsi="Times New Roman" w:cs="Times New Roman"/>
          <w:b/>
          <w:bCs/>
          <w:szCs w:val="20"/>
        </w:rPr>
        <w:fldChar w:fldCharType="separate"/>
      </w:r>
      <w:r w:rsidR="00DB7568">
        <w:rPr>
          <w:rFonts w:ascii="Times New Roman" w:hAnsi="Times New Roman" w:cs="Times New Roman"/>
          <w:b/>
          <w:bCs/>
          <w:noProof/>
          <w:szCs w:val="20"/>
        </w:rPr>
        <w:t>7</w:t>
      </w:r>
      <w:r>
        <w:rPr>
          <w:rFonts w:ascii="Times New Roman" w:hAnsi="Times New Roman" w:cs="Times New Roman"/>
          <w:b/>
          <w:bCs/>
          <w:szCs w:val="20"/>
        </w:rPr>
        <w:fldChar w:fldCharType="end"/>
      </w:r>
      <w:r>
        <w:rPr>
          <w:rFonts w:ascii="Times New Roman" w:hAnsi="Times New Roman" w:cs="Times New Roman"/>
          <w:b/>
          <w:bCs/>
          <w:szCs w:val="20"/>
        </w:rPr>
        <w:t xml:space="preserve"> </w:t>
      </w:r>
      <w:r>
        <w:rPr>
          <w:rFonts w:ascii="Times New Roman" w:hAnsi="Times New Roman" w:cs="Times New Roman"/>
          <w:b/>
          <w:bCs/>
          <w:lang w:val="en-US"/>
        </w:rPr>
        <w:t>Tabel Uji</w:t>
      </w:r>
      <w:r>
        <w:rPr>
          <w:rFonts w:ascii="Times New Roman" w:hAnsi="Times New Roman" w:cs="Times New Roman"/>
          <w:b/>
          <w:bCs/>
          <w:i/>
          <w:iCs/>
          <w:lang w:val="en-US"/>
        </w:rPr>
        <w:t xml:space="preserve"> Lagrange Multiplier</w:t>
      </w:r>
      <w:bookmarkEnd w:id="164"/>
    </w:p>
    <w:tbl>
      <w:tblPr>
        <w:tblStyle w:val="TableGrid"/>
        <w:tblW w:w="0" w:type="auto"/>
        <w:tblInd w:w="426" w:type="dxa"/>
        <w:tblLook w:val="04A0" w:firstRow="1" w:lastRow="0" w:firstColumn="1" w:lastColumn="0" w:noHBand="0" w:noVBand="1"/>
      </w:tblPr>
      <w:tblGrid>
        <w:gridCol w:w="2500"/>
        <w:gridCol w:w="2500"/>
      </w:tblGrid>
      <w:tr w:rsidR="00BB58C4" w14:paraId="2416E480" w14:textId="77777777">
        <w:tc>
          <w:tcPr>
            <w:tcW w:w="2500" w:type="dxa"/>
          </w:tcPr>
          <w:p w14:paraId="3C9B6FE5" w14:textId="77777777" w:rsidR="00BB58C4" w:rsidRDefault="00000000">
            <w:pPr>
              <w:pStyle w:val="ListParagraph"/>
              <w:spacing w:after="0" w:line="240" w:lineRule="auto"/>
              <w:ind w:left="0"/>
              <w:jc w:val="center"/>
              <w:rPr>
                <w:rFonts w:ascii="Times New Roman" w:hAnsi="Times New Roman" w:cs="Times New Roman"/>
                <w:b/>
                <w:bCs/>
                <w:sz w:val="20"/>
                <w:szCs w:val="20"/>
                <w:lang w:val="en-US"/>
              </w:rPr>
            </w:pPr>
            <w:bookmarkStart w:id="165" w:name="_Hlk209401094"/>
            <w:r>
              <w:rPr>
                <w:rFonts w:ascii="Times New Roman" w:hAnsi="Times New Roman" w:cs="Times New Roman"/>
                <w:b/>
                <w:bCs/>
                <w:sz w:val="20"/>
                <w:szCs w:val="20"/>
                <w:lang w:val="en-US"/>
              </w:rPr>
              <w:t>Hasil Uji</w:t>
            </w:r>
          </w:p>
        </w:tc>
        <w:tc>
          <w:tcPr>
            <w:tcW w:w="2500" w:type="dxa"/>
          </w:tcPr>
          <w:p w14:paraId="3220818E" w14:textId="77777777" w:rsidR="00BB58C4" w:rsidRDefault="00000000">
            <w:pPr>
              <w:pStyle w:val="ListParagraph"/>
              <w:spacing w:after="0" w:line="240" w:lineRule="auto"/>
              <w:ind w:left="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Model </w:t>
            </w:r>
            <w:proofErr w:type="spellStart"/>
            <w:r>
              <w:rPr>
                <w:rFonts w:ascii="Times New Roman" w:hAnsi="Times New Roman" w:cs="Times New Roman"/>
                <w:b/>
                <w:bCs/>
                <w:sz w:val="20"/>
                <w:szCs w:val="20"/>
                <w:lang w:val="en-US"/>
              </w:rPr>
              <w:t>Terpilih</w:t>
            </w:r>
            <w:proofErr w:type="spellEnd"/>
          </w:p>
        </w:tc>
      </w:tr>
      <w:tr w:rsidR="00BB58C4" w14:paraId="6A5D1E49" w14:textId="77777777">
        <w:tc>
          <w:tcPr>
            <w:tcW w:w="2500" w:type="dxa"/>
          </w:tcPr>
          <w:p w14:paraId="1D48DA05" w14:textId="77777777" w:rsidR="00BB58C4" w:rsidRDefault="0000000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Prob &gt; 0.05</w:t>
            </w:r>
          </w:p>
          <w:p w14:paraId="0EE0AB4A" w14:textId="77777777" w:rsidR="00BB58C4" w:rsidRDefault="00000000">
            <w:pPr>
              <w:pStyle w:val="ListParagraph"/>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1.00 &lt; 0.05</w:t>
            </w:r>
          </w:p>
        </w:tc>
        <w:tc>
          <w:tcPr>
            <w:tcW w:w="2500" w:type="dxa"/>
          </w:tcPr>
          <w:p w14:paraId="5C17F592" w14:textId="77777777" w:rsidR="00BB58C4" w:rsidRDefault="00000000">
            <w:pPr>
              <w:pStyle w:val="ListParagraph"/>
              <w:spacing w:after="0" w:line="240" w:lineRule="auto"/>
              <w:ind w:left="0"/>
              <w:jc w:val="center"/>
              <w:rPr>
                <w:rFonts w:ascii="Times New Roman" w:hAnsi="Times New Roman" w:cs="Times New Roman"/>
                <w:sz w:val="20"/>
                <w:szCs w:val="20"/>
                <w:lang w:val="en-US"/>
              </w:rPr>
            </w:pPr>
            <w:r>
              <w:rPr>
                <w:rFonts w:ascii="Times New Roman" w:hAnsi="Times New Roman" w:cs="Times New Roman"/>
                <w:sz w:val="20"/>
                <w:szCs w:val="20"/>
                <w:lang w:val="en-US"/>
              </w:rPr>
              <w:t>CEM</w:t>
            </w:r>
          </w:p>
          <w:p w14:paraId="1E34CB04" w14:textId="77777777" w:rsidR="00BB58C4" w:rsidRDefault="00000000">
            <w:pPr>
              <w:pStyle w:val="ListParagraph"/>
              <w:spacing w:after="0" w:line="240" w:lineRule="auto"/>
              <w:ind w:left="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REM</w:t>
            </w:r>
          </w:p>
        </w:tc>
      </w:tr>
      <w:bookmarkEnd w:id="165"/>
    </w:tbl>
    <w:p w14:paraId="115FBB73" w14:textId="77777777" w:rsidR="00BB58C4" w:rsidRDefault="00BB58C4">
      <w:pPr>
        <w:pStyle w:val="ListParagraph"/>
        <w:spacing w:after="0" w:line="240" w:lineRule="auto"/>
        <w:ind w:left="426"/>
        <w:jc w:val="both"/>
        <w:rPr>
          <w:rFonts w:ascii="Times New Roman" w:hAnsi="Times New Roman" w:cs="Times New Roman"/>
          <w:sz w:val="24"/>
          <w:szCs w:val="24"/>
          <w:lang w:val="en-US"/>
        </w:rPr>
      </w:pPr>
    </w:p>
    <w:p w14:paraId="20A6F7F5" w14:textId="77777777" w:rsidR="00BB58C4" w:rsidRDefault="00000000">
      <w:pPr>
        <w:pStyle w:val="ListParagraph"/>
        <w:spacing w:after="0" w:line="48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i/>
          <w:iCs/>
          <w:sz w:val="24"/>
          <w:szCs w:val="24"/>
          <w:lang w:val="en-US"/>
        </w:rPr>
        <w:t>langrange</w:t>
      </w:r>
      <w:proofErr w:type="spellEnd"/>
      <w:r>
        <w:rPr>
          <w:rFonts w:ascii="Times New Roman" w:hAnsi="Times New Roman" w:cs="Times New Roman"/>
          <w:i/>
          <w:iCs/>
          <w:sz w:val="24"/>
          <w:szCs w:val="24"/>
          <w:lang w:val="en-US"/>
        </w:rPr>
        <w:t xml:space="preserve"> multiplier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1,00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(Prob &gt; 0.05),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model yang </w:t>
      </w:r>
      <w:proofErr w:type="spellStart"/>
      <w:r>
        <w:rPr>
          <w:rFonts w:ascii="Times New Roman" w:hAnsi="Times New Roman" w:cs="Times New Roman"/>
          <w:sz w:val="24"/>
          <w:szCs w:val="24"/>
          <w:lang w:val="en-US"/>
        </w:rPr>
        <w:t>disarankan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Common Effect Model</w:t>
      </w:r>
      <w:r>
        <w:rPr>
          <w:rFonts w:ascii="Times New Roman" w:hAnsi="Times New Roman" w:cs="Times New Roman"/>
          <w:sz w:val="24"/>
          <w:szCs w:val="24"/>
          <w:lang w:val="en-US"/>
        </w:rPr>
        <w:t xml:space="preserve"> (CEM).</w:t>
      </w:r>
    </w:p>
    <w:p w14:paraId="408328ED" w14:textId="77777777" w:rsidR="00BB58C4" w:rsidRDefault="00000000">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r>
        <w:rPr>
          <w:rFonts w:ascii="Times New Roman" w:hAnsi="Times New Roman" w:cs="Times New Roman"/>
          <w:i/>
          <w:iCs/>
          <w:sz w:val="24"/>
          <w:szCs w:val="24"/>
          <w:lang w:val="en-US"/>
        </w:rPr>
        <w:t xml:space="preserve">chow </w:t>
      </w:r>
      <w:r>
        <w:rPr>
          <w:rFonts w:ascii="Times New Roman" w:hAnsi="Times New Roman" w:cs="Times New Roman"/>
          <w:sz w:val="24"/>
          <w:szCs w:val="24"/>
          <w:lang w:val="en-US"/>
        </w:rPr>
        <w:t xml:space="preserve">dan </w:t>
      </w:r>
      <w:proofErr w:type="spellStart"/>
      <w:r>
        <w:rPr>
          <w:rFonts w:ascii="Times New Roman" w:hAnsi="Times New Roman" w:cs="Times New Roman"/>
          <w:i/>
          <w:iCs/>
          <w:sz w:val="24"/>
          <w:szCs w:val="24"/>
          <w:lang w:val="en-US"/>
        </w:rPr>
        <w:t>hausman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konsisten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Fixed Effect Model (FEM)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terbaik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model yang </w:t>
      </w:r>
      <w:proofErr w:type="spellStart"/>
      <w:r>
        <w:rPr>
          <w:rFonts w:ascii="Times New Roman" w:hAnsi="Times New Roman" w:cs="Times New Roman"/>
          <w:sz w:val="24"/>
          <w:szCs w:val="24"/>
          <w:lang w:val="en-US"/>
        </w:rPr>
        <w:t>dipilih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Fixed Effect Model</w:t>
      </w:r>
      <w:r>
        <w:rPr>
          <w:rFonts w:ascii="Times New Roman" w:hAnsi="Times New Roman" w:cs="Times New Roman"/>
          <w:sz w:val="24"/>
          <w:szCs w:val="24"/>
          <w:lang w:val="en-US"/>
        </w:rPr>
        <w:t xml:space="preserve"> (FEM).</w:t>
      </w:r>
    </w:p>
    <w:p w14:paraId="02C5EB69" w14:textId="77777777" w:rsidR="00BB58C4" w:rsidRDefault="00000000">
      <w:pPr>
        <w:pStyle w:val="subheading312"/>
        <w:rPr>
          <w:lang w:val="en-US"/>
        </w:rPr>
      </w:pPr>
      <w:bookmarkStart w:id="166" w:name="_Toc220995061"/>
      <w:r>
        <w:rPr>
          <w:lang w:val="en-US"/>
        </w:rPr>
        <w:t>4.2.3.</w:t>
      </w:r>
      <w:r>
        <w:rPr>
          <w:lang w:val="en-US"/>
        </w:rPr>
        <w:tab/>
        <w:t xml:space="preserve">Uji </w:t>
      </w:r>
      <w:proofErr w:type="spellStart"/>
      <w:r>
        <w:rPr>
          <w:lang w:val="en-US"/>
        </w:rPr>
        <w:t>Asumsi</w:t>
      </w:r>
      <w:proofErr w:type="spellEnd"/>
      <w:r>
        <w:rPr>
          <w:lang w:val="en-US"/>
        </w:rPr>
        <w:t xml:space="preserve"> </w:t>
      </w:r>
      <w:proofErr w:type="spellStart"/>
      <w:r>
        <w:rPr>
          <w:lang w:val="en-US"/>
        </w:rPr>
        <w:t>Klasik</w:t>
      </w:r>
      <w:bookmarkEnd w:id="166"/>
      <w:proofErr w:type="spellEnd"/>
    </w:p>
    <w:p w14:paraId="7DE4D06A" w14:textId="77777777" w:rsidR="00BB58C4" w:rsidRDefault="00000000">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4.2.3.1. Uji </w:t>
      </w:r>
      <w:proofErr w:type="spellStart"/>
      <w:r>
        <w:rPr>
          <w:rFonts w:ascii="Times New Roman" w:hAnsi="Times New Roman" w:cs="Times New Roman"/>
          <w:b/>
          <w:bCs/>
          <w:sz w:val="24"/>
          <w:szCs w:val="24"/>
          <w:lang w:val="en-US"/>
        </w:rPr>
        <w:t>Normalitas</w:t>
      </w:r>
      <w:proofErr w:type="spellEnd"/>
    </w:p>
    <w:p w14:paraId="4E1C7855" w14:textId="77777777" w:rsidR="00BB58C4" w:rsidRDefault="00000000">
      <w:p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residual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uji Jarque-Bera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prob &gt; 0,05, </w:t>
      </w:r>
      <w:proofErr w:type="spellStart"/>
      <w:r>
        <w:rPr>
          <w:rFonts w:ascii="Times New Roman" w:hAnsi="Times New Roman" w:cs="Times New Roman"/>
          <w:sz w:val="24"/>
          <w:szCs w:val="24"/>
          <w:lang w:val="en-US"/>
        </w:rPr>
        <w:t>sebaliknya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prob &lt; 0,05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STATA,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Jargue</w:t>
      </w:r>
      <w:proofErr w:type="spellEnd"/>
      <w:r>
        <w:rPr>
          <w:rFonts w:ascii="Times New Roman" w:hAnsi="Times New Roman" w:cs="Times New Roman"/>
          <w:sz w:val="24"/>
          <w:szCs w:val="24"/>
          <w:lang w:val="en-US"/>
        </w:rPr>
        <w:t xml:space="preserve">-Bera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35412F2B" w14:textId="5F4E34BC" w:rsidR="00BB58C4" w:rsidRDefault="00000000">
      <w:pPr>
        <w:pStyle w:val="Caption"/>
        <w:spacing w:after="0" w:line="360" w:lineRule="auto"/>
        <w:rPr>
          <w:rFonts w:cs="Times New Roman"/>
          <w:b w:val="0"/>
          <w:bCs/>
          <w:sz w:val="22"/>
          <w:szCs w:val="20"/>
          <w:lang w:val="en-US"/>
        </w:rPr>
      </w:pPr>
      <w:bookmarkStart w:id="167" w:name="_Toc210177616"/>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8</w:t>
      </w:r>
      <w:r>
        <w:rPr>
          <w:sz w:val="22"/>
          <w:szCs w:val="20"/>
        </w:rPr>
        <w:fldChar w:fldCharType="end"/>
      </w:r>
      <w:r>
        <w:rPr>
          <w:sz w:val="22"/>
          <w:szCs w:val="20"/>
        </w:rPr>
        <w:t xml:space="preserve"> </w:t>
      </w:r>
      <w:r>
        <w:rPr>
          <w:rFonts w:cs="Times New Roman"/>
          <w:bCs/>
          <w:sz w:val="22"/>
          <w:szCs w:val="20"/>
          <w:lang w:val="en-US"/>
        </w:rPr>
        <w:t xml:space="preserve">Tabel Uji </w:t>
      </w:r>
      <w:proofErr w:type="spellStart"/>
      <w:r>
        <w:rPr>
          <w:rFonts w:cs="Times New Roman"/>
          <w:bCs/>
          <w:sz w:val="22"/>
          <w:szCs w:val="20"/>
          <w:lang w:val="en-US"/>
        </w:rPr>
        <w:t>Normalitas</w:t>
      </w:r>
      <w:bookmarkEnd w:id="167"/>
      <w:proofErr w:type="spellEnd"/>
    </w:p>
    <w:tbl>
      <w:tblPr>
        <w:tblStyle w:val="TableGrid"/>
        <w:tblW w:w="0" w:type="auto"/>
        <w:tblInd w:w="-5" w:type="dxa"/>
        <w:tblLook w:val="04A0" w:firstRow="1" w:lastRow="0" w:firstColumn="1" w:lastColumn="0" w:noHBand="0" w:noVBand="1"/>
      </w:tblPr>
      <w:tblGrid>
        <w:gridCol w:w="2500"/>
        <w:gridCol w:w="2500"/>
      </w:tblGrid>
      <w:tr w:rsidR="00BB58C4" w14:paraId="4E6E8EB0" w14:textId="77777777">
        <w:tc>
          <w:tcPr>
            <w:tcW w:w="5000" w:type="dxa"/>
            <w:gridSpan w:val="2"/>
          </w:tcPr>
          <w:p w14:paraId="20BB59BE" w14:textId="77777777" w:rsidR="00BB58C4" w:rsidRDefault="00000000">
            <w:pPr>
              <w:pStyle w:val="ListParagraph"/>
              <w:spacing w:after="0" w:line="240" w:lineRule="auto"/>
              <w:ind w:left="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Jarque-Bera Test</w:t>
            </w:r>
          </w:p>
        </w:tc>
      </w:tr>
      <w:tr w:rsidR="00BB58C4" w14:paraId="3478E6CA" w14:textId="77777777">
        <w:tc>
          <w:tcPr>
            <w:tcW w:w="2500" w:type="dxa"/>
          </w:tcPr>
          <w:p w14:paraId="0264C66A" w14:textId="77777777" w:rsidR="00BB58C4" w:rsidRDefault="0000000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2500" w:type="dxa"/>
          </w:tcPr>
          <w:p w14:paraId="6F1C8721" w14:textId="77777777" w:rsidR="00BB58C4" w:rsidRDefault="00000000">
            <w:pPr>
              <w:pStyle w:val="ListParagraph"/>
              <w:spacing w:after="0" w:line="240" w:lineRule="auto"/>
              <w:ind w:left="0"/>
              <w:jc w:val="right"/>
              <w:rPr>
                <w:rFonts w:ascii="Times New Roman" w:hAnsi="Times New Roman" w:cs="Times New Roman"/>
                <w:sz w:val="20"/>
                <w:szCs w:val="20"/>
                <w:lang w:val="en-US"/>
              </w:rPr>
            </w:pPr>
            <w:r>
              <w:rPr>
                <w:rFonts w:ascii="Times New Roman" w:hAnsi="Times New Roman" w:cs="Times New Roman"/>
                <w:sz w:val="20"/>
                <w:szCs w:val="20"/>
                <w:lang w:val="en-US"/>
              </w:rPr>
              <w:t>125</w:t>
            </w:r>
          </w:p>
        </w:tc>
      </w:tr>
      <w:tr w:rsidR="00BB58C4" w14:paraId="30512F41" w14:textId="77777777">
        <w:tc>
          <w:tcPr>
            <w:tcW w:w="2500" w:type="dxa"/>
          </w:tcPr>
          <w:p w14:paraId="1D3AB039" w14:textId="77777777" w:rsidR="00BB58C4" w:rsidRDefault="0000000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Prob&gt;chi2</w:t>
            </w:r>
          </w:p>
        </w:tc>
        <w:tc>
          <w:tcPr>
            <w:tcW w:w="2500" w:type="dxa"/>
          </w:tcPr>
          <w:p w14:paraId="6F873034" w14:textId="77777777" w:rsidR="00BB58C4" w:rsidRDefault="00000000">
            <w:pPr>
              <w:pStyle w:val="ListParagraph"/>
              <w:spacing w:after="0" w:line="240" w:lineRule="auto"/>
              <w:ind w:left="0"/>
              <w:jc w:val="right"/>
              <w:rPr>
                <w:rFonts w:ascii="Times New Roman" w:hAnsi="Times New Roman" w:cs="Times New Roman"/>
                <w:sz w:val="20"/>
                <w:szCs w:val="20"/>
                <w:lang w:val="en-US"/>
              </w:rPr>
            </w:pPr>
            <w:r>
              <w:rPr>
                <w:rFonts w:ascii="Times New Roman" w:hAnsi="Times New Roman" w:cs="Times New Roman"/>
                <w:sz w:val="20"/>
                <w:szCs w:val="20"/>
                <w:lang w:val="en-US"/>
              </w:rPr>
              <w:t>0.9105</w:t>
            </w:r>
          </w:p>
        </w:tc>
      </w:tr>
    </w:tbl>
    <w:p w14:paraId="358EADE6" w14:textId="77777777" w:rsidR="00BB58C4" w:rsidRDefault="00000000">
      <w:pPr>
        <w:spacing w:after="0" w:line="480" w:lineRule="auto"/>
        <w:jc w:val="both"/>
        <w:rPr>
          <w:rFonts w:ascii="Times New Roman" w:hAnsi="Times New Roman" w:cs="Times New Roman"/>
          <w:i/>
          <w:iCs/>
          <w:sz w:val="20"/>
          <w:szCs w:val="20"/>
          <w:lang w:val="en-US"/>
        </w:rPr>
      </w:pPr>
      <w:proofErr w:type="spellStart"/>
      <w:r>
        <w:rPr>
          <w:rFonts w:ascii="Times New Roman" w:hAnsi="Times New Roman" w:cs="Times New Roman"/>
          <w:i/>
          <w:iCs/>
          <w:sz w:val="20"/>
          <w:szCs w:val="20"/>
          <w:lang w:val="en-US"/>
        </w:rPr>
        <w:t>Sumber</w:t>
      </w:r>
      <w:proofErr w:type="spellEnd"/>
      <w:r>
        <w:rPr>
          <w:rFonts w:ascii="Times New Roman" w:hAnsi="Times New Roman" w:cs="Times New Roman"/>
          <w:i/>
          <w:iCs/>
          <w:sz w:val="20"/>
          <w:szCs w:val="20"/>
          <w:lang w:val="en-US"/>
        </w:rPr>
        <w:t xml:space="preserve">: Data </w:t>
      </w:r>
      <w:proofErr w:type="spellStart"/>
      <w:r>
        <w:rPr>
          <w:rFonts w:ascii="Times New Roman" w:hAnsi="Times New Roman" w:cs="Times New Roman"/>
          <w:i/>
          <w:iCs/>
          <w:sz w:val="20"/>
          <w:szCs w:val="20"/>
          <w:lang w:val="en-US"/>
        </w:rPr>
        <w:t>Diolah</w:t>
      </w:r>
      <w:proofErr w:type="spellEnd"/>
      <w:r>
        <w:rPr>
          <w:rFonts w:ascii="Times New Roman" w:hAnsi="Times New Roman" w:cs="Times New Roman"/>
          <w:i/>
          <w:iCs/>
          <w:sz w:val="20"/>
          <w:szCs w:val="20"/>
          <w:lang w:val="en-US"/>
        </w:rPr>
        <w:t>, 2025</w:t>
      </w:r>
    </w:p>
    <w:p w14:paraId="3DB22FDD" w14:textId="77777777" w:rsidR="00BB58C4" w:rsidRDefault="00000000">
      <w:pPr>
        <w:spacing w:after="0"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residual,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probabilitas</w:t>
      </w:r>
      <w:proofErr w:type="spellEnd"/>
      <w:r>
        <w:rPr>
          <w:rFonts w:ascii="Times New Roman" w:hAnsi="Times New Roman" w:cs="Times New Roman"/>
          <w:sz w:val="24"/>
          <w:szCs w:val="24"/>
          <w:lang w:val="en-US"/>
        </w:rPr>
        <w:t xml:space="preserve"> pada uji joint (Prob &gt; chi2)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0,9105 yang </w:t>
      </w:r>
      <w:proofErr w:type="spellStart"/>
      <w:r>
        <w:rPr>
          <w:rFonts w:ascii="Times New Roman" w:hAnsi="Times New Roman" w:cs="Times New Roman"/>
          <w:sz w:val="24"/>
          <w:szCs w:val="24"/>
          <w:lang w:val="en-US"/>
        </w:rPr>
        <w:t>jauh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residual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residual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(Jarque-Bera),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0,9105 &gt; 0,05.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residual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normal dan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terpenuhi</w:t>
      </w:r>
      <w:proofErr w:type="spellEnd"/>
      <w:r>
        <w:rPr>
          <w:rFonts w:ascii="Times New Roman" w:hAnsi="Times New Roman" w:cs="Times New Roman"/>
          <w:sz w:val="24"/>
          <w:szCs w:val="24"/>
          <w:lang w:val="en-US"/>
        </w:rPr>
        <w:t>.</w:t>
      </w:r>
    </w:p>
    <w:p w14:paraId="77E30CEB" w14:textId="77777777" w:rsidR="00BB58C4" w:rsidRDefault="00000000">
      <w:pPr>
        <w:rPr>
          <w:rFonts w:ascii="Times New Roman" w:hAnsi="Times New Roman" w:cs="Times New Roman"/>
          <w:b/>
          <w:bCs/>
        </w:rPr>
      </w:pPr>
      <w:r>
        <w:rPr>
          <w:rFonts w:ascii="Times New Roman" w:hAnsi="Times New Roman" w:cs="Times New Roman"/>
          <w:b/>
          <w:bCs/>
          <w:sz w:val="24"/>
          <w:szCs w:val="24"/>
        </w:rPr>
        <w:t>4.2.3.2. Uji Multikolinearitas</w:t>
      </w:r>
    </w:p>
    <w:p w14:paraId="5C739931" w14:textId="77777777" w:rsidR="00BB58C4" w:rsidRDefault="00000000">
      <w:p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Multikolinearitas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korelasi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mendeteksi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Variance Inflation Factor </w:t>
      </w:r>
      <w:r>
        <w:rPr>
          <w:rFonts w:ascii="Times New Roman" w:hAnsi="Times New Roman" w:cs="Times New Roman"/>
          <w:sz w:val="24"/>
          <w:szCs w:val="24"/>
          <w:lang w:val="en-US"/>
        </w:rPr>
        <w:t xml:space="preserve">(VIF),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tolaranse</w:t>
      </w:r>
      <w:proofErr w:type="spellEnd"/>
      <w:r>
        <w:rPr>
          <w:rFonts w:ascii="Times New Roman" w:hAnsi="Times New Roman" w:cs="Times New Roman"/>
          <w:sz w:val="24"/>
          <w:szCs w:val="24"/>
          <w:lang w:val="en-US"/>
        </w:rPr>
        <w:t xml:space="preserve"> &lt; 10 dan VIF &gt; 10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multikolinearitas</w:t>
      </w:r>
      <w:proofErr w:type="spellEnd"/>
      <w:r>
        <w:rPr>
          <w:rFonts w:ascii="Times New Roman" w:hAnsi="Times New Roman" w:cs="Times New Roman"/>
          <w:sz w:val="24"/>
          <w:szCs w:val="24"/>
          <w:lang w:val="en-US"/>
        </w:rPr>
        <w:t>.</w:t>
      </w:r>
    </w:p>
    <w:p w14:paraId="59C8D686" w14:textId="1D7DF0DA" w:rsidR="00BB58C4" w:rsidRDefault="00000000">
      <w:pPr>
        <w:pStyle w:val="Caption"/>
        <w:jc w:val="both"/>
        <w:rPr>
          <w:sz w:val="22"/>
          <w:szCs w:val="22"/>
        </w:rPr>
      </w:pPr>
      <w:bookmarkStart w:id="168" w:name="_Toc210177617"/>
      <w:r>
        <w:rPr>
          <w:sz w:val="22"/>
          <w:szCs w:val="22"/>
        </w:rPr>
        <w:t>Tabel 4.</w:t>
      </w:r>
      <w:r>
        <w:rPr>
          <w:sz w:val="22"/>
          <w:szCs w:val="22"/>
        </w:rPr>
        <w:fldChar w:fldCharType="begin"/>
      </w:r>
      <w:r>
        <w:rPr>
          <w:sz w:val="22"/>
          <w:szCs w:val="22"/>
        </w:rPr>
        <w:instrText xml:space="preserve"> SEQ Tabel_4 \* ARABIC </w:instrText>
      </w:r>
      <w:r>
        <w:rPr>
          <w:sz w:val="22"/>
          <w:szCs w:val="22"/>
        </w:rPr>
        <w:fldChar w:fldCharType="separate"/>
      </w:r>
      <w:r w:rsidR="00DB7568">
        <w:rPr>
          <w:noProof/>
          <w:sz w:val="22"/>
          <w:szCs w:val="22"/>
        </w:rPr>
        <w:t>9</w:t>
      </w:r>
      <w:r>
        <w:rPr>
          <w:sz w:val="22"/>
          <w:szCs w:val="22"/>
        </w:rPr>
        <w:fldChar w:fldCharType="end"/>
      </w:r>
      <w:r>
        <w:rPr>
          <w:sz w:val="22"/>
          <w:szCs w:val="22"/>
        </w:rPr>
        <w:t xml:space="preserve"> </w:t>
      </w:r>
      <w:r>
        <w:rPr>
          <w:rFonts w:cs="Times New Roman"/>
          <w:bCs/>
          <w:sz w:val="22"/>
          <w:szCs w:val="22"/>
          <w:lang w:val="en-US"/>
        </w:rPr>
        <w:t xml:space="preserve">Tabel Uji </w:t>
      </w:r>
      <w:proofErr w:type="spellStart"/>
      <w:r>
        <w:rPr>
          <w:rFonts w:cs="Times New Roman"/>
          <w:bCs/>
          <w:sz w:val="22"/>
          <w:szCs w:val="22"/>
          <w:lang w:val="en-US"/>
        </w:rPr>
        <w:t>Multikolinearitas</w:t>
      </w:r>
      <w:bookmarkEnd w:id="168"/>
      <w:proofErr w:type="spellEnd"/>
    </w:p>
    <w:tbl>
      <w:tblPr>
        <w:tblStyle w:val="TableGrid"/>
        <w:tblW w:w="0" w:type="auto"/>
        <w:tblLook w:val="04A0" w:firstRow="1" w:lastRow="0" w:firstColumn="1" w:lastColumn="0" w:noHBand="0" w:noVBand="1"/>
      </w:tblPr>
      <w:tblGrid>
        <w:gridCol w:w="2642"/>
        <w:gridCol w:w="2642"/>
        <w:gridCol w:w="2643"/>
      </w:tblGrid>
      <w:tr w:rsidR="00BB58C4" w14:paraId="38DCD0D1" w14:textId="77777777">
        <w:tc>
          <w:tcPr>
            <w:tcW w:w="2642" w:type="dxa"/>
          </w:tcPr>
          <w:p w14:paraId="08DAB7D6" w14:textId="77777777" w:rsidR="00BB58C4" w:rsidRDefault="00000000">
            <w:pPr>
              <w:spacing w:after="0" w:line="240" w:lineRule="auto"/>
              <w:jc w:val="center"/>
              <w:rPr>
                <w:rFonts w:ascii="Times New Roman" w:hAnsi="Times New Roman" w:cs="Times New Roman"/>
                <w:b/>
                <w:bCs/>
                <w:sz w:val="20"/>
                <w:szCs w:val="20"/>
                <w:lang w:val="en-US"/>
              </w:rPr>
            </w:pPr>
            <w:proofErr w:type="spellStart"/>
            <w:r>
              <w:rPr>
                <w:rFonts w:ascii="Times New Roman" w:hAnsi="Times New Roman" w:cs="Times New Roman"/>
                <w:b/>
                <w:bCs/>
                <w:sz w:val="20"/>
                <w:szCs w:val="20"/>
                <w:lang w:val="en-US"/>
              </w:rPr>
              <w:t>Variabel</w:t>
            </w:r>
            <w:proofErr w:type="spellEnd"/>
          </w:p>
        </w:tc>
        <w:tc>
          <w:tcPr>
            <w:tcW w:w="2642" w:type="dxa"/>
          </w:tcPr>
          <w:p w14:paraId="49CB4876" w14:textId="77777777" w:rsidR="00BB58C4" w:rsidRDefault="00000000">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VIF</w:t>
            </w:r>
          </w:p>
        </w:tc>
        <w:tc>
          <w:tcPr>
            <w:tcW w:w="2643" w:type="dxa"/>
          </w:tcPr>
          <w:p w14:paraId="16A7A7CB" w14:textId="77777777" w:rsidR="00BB58C4" w:rsidRDefault="00000000">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1/VIF</w:t>
            </w:r>
          </w:p>
        </w:tc>
      </w:tr>
      <w:tr w:rsidR="00BB58C4" w14:paraId="64DC5EB4" w14:textId="77777777">
        <w:tc>
          <w:tcPr>
            <w:tcW w:w="2642" w:type="dxa"/>
          </w:tcPr>
          <w:p w14:paraId="0A43B300" w14:textId="77777777" w:rsidR="00BB58C4"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Tax Haven</w:t>
            </w:r>
          </w:p>
        </w:tc>
        <w:tc>
          <w:tcPr>
            <w:tcW w:w="2642" w:type="dxa"/>
          </w:tcPr>
          <w:p w14:paraId="6236CF01" w14:textId="77777777" w:rsidR="00BB58C4" w:rsidRDefault="0000000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1.25</w:t>
            </w:r>
          </w:p>
        </w:tc>
        <w:tc>
          <w:tcPr>
            <w:tcW w:w="2643" w:type="dxa"/>
          </w:tcPr>
          <w:p w14:paraId="6BB0488E" w14:textId="77777777" w:rsidR="00BB58C4" w:rsidRDefault="0000000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0.803139</w:t>
            </w:r>
          </w:p>
        </w:tc>
      </w:tr>
      <w:tr w:rsidR="00BB58C4" w14:paraId="1398186E" w14:textId="77777777">
        <w:tc>
          <w:tcPr>
            <w:tcW w:w="2642" w:type="dxa"/>
          </w:tcPr>
          <w:p w14:paraId="752A079D" w14:textId="77777777" w:rsidR="00BB58C4"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Intangible Asset</w:t>
            </w:r>
          </w:p>
        </w:tc>
        <w:tc>
          <w:tcPr>
            <w:tcW w:w="2642" w:type="dxa"/>
          </w:tcPr>
          <w:p w14:paraId="68730546" w14:textId="77777777" w:rsidR="00BB58C4" w:rsidRDefault="0000000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1.22</w:t>
            </w:r>
          </w:p>
        </w:tc>
        <w:tc>
          <w:tcPr>
            <w:tcW w:w="2643" w:type="dxa"/>
          </w:tcPr>
          <w:p w14:paraId="1F9E365C" w14:textId="77777777" w:rsidR="00BB58C4" w:rsidRDefault="0000000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0.820191</w:t>
            </w:r>
          </w:p>
        </w:tc>
      </w:tr>
      <w:tr w:rsidR="00BB58C4" w14:paraId="57590B4B" w14:textId="77777777">
        <w:tc>
          <w:tcPr>
            <w:tcW w:w="2642" w:type="dxa"/>
          </w:tcPr>
          <w:p w14:paraId="4CEDDF7E" w14:textId="77777777" w:rsidR="00BB58C4"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Tax Minimization</w:t>
            </w:r>
          </w:p>
        </w:tc>
        <w:tc>
          <w:tcPr>
            <w:tcW w:w="2642" w:type="dxa"/>
          </w:tcPr>
          <w:p w14:paraId="5CA3D311" w14:textId="77777777" w:rsidR="00BB58C4" w:rsidRDefault="0000000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1.03</w:t>
            </w:r>
          </w:p>
        </w:tc>
        <w:tc>
          <w:tcPr>
            <w:tcW w:w="2643" w:type="dxa"/>
          </w:tcPr>
          <w:p w14:paraId="13E51B67" w14:textId="77777777" w:rsidR="00BB58C4" w:rsidRDefault="0000000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0.970800</w:t>
            </w:r>
          </w:p>
        </w:tc>
      </w:tr>
      <w:tr w:rsidR="00BB58C4" w14:paraId="27621FBF" w14:textId="77777777">
        <w:tc>
          <w:tcPr>
            <w:tcW w:w="2642" w:type="dxa"/>
          </w:tcPr>
          <w:p w14:paraId="0E132406" w14:textId="77777777" w:rsidR="00BB58C4" w:rsidRDefault="00000000">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Mean VIF</w:t>
            </w:r>
          </w:p>
        </w:tc>
        <w:tc>
          <w:tcPr>
            <w:tcW w:w="2642" w:type="dxa"/>
          </w:tcPr>
          <w:p w14:paraId="0F59C39D" w14:textId="77777777" w:rsidR="00BB58C4" w:rsidRDefault="00000000">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1.16</w:t>
            </w:r>
          </w:p>
        </w:tc>
        <w:tc>
          <w:tcPr>
            <w:tcW w:w="2643" w:type="dxa"/>
          </w:tcPr>
          <w:p w14:paraId="01B211D1" w14:textId="77777777" w:rsidR="00BB58C4" w:rsidRDefault="00BB58C4">
            <w:pPr>
              <w:spacing w:after="0" w:line="240" w:lineRule="auto"/>
              <w:jc w:val="both"/>
              <w:rPr>
                <w:rFonts w:ascii="Times New Roman" w:hAnsi="Times New Roman" w:cs="Times New Roman"/>
                <w:b/>
                <w:bCs/>
                <w:sz w:val="20"/>
                <w:szCs w:val="20"/>
                <w:lang w:val="en-US"/>
              </w:rPr>
            </w:pPr>
          </w:p>
        </w:tc>
      </w:tr>
    </w:tbl>
    <w:p w14:paraId="7A68AB4B" w14:textId="77777777" w:rsidR="00BB58C4" w:rsidRDefault="00000000">
      <w:pPr>
        <w:spacing w:after="0" w:line="480" w:lineRule="auto"/>
        <w:jc w:val="both"/>
        <w:rPr>
          <w:rFonts w:ascii="Times New Roman" w:hAnsi="Times New Roman" w:cs="Times New Roman"/>
          <w:i/>
          <w:iCs/>
          <w:sz w:val="20"/>
          <w:szCs w:val="20"/>
          <w:lang w:val="en-US"/>
        </w:rPr>
      </w:pPr>
      <w:proofErr w:type="spellStart"/>
      <w:r>
        <w:rPr>
          <w:rFonts w:ascii="Times New Roman" w:hAnsi="Times New Roman" w:cs="Times New Roman"/>
          <w:i/>
          <w:iCs/>
          <w:sz w:val="20"/>
          <w:szCs w:val="20"/>
          <w:lang w:val="en-US"/>
        </w:rPr>
        <w:t>Sumber</w:t>
      </w:r>
      <w:proofErr w:type="spellEnd"/>
      <w:r>
        <w:rPr>
          <w:rFonts w:ascii="Times New Roman" w:hAnsi="Times New Roman" w:cs="Times New Roman"/>
          <w:i/>
          <w:iCs/>
          <w:sz w:val="20"/>
          <w:szCs w:val="20"/>
          <w:lang w:val="en-US"/>
        </w:rPr>
        <w:t xml:space="preserve">: Data </w:t>
      </w:r>
      <w:proofErr w:type="spellStart"/>
      <w:r>
        <w:rPr>
          <w:rFonts w:ascii="Times New Roman" w:hAnsi="Times New Roman" w:cs="Times New Roman"/>
          <w:i/>
          <w:iCs/>
          <w:sz w:val="20"/>
          <w:szCs w:val="20"/>
          <w:lang w:val="en-US"/>
        </w:rPr>
        <w:t>Diolah</w:t>
      </w:r>
      <w:proofErr w:type="spellEnd"/>
      <w:r>
        <w:rPr>
          <w:rFonts w:ascii="Times New Roman" w:hAnsi="Times New Roman" w:cs="Times New Roman"/>
          <w:i/>
          <w:iCs/>
          <w:sz w:val="20"/>
          <w:szCs w:val="20"/>
          <w:lang w:val="en-US"/>
        </w:rPr>
        <w:t>, 2025</w:t>
      </w:r>
    </w:p>
    <w:p w14:paraId="1C8042FA" w14:textId="77777777" w:rsidR="00BB58C4" w:rsidRDefault="00000000">
      <w:pPr>
        <w:spacing w:after="0"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multikolinearitas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VIF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berkisar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1,03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1,25.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multikolinearitas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w:t>
      </w:r>
    </w:p>
    <w:p w14:paraId="7F96257E"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4.2.3.3. Autokorelasi</w:t>
      </w:r>
    </w:p>
    <w:p w14:paraId="3E294736" w14:textId="77777777" w:rsidR="00BB58C4" w:rsidRDefault="00000000">
      <w:p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autokorelasi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korelasi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error </w:t>
      </w:r>
      <w:r>
        <w:rPr>
          <w:rFonts w:ascii="Times New Roman" w:hAnsi="Times New Roman" w:cs="Times New Roman"/>
          <w:sz w:val="24"/>
          <w:szCs w:val="24"/>
          <w:lang w:val="en-US"/>
        </w:rPr>
        <w:t xml:space="preserve">(residuals)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kesalahan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deret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uji Durbin-Watson. Jika D</w:t>
      </w:r>
      <w:r>
        <w:rPr>
          <w:rFonts w:ascii="Times New Roman" w:hAnsi="Times New Roman" w:cs="Times New Roman"/>
          <w:sz w:val="24"/>
          <w:szCs w:val="24"/>
          <w:vertAlign w:val="subscript"/>
          <w:lang w:val="en-US"/>
        </w:rPr>
        <w:t>u</w:t>
      </w:r>
      <w:r>
        <w:rPr>
          <w:rFonts w:ascii="Times New Roman" w:hAnsi="Times New Roman" w:cs="Times New Roman"/>
          <w:sz w:val="24"/>
          <w:szCs w:val="24"/>
          <w:lang w:val="en-US"/>
        </w:rPr>
        <w:t>&lt;D&lt;4-</w:t>
      </w:r>
      <w:r>
        <w:t xml:space="preserve"> </w:t>
      </w: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 xml:space="preserve">u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Durbin-Watson</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autokorelasi</w:t>
      </w:r>
      <w:proofErr w:type="spellEnd"/>
      <w:r>
        <w:rPr>
          <w:rFonts w:ascii="Times New Roman" w:hAnsi="Times New Roman" w:cs="Times New Roman"/>
          <w:sz w:val="24"/>
          <w:szCs w:val="24"/>
          <w:lang w:val="en-US"/>
        </w:rPr>
        <w:t>.</w:t>
      </w:r>
    </w:p>
    <w:p w14:paraId="509DC6F2" w14:textId="6E2D4B05" w:rsidR="00BB58C4" w:rsidRDefault="00000000">
      <w:pPr>
        <w:pStyle w:val="Caption"/>
        <w:spacing w:after="0" w:line="360" w:lineRule="auto"/>
        <w:rPr>
          <w:rFonts w:cs="Times New Roman"/>
          <w:b w:val="0"/>
          <w:bCs/>
          <w:szCs w:val="20"/>
          <w:lang w:val="en-US"/>
        </w:rPr>
      </w:pPr>
      <w:bookmarkStart w:id="169" w:name="_Toc210177618"/>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10</w:t>
      </w:r>
      <w:r>
        <w:rPr>
          <w:sz w:val="22"/>
          <w:szCs w:val="20"/>
        </w:rPr>
        <w:fldChar w:fldCharType="end"/>
      </w:r>
      <w:r>
        <w:rPr>
          <w:sz w:val="22"/>
          <w:szCs w:val="20"/>
        </w:rPr>
        <w:t xml:space="preserve"> </w:t>
      </w:r>
      <w:r>
        <w:rPr>
          <w:rFonts w:cs="Times New Roman"/>
          <w:bCs/>
          <w:sz w:val="22"/>
          <w:szCs w:val="20"/>
          <w:lang w:val="en-US"/>
        </w:rPr>
        <w:t xml:space="preserve">Tabel Uji </w:t>
      </w:r>
      <w:proofErr w:type="spellStart"/>
      <w:r>
        <w:rPr>
          <w:rFonts w:cs="Times New Roman"/>
          <w:bCs/>
          <w:sz w:val="22"/>
          <w:szCs w:val="20"/>
          <w:lang w:val="en-US"/>
        </w:rPr>
        <w:t>Autokorelasi</w:t>
      </w:r>
      <w:bookmarkEnd w:id="169"/>
      <w:proofErr w:type="spellEnd"/>
      <w:r>
        <w:rPr>
          <w:rFonts w:cs="Times New Roman"/>
          <w:bCs/>
          <w:szCs w:val="20"/>
          <w:lang w:val="en-US"/>
        </w:rPr>
        <w:tab/>
      </w:r>
    </w:p>
    <w:tbl>
      <w:tblPr>
        <w:tblStyle w:val="TableGrid"/>
        <w:tblW w:w="0" w:type="auto"/>
        <w:tblLook w:val="04A0" w:firstRow="1" w:lastRow="0" w:firstColumn="1" w:lastColumn="0" w:noHBand="0" w:noVBand="1"/>
      </w:tblPr>
      <w:tblGrid>
        <w:gridCol w:w="2642"/>
        <w:gridCol w:w="2642"/>
        <w:gridCol w:w="2643"/>
      </w:tblGrid>
      <w:tr w:rsidR="00BB58C4" w14:paraId="490404E0" w14:textId="77777777">
        <w:tc>
          <w:tcPr>
            <w:tcW w:w="2642" w:type="dxa"/>
          </w:tcPr>
          <w:p w14:paraId="4FE61412" w14:textId="77777777" w:rsidR="00BB58C4" w:rsidRDefault="00000000">
            <w:pPr>
              <w:tabs>
                <w:tab w:val="center" w:pos="3968"/>
              </w:tabs>
              <w:spacing w:after="0" w:line="240" w:lineRule="auto"/>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Variabel</w:t>
            </w:r>
            <w:proofErr w:type="spellEnd"/>
          </w:p>
        </w:tc>
        <w:tc>
          <w:tcPr>
            <w:tcW w:w="2642" w:type="dxa"/>
          </w:tcPr>
          <w:p w14:paraId="489CCE6E" w14:textId="77777777" w:rsidR="00BB58C4" w:rsidRDefault="00000000">
            <w:pPr>
              <w:tabs>
                <w:tab w:val="center" w:pos="3968"/>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N</w:t>
            </w:r>
          </w:p>
        </w:tc>
        <w:tc>
          <w:tcPr>
            <w:tcW w:w="2643" w:type="dxa"/>
          </w:tcPr>
          <w:p w14:paraId="42A82E46" w14:textId="77777777" w:rsidR="00BB58C4" w:rsidRDefault="00000000">
            <w:pPr>
              <w:tabs>
                <w:tab w:val="center" w:pos="3968"/>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Durbin-Watson</w:t>
            </w:r>
          </w:p>
        </w:tc>
      </w:tr>
      <w:tr w:rsidR="00BB58C4" w14:paraId="3ABBADB4" w14:textId="77777777">
        <w:tc>
          <w:tcPr>
            <w:tcW w:w="2642" w:type="dxa"/>
          </w:tcPr>
          <w:p w14:paraId="3A3BF039" w14:textId="77777777" w:rsidR="00BB58C4" w:rsidRDefault="00000000">
            <w:pPr>
              <w:tabs>
                <w:tab w:val="center" w:pos="3968"/>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2642" w:type="dxa"/>
          </w:tcPr>
          <w:p w14:paraId="287B954C" w14:textId="77777777" w:rsidR="00BB58C4" w:rsidRDefault="00000000">
            <w:pPr>
              <w:tabs>
                <w:tab w:val="center" w:pos="3968"/>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125</w:t>
            </w:r>
          </w:p>
        </w:tc>
        <w:tc>
          <w:tcPr>
            <w:tcW w:w="2643" w:type="dxa"/>
          </w:tcPr>
          <w:p w14:paraId="281B4F3D" w14:textId="77777777" w:rsidR="00BB58C4" w:rsidRDefault="00000000">
            <w:pPr>
              <w:tabs>
                <w:tab w:val="center" w:pos="3968"/>
              </w:tabs>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2.062526</w:t>
            </w:r>
          </w:p>
        </w:tc>
      </w:tr>
    </w:tbl>
    <w:p w14:paraId="4D03A45D" w14:textId="77777777" w:rsidR="00BB58C4" w:rsidRDefault="00000000">
      <w:pPr>
        <w:spacing w:line="360" w:lineRule="auto"/>
        <w:rPr>
          <w:rFonts w:ascii="Times New Roman" w:hAnsi="Times New Roman" w:cs="Times New Roman"/>
          <w:i/>
          <w:iCs/>
          <w:sz w:val="20"/>
          <w:szCs w:val="20"/>
        </w:rPr>
      </w:pPr>
      <w:r>
        <w:rPr>
          <w:rFonts w:ascii="Times New Roman" w:hAnsi="Times New Roman" w:cs="Times New Roman"/>
          <w:i/>
          <w:iCs/>
          <w:sz w:val="20"/>
          <w:szCs w:val="20"/>
        </w:rPr>
        <w:t>Sumber: Data Diolah, 2025</w:t>
      </w:r>
    </w:p>
    <w:p w14:paraId="1FC552B0" w14:textId="77777777" w:rsidR="00BB58C4" w:rsidRDefault="0000000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Durbin-Watson yang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2,0625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4 dan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125.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batas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(dl ≈ 1,64) dan batas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(du ≈ 1,72)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k = 4 dan n = 125,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Durbin-Watson yang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du (1,72) dan 4–du (2,28)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autokorelasi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w:t>
      </w:r>
    </w:p>
    <w:p w14:paraId="7001E7AD"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4.2.3.4. Uji Heteroskedastisitas</w:t>
      </w:r>
    </w:p>
    <w:p w14:paraId="1421CB77"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Uji heteroskedastisitas dilakukan untuk mengetahui apakah kesalahan (</w:t>
      </w:r>
      <w:r>
        <w:rPr>
          <w:rFonts w:ascii="Times New Roman" w:hAnsi="Times New Roman" w:cs="Times New Roman"/>
          <w:i/>
          <w:iCs/>
          <w:sz w:val="24"/>
          <w:szCs w:val="24"/>
        </w:rPr>
        <w:t>error</w:t>
      </w:r>
      <w:r>
        <w:rPr>
          <w:rFonts w:ascii="Times New Roman" w:hAnsi="Times New Roman" w:cs="Times New Roman"/>
          <w:sz w:val="24"/>
          <w:szCs w:val="24"/>
        </w:rPr>
        <w:t xml:space="preserve">) dalam model regresi memiliki varians yang konstan untuk semua observasi atau tidak. Model regresi dapat dikatakan baik jika tidak terjadi heteroskedastisitas. Apabila nilai prob &gt; 0,05 maka dapat disimpulkan tidak terdapat masalah heteroskedastisitas. Berikut hasil dari uji heteroskedastisitas menggunakan </w:t>
      </w:r>
      <w:r>
        <w:rPr>
          <w:rFonts w:ascii="Times New Roman" w:hAnsi="Times New Roman" w:cs="Times New Roman"/>
          <w:i/>
          <w:iCs/>
          <w:sz w:val="24"/>
          <w:szCs w:val="24"/>
        </w:rPr>
        <w:t>White’s test</w:t>
      </w:r>
      <w:r>
        <w:rPr>
          <w:rFonts w:ascii="Times New Roman" w:hAnsi="Times New Roman" w:cs="Times New Roman"/>
          <w:sz w:val="24"/>
          <w:szCs w:val="24"/>
        </w:rPr>
        <w:t>:</w:t>
      </w:r>
    </w:p>
    <w:p w14:paraId="6F875232" w14:textId="2730EAA3" w:rsidR="00BB58C4" w:rsidRDefault="00000000">
      <w:pPr>
        <w:pStyle w:val="Caption"/>
        <w:spacing w:after="0" w:line="360" w:lineRule="auto"/>
        <w:rPr>
          <w:rFonts w:cs="Times New Roman"/>
          <w:b w:val="0"/>
          <w:bCs/>
          <w:sz w:val="22"/>
          <w:szCs w:val="20"/>
        </w:rPr>
      </w:pPr>
      <w:bookmarkStart w:id="170" w:name="_Toc210177619"/>
      <w:r>
        <w:rPr>
          <w:sz w:val="22"/>
          <w:szCs w:val="20"/>
        </w:rPr>
        <w:lastRenderedPageBreak/>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11</w:t>
      </w:r>
      <w:r>
        <w:rPr>
          <w:sz w:val="22"/>
          <w:szCs w:val="20"/>
        </w:rPr>
        <w:fldChar w:fldCharType="end"/>
      </w:r>
      <w:r>
        <w:rPr>
          <w:sz w:val="22"/>
          <w:szCs w:val="20"/>
        </w:rPr>
        <w:t xml:space="preserve"> </w:t>
      </w:r>
      <w:r>
        <w:rPr>
          <w:rFonts w:cs="Times New Roman"/>
          <w:bCs/>
          <w:sz w:val="22"/>
          <w:szCs w:val="20"/>
        </w:rPr>
        <w:t>Tabel Uji Heteroskedastisitas</w:t>
      </w:r>
      <w:bookmarkEnd w:id="170"/>
    </w:p>
    <w:tbl>
      <w:tblPr>
        <w:tblStyle w:val="TableGrid"/>
        <w:tblW w:w="0" w:type="auto"/>
        <w:tblLook w:val="04A0" w:firstRow="1" w:lastRow="0" w:firstColumn="1" w:lastColumn="0" w:noHBand="0" w:noVBand="1"/>
      </w:tblPr>
      <w:tblGrid>
        <w:gridCol w:w="4106"/>
        <w:gridCol w:w="3821"/>
      </w:tblGrid>
      <w:tr w:rsidR="00BB58C4" w14:paraId="1E8963D5" w14:textId="77777777">
        <w:tc>
          <w:tcPr>
            <w:tcW w:w="7927" w:type="dxa"/>
            <w:gridSpan w:val="2"/>
          </w:tcPr>
          <w:p w14:paraId="35692A52" w14:textId="77777777" w:rsidR="00BB58C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White’s - Test</w:t>
            </w:r>
          </w:p>
        </w:tc>
      </w:tr>
      <w:tr w:rsidR="00BB58C4" w14:paraId="46CD7AE1" w14:textId="77777777">
        <w:tc>
          <w:tcPr>
            <w:tcW w:w="4106" w:type="dxa"/>
          </w:tcPr>
          <w:p w14:paraId="17C7A644" w14:textId="77777777" w:rsidR="00BB58C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Chi2 (8)</w:t>
            </w:r>
          </w:p>
        </w:tc>
        <w:tc>
          <w:tcPr>
            <w:tcW w:w="3821" w:type="dxa"/>
          </w:tcPr>
          <w:p w14:paraId="614247E8"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11.96</w:t>
            </w:r>
          </w:p>
        </w:tc>
      </w:tr>
      <w:tr w:rsidR="00BB58C4" w14:paraId="5883C143" w14:textId="77777777">
        <w:tc>
          <w:tcPr>
            <w:tcW w:w="4106" w:type="dxa"/>
          </w:tcPr>
          <w:p w14:paraId="53EFDD48" w14:textId="77777777" w:rsidR="00BB58C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Prob&gt;chi2</w:t>
            </w:r>
          </w:p>
        </w:tc>
        <w:tc>
          <w:tcPr>
            <w:tcW w:w="3821" w:type="dxa"/>
          </w:tcPr>
          <w:p w14:paraId="3409014D"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0.1532</w:t>
            </w:r>
          </w:p>
        </w:tc>
      </w:tr>
    </w:tbl>
    <w:p w14:paraId="5199FC75" w14:textId="77777777" w:rsidR="00BB58C4" w:rsidRDefault="00000000">
      <w:pPr>
        <w:spacing w:after="0" w:line="480" w:lineRule="auto"/>
        <w:jc w:val="both"/>
        <w:rPr>
          <w:rFonts w:ascii="Times New Roman" w:hAnsi="Times New Roman" w:cs="Times New Roman"/>
          <w:i/>
          <w:iCs/>
          <w:sz w:val="20"/>
          <w:szCs w:val="20"/>
        </w:rPr>
      </w:pPr>
      <w:bookmarkStart w:id="171" w:name="_Hlk202249774"/>
      <w:r>
        <w:rPr>
          <w:rFonts w:ascii="Times New Roman" w:hAnsi="Times New Roman" w:cs="Times New Roman"/>
          <w:i/>
          <w:iCs/>
          <w:sz w:val="20"/>
          <w:szCs w:val="20"/>
        </w:rPr>
        <w:t>Sumber: Data Diolah, 2025</w:t>
      </w:r>
      <w:bookmarkEnd w:id="171"/>
    </w:p>
    <w:p w14:paraId="1B76FB88" w14:textId="77777777" w:rsidR="00BB58C4" w:rsidRDefault="00000000">
      <w:pPr>
        <w:spacing w:after="0"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heteroskedastisitas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White’s test,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0,1532 (&gt; 0,05).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heteroskedastisitas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homoskedastisitas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terpenuhi</w:t>
      </w:r>
      <w:proofErr w:type="spellEnd"/>
      <w:r>
        <w:rPr>
          <w:rFonts w:ascii="Times New Roman" w:hAnsi="Times New Roman" w:cs="Times New Roman"/>
          <w:sz w:val="24"/>
          <w:szCs w:val="24"/>
          <w:lang w:val="en-US"/>
        </w:rPr>
        <w:t>.</w:t>
      </w:r>
    </w:p>
    <w:p w14:paraId="3E9C60E1" w14:textId="77777777" w:rsidR="00BB58C4" w:rsidRDefault="00000000">
      <w:pPr>
        <w:pStyle w:val="subheading312"/>
      </w:pPr>
      <w:bookmarkStart w:id="172" w:name="_Toc220995062"/>
      <w:r>
        <w:t>4.2.4. Uji Kelayakan Model</w:t>
      </w:r>
      <w:bookmarkEnd w:id="172"/>
    </w:p>
    <w:p w14:paraId="103D74BA"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4.2.4.1. Koefisien Determinasi (R2)</w:t>
      </w:r>
    </w:p>
    <w:p w14:paraId="20B3C702"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Uji koefisien determinasi atau uji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digunakan untuk mengukur seberapa besar kemampuan model regresi dalam menjelaskan variasi variabel dependen. Semakin tinggi nilai 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maka semakin besar pengaruh variabel-variabel independen dalam menjelaskan variasi variabel dependen.</w:t>
      </w:r>
    </w:p>
    <w:p w14:paraId="2BE65D7D" w14:textId="65D3F319" w:rsidR="00BB58C4" w:rsidRDefault="00000000">
      <w:pPr>
        <w:pStyle w:val="Caption"/>
        <w:spacing w:after="0" w:line="360" w:lineRule="auto"/>
        <w:rPr>
          <w:rFonts w:cs="Times New Roman"/>
          <w:b w:val="0"/>
          <w:bCs/>
          <w:sz w:val="22"/>
          <w:szCs w:val="22"/>
        </w:rPr>
      </w:pPr>
      <w:bookmarkStart w:id="173" w:name="_Toc210177620"/>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12</w:t>
      </w:r>
      <w:r>
        <w:rPr>
          <w:sz w:val="22"/>
          <w:szCs w:val="20"/>
        </w:rPr>
        <w:fldChar w:fldCharType="end"/>
      </w:r>
      <w:r>
        <w:rPr>
          <w:sz w:val="22"/>
          <w:szCs w:val="20"/>
        </w:rPr>
        <w:t xml:space="preserve"> </w:t>
      </w:r>
      <w:r>
        <w:rPr>
          <w:rFonts w:cs="Times New Roman"/>
          <w:bCs/>
          <w:sz w:val="22"/>
          <w:szCs w:val="22"/>
        </w:rPr>
        <w:t>Tabel Koefisien Determinasi</w:t>
      </w:r>
      <w:bookmarkEnd w:id="173"/>
    </w:p>
    <w:tbl>
      <w:tblPr>
        <w:tblStyle w:val="TableGrid"/>
        <w:tblW w:w="7933" w:type="dxa"/>
        <w:tblLook w:val="04A0" w:firstRow="1" w:lastRow="0" w:firstColumn="1" w:lastColumn="0" w:noHBand="0" w:noVBand="1"/>
      </w:tblPr>
      <w:tblGrid>
        <w:gridCol w:w="7933"/>
      </w:tblGrid>
      <w:tr w:rsidR="00BB58C4" w14:paraId="0E13EA07" w14:textId="77777777">
        <w:tc>
          <w:tcPr>
            <w:tcW w:w="7933" w:type="dxa"/>
          </w:tcPr>
          <w:p w14:paraId="3F9D3C02"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R-Sq</w:t>
            </w:r>
          </w:p>
        </w:tc>
      </w:tr>
      <w:tr w:rsidR="00BB58C4" w14:paraId="5166E62F" w14:textId="77777777">
        <w:tc>
          <w:tcPr>
            <w:tcW w:w="7933" w:type="dxa"/>
          </w:tcPr>
          <w:p w14:paraId="2D05C51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0.8490</w:t>
            </w:r>
          </w:p>
        </w:tc>
      </w:tr>
    </w:tbl>
    <w:p w14:paraId="73998950" w14:textId="77777777" w:rsidR="00BB58C4" w:rsidRDefault="00000000">
      <w:pPr>
        <w:spacing w:after="0" w:line="480" w:lineRule="auto"/>
        <w:jc w:val="both"/>
        <w:rPr>
          <w:rFonts w:ascii="Times New Roman" w:hAnsi="Times New Roman" w:cs="Times New Roman"/>
          <w:b/>
          <w:bCs/>
          <w:sz w:val="24"/>
          <w:szCs w:val="24"/>
        </w:rPr>
      </w:pPr>
      <w:r>
        <w:rPr>
          <w:rFonts w:ascii="Times New Roman" w:hAnsi="Times New Roman" w:cs="Times New Roman"/>
          <w:i/>
          <w:iCs/>
          <w:sz w:val="20"/>
          <w:szCs w:val="20"/>
        </w:rPr>
        <w:t>Sumber: Data Diolah, 2025</w:t>
      </w:r>
    </w:p>
    <w:p w14:paraId="6435C602" w14:textId="77777777" w:rsidR="00BB58C4" w:rsidRDefault="00000000">
      <w:pPr>
        <w:pStyle w:val="NormalWeb"/>
        <w:tabs>
          <w:tab w:val="left" w:pos="567"/>
        </w:tabs>
        <w:spacing w:after="0" w:line="480" w:lineRule="auto"/>
        <w:jc w:val="both"/>
      </w:pPr>
      <w:r>
        <w:tab/>
        <w:t xml:space="preserve">Berdasarkan tabel diatas nilai R-squared (Within) sebesar 0,8490 menunjukkan bahwa model regresi mampu menjelaskan variasi </w:t>
      </w:r>
      <w:r>
        <w:rPr>
          <w:i/>
          <w:iCs/>
        </w:rPr>
        <w:t>Transfer Pricing</w:t>
      </w:r>
      <w:r>
        <w:t xml:space="preserve"> (Y) sebesar 84,90% yang terjadi di dalam masing-masing entitas (perusahaan) selama periode pengamatan. Dengan kata lain, 84,90% variasi </w:t>
      </w:r>
      <w:r>
        <w:rPr>
          <w:i/>
          <w:iCs/>
        </w:rPr>
        <w:t xml:space="preserve">Transfer Pricing </w:t>
      </w:r>
      <w:r>
        <w:t>dalam entitas dapat dijelaskan oleh variabel-variabel independen dalam model (</w:t>
      </w:r>
      <w:r>
        <w:rPr>
          <w:i/>
          <w:iCs/>
        </w:rPr>
        <w:t>Tax Haven</w:t>
      </w:r>
      <w:r>
        <w:t xml:space="preserve">, </w:t>
      </w:r>
      <w:r>
        <w:rPr>
          <w:i/>
          <w:iCs/>
        </w:rPr>
        <w:t>Intangible Asset</w:t>
      </w:r>
      <w:r>
        <w:t xml:space="preserve">, dan </w:t>
      </w:r>
      <w:r>
        <w:rPr>
          <w:i/>
          <w:iCs/>
        </w:rPr>
        <w:t>Tax Minimization</w:t>
      </w:r>
      <w:r>
        <w:t>). Tersisa nilai 15,10% yang akan dijelaskan oleh faktor lain di luar model regresi.</w:t>
      </w:r>
    </w:p>
    <w:p w14:paraId="7DFA35FB"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t>4.2.4.2. Uji F</w:t>
      </w:r>
    </w:p>
    <w:p w14:paraId="02F5D6AC"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Pr>
          <w:rFonts w:ascii="Times New Roman" w:hAnsi="Times New Roman" w:cs="Times New Roman"/>
          <w:sz w:val="24"/>
          <w:szCs w:val="24"/>
        </w:rPr>
        <w:t>Uji F digunakan untuk menguji apakah semua variabel bebas (independen) yang dimasukkan dalam model secara bersama-sama (simultan) memiliki pengaruh yang signifikan terhadap variabel terikat (dependen).</w:t>
      </w:r>
    </w:p>
    <w:p w14:paraId="2C393AF5" w14:textId="5FFF63F1" w:rsidR="00BB58C4" w:rsidRDefault="00000000">
      <w:pPr>
        <w:pStyle w:val="Caption"/>
        <w:spacing w:after="0" w:line="360" w:lineRule="auto"/>
        <w:rPr>
          <w:rFonts w:cs="Times New Roman"/>
          <w:b w:val="0"/>
          <w:bCs/>
          <w:sz w:val="22"/>
          <w:szCs w:val="22"/>
        </w:rPr>
      </w:pPr>
      <w:bookmarkStart w:id="174" w:name="_Toc210177621"/>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13</w:t>
      </w:r>
      <w:r>
        <w:rPr>
          <w:sz w:val="22"/>
          <w:szCs w:val="20"/>
        </w:rPr>
        <w:fldChar w:fldCharType="end"/>
      </w:r>
      <w:r>
        <w:rPr>
          <w:sz w:val="22"/>
          <w:szCs w:val="20"/>
        </w:rPr>
        <w:t xml:space="preserve"> </w:t>
      </w:r>
      <w:r>
        <w:rPr>
          <w:rFonts w:cs="Times New Roman"/>
          <w:bCs/>
          <w:sz w:val="22"/>
          <w:szCs w:val="22"/>
        </w:rPr>
        <w:t>Tabel Uji F</w:t>
      </w:r>
      <w:bookmarkEnd w:id="174"/>
    </w:p>
    <w:tbl>
      <w:tblPr>
        <w:tblStyle w:val="TableGrid"/>
        <w:tblW w:w="0" w:type="auto"/>
        <w:tblLook w:val="04A0" w:firstRow="1" w:lastRow="0" w:firstColumn="1" w:lastColumn="0" w:noHBand="0" w:noVBand="1"/>
      </w:tblPr>
      <w:tblGrid>
        <w:gridCol w:w="3963"/>
        <w:gridCol w:w="3964"/>
      </w:tblGrid>
      <w:tr w:rsidR="00BB58C4" w14:paraId="162483D1" w14:textId="77777777">
        <w:tc>
          <w:tcPr>
            <w:tcW w:w="3963" w:type="dxa"/>
          </w:tcPr>
          <w:p w14:paraId="2A97A4D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 (3,97)</w:t>
            </w:r>
          </w:p>
        </w:tc>
        <w:tc>
          <w:tcPr>
            <w:tcW w:w="3964" w:type="dxa"/>
          </w:tcPr>
          <w:p w14:paraId="169CBDA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181.74</w:t>
            </w:r>
          </w:p>
        </w:tc>
      </w:tr>
      <w:tr w:rsidR="00BB58C4" w14:paraId="43CFABBB" w14:textId="77777777">
        <w:tc>
          <w:tcPr>
            <w:tcW w:w="3963" w:type="dxa"/>
          </w:tcPr>
          <w:p w14:paraId="11E19BB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Prob&gt;F</w:t>
            </w:r>
          </w:p>
        </w:tc>
        <w:tc>
          <w:tcPr>
            <w:tcW w:w="3964" w:type="dxa"/>
          </w:tcPr>
          <w:p w14:paraId="17200E42"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0.0000</w:t>
            </w:r>
          </w:p>
        </w:tc>
      </w:tr>
    </w:tbl>
    <w:p w14:paraId="10FBEFCA" w14:textId="77777777" w:rsidR="00BB58C4" w:rsidRDefault="00000000">
      <w:pPr>
        <w:spacing w:line="360" w:lineRule="auto"/>
        <w:jc w:val="both"/>
        <w:rPr>
          <w:rFonts w:ascii="Times New Roman" w:hAnsi="Times New Roman" w:cs="Times New Roman"/>
          <w:i/>
          <w:iCs/>
          <w:sz w:val="20"/>
          <w:szCs w:val="20"/>
          <w:lang w:val="en-US"/>
        </w:rPr>
      </w:pPr>
      <w:bookmarkStart w:id="175" w:name="_Hlk202261178"/>
      <w:proofErr w:type="spellStart"/>
      <w:r>
        <w:rPr>
          <w:rFonts w:ascii="Times New Roman" w:hAnsi="Times New Roman" w:cs="Times New Roman"/>
          <w:i/>
          <w:iCs/>
          <w:sz w:val="20"/>
          <w:szCs w:val="20"/>
          <w:lang w:val="en-US"/>
        </w:rPr>
        <w:t>Sumber</w:t>
      </w:r>
      <w:proofErr w:type="spellEnd"/>
      <w:r>
        <w:rPr>
          <w:rFonts w:ascii="Times New Roman" w:hAnsi="Times New Roman" w:cs="Times New Roman"/>
          <w:i/>
          <w:iCs/>
          <w:sz w:val="20"/>
          <w:szCs w:val="20"/>
          <w:lang w:val="en-US"/>
        </w:rPr>
        <w:t xml:space="preserve">: Data </w:t>
      </w:r>
      <w:proofErr w:type="spellStart"/>
      <w:r>
        <w:rPr>
          <w:rFonts w:ascii="Times New Roman" w:hAnsi="Times New Roman" w:cs="Times New Roman"/>
          <w:i/>
          <w:iCs/>
          <w:sz w:val="20"/>
          <w:szCs w:val="20"/>
          <w:lang w:val="en-US"/>
        </w:rPr>
        <w:t>Diolah</w:t>
      </w:r>
      <w:proofErr w:type="spellEnd"/>
      <w:r>
        <w:rPr>
          <w:rFonts w:ascii="Times New Roman" w:hAnsi="Times New Roman" w:cs="Times New Roman"/>
          <w:i/>
          <w:iCs/>
          <w:sz w:val="20"/>
          <w:szCs w:val="20"/>
          <w:lang w:val="en-US"/>
        </w:rPr>
        <w:t>, 2025</w:t>
      </w:r>
    </w:p>
    <w:bookmarkEnd w:id="175"/>
    <w:p w14:paraId="2C2ADD78" w14:textId="77777777" w:rsidR="00BB58C4" w:rsidRDefault="0000000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F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181,74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probabilitas</w:t>
      </w:r>
      <w:proofErr w:type="spellEnd"/>
      <w:r>
        <w:rPr>
          <w:rFonts w:ascii="Times New Roman" w:hAnsi="Times New Roman" w:cs="Times New Roman"/>
          <w:sz w:val="24"/>
          <w:szCs w:val="24"/>
          <w:lang w:val="en-US"/>
        </w:rPr>
        <w:t xml:space="preserve"> (Prob &gt; F)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0,0000. Karena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probabilitas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simultan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Tax Haven</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Intangible Asset</w:t>
      </w:r>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Tax Minimization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Transfer Pricing</w:t>
      </w:r>
      <w:r>
        <w:rPr>
          <w:rFonts w:ascii="Times New Roman" w:hAnsi="Times New Roman" w:cs="Times New Roman"/>
          <w:sz w:val="24"/>
          <w:szCs w:val="24"/>
          <w:lang w:val="en-US"/>
        </w:rPr>
        <w:t>.</w:t>
      </w:r>
    </w:p>
    <w:p w14:paraId="037F0A35" w14:textId="77777777" w:rsidR="00BB58C4" w:rsidRDefault="00BB58C4">
      <w:pPr>
        <w:spacing w:after="0" w:line="480" w:lineRule="auto"/>
        <w:jc w:val="both"/>
        <w:rPr>
          <w:rFonts w:ascii="Times New Roman" w:hAnsi="Times New Roman" w:cs="Times New Roman"/>
          <w:sz w:val="24"/>
          <w:szCs w:val="24"/>
          <w:lang w:val="en-US"/>
        </w:rPr>
      </w:pPr>
    </w:p>
    <w:p w14:paraId="3BB73CEA" w14:textId="77777777" w:rsidR="00BB58C4" w:rsidRDefault="00000000">
      <w:pPr>
        <w:pStyle w:val="subheading312"/>
      </w:pPr>
      <w:bookmarkStart w:id="176" w:name="_Toc220995063"/>
      <w:r>
        <w:t>4.2.5. Analisis Regresi Linear Berganda</w:t>
      </w:r>
      <w:bookmarkEnd w:id="176"/>
    </w:p>
    <w:p w14:paraId="7FA8B68B"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Analisis regresi linear berganda memungkinkan peneliti untuk mengetahui seberapa besar dan bagaimana pengaruh masing-masing variabel independen terhadap variabel dependen jika semua variabel diuji secara simultan.</w:t>
      </w:r>
    </w:p>
    <w:p w14:paraId="066FF506" w14:textId="122E4B5C" w:rsidR="00BB58C4" w:rsidRDefault="00000000">
      <w:pPr>
        <w:pStyle w:val="Caption"/>
        <w:spacing w:after="0" w:line="360" w:lineRule="auto"/>
        <w:rPr>
          <w:rFonts w:cs="Times New Roman"/>
          <w:b w:val="0"/>
          <w:bCs/>
          <w:sz w:val="22"/>
          <w:szCs w:val="22"/>
        </w:rPr>
      </w:pPr>
      <w:bookmarkStart w:id="177" w:name="_Toc210177622"/>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14</w:t>
      </w:r>
      <w:r>
        <w:rPr>
          <w:sz w:val="22"/>
          <w:szCs w:val="20"/>
        </w:rPr>
        <w:fldChar w:fldCharType="end"/>
      </w:r>
      <w:r>
        <w:rPr>
          <w:sz w:val="22"/>
          <w:szCs w:val="20"/>
        </w:rPr>
        <w:t xml:space="preserve"> </w:t>
      </w:r>
      <w:r>
        <w:rPr>
          <w:rFonts w:cs="Times New Roman"/>
          <w:bCs/>
          <w:sz w:val="22"/>
          <w:szCs w:val="20"/>
        </w:rPr>
        <w:t>Tabel Analisis Regresi Linear Berganda</w:t>
      </w:r>
      <w:bookmarkEnd w:id="177"/>
    </w:p>
    <w:tbl>
      <w:tblPr>
        <w:tblStyle w:val="TableGrid"/>
        <w:tblW w:w="0" w:type="auto"/>
        <w:tblLook w:val="04A0" w:firstRow="1" w:lastRow="0" w:firstColumn="1" w:lastColumn="0" w:noHBand="0" w:noVBand="1"/>
      </w:tblPr>
      <w:tblGrid>
        <w:gridCol w:w="3963"/>
        <w:gridCol w:w="3964"/>
      </w:tblGrid>
      <w:tr w:rsidR="00BB58C4" w14:paraId="1C4C5B2A" w14:textId="77777777">
        <w:tc>
          <w:tcPr>
            <w:tcW w:w="3963" w:type="dxa"/>
          </w:tcPr>
          <w:p w14:paraId="1017AAD8"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Variabel</w:t>
            </w:r>
          </w:p>
        </w:tc>
        <w:tc>
          <w:tcPr>
            <w:tcW w:w="3964" w:type="dxa"/>
          </w:tcPr>
          <w:p w14:paraId="7701D4C4"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Coefficient</w:t>
            </w:r>
          </w:p>
        </w:tc>
      </w:tr>
      <w:tr w:rsidR="00BB58C4" w14:paraId="63886037" w14:textId="77777777">
        <w:tc>
          <w:tcPr>
            <w:tcW w:w="3963" w:type="dxa"/>
          </w:tcPr>
          <w:p w14:paraId="38522CC1" w14:textId="77777777" w:rsidR="00BB58C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Tax Haven</w:t>
            </w:r>
          </w:p>
        </w:tc>
        <w:tc>
          <w:tcPr>
            <w:tcW w:w="3964" w:type="dxa"/>
          </w:tcPr>
          <w:p w14:paraId="438BC16E"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15.0783</w:t>
            </w:r>
          </w:p>
        </w:tc>
      </w:tr>
      <w:tr w:rsidR="00BB58C4" w14:paraId="6A90EF51" w14:textId="77777777">
        <w:tc>
          <w:tcPr>
            <w:tcW w:w="3963" w:type="dxa"/>
          </w:tcPr>
          <w:p w14:paraId="01E01439" w14:textId="77777777" w:rsidR="00BB58C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Intangible Asset</w:t>
            </w:r>
          </w:p>
        </w:tc>
        <w:tc>
          <w:tcPr>
            <w:tcW w:w="3964" w:type="dxa"/>
          </w:tcPr>
          <w:p w14:paraId="0C7473F3"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4.219287</w:t>
            </w:r>
          </w:p>
        </w:tc>
      </w:tr>
      <w:tr w:rsidR="00BB58C4" w14:paraId="367AC335" w14:textId="77777777">
        <w:tc>
          <w:tcPr>
            <w:tcW w:w="3963" w:type="dxa"/>
          </w:tcPr>
          <w:p w14:paraId="5539F68B" w14:textId="77777777" w:rsidR="00BB58C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Tax Minimization</w:t>
            </w:r>
          </w:p>
        </w:tc>
        <w:tc>
          <w:tcPr>
            <w:tcW w:w="3964" w:type="dxa"/>
          </w:tcPr>
          <w:p w14:paraId="2BB41447"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12.22768</w:t>
            </w:r>
          </w:p>
        </w:tc>
      </w:tr>
      <w:tr w:rsidR="00BB58C4" w14:paraId="43A22806" w14:textId="77777777">
        <w:tc>
          <w:tcPr>
            <w:tcW w:w="3963" w:type="dxa"/>
          </w:tcPr>
          <w:p w14:paraId="1E9F92CF" w14:textId="77777777" w:rsidR="00BB58C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Cons</w:t>
            </w:r>
          </w:p>
        </w:tc>
        <w:tc>
          <w:tcPr>
            <w:tcW w:w="3964" w:type="dxa"/>
          </w:tcPr>
          <w:p w14:paraId="6ACFDEC5" w14:textId="77777777" w:rsidR="00BB58C4" w:rsidRDefault="00000000">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11.29761</w:t>
            </w:r>
          </w:p>
        </w:tc>
      </w:tr>
    </w:tbl>
    <w:p w14:paraId="3EE63CC8" w14:textId="77777777" w:rsidR="00BB58C4" w:rsidRDefault="00000000">
      <w:pPr>
        <w:spacing w:line="360" w:lineRule="auto"/>
        <w:jc w:val="both"/>
        <w:rPr>
          <w:rFonts w:ascii="Times New Roman" w:hAnsi="Times New Roman" w:cs="Times New Roman"/>
          <w:i/>
          <w:iCs/>
          <w:sz w:val="20"/>
          <w:szCs w:val="20"/>
          <w:lang w:val="en-US"/>
        </w:rPr>
      </w:pPr>
      <w:proofErr w:type="spellStart"/>
      <w:r>
        <w:rPr>
          <w:rFonts w:ascii="Times New Roman" w:hAnsi="Times New Roman" w:cs="Times New Roman"/>
          <w:i/>
          <w:iCs/>
          <w:sz w:val="20"/>
          <w:szCs w:val="20"/>
          <w:lang w:val="en-US"/>
        </w:rPr>
        <w:t>Sumber</w:t>
      </w:r>
      <w:proofErr w:type="spellEnd"/>
      <w:r>
        <w:rPr>
          <w:rFonts w:ascii="Times New Roman" w:hAnsi="Times New Roman" w:cs="Times New Roman"/>
          <w:i/>
          <w:iCs/>
          <w:sz w:val="20"/>
          <w:szCs w:val="20"/>
          <w:lang w:val="en-US"/>
        </w:rPr>
        <w:t xml:space="preserve">: Data </w:t>
      </w:r>
      <w:proofErr w:type="spellStart"/>
      <w:r>
        <w:rPr>
          <w:rFonts w:ascii="Times New Roman" w:hAnsi="Times New Roman" w:cs="Times New Roman"/>
          <w:i/>
          <w:iCs/>
          <w:sz w:val="20"/>
          <w:szCs w:val="20"/>
          <w:lang w:val="en-US"/>
        </w:rPr>
        <w:t>Diolah</w:t>
      </w:r>
      <w:proofErr w:type="spellEnd"/>
      <w:r>
        <w:rPr>
          <w:rFonts w:ascii="Times New Roman" w:hAnsi="Times New Roman" w:cs="Times New Roman"/>
          <w:i/>
          <w:iCs/>
          <w:sz w:val="20"/>
          <w:szCs w:val="20"/>
          <w:lang w:val="en-US"/>
        </w:rPr>
        <w:t>, 2025</w:t>
      </w:r>
    </w:p>
    <w:p w14:paraId="21B68CE4"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uji diatas maka diperoleh persamaan berikut : </w:t>
      </w:r>
    </w:p>
    <w:p w14:paraId="7347BE33" w14:textId="77777777" w:rsidR="00BB58C4" w:rsidRDefault="00000000">
      <w:pPr>
        <w:pStyle w:val="NormalWeb"/>
        <w:spacing w:after="0"/>
        <w:rPr>
          <w:bCs/>
          <w:vertAlign w:val="subscript"/>
        </w:rPr>
      </w:pPr>
      <w:r>
        <w:rPr>
          <w:bCs/>
        </w:rPr>
        <w:t>Y = 11.297 + 15.078X</w:t>
      </w:r>
      <w:r>
        <w:rPr>
          <w:bCs/>
          <w:vertAlign w:val="subscript"/>
        </w:rPr>
        <w:t>1</w:t>
      </w:r>
      <w:r>
        <w:rPr>
          <w:bCs/>
        </w:rPr>
        <w:t xml:space="preserve"> + 4.219X</w:t>
      </w:r>
      <w:r>
        <w:rPr>
          <w:bCs/>
          <w:vertAlign w:val="subscript"/>
        </w:rPr>
        <w:t>2</w:t>
      </w:r>
      <w:r>
        <w:rPr>
          <w:bCs/>
        </w:rPr>
        <w:t xml:space="preserve"> + 12.227X</w:t>
      </w:r>
      <w:r>
        <w:rPr>
          <w:bCs/>
          <w:vertAlign w:val="subscript"/>
        </w:rPr>
        <w:t>3</w:t>
      </w:r>
    </w:p>
    <w:p w14:paraId="22588D49" w14:textId="77777777" w:rsidR="00BB58C4" w:rsidRDefault="00BB58C4">
      <w:pPr>
        <w:pStyle w:val="NormalWeb"/>
        <w:spacing w:after="0"/>
        <w:rPr>
          <w:bCs/>
        </w:rPr>
      </w:pPr>
    </w:p>
    <w:p w14:paraId="3A30EC95" w14:textId="77777777" w:rsidR="00BB58C4" w:rsidRDefault="00000000">
      <w:pPr>
        <w:numPr>
          <w:ilvl w:val="0"/>
          <w:numId w:val="26"/>
        </w:numPr>
        <w:spacing w:after="0" w:line="480" w:lineRule="auto"/>
        <w:ind w:left="284" w:hanging="284"/>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Konstanta</w:t>
      </w:r>
      <w:proofErr w:type="spellEnd"/>
      <w:r>
        <w:rPr>
          <w:rFonts w:ascii="Times New Roman" w:eastAsia="Times New Roman" w:hAnsi="Times New Roman" w:cs="Times New Roman"/>
          <w:kern w:val="0"/>
          <w:sz w:val="24"/>
          <w:szCs w:val="24"/>
          <w:lang w:val="en-US"/>
          <w14:ligatures w14:val="none"/>
        </w:rPr>
        <w:t xml:space="preserve"> (α) = 11,297</w:t>
      </w:r>
    </w:p>
    <w:p w14:paraId="01F0D96A" w14:textId="77777777" w:rsidR="00BB58C4" w:rsidRDefault="00000000">
      <w:pPr>
        <w:spacing w:after="0" w:line="480" w:lineRule="auto"/>
        <w:ind w:left="284"/>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lastRenderedPageBreak/>
        <w:t xml:space="preserve">Nilai </w:t>
      </w:r>
      <w:proofErr w:type="spellStart"/>
      <w:r>
        <w:rPr>
          <w:rFonts w:ascii="Times New Roman" w:eastAsia="Times New Roman" w:hAnsi="Times New Roman" w:cs="Times New Roman"/>
          <w:kern w:val="0"/>
          <w:sz w:val="24"/>
          <w:szCs w:val="24"/>
          <w:lang w:val="en-US"/>
          <w14:ligatures w14:val="none"/>
        </w:rPr>
        <w:t>konstanta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sebesar</w:t>
      </w:r>
      <w:proofErr w:type="spellEnd"/>
      <w:r>
        <w:rPr>
          <w:rFonts w:ascii="Times New Roman" w:eastAsia="Times New Roman" w:hAnsi="Times New Roman" w:cs="Times New Roman"/>
          <w:kern w:val="0"/>
          <w:sz w:val="24"/>
          <w:szCs w:val="24"/>
          <w:lang w:val="en-US"/>
          <w14:ligatures w14:val="none"/>
        </w:rPr>
        <w:t xml:space="preserve"> 11,297 </w:t>
      </w:r>
      <w:proofErr w:type="spellStart"/>
      <w:r>
        <w:rPr>
          <w:rFonts w:ascii="Times New Roman" w:eastAsia="Times New Roman" w:hAnsi="Times New Roman" w:cs="Times New Roman"/>
          <w:kern w:val="0"/>
          <w:sz w:val="24"/>
          <w:szCs w:val="24"/>
          <w:lang w:val="en-US"/>
          <w14:ligatures w14:val="none"/>
        </w:rPr>
        <w:t>menunjukkan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bahwa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jika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seluruh</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variabel</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independen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yaitu</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Tax Haven</w:t>
      </w:r>
      <w:r>
        <w:rPr>
          <w:rFonts w:ascii="Times New Roman" w:eastAsia="Times New Roman" w:hAnsi="Times New Roman" w:cs="Times New Roman"/>
          <w:kern w:val="0"/>
          <w:sz w:val="24"/>
          <w:szCs w:val="24"/>
          <w:lang w:val="en-US"/>
          <w14:ligatures w14:val="none"/>
        </w:rPr>
        <w:t xml:space="preserve"> (X1), </w:t>
      </w:r>
      <w:r>
        <w:rPr>
          <w:rFonts w:ascii="Times New Roman" w:eastAsia="Times New Roman" w:hAnsi="Times New Roman" w:cs="Times New Roman"/>
          <w:i/>
          <w:iCs/>
          <w:kern w:val="0"/>
          <w:sz w:val="24"/>
          <w:szCs w:val="24"/>
          <w:lang w:val="en-US"/>
          <w14:ligatures w14:val="none"/>
        </w:rPr>
        <w:t>Intangible Asset</w:t>
      </w:r>
      <w:r>
        <w:rPr>
          <w:rFonts w:ascii="Times New Roman" w:eastAsia="Times New Roman" w:hAnsi="Times New Roman" w:cs="Times New Roman"/>
          <w:kern w:val="0"/>
          <w:sz w:val="24"/>
          <w:szCs w:val="24"/>
          <w:lang w:val="en-US"/>
          <w14:ligatures w14:val="none"/>
        </w:rPr>
        <w:t xml:space="preserve"> (X2), dan </w:t>
      </w:r>
      <w:r>
        <w:rPr>
          <w:rFonts w:ascii="Times New Roman" w:eastAsia="Times New Roman" w:hAnsi="Times New Roman" w:cs="Times New Roman"/>
          <w:i/>
          <w:iCs/>
          <w:kern w:val="0"/>
          <w:sz w:val="24"/>
          <w:szCs w:val="24"/>
          <w:lang w:val="en-US"/>
          <w14:ligatures w14:val="none"/>
        </w:rPr>
        <w:t>Tax Minimization</w:t>
      </w:r>
      <w:r>
        <w:rPr>
          <w:rFonts w:ascii="Times New Roman" w:eastAsia="Times New Roman" w:hAnsi="Times New Roman" w:cs="Times New Roman"/>
          <w:kern w:val="0"/>
          <w:sz w:val="24"/>
          <w:szCs w:val="24"/>
          <w:lang w:val="en-US"/>
          <w14:ligatures w14:val="none"/>
        </w:rPr>
        <w:t xml:space="preserve"> (X3) </w:t>
      </w:r>
      <w:proofErr w:type="spellStart"/>
      <w:r>
        <w:rPr>
          <w:rFonts w:ascii="Times New Roman" w:eastAsia="Times New Roman" w:hAnsi="Times New Roman" w:cs="Times New Roman"/>
          <w:kern w:val="0"/>
          <w:sz w:val="24"/>
          <w:szCs w:val="24"/>
          <w:lang w:val="en-US"/>
          <w14:ligatures w14:val="none"/>
        </w:rPr>
        <w:t>bernilai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nol</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maka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nilai</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Transfer Pricing</w:t>
      </w:r>
      <w:r>
        <w:rPr>
          <w:rFonts w:ascii="Times New Roman" w:eastAsia="Times New Roman" w:hAnsi="Times New Roman" w:cs="Times New Roman"/>
          <w:kern w:val="0"/>
          <w:sz w:val="24"/>
          <w:szCs w:val="24"/>
          <w:lang w:val="en-US"/>
          <w14:ligatures w14:val="none"/>
        </w:rPr>
        <w:t xml:space="preserve"> (Y) </w:t>
      </w:r>
      <w:proofErr w:type="spellStart"/>
      <w:r>
        <w:rPr>
          <w:rFonts w:ascii="Times New Roman" w:eastAsia="Times New Roman" w:hAnsi="Times New Roman" w:cs="Times New Roman"/>
          <w:kern w:val="0"/>
          <w:sz w:val="24"/>
          <w:szCs w:val="24"/>
          <w:lang w:val="en-US"/>
          <w14:ligatures w14:val="none"/>
        </w:rPr>
        <w:t>diperkirakan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sebesar</w:t>
      </w:r>
      <w:proofErr w:type="spellEnd"/>
      <w:r>
        <w:rPr>
          <w:rFonts w:ascii="Times New Roman" w:eastAsia="Times New Roman" w:hAnsi="Times New Roman" w:cs="Times New Roman"/>
          <w:kern w:val="0"/>
          <w:sz w:val="24"/>
          <w:szCs w:val="24"/>
          <w:lang w:val="en-US"/>
          <w14:ligatures w14:val="none"/>
        </w:rPr>
        <w:t xml:space="preserve"> 11,297 </w:t>
      </w:r>
      <w:proofErr w:type="spellStart"/>
      <w:r>
        <w:rPr>
          <w:rFonts w:ascii="Times New Roman" w:eastAsia="Times New Roman" w:hAnsi="Times New Roman" w:cs="Times New Roman"/>
          <w:kern w:val="0"/>
          <w:sz w:val="24"/>
          <w:szCs w:val="24"/>
          <w:lang w:val="en-US"/>
          <w14:ligatures w14:val="none"/>
        </w:rPr>
        <w:t>satuan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Konstanta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ini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menunjukkan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nilai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dasar</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dari</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Transfer Pricing</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saat</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pengaruh</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variabel-variabel</w:t>
      </w:r>
      <w:proofErr w:type="spellEnd"/>
      <w:r>
        <w:rPr>
          <w:rFonts w:ascii="Times New Roman" w:eastAsia="Times New Roman" w:hAnsi="Times New Roman" w:cs="Times New Roman"/>
          <w:kern w:val="0"/>
          <w:sz w:val="24"/>
          <w:szCs w:val="24"/>
          <w:lang w:val="en-US"/>
          <w14:ligatures w14:val="none"/>
        </w:rPr>
        <w:t xml:space="preserve"> lain </w:t>
      </w:r>
      <w:proofErr w:type="spellStart"/>
      <w:r>
        <w:rPr>
          <w:rFonts w:ascii="Times New Roman" w:eastAsia="Times New Roman" w:hAnsi="Times New Roman" w:cs="Times New Roman"/>
          <w:kern w:val="0"/>
          <w:sz w:val="24"/>
          <w:szCs w:val="24"/>
          <w:lang w:val="en-US"/>
          <w14:ligatures w14:val="none"/>
        </w:rPr>
        <w:t>tidak</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ada</w:t>
      </w:r>
      <w:proofErr w:type="spellEnd"/>
      <w:r>
        <w:rPr>
          <w:rFonts w:ascii="Times New Roman" w:eastAsia="Times New Roman" w:hAnsi="Times New Roman" w:cs="Times New Roman"/>
          <w:kern w:val="0"/>
          <w:sz w:val="24"/>
          <w:szCs w:val="24"/>
          <w:lang w:val="en-US"/>
          <w14:ligatures w14:val="none"/>
        </w:rPr>
        <w:t>.</w:t>
      </w:r>
    </w:p>
    <w:p w14:paraId="0FD15D5A" w14:textId="77777777" w:rsidR="00BB58C4" w:rsidRDefault="00000000">
      <w:pPr>
        <w:numPr>
          <w:ilvl w:val="0"/>
          <w:numId w:val="26"/>
        </w:numPr>
        <w:spacing w:after="0" w:line="480" w:lineRule="auto"/>
        <w:ind w:left="284" w:hanging="284"/>
        <w:jc w:val="both"/>
        <w:rPr>
          <w:rFonts w:ascii="Times New Roman" w:eastAsia="Times New Roman" w:hAnsi="Times New Roman" w:cs="Times New Roman"/>
          <w:kern w:val="0"/>
          <w:sz w:val="24"/>
          <w:szCs w:val="24"/>
          <w:lang w:val="en-US"/>
          <w14:ligatures w14:val="none"/>
        </w:rPr>
      </w:pPr>
      <w:bookmarkStart w:id="178" w:name="_Hlk202340053"/>
      <w:r>
        <w:rPr>
          <w:rFonts w:ascii="Times New Roman" w:eastAsia="Times New Roman" w:hAnsi="Times New Roman" w:cs="Times New Roman"/>
          <w:i/>
          <w:iCs/>
          <w:kern w:val="0"/>
          <w:sz w:val="24"/>
          <w:szCs w:val="24"/>
          <w:lang w:val="en-US"/>
          <w14:ligatures w14:val="none"/>
        </w:rPr>
        <w:t>Tax Haven</w:t>
      </w:r>
      <w:r>
        <w:rPr>
          <w:rFonts w:ascii="Times New Roman" w:eastAsia="Times New Roman" w:hAnsi="Times New Roman" w:cs="Times New Roman"/>
          <w:kern w:val="0"/>
          <w:sz w:val="24"/>
          <w:szCs w:val="24"/>
          <w:lang w:val="en-US"/>
          <w14:ligatures w14:val="none"/>
        </w:rPr>
        <w:t xml:space="preserve"> (X</w:t>
      </w:r>
      <w:r>
        <w:rPr>
          <w:rFonts w:ascii="Times New Roman" w:eastAsia="Times New Roman" w:hAnsi="Times New Roman" w:cs="Times New Roman"/>
          <w:kern w:val="0"/>
          <w:sz w:val="24"/>
          <w:szCs w:val="24"/>
          <w:vertAlign w:val="subscript"/>
          <w:lang w:val="en-US"/>
          <w14:ligatures w14:val="none"/>
        </w:rPr>
        <w:t>1</w:t>
      </w:r>
      <w:r>
        <w:rPr>
          <w:rFonts w:ascii="Times New Roman" w:eastAsia="Times New Roman" w:hAnsi="Times New Roman" w:cs="Times New Roman"/>
          <w:kern w:val="0"/>
          <w:sz w:val="24"/>
          <w:szCs w:val="24"/>
          <w:lang w:val="en-US"/>
          <w14:ligatures w14:val="none"/>
        </w:rPr>
        <w:t>)</w:t>
      </w:r>
      <w:bookmarkEnd w:id="178"/>
      <w:r>
        <w:rPr>
          <w:rFonts w:ascii="Times New Roman" w:eastAsia="Times New Roman" w:hAnsi="Times New Roman" w:cs="Times New Roman"/>
          <w:kern w:val="0"/>
          <w:sz w:val="24"/>
          <w:szCs w:val="24"/>
          <w:lang w:val="en-US"/>
          <w14:ligatures w14:val="none"/>
        </w:rPr>
        <w:t xml:space="preserve"> = 15,078</w:t>
      </w:r>
    </w:p>
    <w:p w14:paraId="6DF6EEC2" w14:textId="77777777" w:rsidR="00BB58C4" w:rsidRDefault="00000000">
      <w:pPr>
        <w:spacing w:after="0" w:line="480" w:lineRule="auto"/>
        <w:ind w:left="284"/>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Koefisien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regresi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sebesar</w:t>
      </w:r>
      <w:proofErr w:type="spellEnd"/>
      <w:r>
        <w:rPr>
          <w:rFonts w:ascii="Times New Roman" w:eastAsia="Times New Roman" w:hAnsi="Times New Roman" w:cs="Times New Roman"/>
          <w:kern w:val="0"/>
          <w:sz w:val="24"/>
          <w:szCs w:val="24"/>
          <w:lang w:val="en-US"/>
          <w14:ligatures w14:val="none"/>
        </w:rPr>
        <w:t xml:space="preserve"> 15,078 pada </w:t>
      </w:r>
      <w:proofErr w:type="spellStart"/>
      <w:r>
        <w:rPr>
          <w:rFonts w:ascii="Times New Roman" w:eastAsia="Times New Roman" w:hAnsi="Times New Roman" w:cs="Times New Roman"/>
          <w:kern w:val="0"/>
          <w:sz w:val="24"/>
          <w:szCs w:val="24"/>
          <w:lang w:val="en-US"/>
          <w14:ligatures w14:val="none"/>
        </w:rPr>
        <w:t>variabel</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Tax Haven</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mengindikasikan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bahwa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setiap</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peningkatan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satu</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satuan</w:t>
      </w:r>
      <w:proofErr w:type="spellEnd"/>
      <w:r>
        <w:rPr>
          <w:rFonts w:ascii="Times New Roman" w:eastAsia="Times New Roman" w:hAnsi="Times New Roman" w:cs="Times New Roman"/>
          <w:kern w:val="0"/>
          <w:sz w:val="24"/>
          <w:szCs w:val="24"/>
          <w:lang w:val="en-US"/>
          <w14:ligatures w14:val="none"/>
        </w:rPr>
        <w:t xml:space="preserve"> pada </w:t>
      </w:r>
      <w:r>
        <w:rPr>
          <w:rFonts w:ascii="Times New Roman" w:eastAsia="Times New Roman" w:hAnsi="Times New Roman" w:cs="Times New Roman"/>
          <w:i/>
          <w:iCs/>
          <w:kern w:val="0"/>
          <w:sz w:val="24"/>
          <w:szCs w:val="24"/>
          <w:lang w:val="en-US"/>
          <w14:ligatures w14:val="none"/>
        </w:rPr>
        <w:t>Tax Haven</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akan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meningkatkan</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Transfer Pricing</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sebesar</w:t>
      </w:r>
      <w:proofErr w:type="spellEnd"/>
      <w:r>
        <w:rPr>
          <w:rFonts w:ascii="Times New Roman" w:eastAsia="Times New Roman" w:hAnsi="Times New Roman" w:cs="Times New Roman"/>
          <w:kern w:val="0"/>
          <w:sz w:val="24"/>
          <w:szCs w:val="24"/>
          <w:lang w:val="en-US"/>
          <w14:ligatures w14:val="none"/>
        </w:rPr>
        <w:t xml:space="preserve"> 15,078 </w:t>
      </w:r>
      <w:proofErr w:type="spellStart"/>
      <w:r>
        <w:rPr>
          <w:rFonts w:ascii="Times New Roman" w:eastAsia="Times New Roman" w:hAnsi="Times New Roman" w:cs="Times New Roman"/>
          <w:kern w:val="0"/>
          <w:sz w:val="24"/>
          <w:szCs w:val="24"/>
          <w:lang w:val="en-US"/>
          <w14:ligatures w14:val="none"/>
        </w:rPr>
        <w:t>satuan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dengan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asumsi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variabel</w:t>
      </w:r>
      <w:proofErr w:type="spellEnd"/>
      <w:r>
        <w:rPr>
          <w:rFonts w:ascii="Times New Roman" w:eastAsia="Times New Roman" w:hAnsi="Times New Roman" w:cs="Times New Roman"/>
          <w:kern w:val="0"/>
          <w:sz w:val="24"/>
          <w:szCs w:val="24"/>
          <w:lang w:val="en-US"/>
          <w14:ligatures w14:val="none"/>
        </w:rPr>
        <w:t xml:space="preserve"> lain </w:t>
      </w:r>
      <w:proofErr w:type="spellStart"/>
      <w:r>
        <w:rPr>
          <w:rFonts w:ascii="Times New Roman" w:eastAsia="Times New Roman" w:hAnsi="Times New Roman" w:cs="Times New Roman"/>
          <w:kern w:val="0"/>
          <w:sz w:val="24"/>
          <w:szCs w:val="24"/>
          <w:lang w:val="en-US"/>
          <w14:ligatures w14:val="none"/>
        </w:rPr>
        <w:t>tetap</w:t>
      </w:r>
      <w:proofErr w:type="spellEnd"/>
      <w:r>
        <w:rPr>
          <w:rFonts w:ascii="Times New Roman" w:eastAsia="Times New Roman" w:hAnsi="Times New Roman" w:cs="Times New Roman"/>
          <w:kern w:val="0"/>
          <w:sz w:val="24"/>
          <w:szCs w:val="24"/>
          <w:lang w:val="en-US"/>
          <w14:ligatures w14:val="none"/>
        </w:rPr>
        <w:t xml:space="preserve">. Jika </w:t>
      </w:r>
      <w:proofErr w:type="spellStart"/>
      <w:r>
        <w:rPr>
          <w:rFonts w:ascii="Times New Roman" w:eastAsia="Times New Roman" w:hAnsi="Times New Roman" w:cs="Times New Roman"/>
          <w:kern w:val="0"/>
          <w:sz w:val="24"/>
          <w:szCs w:val="24"/>
          <w:lang w:val="en-US"/>
          <w14:ligatures w14:val="none"/>
        </w:rPr>
        <w:t>nilai</w:t>
      </w:r>
      <w:proofErr w:type="spellEnd"/>
      <w:r>
        <w:rPr>
          <w:rFonts w:ascii="Times New Roman" w:eastAsia="Times New Roman" w:hAnsi="Times New Roman" w:cs="Times New Roman"/>
          <w:kern w:val="0"/>
          <w:sz w:val="24"/>
          <w:szCs w:val="24"/>
          <w:lang w:val="en-US"/>
          <w14:ligatures w14:val="none"/>
        </w:rPr>
        <w:t xml:space="preserve"> p </w:t>
      </w:r>
      <w:proofErr w:type="spellStart"/>
      <w:r>
        <w:rPr>
          <w:rFonts w:ascii="Times New Roman" w:eastAsia="Times New Roman" w:hAnsi="Times New Roman" w:cs="Times New Roman"/>
          <w:kern w:val="0"/>
          <w:sz w:val="24"/>
          <w:szCs w:val="24"/>
          <w:lang w:val="en-US"/>
          <w14:ligatures w14:val="none"/>
        </w:rPr>
        <w:t>untuk</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koefisien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ini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signifikan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misal</w:t>
      </w:r>
      <w:proofErr w:type="spellEnd"/>
      <w:r>
        <w:rPr>
          <w:rFonts w:ascii="Times New Roman" w:eastAsia="Times New Roman" w:hAnsi="Times New Roman" w:cs="Times New Roman"/>
          <w:kern w:val="0"/>
          <w:sz w:val="24"/>
          <w:szCs w:val="24"/>
          <w:lang w:val="en-US"/>
          <w14:ligatures w14:val="none"/>
        </w:rPr>
        <w:t xml:space="preserve"> p &lt; 0,05), </w:t>
      </w:r>
      <w:proofErr w:type="spellStart"/>
      <w:r>
        <w:rPr>
          <w:rFonts w:ascii="Times New Roman" w:eastAsia="Times New Roman" w:hAnsi="Times New Roman" w:cs="Times New Roman"/>
          <w:kern w:val="0"/>
          <w:sz w:val="24"/>
          <w:szCs w:val="24"/>
          <w:lang w:val="en-US"/>
          <w14:ligatures w14:val="none"/>
        </w:rPr>
        <w:t>maka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dapat</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disimpulkan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bahwa</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Tax Haven</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berpengaruh</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positif</w:t>
      </w:r>
      <w:proofErr w:type="spellEnd"/>
      <w:r>
        <w:rPr>
          <w:rFonts w:ascii="Times New Roman" w:eastAsia="Times New Roman" w:hAnsi="Times New Roman" w:cs="Times New Roman"/>
          <w:kern w:val="0"/>
          <w:sz w:val="24"/>
          <w:szCs w:val="24"/>
          <w:lang w:val="en-US"/>
          <w14:ligatures w14:val="none"/>
        </w:rPr>
        <w:t xml:space="preserve"> dan </w:t>
      </w:r>
      <w:proofErr w:type="spellStart"/>
      <w:r>
        <w:rPr>
          <w:rFonts w:ascii="Times New Roman" w:eastAsia="Times New Roman" w:hAnsi="Times New Roman" w:cs="Times New Roman"/>
          <w:kern w:val="0"/>
          <w:sz w:val="24"/>
          <w:szCs w:val="24"/>
          <w:lang w:val="en-US"/>
          <w14:ligatures w14:val="none"/>
        </w:rPr>
        <w:t>signifikan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terhadap</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Transfer Pricing</w:t>
      </w:r>
      <w:r>
        <w:rPr>
          <w:rFonts w:ascii="Times New Roman" w:eastAsia="Times New Roman" w:hAnsi="Times New Roman" w:cs="Times New Roman"/>
          <w:kern w:val="0"/>
          <w:sz w:val="24"/>
          <w:szCs w:val="24"/>
          <w:lang w:val="en-US"/>
          <w14:ligatures w14:val="none"/>
        </w:rPr>
        <w:t>.</w:t>
      </w:r>
    </w:p>
    <w:p w14:paraId="353267A3" w14:textId="77777777" w:rsidR="00BB58C4" w:rsidRDefault="00BB58C4">
      <w:pPr>
        <w:spacing w:after="0" w:line="480" w:lineRule="auto"/>
        <w:ind w:left="284"/>
        <w:jc w:val="both"/>
        <w:rPr>
          <w:rFonts w:ascii="Times New Roman" w:eastAsia="Times New Roman" w:hAnsi="Times New Roman" w:cs="Times New Roman"/>
          <w:kern w:val="0"/>
          <w:sz w:val="24"/>
          <w:szCs w:val="24"/>
          <w:lang w:val="en-US"/>
          <w14:ligatures w14:val="none"/>
        </w:rPr>
      </w:pPr>
    </w:p>
    <w:p w14:paraId="69BEA610" w14:textId="77777777" w:rsidR="00BB58C4" w:rsidRDefault="00000000">
      <w:pPr>
        <w:numPr>
          <w:ilvl w:val="0"/>
          <w:numId w:val="26"/>
        </w:numPr>
        <w:spacing w:after="0" w:line="480" w:lineRule="auto"/>
        <w:ind w:left="284" w:hanging="284"/>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i/>
          <w:iCs/>
          <w:kern w:val="0"/>
          <w:sz w:val="24"/>
          <w:szCs w:val="24"/>
          <w:lang w:val="en-US"/>
          <w14:ligatures w14:val="none"/>
        </w:rPr>
        <w:t>Intangible Asset</w:t>
      </w:r>
      <w:r>
        <w:rPr>
          <w:rFonts w:ascii="Times New Roman" w:eastAsia="Times New Roman" w:hAnsi="Times New Roman" w:cs="Times New Roman"/>
          <w:kern w:val="0"/>
          <w:sz w:val="24"/>
          <w:szCs w:val="24"/>
          <w:lang w:val="en-US"/>
          <w14:ligatures w14:val="none"/>
        </w:rPr>
        <w:t xml:space="preserve"> (X</w:t>
      </w:r>
      <w:r>
        <w:rPr>
          <w:rFonts w:ascii="Times New Roman" w:eastAsia="Times New Roman" w:hAnsi="Times New Roman" w:cs="Times New Roman"/>
          <w:kern w:val="0"/>
          <w:sz w:val="24"/>
          <w:szCs w:val="24"/>
          <w:vertAlign w:val="subscript"/>
          <w:lang w:val="en-US"/>
          <w14:ligatures w14:val="none"/>
        </w:rPr>
        <w:t>2</w:t>
      </w:r>
      <w:r>
        <w:rPr>
          <w:rFonts w:ascii="Times New Roman" w:eastAsia="Times New Roman" w:hAnsi="Times New Roman" w:cs="Times New Roman"/>
          <w:kern w:val="0"/>
          <w:sz w:val="24"/>
          <w:szCs w:val="24"/>
          <w:lang w:val="en-US"/>
          <w14:ligatures w14:val="none"/>
        </w:rPr>
        <w:t>) = 4,219</w:t>
      </w:r>
    </w:p>
    <w:p w14:paraId="51F5A973" w14:textId="77777777" w:rsidR="00BB58C4" w:rsidRDefault="00000000">
      <w:pPr>
        <w:spacing w:after="0" w:line="480" w:lineRule="auto"/>
        <w:ind w:left="284"/>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Koefisien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regresi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sebesar</w:t>
      </w:r>
      <w:proofErr w:type="spellEnd"/>
      <w:r>
        <w:rPr>
          <w:rFonts w:ascii="Times New Roman" w:eastAsia="Times New Roman" w:hAnsi="Times New Roman" w:cs="Times New Roman"/>
          <w:kern w:val="0"/>
          <w:sz w:val="24"/>
          <w:szCs w:val="24"/>
          <w:lang w:val="en-US"/>
          <w14:ligatures w14:val="none"/>
        </w:rPr>
        <w:t xml:space="preserve"> 4,219 pada </w:t>
      </w:r>
      <w:proofErr w:type="spellStart"/>
      <w:r>
        <w:rPr>
          <w:rFonts w:ascii="Times New Roman" w:eastAsia="Times New Roman" w:hAnsi="Times New Roman" w:cs="Times New Roman"/>
          <w:kern w:val="0"/>
          <w:sz w:val="24"/>
          <w:szCs w:val="24"/>
          <w:lang w:val="en-US"/>
          <w14:ligatures w14:val="none"/>
        </w:rPr>
        <w:t>variabel</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Intangible Asset</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menunjukkan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bahwa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setiap</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peningkatan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satu</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satuan</w:t>
      </w:r>
      <w:proofErr w:type="spellEnd"/>
      <w:r>
        <w:rPr>
          <w:rFonts w:ascii="Times New Roman" w:eastAsia="Times New Roman" w:hAnsi="Times New Roman" w:cs="Times New Roman"/>
          <w:kern w:val="0"/>
          <w:sz w:val="24"/>
          <w:szCs w:val="24"/>
          <w:lang w:val="en-US"/>
          <w14:ligatures w14:val="none"/>
        </w:rPr>
        <w:t xml:space="preserve"> pada </w:t>
      </w:r>
      <w:r>
        <w:rPr>
          <w:rFonts w:ascii="Times New Roman" w:eastAsia="Times New Roman" w:hAnsi="Times New Roman" w:cs="Times New Roman"/>
          <w:i/>
          <w:iCs/>
          <w:kern w:val="0"/>
          <w:sz w:val="24"/>
          <w:szCs w:val="24"/>
          <w:lang w:val="en-US"/>
          <w14:ligatures w14:val="none"/>
        </w:rPr>
        <w:t>Intangible Asset</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akan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meningkatkan</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Transfer Pricing</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sebesar</w:t>
      </w:r>
      <w:proofErr w:type="spellEnd"/>
      <w:r>
        <w:rPr>
          <w:rFonts w:ascii="Times New Roman" w:eastAsia="Times New Roman" w:hAnsi="Times New Roman" w:cs="Times New Roman"/>
          <w:kern w:val="0"/>
          <w:sz w:val="24"/>
          <w:szCs w:val="24"/>
          <w:lang w:val="en-US"/>
          <w14:ligatures w14:val="none"/>
        </w:rPr>
        <w:t xml:space="preserve"> 4,219 </w:t>
      </w:r>
      <w:proofErr w:type="spellStart"/>
      <w:r>
        <w:rPr>
          <w:rFonts w:ascii="Times New Roman" w:eastAsia="Times New Roman" w:hAnsi="Times New Roman" w:cs="Times New Roman"/>
          <w:kern w:val="0"/>
          <w:sz w:val="24"/>
          <w:szCs w:val="24"/>
          <w:lang w:val="en-US"/>
          <w14:ligatures w14:val="none"/>
        </w:rPr>
        <w:t>satuan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dengan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asumsi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variabel</w:t>
      </w:r>
      <w:proofErr w:type="spellEnd"/>
      <w:r>
        <w:rPr>
          <w:rFonts w:ascii="Times New Roman" w:eastAsia="Times New Roman" w:hAnsi="Times New Roman" w:cs="Times New Roman"/>
          <w:kern w:val="0"/>
          <w:sz w:val="24"/>
          <w:szCs w:val="24"/>
          <w:lang w:val="en-US"/>
          <w14:ligatures w14:val="none"/>
        </w:rPr>
        <w:t xml:space="preserve"> lain </w:t>
      </w:r>
      <w:proofErr w:type="spellStart"/>
      <w:r>
        <w:rPr>
          <w:rFonts w:ascii="Times New Roman" w:eastAsia="Times New Roman" w:hAnsi="Times New Roman" w:cs="Times New Roman"/>
          <w:kern w:val="0"/>
          <w:sz w:val="24"/>
          <w:szCs w:val="24"/>
          <w:lang w:val="en-US"/>
          <w14:ligatures w14:val="none"/>
        </w:rPr>
        <w:t>konstan</w:t>
      </w:r>
      <w:proofErr w:type="spellEnd"/>
      <w:r>
        <w:rPr>
          <w:rFonts w:ascii="Times New Roman" w:eastAsia="Times New Roman" w:hAnsi="Times New Roman" w:cs="Times New Roman"/>
          <w:kern w:val="0"/>
          <w:sz w:val="24"/>
          <w:szCs w:val="24"/>
          <w:lang w:val="en-US"/>
          <w14:ligatures w14:val="none"/>
        </w:rPr>
        <w:t xml:space="preserve">. Jika </w:t>
      </w:r>
      <w:proofErr w:type="spellStart"/>
      <w:r>
        <w:rPr>
          <w:rFonts w:ascii="Times New Roman" w:eastAsia="Times New Roman" w:hAnsi="Times New Roman" w:cs="Times New Roman"/>
          <w:kern w:val="0"/>
          <w:sz w:val="24"/>
          <w:szCs w:val="24"/>
          <w:lang w:val="en-US"/>
          <w14:ligatures w14:val="none"/>
        </w:rPr>
        <w:t>nilai</w:t>
      </w:r>
      <w:proofErr w:type="spellEnd"/>
      <w:r>
        <w:rPr>
          <w:rFonts w:ascii="Times New Roman" w:eastAsia="Times New Roman" w:hAnsi="Times New Roman" w:cs="Times New Roman"/>
          <w:kern w:val="0"/>
          <w:sz w:val="24"/>
          <w:szCs w:val="24"/>
          <w:lang w:val="en-US"/>
          <w14:ligatures w14:val="none"/>
        </w:rPr>
        <w:t xml:space="preserve"> p </w:t>
      </w:r>
      <w:proofErr w:type="spellStart"/>
      <w:r>
        <w:rPr>
          <w:rFonts w:ascii="Times New Roman" w:eastAsia="Times New Roman" w:hAnsi="Times New Roman" w:cs="Times New Roman"/>
          <w:kern w:val="0"/>
          <w:sz w:val="24"/>
          <w:szCs w:val="24"/>
          <w:lang w:val="en-US"/>
          <w14:ligatures w14:val="none"/>
        </w:rPr>
        <w:t>untuk</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koefisien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ini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signifikan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maka</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Intangible Asset</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berpengaruh</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positif</w:t>
      </w:r>
      <w:proofErr w:type="spellEnd"/>
      <w:r>
        <w:rPr>
          <w:rFonts w:ascii="Times New Roman" w:eastAsia="Times New Roman" w:hAnsi="Times New Roman" w:cs="Times New Roman"/>
          <w:kern w:val="0"/>
          <w:sz w:val="24"/>
          <w:szCs w:val="24"/>
          <w:lang w:val="en-US"/>
          <w14:ligatures w14:val="none"/>
        </w:rPr>
        <w:t xml:space="preserve"> dan </w:t>
      </w:r>
      <w:proofErr w:type="spellStart"/>
      <w:r>
        <w:rPr>
          <w:rFonts w:ascii="Times New Roman" w:eastAsia="Times New Roman" w:hAnsi="Times New Roman" w:cs="Times New Roman"/>
          <w:kern w:val="0"/>
          <w:sz w:val="24"/>
          <w:szCs w:val="24"/>
          <w:lang w:val="en-US"/>
          <w14:ligatures w14:val="none"/>
        </w:rPr>
        <w:t>signifikan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terhadap</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Transfer Pricing</w:t>
      </w:r>
      <w:r>
        <w:rPr>
          <w:rFonts w:ascii="Times New Roman" w:eastAsia="Times New Roman" w:hAnsi="Times New Roman" w:cs="Times New Roman"/>
          <w:kern w:val="0"/>
          <w:sz w:val="24"/>
          <w:szCs w:val="24"/>
          <w:lang w:val="en-US"/>
          <w14:ligatures w14:val="none"/>
        </w:rPr>
        <w:t>.</w:t>
      </w:r>
    </w:p>
    <w:p w14:paraId="5872815C" w14:textId="77777777" w:rsidR="00BB58C4" w:rsidRDefault="00000000">
      <w:pPr>
        <w:numPr>
          <w:ilvl w:val="0"/>
          <w:numId w:val="26"/>
        </w:numPr>
        <w:spacing w:after="0" w:line="480" w:lineRule="auto"/>
        <w:ind w:left="284" w:hanging="284"/>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i/>
          <w:iCs/>
          <w:kern w:val="0"/>
          <w:sz w:val="24"/>
          <w:szCs w:val="24"/>
          <w:lang w:val="en-US"/>
          <w14:ligatures w14:val="none"/>
        </w:rPr>
        <w:t>Tax Minimization</w:t>
      </w:r>
      <w:r>
        <w:rPr>
          <w:rFonts w:ascii="Times New Roman" w:eastAsia="Times New Roman" w:hAnsi="Times New Roman" w:cs="Times New Roman"/>
          <w:kern w:val="0"/>
          <w:sz w:val="24"/>
          <w:szCs w:val="24"/>
          <w:lang w:val="en-US"/>
          <w14:ligatures w14:val="none"/>
        </w:rPr>
        <w:t xml:space="preserve"> (X</w:t>
      </w:r>
      <w:r>
        <w:rPr>
          <w:rFonts w:ascii="Times New Roman" w:eastAsia="Times New Roman" w:hAnsi="Times New Roman" w:cs="Times New Roman"/>
          <w:kern w:val="0"/>
          <w:sz w:val="24"/>
          <w:szCs w:val="24"/>
          <w:vertAlign w:val="subscript"/>
          <w:lang w:val="en-US"/>
          <w14:ligatures w14:val="none"/>
        </w:rPr>
        <w:t>3</w:t>
      </w:r>
      <w:r>
        <w:rPr>
          <w:rFonts w:ascii="Times New Roman" w:eastAsia="Times New Roman" w:hAnsi="Times New Roman" w:cs="Times New Roman"/>
          <w:kern w:val="0"/>
          <w:sz w:val="24"/>
          <w:szCs w:val="24"/>
          <w:lang w:val="en-US"/>
          <w14:ligatures w14:val="none"/>
        </w:rPr>
        <w:t>) = 12,227</w:t>
      </w:r>
    </w:p>
    <w:p w14:paraId="3BD9856E" w14:textId="77777777" w:rsidR="00BB58C4" w:rsidRDefault="00000000">
      <w:pPr>
        <w:spacing w:after="0" w:line="480" w:lineRule="auto"/>
        <w:ind w:left="284"/>
        <w:jc w:val="both"/>
        <w:rPr>
          <w:rFonts w:ascii="Times New Roman" w:eastAsia="Times New Roman" w:hAnsi="Times New Roman" w:cs="Times New Roman"/>
          <w:kern w:val="0"/>
          <w:sz w:val="24"/>
          <w:szCs w:val="24"/>
          <w:lang w:val="en-US"/>
          <w14:ligatures w14:val="none"/>
        </w:rPr>
      </w:pPr>
      <w:proofErr w:type="spellStart"/>
      <w:r>
        <w:rPr>
          <w:rFonts w:ascii="Times New Roman" w:eastAsia="Times New Roman" w:hAnsi="Times New Roman" w:cs="Times New Roman"/>
          <w:kern w:val="0"/>
          <w:sz w:val="24"/>
          <w:szCs w:val="24"/>
          <w:lang w:val="en-US"/>
          <w14:ligatures w14:val="none"/>
        </w:rPr>
        <w:t>Koefisien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regresi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sebesar</w:t>
      </w:r>
      <w:proofErr w:type="spellEnd"/>
      <w:r>
        <w:rPr>
          <w:rFonts w:ascii="Times New Roman" w:eastAsia="Times New Roman" w:hAnsi="Times New Roman" w:cs="Times New Roman"/>
          <w:kern w:val="0"/>
          <w:sz w:val="24"/>
          <w:szCs w:val="24"/>
          <w:lang w:val="en-US"/>
          <w14:ligatures w14:val="none"/>
        </w:rPr>
        <w:t xml:space="preserve"> 12,227 pada </w:t>
      </w:r>
      <w:proofErr w:type="spellStart"/>
      <w:r>
        <w:rPr>
          <w:rFonts w:ascii="Times New Roman" w:eastAsia="Times New Roman" w:hAnsi="Times New Roman" w:cs="Times New Roman"/>
          <w:kern w:val="0"/>
          <w:sz w:val="24"/>
          <w:szCs w:val="24"/>
          <w:lang w:val="en-US"/>
          <w14:ligatures w14:val="none"/>
        </w:rPr>
        <w:t>variabel</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Tax Minimization</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menunjukkan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bahwa</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setiap</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peningkatan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satu</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satuan</w:t>
      </w:r>
      <w:proofErr w:type="spellEnd"/>
      <w:r>
        <w:rPr>
          <w:rFonts w:ascii="Times New Roman" w:eastAsia="Times New Roman" w:hAnsi="Times New Roman" w:cs="Times New Roman"/>
          <w:kern w:val="0"/>
          <w:sz w:val="24"/>
          <w:szCs w:val="24"/>
          <w:lang w:val="en-US"/>
          <w14:ligatures w14:val="none"/>
        </w:rPr>
        <w:t xml:space="preserve"> pada </w:t>
      </w:r>
      <w:r>
        <w:rPr>
          <w:rFonts w:ascii="Times New Roman" w:eastAsia="Times New Roman" w:hAnsi="Times New Roman" w:cs="Times New Roman"/>
          <w:i/>
          <w:iCs/>
          <w:kern w:val="0"/>
          <w:sz w:val="24"/>
          <w:szCs w:val="24"/>
          <w:lang w:val="en-US"/>
          <w14:ligatures w14:val="none"/>
        </w:rPr>
        <w:t>Tax Minimization</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akan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meningkatkan</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Transfer Pricing</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sebesar</w:t>
      </w:r>
      <w:proofErr w:type="spellEnd"/>
      <w:r>
        <w:rPr>
          <w:rFonts w:ascii="Times New Roman" w:eastAsia="Times New Roman" w:hAnsi="Times New Roman" w:cs="Times New Roman"/>
          <w:kern w:val="0"/>
          <w:sz w:val="24"/>
          <w:szCs w:val="24"/>
          <w:lang w:val="en-US"/>
          <w14:ligatures w14:val="none"/>
        </w:rPr>
        <w:t xml:space="preserve"> 12,227 </w:t>
      </w:r>
      <w:proofErr w:type="spellStart"/>
      <w:r>
        <w:rPr>
          <w:rFonts w:ascii="Times New Roman" w:eastAsia="Times New Roman" w:hAnsi="Times New Roman" w:cs="Times New Roman"/>
          <w:kern w:val="0"/>
          <w:sz w:val="24"/>
          <w:szCs w:val="24"/>
          <w:lang w:val="en-US"/>
          <w14:ligatures w14:val="none"/>
        </w:rPr>
        <w:t>satuan</w:t>
      </w:r>
      <w:proofErr w:type="spellEnd"/>
      <w:r>
        <w:rPr>
          <w:rFonts w:ascii="Times New Roman" w:eastAsia="Times New Roman" w:hAnsi="Times New Roman" w:cs="Times New Roman"/>
          <w:kern w:val="0"/>
          <w:sz w:val="24"/>
          <w:szCs w:val="24"/>
          <w:lang w:val="en-US"/>
          <w14:ligatures w14:val="none"/>
        </w:rPr>
        <w:t xml:space="preserve">, ceteris paribus. Jika </w:t>
      </w:r>
      <w:proofErr w:type="spellStart"/>
      <w:r>
        <w:rPr>
          <w:rFonts w:ascii="Times New Roman" w:eastAsia="Times New Roman" w:hAnsi="Times New Roman" w:cs="Times New Roman"/>
          <w:kern w:val="0"/>
          <w:sz w:val="24"/>
          <w:szCs w:val="24"/>
          <w:lang w:val="en-US"/>
          <w14:ligatures w14:val="none"/>
        </w:rPr>
        <w:t>nilai</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kern w:val="0"/>
          <w:sz w:val="24"/>
          <w:szCs w:val="24"/>
          <w:lang w:val="en-US"/>
          <w14:ligatures w14:val="none"/>
        </w:rPr>
        <w:lastRenderedPageBreak/>
        <w:t xml:space="preserve">p </w:t>
      </w:r>
      <w:proofErr w:type="spellStart"/>
      <w:r>
        <w:rPr>
          <w:rFonts w:ascii="Times New Roman" w:eastAsia="Times New Roman" w:hAnsi="Times New Roman" w:cs="Times New Roman"/>
          <w:kern w:val="0"/>
          <w:sz w:val="24"/>
          <w:szCs w:val="24"/>
          <w:lang w:val="en-US"/>
          <w14:ligatures w14:val="none"/>
        </w:rPr>
        <w:t>untuk</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koefisien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ini</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signifikan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maka</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Tax Minimization</w:t>
      </w:r>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berpengaruh</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positif</w:t>
      </w:r>
      <w:proofErr w:type="spellEnd"/>
      <w:r>
        <w:rPr>
          <w:rFonts w:ascii="Times New Roman" w:eastAsia="Times New Roman" w:hAnsi="Times New Roman" w:cs="Times New Roman"/>
          <w:kern w:val="0"/>
          <w:sz w:val="24"/>
          <w:szCs w:val="24"/>
          <w:lang w:val="en-US"/>
          <w14:ligatures w14:val="none"/>
        </w:rPr>
        <w:t xml:space="preserve"> dan </w:t>
      </w:r>
      <w:proofErr w:type="spellStart"/>
      <w:r>
        <w:rPr>
          <w:rFonts w:ascii="Times New Roman" w:eastAsia="Times New Roman" w:hAnsi="Times New Roman" w:cs="Times New Roman"/>
          <w:kern w:val="0"/>
          <w:sz w:val="24"/>
          <w:szCs w:val="24"/>
          <w:lang w:val="en-US"/>
          <w14:ligatures w14:val="none"/>
        </w:rPr>
        <w:t>signifikan</w:t>
      </w:r>
      <w:proofErr w:type="spellEnd"/>
      <w:r>
        <w:rPr>
          <w:rFonts w:ascii="Times New Roman" w:eastAsia="Times New Roman" w:hAnsi="Times New Roman" w:cs="Times New Roman"/>
          <w:kern w:val="0"/>
          <w:sz w:val="24"/>
          <w:szCs w:val="24"/>
          <w:lang w:val="en-US"/>
          <w14:ligatures w14:val="none"/>
        </w:rPr>
        <w:t xml:space="preserve"> </w:t>
      </w:r>
      <w:proofErr w:type="spellStart"/>
      <w:r>
        <w:rPr>
          <w:rFonts w:ascii="Times New Roman" w:eastAsia="Times New Roman" w:hAnsi="Times New Roman" w:cs="Times New Roman"/>
          <w:kern w:val="0"/>
          <w:sz w:val="24"/>
          <w:szCs w:val="24"/>
          <w:lang w:val="en-US"/>
          <w14:ligatures w14:val="none"/>
        </w:rPr>
        <w:t>terhadap</w:t>
      </w:r>
      <w:proofErr w:type="spellEnd"/>
      <w:r>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i/>
          <w:iCs/>
          <w:kern w:val="0"/>
          <w:sz w:val="24"/>
          <w:szCs w:val="24"/>
          <w:lang w:val="en-US"/>
          <w14:ligatures w14:val="none"/>
        </w:rPr>
        <w:t>Transfer Pricing</w:t>
      </w:r>
      <w:r>
        <w:rPr>
          <w:rFonts w:ascii="Times New Roman" w:eastAsia="Times New Roman" w:hAnsi="Times New Roman" w:cs="Times New Roman"/>
          <w:kern w:val="0"/>
          <w:sz w:val="24"/>
          <w:szCs w:val="24"/>
          <w:lang w:val="en-US"/>
          <w14:ligatures w14:val="none"/>
        </w:rPr>
        <w:t>.</w:t>
      </w:r>
    </w:p>
    <w:p w14:paraId="22E0B317" w14:textId="77777777" w:rsidR="00BB58C4" w:rsidRDefault="00000000">
      <w:pPr>
        <w:pStyle w:val="SubBab4"/>
        <w:spacing w:after="0"/>
      </w:pPr>
      <w:r>
        <w:t>4.2.6. Uji t</w:t>
      </w:r>
    </w:p>
    <w:p w14:paraId="214342F0" w14:textId="77777777" w:rsidR="00BB58C4" w:rsidRDefault="000000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penelitian ini uji t digunakan untuk mengetahui apakah masing-masing variabel independen dapat berpengaruh secara signifikan terhadap variabel dependen secara parsial. Jika nilai probabilitas signifikansi kurang dari 0,05, maka hipotesis pada penelitian ini diterima dan variabel independen berpengaruh terhadap variabel dependen. Adapun hasil dari uji t dalam penelitian ini yang disajikan dalam bentuk tabel sebagai berikut : </w:t>
      </w:r>
    </w:p>
    <w:p w14:paraId="2C6BB2E7" w14:textId="75A9D5F3" w:rsidR="00BB58C4" w:rsidRDefault="00000000">
      <w:pPr>
        <w:pStyle w:val="Caption"/>
        <w:spacing w:after="0" w:line="360" w:lineRule="auto"/>
        <w:rPr>
          <w:rFonts w:cs="Times New Roman"/>
          <w:sz w:val="28"/>
          <w:szCs w:val="28"/>
        </w:rPr>
      </w:pPr>
      <w:bookmarkStart w:id="179" w:name="_Toc210177623"/>
      <w:r>
        <w:rPr>
          <w:sz w:val="22"/>
          <w:szCs w:val="20"/>
        </w:rPr>
        <w:t>Tabel 4.</w:t>
      </w:r>
      <w:r>
        <w:rPr>
          <w:sz w:val="22"/>
          <w:szCs w:val="20"/>
        </w:rPr>
        <w:fldChar w:fldCharType="begin"/>
      </w:r>
      <w:r>
        <w:rPr>
          <w:sz w:val="22"/>
          <w:szCs w:val="20"/>
        </w:rPr>
        <w:instrText xml:space="preserve"> SEQ Tabel_4 \* ARABIC </w:instrText>
      </w:r>
      <w:r>
        <w:rPr>
          <w:sz w:val="22"/>
          <w:szCs w:val="20"/>
        </w:rPr>
        <w:fldChar w:fldCharType="separate"/>
      </w:r>
      <w:r w:rsidR="00DB7568">
        <w:rPr>
          <w:noProof/>
          <w:sz w:val="22"/>
          <w:szCs w:val="20"/>
        </w:rPr>
        <w:t>15</w:t>
      </w:r>
      <w:r>
        <w:rPr>
          <w:sz w:val="22"/>
          <w:szCs w:val="20"/>
        </w:rPr>
        <w:fldChar w:fldCharType="end"/>
      </w:r>
      <w:r>
        <w:rPr>
          <w:sz w:val="22"/>
          <w:szCs w:val="20"/>
        </w:rPr>
        <w:t xml:space="preserve"> </w:t>
      </w:r>
      <w:r>
        <w:rPr>
          <w:rFonts w:cs="Times New Roman"/>
          <w:bCs/>
          <w:sz w:val="22"/>
          <w:szCs w:val="22"/>
        </w:rPr>
        <w:t>Tabel Uji t</w:t>
      </w:r>
      <w:bookmarkEnd w:id="179"/>
    </w:p>
    <w:tbl>
      <w:tblPr>
        <w:tblStyle w:val="TableGrid"/>
        <w:tblW w:w="0" w:type="auto"/>
        <w:tblLook w:val="04A0" w:firstRow="1" w:lastRow="0" w:firstColumn="1" w:lastColumn="0" w:noHBand="0" w:noVBand="1"/>
      </w:tblPr>
      <w:tblGrid>
        <w:gridCol w:w="1980"/>
        <w:gridCol w:w="1389"/>
        <w:gridCol w:w="1638"/>
        <w:gridCol w:w="1480"/>
        <w:gridCol w:w="1440"/>
      </w:tblGrid>
      <w:tr w:rsidR="00BB58C4" w14:paraId="55DBBA23" w14:textId="77777777">
        <w:tc>
          <w:tcPr>
            <w:tcW w:w="1980" w:type="dxa"/>
          </w:tcPr>
          <w:p w14:paraId="3ABB06DC" w14:textId="77777777" w:rsidR="00BB58C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Variabel</w:t>
            </w:r>
          </w:p>
        </w:tc>
        <w:tc>
          <w:tcPr>
            <w:tcW w:w="1389" w:type="dxa"/>
          </w:tcPr>
          <w:p w14:paraId="3402EF94" w14:textId="77777777" w:rsidR="00BB58C4" w:rsidRDefault="00000000">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Coefficient</w:t>
            </w:r>
          </w:p>
        </w:tc>
        <w:tc>
          <w:tcPr>
            <w:tcW w:w="1638" w:type="dxa"/>
          </w:tcPr>
          <w:p w14:paraId="6FADC972" w14:textId="77777777" w:rsidR="00BB58C4" w:rsidRDefault="00000000">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Std.Err</w:t>
            </w:r>
          </w:p>
        </w:tc>
        <w:tc>
          <w:tcPr>
            <w:tcW w:w="1480" w:type="dxa"/>
          </w:tcPr>
          <w:p w14:paraId="7915FB98" w14:textId="77777777" w:rsidR="00BB58C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w:t>
            </w:r>
          </w:p>
        </w:tc>
        <w:tc>
          <w:tcPr>
            <w:tcW w:w="1440" w:type="dxa"/>
          </w:tcPr>
          <w:p w14:paraId="5B61E6AF" w14:textId="77777777" w:rsidR="00BB58C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P&gt;|</w:t>
            </w:r>
            <w:r>
              <w:rPr>
                <w:rFonts w:ascii="Times New Roman" w:hAnsi="Times New Roman" w:cs="Times New Roman"/>
                <w:b/>
                <w:bCs/>
                <w:i/>
                <w:iCs/>
                <w:sz w:val="20"/>
                <w:szCs w:val="20"/>
              </w:rPr>
              <w:t>t</w:t>
            </w:r>
            <w:r>
              <w:rPr>
                <w:rFonts w:ascii="Times New Roman" w:hAnsi="Times New Roman" w:cs="Times New Roman"/>
                <w:b/>
                <w:bCs/>
                <w:sz w:val="20"/>
                <w:szCs w:val="20"/>
              </w:rPr>
              <w:t>|</w:t>
            </w:r>
          </w:p>
        </w:tc>
      </w:tr>
      <w:tr w:rsidR="00BB58C4" w14:paraId="7E3D9E91" w14:textId="77777777">
        <w:tc>
          <w:tcPr>
            <w:tcW w:w="1980" w:type="dxa"/>
          </w:tcPr>
          <w:p w14:paraId="6980C680" w14:textId="77777777" w:rsidR="00BB58C4" w:rsidRDefault="000000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Tax Haven</w:t>
            </w:r>
          </w:p>
        </w:tc>
        <w:tc>
          <w:tcPr>
            <w:tcW w:w="1389" w:type="dxa"/>
          </w:tcPr>
          <w:p w14:paraId="0C4C0B06"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15.0783</w:t>
            </w:r>
          </w:p>
        </w:tc>
        <w:tc>
          <w:tcPr>
            <w:tcW w:w="1638" w:type="dxa"/>
          </w:tcPr>
          <w:p w14:paraId="5C4F9595"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1.886765</w:t>
            </w:r>
          </w:p>
        </w:tc>
        <w:tc>
          <w:tcPr>
            <w:tcW w:w="1480" w:type="dxa"/>
          </w:tcPr>
          <w:p w14:paraId="742A5C01"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7.99</w:t>
            </w:r>
          </w:p>
        </w:tc>
        <w:tc>
          <w:tcPr>
            <w:tcW w:w="1440" w:type="dxa"/>
          </w:tcPr>
          <w:p w14:paraId="18187B44"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0.000</w:t>
            </w:r>
          </w:p>
        </w:tc>
      </w:tr>
      <w:tr w:rsidR="00BB58C4" w14:paraId="47E58DF4" w14:textId="77777777">
        <w:tc>
          <w:tcPr>
            <w:tcW w:w="1980" w:type="dxa"/>
          </w:tcPr>
          <w:p w14:paraId="1CF909BA" w14:textId="77777777" w:rsidR="00BB58C4" w:rsidRDefault="000000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Intangible Asset</w:t>
            </w:r>
          </w:p>
        </w:tc>
        <w:tc>
          <w:tcPr>
            <w:tcW w:w="1389" w:type="dxa"/>
          </w:tcPr>
          <w:p w14:paraId="18F6F186"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4.219287</w:t>
            </w:r>
          </w:p>
        </w:tc>
        <w:tc>
          <w:tcPr>
            <w:tcW w:w="1638" w:type="dxa"/>
          </w:tcPr>
          <w:p w14:paraId="549C6A0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.2979839</w:t>
            </w:r>
          </w:p>
        </w:tc>
        <w:tc>
          <w:tcPr>
            <w:tcW w:w="1480" w:type="dxa"/>
          </w:tcPr>
          <w:p w14:paraId="0F9DAD20"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14.16</w:t>
            </w:r>
          </w:p>
        </w:tc>
        <w:tc>
          <w:tcPr>
            <w:tcW w:w="1440" w:type="dxa"/>
          </w:tcPr>
          <w:p w14:paraId="2F0758C7"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0.000</w:t>
            </w:r>
          </w:p>
        </w:tc>
      </w:tr>
      <w:tr w:rsidR="00BB58C4" w14:paraId="544781D8" w14:textId="77777777">
        <w:tc>
          <w:tcPr>
            <w:tcW w:w="1980" w:type="dxa"/>
          </w:tcPr>
          <w:p w14:paraId="4C83A44E" w14:textId="77777777" w:rsidR="00BB58C4" w:rsidRDefault="000000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Tax Minimization</w:t>
            </w:r>
          </w:p>
        </w:tc>
        <w:tc>
          <w:tcPr>
            <w:tcW w:w="1389" w:type="dxa"/>
          </w:tcPr>
          <w:p w14:paraId="714315E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12.22768</w:t>
            </w:r>
          </w:p>
        </w:tc>
        <w:tc>
          <w:tcPr>
            <w:tcW w:w="1638" w:type="dxa"/>
          </w:tcPr>
          <w:p w14:paraId="35AD443F"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.8527987</w:t>
            </w:r>
          </w:p>
        </w:tc>
        <w:tc>
          <w:tcPr>
            <w:tcW w:w="1480" w:type="dxa"/>
          </w:tcPr>
          <w:p w14:paraId="531FF73B"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14.34</w:t>
            </w:r>
          </w:p>
        </w:tc>
        <w:tc>
          <w:tcPr>
            <w:tcW w:w="1440" w:type="dxa"/>
          </w:tcPr>
          <w:p w14:paraId="0C5C842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0.000</w:t>
            </w:r>
          </w:p>
        </w:tc>
      </w:tr>
      <w:tr w:rsidR="00BB58C4" w14:paraId="4477239E" w14:textId="77777777">
        <w:tc>
          <w:tcPr>
            <w:tcW w:w="1980" w:type="dxa"/>
          </w:tcPr>
          <w:p w14:paraId="564D30F5" w14:textId="77777777" w:rsidR="00BB58C4" w:rsidRDefault="000000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Cons</w:t>
            </w:r>
          </w:p>
        </w:tc>
        <w:tc>
          <w:tcPr>
            <w:tcW w:w="1389" w:type="dxa"/>
          </w:tcPr>
          <w:p w14:paraId="6A5BF9A6"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11.29761</w:t>
            </w:r>
          </w:p>
        </w:tc>
        <w:tc>
          <w:tcPr>
            <w:tcW w:w="1638" w:type="dxa"/>
          </w:tcPr>
          <w:p w14:paraId="65853C8E"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3.216246</w:t>
            </w:r>
          </w:p>
        </w:tc>
        <w:tc>
          <w:tcPr>
            <w:tcW w:w="1480" w:type="dxa"/>
          </w:tcPr>
          <w:p w14:paraId="4370F8F7"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3.51</w:t>
            </w:r>
          </w:p>
        </w:tc>
        <w:tc>
          <w:tcPr>
            <w:tcW w:w="1440" w:type="dxa"/>
          </w:tcPr>
          <w:p w14:paraId="600BEC5A" w14:textId="77777777" w:rsidR="00BB58C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0.001</w:t>
            </w:r>
          </w:p>
        </w:tc>
      </w:tr>
    </w:tbl>
    <w:p w14:paraId="299E45F5" w14:textId="77777777" w:rsidR="00BB58C4" w:rsidRDefault="00000000">
      <w:pPr>
        <w:spacing w:line="360" w:lineRule="auto"/>
        <w:jc w:val="both"/>
        <w:rPr>
          <w:rFonts w:ascii="Times New Roman" w:hAnsi="Times New Roman" w:cs="Times New Roman"/>
          <w:i/>
          <w:iCs/>
          <w:sz w:val="20"/>
          <w:szCs w:val="20"/>
          <w:lang w:val="en-US"/>
        </w:rPr>
      </w:pPr>
      <w:proofErr w:type="spellStart"/>
      <w:r>
        <w:rPr>
          <w:rFonts w:ascii="Times New Roman" w:hAnsi="Times New Roman" w:cs="Times New Roman"/>
          <w:i/>
          <w:iCs/>
          <w:sz w:val="20"/>
          <w:szCs w:val="20"/>
          <w:lang w:val="en-US"/>
        </w:rPr>
        <w:t>Sumber</w:t>
      </w:r>
      <w:proofErr w:type="spellEnd"/>
      <w:r>
        <w:rPr>
          <w:rFonts w:ascii="Times New Roman" w:hAnsi="Times New Roman" w:cs="Times New Roman"/>
          <w:i/>
          <w:iCs/>
          <w:sz w:val="20"/>
          <w:szCs w:val="20"/>
          <w:lang w:val="en-US"/>
        </w:rPr>
        <w:t xml:space="preserve">: Data </w:t>
      </w:r>
      <w:proofErr w:type="spellStart"/>
      <w:r>
        <w:rPr>
          <w:rFonts w:ascii="Times New Roman" w:hAnsi="Times New Roman" w:cs="Times New Roman"/>
          <w:i/>
          <w:iCs/>
          <w:sz w:val="20"/>
          <w:szCs w:val="20"/>
          <w:lang w:val="en-US"/>
        </w:rPr>
        <w:t>Diolah</w:t>
      </w:r>
      <w:proofErr w:type="spellEnd"/>
      <w:r>
        <w:rPr>
          <w:rFonts w:ascii="Times New Roman" w:hAnsi="Times New Roman" w:cs="Times New Roman"/>
          <w:i/>
          <w:iCs/>
          <w:sz w:val="20"/>
          <w:szCs w:val="20"/>
          <w:lang w:val="en-US"/>
        </w:rPr>
        <w:t>, 2025</w:t>
      </w:r>
    </w:p>
    <w:p w14:paraId="37EE8E83" w14:textId="77777777" w:rsidR="00BB58C4" w:rsidRDefault="00000000">
      <w:pPr>
        <w:spacing w:after="0" w:line="480" w:lineRule="auto"/>
        <w:jc w:val="both"/>
        <w:rPr>
          <w:rFonts w:ascii="Times New Roman" w:hAnsi="Times New Roman" w:cs="Times New Roman"/>
          <w:sz w:val="24"/>
          <w:szCs w:val="24"/>
          <w:lang w:val="en-US"/>
        </w:rPr>
      </w:pPr>
      <w:r>
        <w:rPr>
          <w:rFonts w:ascii="Times New Roman" w:hAnsi="Times New Roman" w:cs="Times New Roman"/>
          <w:i/>
          <w:iCs/>
          <w:sz w:val="20"/>
          <w:szCs w:val="20"/>
          <w:lang w:val="en-US"/>
        </w:rPr>
        <w:tab/>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interpretasi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data panel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t-</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dan p-value, </w:t>
      </w:r>
      <w:proofErr w:type="spellStart"/>
      <w:r>
        <w:rPr>
          <w:rFonts w:ascii="Times New Roman" w:hAnsi="Times New Roman" w:cs="Times New Roman"/>
          <w:sz w:val="24"/>
          <w:szCs w:val="24"/>
          <w:lang w:val="en-US"/>
        </w:rPr>
        <w:t>disertai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syarat</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
    <w:p w14:paraId="55DE0E81" w14:textId="77777777" w:rsidR="00BB58C4" w:rsidRDefault="00000000">
      <w:pPr>
        <w:pStyle w:val="ListParagraph"/>
        <w:numPr>
          <w:ilvl w:val="0"/>
          <w:numId w:val="27"/>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Tax Haven </w:t>
      </w:r>
      <w:r>
        <w:rPr>
          <w:rFonts w:ascii="Times New Roman" w:hAnsi="Times New Roman" w:cs="Times New Roman"/>
          <w:sz w:val="24"/>
          <w:szCs w:val="24"/>
          <w:lang w:val="en-US"/>
        </w:rPr>
        <w:t xml:space="preserve">(X1)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Transfer Pricing</w:t>
      </w:r>
      <w:r>
        <w:rPr>
          <w:rFonts w:ascii="Times New Roman" w:hAnsi="Times New Roman" w:cs="Times New Roman"/>
          <w:sz w:val="24"/>
          <w:szCs w:val="24"/>
          <w:lang w:val="en-US"/>
        </w:rPr>
        <w:t>.</w:t>
      </w:r>
    </w:p>
    <w:p w14:paraId="42DF5FAD" w14:textId="77777777" w:rsidR="00BB58C4" w:rsidRDefault="00000000">
      <w:pPr>
        <w:pStyle w:val="ListParagraph"/>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X1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Tax Haven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p = 0,000 dan t = 7,99. Nilai p &lt; 0,05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Tax Haven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Transfer Pricing.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15,078 </w:t>
      </w:r>
      <w:proofErr w:type="spellStart"/>
      <w:r>
        <w:rPr>
          <w:rFonts w:ascii="Times New Roman" w:hAnsi="Times New Roman" w:cs="Times New Roman"/>
          <w:sz w:val="24"/>
          <w:szCs w:val="24"/>
          <w:lang w:val="en-US"/>
        </w:rPr>
        <w:t>mengindikasi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Tax Haven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pada </w:t>
      </w:r>
      <w:r>
        <w:rPr>
          <w:rFonts w:ascii="Times New Roman" w:hAnsi="Times New Roman" w:cs="Times New Roman"/>
          <w:i/>
          <w:iCs/>
          <w:sz w:val="24"/>
          <w:szCs w:val="24"/>
          <w:lang w:val="en-US"/>
        </w:rPr>
        <w:t>Tax Haven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bermakna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 xml:space="preserve"> (H</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w:t>
      </w:r>
    </w:p>
    <w:p w14:paraId="0E665082" w14:textId="77777777" w:rsidR="00BB58C4" w:rsidRDefault="00000000">
      <w:pPr>
        <w:pStyle w:val="ListParagraph"/>
        <w:numPr>
          <w:ilvl w:val="0"/>
          <w:numId w:val="27"/>
        </w:numPr>
        <w:spacing w:line="480" w:lineRule="auto"/>
        <w:jc w:val="both"/>
        <w:rPr>
          <w:rFonts w:ascii="Times New Roman" w:hAnsi="Times New Roman" w:cs="Times New Roman"/>
          <w:lang w:val="en-US"/>
        </w:rPr>
      </w:pPr>
      <w:r>
        <w:rPr>
          <w:rFonts w:ascii="Times New Roman" w:hAnsi="Times New Roman" w:cs="Times New Roman"/>
          <w:lang w:val="en-US"/>
        </w:rPr>
        <w:lastRenderedPageBreak/>
        <w:t>H</w:t>
      </w:r>
      <w:proofErr w:type="gramStart"/>
      <w:r>
        <w:rPr>
          <w:rFonts w:ascii="Times New Roman" w:hAnsi="Times New Roman" w:cs="Times New Roman"/>
          <w:vertAlign w:val="subscript"/>
          <w:lang w:val="en-US"/>
        </w:rPr>
        <w:t>2</w:t>
      </w:r>
      <w:r>
        <w:rPr>
          <w:rFonts w:ascii="Times New Roman" w:hAnsi="Times New Roman" w:cs="Times New Roman"/>
          <w:lang w:val="en-US"/>
        </w:rPr>
        <w:t xml:space="preserve"> :</w:t>
      </w:r>
      <w:proofErr w:type="gramEnd"/>
      <w:r>
        <w:rPr>
          <w:rFonts w:ascii="Times New Roman" w:hAnsi="Times New Roman" w:cs="Times New Roman"/>
          <w:lang w:val="en-US"/>
        </w:rPr>
        <w:t xml:space="preserve"> </w:t>
      </w:r>
      <w:r>
        <w:rPr>
          <w:rFonts w:ascii="Times New Roman" w:hAnsi="Times New Roman" w:cs="Times New Roman"/>
          <w:i/>
          <w:iCs/>
          <w:lang w:val="en-US"/>
        </w:rPr>
        <w:t xml:space="preserve">Intangible Asset </w:t>
      </w:r>
      <w:r>
        <w:rPr>
          <w:rFonts w:ascii="Times New Roman" w:hAnsi="Times New Roman" w:cs="Times New Roman"/>
          <w:lang w:val="en-US"/>
        </w:rPr>
        <w:t xml:space="preserve">(X2) </w:t>
      </w:r>
      <w:proofErr w:type="spellStart"/>
      <w:r>
        <w:rPr>
          <w:rFonts w:ascii="Times New Roman" w:hAnsi="Times New Roman" w:cs="Times New Roman"/>
          <w:lang w:val="en-US"/>
        </w:rPr>
        <w:t>berpengaruh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positif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terhadap</w:t>
      </w:r>
      <w:proofErr w:type="spellEnd"/>
      <w:r>
        <w:rPr>
          <w:rFonts w:ascii="Times New Roman" w:hAnsi="Times New Roman" w:cs="Times New Roman"/>
          <w:lang w:val="en-US"/>
        </w:rPr>
        <w:t xml:space="preserve"> </w:t>
      </w:r>
      <w:r>
        <w:rPr>
          <w:rFonts w:ascii="Times New Roman" w:hAnsi="Times New Roman" w:cs="Times New Roman"/>
          <w:i/>
          <w:iCs/>
          <w:lang w:val="en-US"/>
        </w:rPr>
        <w:t>Transfer Pricing</w:t>
      </w:r>
      <w:r>
        <w:rPr>
          <w:rFonts w:ascii="Times New Roman" w:hAnsi="Times New Roman" w:cs="Times New Roman"/>
          <w:lang w:val="en-US"/>
        </w:rPr>
        <w:t>.</w:t>
      </w:r>
    </w:p>
    <w:p w14:paraId="062B4AD8" w14:textId="77777777" w:rsidR="00BB58C4" w:rsidRDefault="00000000">
      <w:pPr>
        <w:pStyle w:val="ListParagraph"/>
        <w:spacing w:line="480" w:lineRule="auto"/>
        <w:jc w:val="both"/>
        <w:rPr>
          <w:rFonts w:ascii="Times New Roman" w:hAnsi="Times New Roman" w:cs="Times New Roman"/>
          <w:lang w:val="en-US"/>
        </w:rPr>
      </w:pPr>
      <w:proofErr w:type="spellStart"/>
      <w:r>
        <w:rPr>
          <w:rFonts w:ascii="Times New Roman" w:hAnsi="Times New Roman" w:cs="Times New Roman"/>
          <w:lang w:val="en-US"/>
        </w:rPr>
        <w:t>Variabel</w:t>
      </w:r>
      <w:proofErr w:type="spellEnd"/>
      <w:r>
        <w:rPr>
          <w:rFonts w:ascii="Times New Roman" w:hAnsi="Times New Roman" w:cs="Times New Roman"/>
          <w:lang w:val="en-US"/>
        </w:rPr>
        <w:t xml:space="preserve"> X2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r>
        <w:rPr>
          <w:rFonts w:ascii="Times New Roman" w:hAnsi="Times New Roman" w:cs="Times New Roman"/>
          <w:i/>
          <w:iCs/>
          <w:lang w:val="en-US"/>
        </w:rPr>
        <w:t>Intangible Asset</w:t>
      </w:r>
      <w:r>
        <w:rPr>
          <w:rFonts w:ascii="Times New Roman" w:hAnsi="Times New Roman" w:cs="Times New Roman"/>
          <w:lang w:val="en-US"/>
        </w:rPr>
        <w:t xml:space="preserve">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p = 0,000 dan t = 14,16. Nilai p &lt; 0,05 </w:t>
      </w:r>
      <w:proofErr w:type="spellStart"/>
      <w:r>
        <w:rPr>
          <w:rFonts w:ascii="Times New Roman" w:hAnsi="Times New Roman" w:cs="Times New Roman"/>
          <w:lang w:val="en-US"/>
        </w:rPr>
        <w:t>menunjukkan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intangible asset </w:t>
      </w:r>
      <w:proofErr w:type="spellStart"/>
      <w:r>
        <w:rPr>
          <w:rFonts w:ascii="Times New Roman" w:hAnsi="Times New Roman" w:cs="Times New Roman"/>
          <w:lang w:val="en-US"/>
        </w:rPr>
        <w:t>berpengaruh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signifikan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statistik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terhadap</w:t>
      </w:r>
      <w:proofErr w:type="spellEnd"/>
      <w:r>
        <w:rPr>
          <w:rFonts w:ascii="Times New Roman" w:hAnsi="Times New Roman" w:cs="Times New Roman"/>
          <w:lang w:val="en-US"/>
        </w:rPr>
        <w:t xml:space="preserve"> </w:t>
      </w:r>
      <w:r>
        <w:rPr>
          <w:rFonts w:ascii="Times New Roman" w:hAnsi="Times New Roman" w:cs="Times New Roman"/>
          <w:i/>
          <w:iCs/>
          <w:lang w:val="en-US"/>
        </w:rPr>
        <w:t>Transfer Pricing</w:t>
      </w:r>
      <w:r>
        <w:rPr>
          <w:rFonts w:ascii="Times New Roman" w:hAnsi="Times New Roman" w:cs="Times New Roman"/>
          <w:lang w:val="en-US"/>
        </w:rPr>
        <w:t xml:space="preserve">. </w:t>
      </w:r>
      <w:proofErr w:type="spellStart"/>
      <w:r>
        <w:rPr>
          <w:rFonts w:ascii="Times New Roman" w:hAnsi="Times New Roman" w:cs="Times New Roman"/>
          <w:lang w:val="en-US"/>
        </w:rPr>
        <w:t>Koefisien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regresi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positif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sebesar</w:t>
      </w:r>
      <w:proofErr w:type="spellEnd"/>
      <w:r>
        <w:rPr>
          <w:rFonts w:ascii="Times New Roman" w:hAnsi="Times New Roman" w:cs="Times New Roman"/>
          <w:lang w:val="en-US"/>
        </w:rPr>
        <w:t xml:space="preserve"> 4,219 </w:t>
      </w:r>
      <w:proofErr w:type="spellStart"/>
      <w:r>
        <w:rPr>
          <w:rFonts w:ascii="Times New Roman" w:hAnsi="Times New Roman" w:cs="Times New Roman"/>
          <w:lang w:val="en-US"/>
        </w:rPr>
        <w:t>menunjukkan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intangible asset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hubungan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positif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signifikan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r>
        <w:rPr>
          <w:rFonts w:ascii="Times New Roman" w:hAnsi="Times New Roman" w:cs="Times New Roman"/>
          <w:i/>
          <w:iCs/>
          <w:lang w:val="en-US"/>
        </w:rPr>
        <w:t>Transfer Pricing</w:t>
      </w:r>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demikian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kenaikan</w:t>
      </w:r>
      <w:proofErr w:type="spellEnd"/>
      <w:r>
        <w:rPr>
          <w:rFonts w:ascii="Times New Roman" w:hAnsi="Times New Roman" w:cs="Times New Roman"/>
          <w:lang w:val="en-US"/>
        </w:rPr>
        <w:t xml:space="preserve"> </w:t>
      </w:r>
      <w:r>
        <w:rPr>
          <w:rFonts w:ascii="Times New Roman" w:hAnsi="Times New Roman" w:cs="Times New Roman"/>
          <w:i/>
          <w:iCs/>
          <w:lang w:val="en-US"/>
        </w:rPr>
        <w:t>intangible asset</w:t>
      </w:r>
      <w:r>
        <w:rPr>
          <w:rFonts w:ascii="Times New Roman" w:hAnsi="Times New Roman" w:cs="Times New Roman"/>
          <w:lang w:val="en-US"/>
        </w:rPr>
        <w:t xml:space="preserve"> </w:t>
      </w:r>
      <w:proofErr w:type="spellStart"/>
      <w:r>
        <w:rPr>
          <w:rFonts w:ascii="Times New Roman" w:hAnsi="Times New Roman" w:cs="Times New Roman"/>
          <w:lang w:val="en-US"/>
        </w:rPr>
        <w: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nyata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meningkatkan</w:t>
      </w:r>
      <w:proofErr w:type="spellEnd"/>
      <w:r>
        <w:rPr>
          <w:rFonts w:ascii="Times New Roman" w:hAnsi="Times New Roman" w:cs="Times New Roman"/>
          <w:lang w:val="en-US"/>
        </w:rPr>
        <w:t xml:space="preserve"> </w:t>
      </w:r>
      <w:r>
        <w:rPr>
          <w:rFonts w:ascii="Times New Roman" w:hAnsi="Times New Roman" w:cs="Times New Roman"/>
          <w:i/>
          <w:iCs/>
          <w:lang w:val="en-US"/>
        </w:rPr>
        <w:t>Transfer Pricing</w:t>
      </w:r>
      <w:r>
        <w:rPr>
          <w:rFonts w:ascii="Times New Roman" w:hAnsi="Times New Roman" w:cs="Times New Roman"/>
          <w:lang w:val="en-US"/>
        </w:rPr>
        <w:t xml:space="preserve">. Maka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disimpulkan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(H2) </w:t>
      </w:r>
      <w:proofErr w:type="spellStart"/>
      <w:r>
        <w:rPr>
          <w:rFonts w:ascii="Times New Roman" w:hAnsi="Times New Roman" w:cs="Times New Roman"/>
          <w:lang w:val="en-US"/>
        </w:rPr>
        <w:t>diterima</w:t>
      </w:r>
      <w:proofErr w:type="spellEnd"/>
      <w:r>
        <w:rPr>
          <w:rFonts w:ascii="Times New Roman" w:hAnsi="Times New Roman" w:cs="Times New Roman"/>
          <w:lang w:val="en-US"/>
        </w:rPr>
        <w:t>.</w:t>
      </w:r>
    </w:p>
    <w:p w14:paraId="45E2FC1D" w14:textId="77777777" w:rsidR="00BB58C4" w:rsidRDefault="00000000">
      <w:pPr>
        <w:pStyle w:val="ListParagraph"/>
        <w:numPr>
          <w:ilvl w:val="0"/>
          <w:numId w:val="27"/>
        </w:numPr>
        <w:spacing w:line="480" w:lineRule="auto"/>
        <w:jc w:val="both"/>
        <w:rPr>
          <w:rFonts w:ascii="Times New Roman" w:hAnsi="Times New Roman" w:cs="Times New Roman"/>
          <w:lang w:val="en-US"/>
        </w:rPr>
      </w:pPr>
      <w:r>
        <w:rPr>
          <w:rFonts w:ascii="Times New Roman" w:hAnsi="Times New Roman" w:cs="Times New Roman"/>
          <w:lang w:val="en-US"/>
        </w:rPr>
        <w:t>H</w:t>
      </w:r>
      <w:proofErr w:type="gramStart"/>
      <w:r>
        <w:rPr>
          <w:rFonts w:ascii="Times New Roman" w:hAnsi="Times New Roman" w:cs="Times New Roman"/>
          <w:vertAlign w:val="subscript"/>
          <w:lang w:val="en-US"/>
        </w:rPr>
        <w:t>3</w:t>
      </w:r>
      <w:r>
        <w:rPr>
          <w:rFonts w:ascii="Times New Roman" w:hAnsi="Times New Roman" w:cs="Times New Roman"/>
          <w:lang w:val="en-US"/>
        </w:rPr>
        <w:t xml:space="preserve"> :</w:t>
      </w:r>
      <w:proofErr w:type="gramEnd"/>
      <w:r>
        <w:rPr>
          <w:rFonts w:ascii="Times New Roman" w:hAnsi="Times New Roman" w:cs="Times New Roman"/>
          <w:lang w:val="en-US"/>
        </w:rPr>
        <w:t xml:space="preserve"> </w:t>
      </w:r>
      <w:r>
        <w:rPr>
          <w:rFonts w:ascii="Times New Roman" w:hAnsi="Times New Roman" w:cs="Times New Roman"/>
          <w:i/>
          <w:iCs/>
          <w:lang w:val="en-US"/>
        </w:rPr>
        <w:t xml:space="preserve">Tax Minimization </w:t>
      </w:r>
      <w:r>
        <w:rPr>
          <w:rFonts w:ascii="Times New Roman" w:hAnsi="Times New Roman" w:cs="Times New Roman"/>
          <w:lang w:val="en-US"/>
        </w:rPr>
        <w:t xml:space="preserve">(X3) </w:t>
      </w:r>
      <w:proofErr w:type="spellStart"/>
      <w:r>
        <w:rPr>
          <w:rFonts w:ascii="Times New Roman" w:hAnsi="Times New Roman" w:cs="Times New Roman"/>
          <w:lang w:val="en-US"/>
        </w:rPr>
        <w:t>berpengaruh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positif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terhadap</w:t>
      </w:r>
      <w:proofErr w:type="spellEnd"/>
      <w:r>
        <w:rPr>
          <w:rFonts w:ascii="Times New Roman" w:hAnsi="Times New Roman" w:cs="Times New Roman"/>
          <w:lang w:val="en-US"/>
        </w:rPr>
        <w:t xml:space="preserve"> </w:t>
      </w:r>
      <w:r>
        <w:rPr>
          <w:rFonts w:ascii="Times New Roman" w:hAnsi="Times New Roman" w:cs="Times New Roman"/>
          <w:i/>
          <w:iCs/>
          <w:lang w:val="en-US"/>
        </w:rPr>
        <w:t>Transfer Pricing</w:t>
      </w:r>
      <w:r>
        <w:rPr>
          <w:rFonts w:ascii="Times New Roman" w:hAnsi="Times New Roman" w:cs="Times New Roman"/>
          <w:lang w:val="en-US"/>
        </w:rPr>
        <w:t>.</w:t>
      </w:r>
    </w:p>
    <w:p w14:paraId="2FEEAE7E" w14:textId="77777777" w:rsidR="00BB58C4" w:rsidRDefault="00000000">
      <w:pPr>
        <w:pStyle w:val="ListParagraph"/>
        <w:spacing w:after="0" w:line="480" w:lineRule="auto"/>
        <w:jc w:val="both"/>
        <w:rPr>
          <w:rFonts w:ascii="Times New Roman" w:hAnsi="Times New Roman" w:cs="Times New Roman"/>
          <w:lang w:val="en-US"/>
        </w:rPr>
      </w:pPr>
      <w:proofErr w:type="spellStart"/>
      <w:r>
        <w:rPr>
          <w:rFonts w:ascii="Times New Roman" w:hAnsi="Times New Roman" w:cs="Times New Roman"/>
          <w:lang w:val="en-US"/>
        </w:rPr>
        <w:t>Variabel</w:t>
      </w:r>
      <w:proofErr w:type="spellEnd"/>
      <w:r>
        <w:rPr>
          <w:rFonts w:ascii="Times New Roman" w:hAnsi="Times New Roman" w:cs="Times New Roman"/>
          <w:lang w:val="en-US"/>
        </w:rPr>
        <w:t xml:space="preserve"> X3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r>
        <w:rPr>
          <w:rFonts w:ascii="Times New Roman" w:hAnsi="Times New Roman" w:cs="Times New Roman"/>
          <w:i/>
          <w:iCs/>
          <w:lang w:val="en-US"/>
        </w:rPr>
        <w:t>Tax Minimization</w:t>
      </w:r>
      <w:r>
        <w:rPr>
          <w:rFonts w:ascii="Times New Roman" w:hAnsi="Times New Roman" w:cs="Times New Roman"/>
          <w:lang w:val="en-US"/>
        </w:rPr>
        <w:t xml:space="preserve"> </w:t>
      </w:r>
      <w:proofErr w:type="spellStart"/>
      <w:r>
        <w:rPr>
          <w:rFonts w:ascii="Times New Roman" w:hAnsi="Times New Roman" w:cs="Times New Roman"/>
          <w:lang w:val="en-US"/>
        </w:rPr>
        <w:t>memiliki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p = 0,000 dan t = 14,34. Nilai p &lt; 0,05 </w:t>
      </w:r>
      <w:proofErr w:type="spellStart"/>
      <w:r>
        <w:rPr>
          <w:rFonts w:ascii="Times New Roman" w:hAnsi="Times New Roman" w:cs="Times New Roman"/>
          <w:lang w:val="en-US"/>
        </w:rPr>
        <w:t>menunjukkan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r>
        <w:rPr>
          <w:rFonts w:ascii="Times New Roman" w:hAnsi="Times New Roman" w:cs="Times New Roman"/>
          <w:i/>
          <w:iCs/>
          <w:lang w:val="en-US"/>
        </w:rPr>
        <w:t>Tax Minimization</w:t>
      </w:r>
      <w:r>
        <w:rPr>
          <w:rFonts w:ascii="Times New Roman" w:hAnsi="Times New Roman" w:cs="Times New Roman"/>
          <w:lang w:val="en-US"/>
        </w:rPr>
        <w:t xml:space="preserve"> </w:t>
      </w:r>
      <w:proofErr w:type="spellStart"/>
      <w:r>
        <w:rPr>
          <w:rFonts w:ascii="Times New Roman" w:hAnsi="Times New Roman" w:cs="Times New Roman"/>
          <w:lang w:val="en-US"/>
        </w:rPr>
        <w:t>berpengaruh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signifikan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statistik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terhadap</w:t>
      </w:r>
      <w:proofErr w:type="spellEnd"/>
      <w:r>
        <w:rPr>
          <w:rFonts w:ascii="Times New Roman" w:hAnsi="Times New Roman" w:cs="Times New Roman"/>
          <w:lang w:val="en-US"/>
        </w:rPr>
        <w:t xml:space="preserve"> </w:t>
      </w:r>
      <w:r>
        <w:rPr>
          <w:rFonts w:ascii="Times New Roman" w:hAnsi="Times New Roman" w:cs="Times New Roman"/>
          <w:i/>
          <w:iCs/>
          <w:lang w:val="en-US"/>
        </w:rPr>
        <w:t>Transfer Pricing</w:t>
      </w:r>
      <w:r>
        <w:rPr>
          <w:rFonts w:ascii="Times New Roman" w:hAnsi="Times New Roman" w:cs="Times New Roman"/>
          <w:lang w:val="en-US"/>
        </w:rPr>
        <w:t xml:space="preserve">. </w:t>
      </w:r>
      <w:proofErr w:type="spellStart"/>
      <w:r>
        <w:rPr>
          <w:rFonts w:ascii="Times New Roman" w:hAnsi="Times New Roman" w:cs="Times New Roman"/>
          <w:lang w:val="en-US"/>
        </w:rPr>
        <w:t>Koefisien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positif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sebesar</w:t>
      </w:r>
      <w:proofErr w:type="spellEnd"/>
      <w:r>
        <w:rPr>
          <w:rFonts w:ascii="Times New Roman" w:hAnsi="Times New Roman" w:cs="Times New Roman"/>
          <w:lang w:val="en-US"/>
        </w:rPr>
        <w:t xml:space="preserve"> 12,227 </w:t>
      </w:r>
      <w:proofErr w:type="spellStart"/>
      <w:r>
        <w:rPr>
          <w:rFonts w:ascii="Times New Roman" w:hAnsi="Times New Roman" w:cs="Times New Roman"/>
          <w:lang w:val="en-US"/>
        </w:rPr>
        <w:t>menandakan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bahwa</w:t>
      </w:r>
      <w:proofErr w:type="spellEnd"/>
      <w:r>
        <w:rPr>
          <w:rFonts w:ascii="Times New Roman" w:hAnsi="Times New Roman" w:cs="Times New Roman"/>
          <w:lang w:val="en-US"/>
        </w:rPr>
        <w:t xml:space="preserve"> </w:t>
      </w:r>
      <w:r>
        <w:rPr>
          <w:rFonts w:ascii="Times New Roman" w:hAnsi="Times New Roman" w:cs="Times New Roman"/>
          <w:i/>
          <w:iCs/>
          <w:lang w:val="en-US"/>
        </w:rPr>
        <w:t>Tax Minimization</w:t>
      </w:r>
      <w:r>
        <w:rPr>
          <w:rFonts w:ascii="Times New Roman" w:hAnsi="Times New Roman" w:cs="Times New Roman"/>
          <w:lang w:val="en-US"/>
        </w:rPr>
        <w:t xml:space="preserve"> </w:t>
      </w:r>
      <w:proofErr w:type="spellStart"/>
      <w:r>
        <w:rPr>
          <w:rFonts w:ascii="Times New Roman" w:hAnsi="Times New Roman" w:cs="Times New Roman"/>
          <w:lang w:val="en-US"/>
        </w:rPr>
        <w:t>berhubungan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positif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signifikan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r>
        <w:rPr>
          <w:rFonts w:ascii="Times New Roman" w:hAnsi="Times New Roman" w:cs="Times New Roman"/>
          <w:i/>
          <w:iCs/>
          <w:lang w:val="en-US"/>
        </w:rPr>
        <w:t>Transfer Pricing</w:t>
      </w:r>
      <w:r>
        <w:rPr>
          <w:rFonts w:ascii="Times New Roman" w:hAnsi="Times New Roman" w:cs="Times New Roman"/>
          <w:lang w:val="en-US"/>
        </w:rPr>
        <w:t xml:space="preserve">. </w:t>
      </w:r>
      <w:proofErr w:type="spellStart"/>
      <w:r>
        <w:rPr>
          <w:rFonts w:ascii="Times New Roman" w:hAnsi="Times New Roman" w:cs="Times New Roman"/>
          <w:lang w:val="en-US"/>
        </w:rPr>
        <w:t>Artinya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setiap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peningkatan</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Tax Minimization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bermakna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meningkatkan</w:t>
      </w:r>
      <w:proofErr w:type="spellEnd"/>
      <w:r>
        <w:rPr>
          <w:rFonts w:ascii="Times New Roman" w:hAnsi="Times New Roman" w:cs="Times New Roman"/>
          <w:lang w:val="en-US"/>
        </w:rPr>
        <w:t xml:space="preserve"> </w:t>
      </w:r>
      <w:r>
        <w:rPr>
          <w:rFonts w:ascii="Times New Roman" w:hAnsi="Times New Roman" w:cs="Times New Roman"/>
          <w:i/>
          <w:iCs/>
          <w:lang w:val="en-US"/>
        </w:rPr>
        <w:t>Transfer Pricing</w:t>
      </w:r>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demikian</w:t>
      </w:r>
      <w:proofErr w:type="spellEnd"/>
      <w:r>
        <w:rPr>
          <w:rFonts w:ascii="Times New Roman" w:hAnsi="Times New Roman" w:cs="Times New Roman"/>
          <w:lang w:val="en-US"/>
        </w:rPr>
        <w:t xml:space="preserve"> H</w:t>
      </w:r>
      <w:r>
        <w:rPr>
          <w:rFonts w:ascii="Times New Roman" w:hAnsi="Times New Roman" w:cs="Times New Roman"/>
          <w:vertAlign w:val="subscript"/>
          <w:lang w:val="en-US"/>
        </w:rPr>
        <w:t>3</w:t>
      </w:r>
      <w:r>
        <w:rPr>
          <w:rFonts w:ascii="Times New Roman" w:hAnsi="Times New Roman" w:cs="Times New Roman"/>
          <w:lang w:val="en-US"/>
        </w:rPr>
        <w:t xml:space="preserve"> </w:t>
      </w:r>
      <w:proofErr w:type="spellStart"/>
      <w:r>
        <w:rPr>
          <w:rFonts w:ascii="Times New Roman" w:hAnsi="Times New Roman" w:cs="Times New Roman"/>
          <w:lang w:val="en-US"/>
        </w:rPr>
        <w:t>diterima</w:t>
      </w:r>
      <w:proofErr w:type="spellEnd"/>
      <w:r>
        <w:rPr>
          <w:rFonts w:ascii="Times New Roman" w:hAnsi="Times New Roman" w:cs="Times New Roman"/>
          <w:lang w:val="en-US"/>
        </w:rPr>
        <w:t>.</w:t>
      </w:r>
    </w:p>
    <w:p w14:paraId="72A8D5F6" w14:textId="77777777" w:rsidR="00BB58C4" w:rsidRDefault="00000000">
      <w:pPr>
        <w:pStyle w:val="subbab40"/>
        <w:rPr>
          <w:lang w:val="en-US"/>
        </w:rPr>
      </w:pPr>
      <w:bookmarkStart w:id="180" w:name="_Toc220995064"/>
      <w:proofErr w:type="spellStart"/>
      <w:r>
        <w:rPr>
          <w:lang w:val="en-US"/>
        </w:rPr>
        <w:t>Pembahasan</w:t>
      </w:r>
      <w:bookmarkEnd w:id="180"/>
      <w:proofErr w:type="spellEnd"/>
    </w:p>
    <w:p w14:paraId="5225356D" w14:textId="77777777" w:rsidR="00BB58C4" w:rsidRDefault="00000000">
      <w:pPr>
        <w:pStyle w:val="subheading312"/>
        <w:tabs>
          <w:tab w:val="left" w:pos="567"/>
        </w:tabs>
        <w:rPr>
          <w:lang w:val="en-US"/>
        </w:rPr>
      </w:pPr>
      <w:bookmarkStart w:id="181" w:name="_Toc220995065"/>
      <w:r>
        <w:rPr>
          <w:lang w:val="en-US"/>
        </w:rPr>
        <w:t xml:space="preserve">4.3.1. </w:t>
      </w:r>
      <w:proofErr w:type="spellStart"/>
      <w:r>
        <w:rPr>
          <w:lang w:val="en-US"/>
        </w:rPr>
        <w:t>Pengaruh</w:t>
      </w:r>
      <w:proofErr w:type="spellEnd"/>
      <w:r>
        <w:rPr>
          <w:lang w:val="en-US"/>
        </w:rPr>
        <w:t xml:space="preserve"> </w:t>
      </w:r>
      <w:r>
        <w:rPr>
          <w:i/>
          <w:iCs/>
          <w:lang w:val="en-US"/>
        </w:rPr>
        <w:t>Tax Haven</w:t>
      </w:r>
      <w:r>
        <w:rPr>
          <w:lang w:val="en-US"/>
        </w:rPr>
        <w:t xml:space="preserve"> </w:t>
      </w:r>
      <w:proofErr w:type="spellStart"/>
      <w:r>
        <w:rPr>
          <w:lang w:val="en-US"/>
        </w:rPr>
        <w:t>terhadap</w:t>
      </w:r>
      <w:proofErr w:type="spellEnd"/>
      <w:r>
        <w:rPr>
          <w:lang w:val="en-US"/>
        </w:rPr>
        <w:t xml:space="preserve"> Transfer Pricing</w:t>
      </w:r>
      <w:bookmarkEnd w:id="181"/>
    </w:p>
    <w:p w14:paraId="787F888F" w14:textId="77777777" w:rsidR="00BB58C4" w:rsidRDefault="00000000">
      <w:pPr>
        <w:pStyle w:val="ListParagraph"/>
        <w:tabs>
          <w:tab w:val="left" w:pos="1985"/>
        </w:tabs>
        <w:spacing w:line="480" w:lineRule="auto"/>
        <w:ind w:left="0"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tax haven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0.00 &lt; 0,05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15,078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Maka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tax haven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internalisasi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cenderung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menginternalisasi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unit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grupnya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mengurangi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transaksi</w:t>
      </w:r>
      <w:proofErr w:type="spellEnd"/>
      <w:r>
        <w:rPr>
          <w:rFonts w:ascii="Times New Roman" w:hAnsi="Times New Roman" w:cs="Times New Roman"/>
          <w:sz w:val="24"/>
          <w:szCs w:val="24"/>
          <w:lang w:val="en-US"/>
        </w:rPr>
        <w:t xml:space="preserve"> internal dan </w:t>
      </w:r>
      <w:proofErr w:type="spellStart"/>
      <w:r>
        <w:rPr>
          <w:rFonts w:ascii="Times New Roman" w:hAnsi="Times New Roman" w:cs="Times New Roman"/>
          <w:sz w:val="24"/>
          <w:szCs w:val="24"/>
          <w:lang w:val="en-US"/>
        </w:rPr>
        <w:t>eksternal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pembayaran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memanfaatkan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keberadaan</w:t>
      </w:r>
      <w:proofErr w:type="spellEnd"/>
      <w:r>
        <w:rPr>
          <w:rFonts w:ascii="Times New Roman" w:hAnsi="Times New Roman" w:cs="Times New Roman"/>
          <w:sz w:val="24"/>
          <w:szCs w:val="24"/>
          <w:lang w:val="en-US"/>
        </w:rPr>
        <w:t xml:space="preserve"> negara </w:t>
      </w:r>
      <w:r>
        <w:rPr>
          <w:rFonts w:ascii="Times New Roman" w:hAnsi="Times New Roman" w:cs="Times New Roman"/>
          <w:i/>
          <w:iCs/>
          <w:sz w:val="24"/>
          <w:szCs w:val="24"/>
          <w:lang w:val="en-US"/>
        </w:rPr>
        <w:t>tax haven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memaksimalkan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keuntungan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pajak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keuntungan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sebesar-besarnya</w:t>
      </w:r>
      <w:proofErr w:type="spellEnd"/>
      <w:r>
        <w:rPr>
          <w:rFonts w:ascii="Times New Roman" w:hAnsi="Times New Roman" w:cs="Times New Roman"/>
          <w:sz w:val="24"/>
          <w:szCs w:val="24"/>
          <w:lang w:val="en-US"/>
        </w:rPr>
        <w:t>.</w:t>
      </w:r>
    </w:p>
    <w:p w14:paraId="4FA6E0B7" w14:textId="77777777" w:rsidR="00BB58C4" w:rsidRDefault="00000000">
      <w:pPr>
        <w:pStyle w:val="ListParagraph"/>
        <w:tabs>
          <w:tab w:val="left" w:pos="1985"/>
        </w:tabs>
        <w:spacing w:line="480" w:lineRule="auto"/>
        <w:ind w:left="0" w:firstLine="709"/>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Tax haven </w:t>
      </w:r>
      <w:proofErr w:type="spellStart"/>
      <w:r>
        <w:rPr>
          <w:rFonts w:ascii="Times New Roman" w:hAnsi="Times New Roman" w:cs="Times New Roman"/>
          <w:sz w:val="24"/>
          <w:szCs w:val="24"/>
          <w:lang w:val="en-US"/>
        </w:rPr>
        <w:t>menawarkan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tarif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pajak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tarif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insentif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multinasional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mengalihkan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keuntungan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mekanisme</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memanfaatkan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tax haven,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harga</w:t>
      </w:r>
      <w:proofErr w:type="spellEnd"/>
      <w:r>
        <w:rPr>
          <w:rFonts w:ascii="Times New Roman" w:hAnsi="Times New Roman" w:cs="Times New Roman"/>
          <w:sz w:val="24"/>
          <w:szCs w:val="24"/>
          <w:lang w:val="en-US"/>
        </w:rPr>
        <w:t xml:space="preserve"> transfer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istimewa</w:t>
      </w:r>
      <w:proofErr w:type="spellEnd"/>
      <w:r>
        <w:rPr>
          <w:rFonts w:ascii="Times New Roman" w:hAnsi="Times New Roman" w:cs="Times New Roman"/>
          <w:sz w:val="24"/>
          <w:szCs w:val="24"/>
          <w:lang w:val="en-US"/>
        </w:rPr>
        <w:t xml:space="preserve"> guna </w:t>
      </w:r>
      <w:proofErr w:type="spellStart"/>
      <w:r>
        <w:rPr>
          <w:rFonts w:ascii="Times New Roman" w:hAnsi="Times New Roman" w:cs="Times New Roman"/>
          <w:sz w:val="24"/>
          <w:szCs w:val="24"/>
          <w:lang w:val="en-US"/>
        </w:rPr>
        <w:t>meminimalkan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pajak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keseluruhan</w:t>
      </w:r>
      <w:proofErr w:type="spellEnd"/>
      <w:r>
        <w:rPr>
          <w:rFonts w:ascii="Times New Roman" w:hAnsi="Times New Roman" w:cs="Times New Roman"/>
          <w:sz w:val="24"/>
          <w:szCs w:val="24"/>
          <w:lang w:val="en-US"/>
        </w:rPr>
        <w:t>.</w:t>
      </w:r>
    </w:p>
    <w:p w14:paraId="5007B59B" w14:textId="77777777" w:rsidR="00BB58C4" w:rsidRDefault="00000000">
      <w:pPr>
        <w:pStyle w:val="ListParagraph"/>
        <w:tabs>
          <w:tab w:val="left" w:pos="1985"/>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dari sejumlah studi menunjukkan bahwa keberadaan anak perusahaan di negara tax haven mendorong keputusan manajemen perusahaan untuk melakukan </w:t>
      </w:r>
      <w:r>
        <w:rPr>
          <w:rFonts w:ascii="Times New Roman" w:hAnsi="Times New Roman" w:cs="Times New Roman"/>
          <w:i/>
          <w:iCs/>
          <w:sz w:val="24"/>
          <w:szCs w:val="24"/>
        </w:rPr>
        <w:t>transfer pricing</w:t>
      </w:r>
      <w:r>
        <w:rPr>
          <w:rFonts w:ascii="Times New Roman" w:hAnsi="Times New Roman" w:cs="Times New Roman"/>
          <w:sz w:val="24"/>
          <w:szCs w:val="24"/>
        </w:rPr>
        <w:t xml:space="preserve"> sebagai bagian dari strategi pengelolaan pajak yang optimal. </w:t>
      </w:r>
      <w:r>
        <w:rPr>
          <w:rFonts w:ascii="Times New Roman" w:hAnsi="Times New Roman" w:cs="Times New Roman"/>
          <w:i/>
          <w:iCs/>
          <w:sz w:val="24"/>
          <w:szCs w:val="24"/>
        </w:rPr>
        <w:t>Transfer pricing</w:t>
      </w:r>
      <w:r>
        <w:rPr>
          <w:rFonts w:ascii="Times New Roman" w:hAnsi="Times New Roman" w:cs="Times New Roman"/>
          <w:sz w:val="24"/>
          <w:szCs w:val="24"/>
        </w:rPr>
        <w:t xml:space="preserve"> digunakan untuk memindahkan laba dari negara dengan tarif pajak tinggi ke </w:t>
      </w:r>
      <w:r>
        <w:rPr>
          <w:rFonts w:ascii="Times New Roman" w:hAnsi="Times New Roman" w:cs="Times New Roman"/>
          <w:i/>
          <w:iCs/>
          <w:sz w:val="24"/>
          <w:szCs w:val="24"/>
        </w:rPr>
        <w:t>tax haven</w:t>
      </w:r>
      <w:r>
        <w:rPr>
          <w:rFonts w:ascii="Times New Roman" w:hAnsi="Times New Roman" w:cs="Times New Roman"/>
          <w:sz w:val="24"/>
          <w:szCs w:val="24"/>
        </w:rPr>
        <w:t xml:space="preserve"> yang memiliki tarif pajak rendah, sehingga mengurangi total beban pajak yang harus dibayar oleh perusahaan. Hal ini sesuai dengan motif </w:t>
      </w:r>
      <w:r>
        <w:rPr>
          <w:rFonts w:ascii="Times New Roman" w:hAnsi="Times New Roman" w:cs="Times New Roman"/>
          <w:i/>
          <w:iCs/>
          <w:sz w:val="24"/>
          <w:szCs w:val="24"/>
        </w:rPr>
        <w:t>transfer pricing</w:t>
      </w:r>
      <w:r>
        <w:rPr>
          <w:rFonts w:ascii="Times New Roman" w:hAnsi="Times New Roman" w:cs="Times New Roman"/>
          <w:sz w:val="24"/>
          <w:szCs w:val="24"/>
        </w:rPr>
        <w:t xml:space="preserve"> yang bertujuan untuk efisiensi pajak dan peningkatan keuntungan perusahaan.</w:t>
      </w:r>
    </w:p>
    <w:p w14:paraId="52CECF14" w14:textId="77777777" w:rsidR="00BB58C4" w:rsidRDefault="00000000">
      <w:pPr>
        <w:pStyle w:val="ListParagraph"/>
        <w:tabs>
          <w:tab w:val="left" w:pos="1985"/>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Selain itu, pengaruh positif tersebut ditemukan signifikan dalam beberapa penelitian yang menggunakan data perusahaan yang terdaftar di Bursa Efek Indonesia, dengan metode analisis regresi linear berganda maupun </w:t>
      </w:r>
      <w:r>
        <w:rPr>
          <w:rFonts w:ascii="Times New Roman" w:hAnsi="Times New Roman" w:cs="Times New Roman"/>
          <w:i/>
          <w:iCs/>
          <w:sz w:val="24"/>
          <w:szCs w:val="24"/>
        </w:rPr>
        <w:t>moderated regression analysis</w:t>
      </w:r>
      <w:r>
        <w:rPr>
          <w:rFonts w:ascii="Times New Roman" w:hAnsi="Times New Roman" w:cs="Times New Roman"/>
          <w:sz w:val="24"/>
          <w:szCs w:val="24"/>
        </w:rPr>
        <w:t xml:space="preserve">. Temuan ini menguatkan pandangan bahwa tax haven menjadi faktor penting yang mempengaruhi kebijakan transfer pricing dalam konteks </w:t>
      </w:r>
      <w:r>
        <w:rPr>
          <w:rFonts w:ascii="Times New Roman" w:hAnsi="Times New Roman" w:cs="Times New Roman"/>
          <w:sz w:val="24"/>
          <w:szCs w:val="24"/>
        </w:rPr>
        <w:lastRenderedPageBreak/>
        <w:t>perusahaan multinasional di Indonesia. Namun, ada juga studi yang menunjukkan hasil sebaliknya atau tidak signifikan, yang kemungkinan disebabkan oleh pengawasan ketat pemerintah terhadap transaksi dengan negara tax haven melalui regulasi dan pelaporan khusus.</w:t>
      </w:r>
    </w:p>
    <w:p w14:paraId="62EB0EF3" w14:textId="77777777" w:rsidR="00BB58C4" w:rsidRDefault="00000000">
      <w:pPr>
        <w:pStyle w:val="ListParagraph"/>
        <w:tabs>
          <w:tab w:val="left" w:pos="1985"/>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{"citationItems":[{"id":"ITEM-1","itemData":{"author":[{"dropping-particle":"","family":"Sumaryati","given":"Anna","non-dropping-particle":"","parse-names":false,"suffix":""}],"container-title":"JAKA: Jurnal Akuntansi, Keuangan dan Auditing","id":"ITEM-1","issue":"2","issued":{"date-parts":[["2023"]]},"page":"93-113","title":"Pengaruh Multinasionalitas , Tax Haven , Dan Goodwill Terhadap Transfer Pricing Dengan Moderasi Political Connection","type":"article-journal","volume":"4"},"uris":["http://www.mendeley.com/documents/?uuid=1763177e-58e2-40c6-998b-6e96827953ca"]}],"mendeley":{"formattedCitation":"(Sumaryati, 2023)","plainTextFormattedCitation":"(Sumaryati, 2023)","previouslyFormattedCitation":"(Sumaryati,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(Sumaryati,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{"citationItems":[{"id":"ITEM-1","itemData":{"DOI":"10.24843/eja.2022.v32.i05.p05","abstract":"Transfer pricing is the determination of prices in transactions between parties that have a special relationship. Transfer pricing carried out by the company in order to minimize the tax burden paid by the company by utilizing transactions with related parties. This study aims to examine the effect of taxes and the use of tax havens on transfer pricing. This research was conducted on mining sector companies listed on the Indonesia Stock Exchange (IDX) in 2016-2020. Determination of the number of samples in this study using a purposive sampling technique with three criterias, namely mining sector companies listed on the IDX that publish an annual report, earn profits, and have transactions with related parties in 2016-2020. Based on these criteria, the number of samples used in this study was 15 samples of companies with 75 observational data. Data were analyzed using multiple linear regression analysis. The results of this study indicate that taxes have no effect on transfer pricing, while the use of tax havens has a positive effect on transfer pricing.   \r Keywords: Tax; Tax Haven; Transfer Pricing.","author":[{"dropping-particle":"","family":"Devi","given":"Ni Putu Ayu Liony Krishna","non-dropping-particle":"","parse-names":false,"suffix":""},{"dropping-particle":"","family":"Noviari","given":"Naniek","non-dropping-particle":"","parse-names":false,"suffix":""}],"container-title":"E-Jurnal Akuntansi","id":"ITEM-1","issue":"5","issued":{"date-parts":[["2022"]]},"page":"1175","title":"Pengaruh Pajak dan Pemanfaatan Tax Haven pada Transfer Pricing","type":"article-journal","volume":"32"},"uris":["http://www.mendeley.com/documents/?uuid=c7b11c55-a2d6-4462-b71d-543cf0767840"]}],"mendeley":{"formattedCitation":"(N. P. A. L. K. Devi &amp; Noviari, 2022)","manualFormatting":"(Devi &amp; Noviari, 2022)","plainTextFormattedCitation":"(N. P. A. L. K. Devi &amp; Noviari, 2022)","previouslyFormattedCitation":"(N. P. A. L. K. Devi &amp; Noviari,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(Devi &amp; Noviari, 2022)</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{"citationItems":[{"id":"ITEM-1","itemData":{"DOI":"10.21831/nominal.v11i2.51444","ISSN":"2303-2065","abstract":"Abstrak: Pengaruh Tax Haven, Foreign Ownership, dan Intangible Assets terhadap Keputusan Transfer Pricing. Transfer pricing merupakan penetapan terhadap harga barang, jasa, maupun aset tidak berwujud yang dilakukan dari satu divisi ke divisi lain dalam perusahaan yang sama atau antar perusahaan yang saling memiliki hubungan istimewa. Motif transfer pricing yaitu untuk meminimalkan beban pajak yang ditanggung perusahaan guna mendapatkan keuntungan yang lebih tinggi. Tujuan dari penelitian ini untuk mengetahui pengaruh tax haven, foreign ownership, dan intangible assets terhadap transfer pricing. Populasi yang digunakan yaitu perusahaan infrastruktur, utilitas, dan transportasi yang terdaftar di BEI tahun 2016 hingga 2020 sejumlah 400 perusahaan. Penelitian ini menggunakan metode pengambilan sampel purposive sampling dan terpilih 40 unit analisis. Teknik analisis yang digunakan yakni analisis regresi linear berganda. Hasil penelitian menunjukkan bahwa tax haven berpengaruh positif signifikan terhadap keputusan transfer pricing, sedangkan foreign ownership dan intangible assets tidak berpengaruh signifikan terhadap keputusan transfer pricing. Kata kunci: Transfer Pricing, Surga Pajak, Kepemilikan Asing, Aset Tidak BerwujudAbstract: The Effect of Tax Haven, Foreign Ownership, and Intangible Assets on Transfer Pricing Decisions. Transfer pricing is the determination of the price of goods, services, or intangible assets carried out from one division to another within the same company or between companies that have special relationships. The transfer pricing motive is to minimize the tax burden borne by the company in order to obtain higher profits. The purpose of this study is to determine the effect of tax havens, foreign ownership, and intangible assets on transfer pricing decisions. The population used are infrastructure, utility, and transportation companies listed on the Indonesia Stock Exchange from 2016 to 2020 with a total of 400 companies. This study used a purposive sampling method and selected 40 units of analysis. The analysis technique used is multiple linear regression analysis. The results of the study show that tax havens have a positive and significant effect on transfer pricing decisions. Meanwhile, foreign ownership and intangible assets variables have no significant effect on transfer pricing decisions.Keywords: Transfer Pricing, Tax Haven, Foreign Ownership, Intangible Asset","author":[{"dropping-particle":"","family":"Bhudiyanti","given":"Khopifa","non-dropping-particle":"","parse-names":false,"suffix":""},{"dropping-particle":"","family":"Suryarini","given":"Trisni","non-dropping-particle":"","parse-names":false,"suffix":""}],"container-title":"Nominal Barometer Riset Akuntansi dan Manajemen","id":"ITEM-1","issue":"2","issued":{"date-parts":[["2022"]]},"page":"272-273","title":"Pengaruh Tax Haven, Foreign Ownership, dan Intangible Assets terhadap Keputusan Transfer Pricing","type":"article-journal","volume":"11"},"uris":["http://www.mendeley.com/documents/?uuid=0b2f6a8a-9bb6-4d81-9e2d-2b9294cd64c7"]}],"mendeley":{"formattedCitation":"(Bhudiyanti &amp; Suryarini, 2022)","plainTextFormattedCitation":"(Bhudiyanti &amp; Suryarini, 2022)","previouslyFormattedCitation":"(Bhudiyanti &amp; Suryarini,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(Bhudiyanti &amp; Suryarini, 2022)</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w:t>
      </w:r>
      <w:r>
        <w:rPr>
          <w:rFonts w:ascii="Times New Roman" w:hAnsi="Times New Roman" w:cs="Times New Roman"/>
          <w:i/>
          <w:iCs/>
          <w:sz w:val="24"/>
          <w:szCs w:val="24"/>
        </w:rPr>
        <w:t>tax haven</w:t>
      </w:r>
      <w:r>
        <w:rPr>
          <w:rFonts w:ascii="Times New Roman" w:hAnsi="Times New Roman" w:cs="Times New Roman"/>
          <w:sz w:val="24"/>
          <w:szCs w:val="24"/>
        </w:rPr>
        <w:t xml:space="preserve"> berpengaruh positif terhadap keputusan perusahaan dalam melakukan praktik </w:t>
      </w:r>
      <w:r>
        <w:rPr>
          <w:rFonts w:ascii="Times New Roman" w:hAnsi="Times New Roman" w:cs="Times New Roman"/>
          <w:i/>
          <w:iCs/>
          <w:sz w:val="24"/>
          <w:szCs w:val="24"/>
        </w:rPr>
        <w:t>transfer pricing</w:t>
      </w:r>
      <w:r>
        <w:rPr>
          <w:rFonts w:ascii="Times New Roman" w:hAnsi="Times New Roman" w:cs="Times New Roman"/>
          <w:sz w:val="24"/>
          <w:szCs w:val="24"/>
        </w:rPr>
        <w:t xml:space="preserve">. Namun tidak sejalan dengan penelitian yang telah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{"citationItems":[{"id":"ITEM-1","itemData":{"DOI":"10.55587/jla.v4i1.112","author":[{"dropping-particle":"","family":"Sari Apriliyani","given":"Jobelina Jelma Ribeiro Soares","non-dropping-particle":"","parse-names":false,"suffix":""}],"container-title":"LITERA: Jurnal Literasi Akuntansi","id":"ITEM-1","issue":"1","issued":{"date-parts":[["2024"]]},"page":"238-254","title":"TRANSFER PRICING: TUNNELLING INCENTIVE DAN TAX HAVEN DIMOEDERASI FOREIGN OWNERSHIP","type":"article-journal","volume":"4"},"uris":["http://www.mendeley.com/documents/?uuid=2ea18b66-0bb6-4cf9-aa09-ae516ffaaaa7"]}],"mendeley":{"formattedCitation":"(Sari Apriliyani, 2024)","manualFormatting":"(Sari, 2024)","plainTextFormattedCitation":"(Sari Apriliyani, 2024)","previouslyFormattedCitation":"(Sari Apriliyani,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(Sari,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malagi","given":"Fitriyani","non-dropping-particle":"","parse-names":false,"suffix":""},{"dropping-particle":"","family":"Hormati","given":"Asrudin","non-dropping-particle":"","parse-names":false,"suffix":""},{"dropping-particle":"","family":"Ali","given":"Iqbal M Aris","non-dropping-particle":"","parse-names":false,"suffix":""},{"dropping-particle":"","family":"Ternate","given":"Universitas Khairun","non-dropping-particle":"","parse-names":false,"suffix":""}],"container-title":"Ekonomika45: Jurnal Ilmiah Manajemen, Ekonomi Bisnis, Kewirausahaan","id":"ITEM-1","issue":"1","issued":{"date-parts":[["2024"]]},"page":"32-42","title":"Pengaruh Pajak , Tax Havens , Exchange Rate , dan Tunneling Incentive Terhadap transfer Pricing pada Perusahaan Multinasional","type":"article-journal","volume":"12"},"uris":["http://www.mendeley.com/documents/?uuid=1e62d46e-e8da-4738-8451-f7fe2804afc4"]}],"mendeley":{"formattedCitation":"(Samalagi et al., 2024)","plainTextFormattedCitation":"(Samalagi et al., 2024)","previouslyFormattedCitation":"(Samalagi et al.,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(Samalagi et al., 2024)</w:t>
      </w:r>
      <w:r>
        <w:rPr>
          <w:rFonts w:ascii="Times New Roman" w:hAnsi="Times New Roman" w:cs="Times New Roman"/>
          <w:sz w:val="24"/>
          <w:szCs w:val="24"/>
        </w:rPr>
        <w:fldChar w:fldCharType="end"/>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{"citationItems":[{"id":"ITEM-1","itemData":{"DOI":"10.24843/EJA.2024.v34.i09.pxx","author":[{"dropping-particle":"","family":"Ni Putu Mila Purwitasari","given":"Ni Ketut Lely Aryani Merkusiwati","non-dropping-particle":"","parse-names":false,"suffix":""}],"id":"ITEM-1","issued":{"date-parts":[["2022"]]},"page":"2184-2196","title":"Impact of Income Tax, Tax Haven Utilization, and Foreign Ownership on Transfer Pricing Practices","type":"article-journal"},"uris":["http://www.mendeley.com/documents/?uuid=8b380191-f991-4049-a58b-4fb2664030fc"]}],"mendeley":{"formattedCitation":"(Ni Putu Mila Purwitasari, 2022)","manualFormatting":", (Purwitasari, 2022)","plainTextFormattedCitation":"(Ni Putu Mila Purwitasari, 2022)","previouslyFormattedCitation":"(Ni Putu Mila Purwitasari,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(Purwitasari, 2022)</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10.24034/jiaku.v3i3.6401","author":[{"dropping-particle":"","family":"Sulistya","given":"Enthy","non-dropping-particle":"","parse-names":false,"suffix":""},{"dropping-particle":"","family":"Wulandari","given":"Suci","non-dropping-particle":"","parse-names":false,"suffix":""},{"dropping-particle":"","family":"Irawati","given":"Wiwit","non-dropping-particle":"","parse-names":false,"suffix":""}],"container-title":"JIAKu: Jurnal Ilmiah Akuntansi dan Keuangan","id":"ITEM-1","issue":"3","issued":{"date-parts":[["2024"]]},"page":"240-251","title":"Pengaruh Tax expenses, Tax Haven Utilization, Foreign Ownership dan Intangible Asset Terhadap Transfer Pricing","type":"article-journal","volume":"3"},"uris":["http://www.mendeley.com/documents/?uuid=60111f6d-1052-43e0-a72f-d800b4d69034"]}],"mendeley":{"formattedCitation":"(Sulistya et al., 2024)","plainTextFormattedCitation":"(Sulistya et al., 2024)","previouslyFormattedCitation":"(Sulistya et al.,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(Sulistya et al., 2024)</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bahwa </w:t>
      </w:r>
      <w:r>
        <w:rPr>
          <w:rFonts w:ascii="Times New Roman" w:hAnsi="Times New Roman" w:cs="Times New Roman"/>
          <w:i/>
          <w:iCs/>
          <w:sz w:val="24"/>
          <w:szCs w:val="24"/>
        </w:rPr>
        <w:t xml:space="preserve">tax haven </w:t>
      </w:r>
      <w:r>
        <w:rPr>
          <w:rFonts w:ascii="Times New Roman" w:hAnsi="Times New Roman" w:cs="Times New Roman"/>
          <w:sz w:val="24"/>
          <w:szCs w:val="24"/>
        </w:rPr>
        <w:t xml:space="preserve">tidak memiliki pengaruh terhadap keputusan perusahaan melakukan praktif </w:t>
      </w:r>
      <w:r>
        <w:rPr>
          <w:rFonts w:ascii="Times New Roman" w:hAnsi="Times New Roman" w:cs="Times New Roman"/>
          <w:i/>
          <w:iCs/>
          <w:sz w:val="24"/>
          <w:szCs w:val="24"/>
        </w:rPr>
        <w:t>transfer pricing</w:t>
      </w:r>
      <w:r>
        <w:rPr>
          <w:rFonts w:ascii="Times New Roman" w:hAnsi="Times New Roman" w:cs="Times New Roman"/>
          <w:sz w:val="24"/>
          <w:szCs w:val="24"/>
        </w:rPr>
        <w:t>.</w:t>
      </w:r>
    </w:p>
    <w:p w14:paraId="6EA97490" w14:textId="77777777" w:rsidR="00BB58C4" w:rsidRDefault="00000000">
      <w:pPr>
        <w:pStyle w:val="subheading312"/>
        <w:rPr>
          <w:lang w:val="en-US"/>
        </w:rPr>
      </w:pPr>
      <w:bookmarkStart w:id="182" w:name="_Toc220995066"/>
      <w:r>
        <w:rPr>
          <w:lang w:val="en-US"/>
        </w:rPr>
        <w:t xml:space="preserve">4.3.2. </w:t>
      </w:r>
      <w:proofErr w:type="spellStart"/>
      <w:r>
        <w:rPr>
          <w:lang w:val="en-US"/>
        </w:rPr>
        <w:t>Pengaruh</w:t>
      </w:r>
      <w:proofErr w:type="spellEnd"/>
      <w:r>
        <w:rPr>
          <w:lang w:val="en-US"/>
        </w:rPr>
        <w:t xml:space="preserve"> </w:t>
      </w:r>
      <w:r>
        <w:rPr>
          <w:i/>
          <w:iCs/>
          <w:lang w:val="en-US"/>
        </w:rPr>
        <w:t>Intangible Asset</w:t>
      </w:r>
      <w:r>
        <w:rPr>
          <w:lang w:val="en-US"/>
        </w:rPr>
        <w:t xml:space="preserve"> </w:t>
      </w:r>
      <w:proofErr w:type="spellStart"/>
      <w:r>
        <w:rPr>
          <w:lang w:val="en-US"/>
        </w:rPr>
        <w:t>terhadap</w:t>
      </w:r>
      <w:proofErr w:type="spellEnd"/>
      <w:r>
        <w:rPr>
          <w:lang w:val="en-US"/>
        </w:rPr>
        <w:t xml:space="preserve"> Transfer Pricing</w:t>
      </w:r>
      <w:bookmarkEnd w:id="182"/>
    </w:p>
    <w:p w14:paraId="75E9B4EA" w14:textId="77777777" w:rsidR="00BB58C4" w:rsidRDefault="00000000">
      <w:pPr>
        <w:spacing w:after="0" w:line="480" w:lineRule="auto"/>
        <w:ind w:firstLine="709"/>
        <w:jc w:val="both"/>
        <w:rPr>
          <w:rFonts w:ascii="Times New Roman" w:eastAsia="Times New Roman" w:hAnsi="Times New Roman" w:cs="Times New Roman"/>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xml:space="preserve">Berdasarkan hasil analisis yang dilakukan dalam penelitian pada perusahaan multinasional di bidang pertambangan yang terdaftar di Bursa Efek Indonesia periode 2019 - 2023, </w:t>
      </w:r>
      <w:r>
        <w:rPr>
          <w:rFonts w:ascii="Times New Roman" w:eastAsia="Times New Roman" w:hAnsi="Times New Roman" w:cs="Times New Roman"/>
          <w:i/>
          <w:iCs/>
          <w:color w:val="000000"/>
          <w:kern w:val="0"/>
          <w:sz w:val="24"/>
          <w:szCs w:val="24"/>
          <w:lang w:eastAsia="zh-CN"/>
          <w14:ligatures w14:val="none"/>
        </w:rPr>
        <w:t xml:space="preserve">intangible asset </w:t>
      </w:r>
      <w:r>
        <w:rPr>
          <w:rFonts w:ascii="Times New Roman" w:eastAsia="Times New Roman" w:hAnsi="Times New Roman" w:cs="Times New Roman"/>
          <w:color w:val="000000"/>
          <w:kern w:val="0"/>
          <w:sz w:val="24"/>
          <w:szCs w:val="24"/>
          <w:lang w:eastAsia="zh-CN"/>
          <w14:ligatures w14:val="none"/>
        </w:rPr>
        <w:t xml:space="preserve">memiliki pengaruh secara positif terhadap keputusan perusahaan dalam melakukan praktik </w:t>
      </w:r>
      <w:r>
        <w:rPr>
          <w:rFonts w:ascii="Times New Roman" w:eastAsia="Times New Roman" w:hAnsi="Times New Roman" w:cs="Times New Roman"/>
          <w:i/>
          <w:iCs/>
          <w:color w:val="000000"/>
          <w:kern w:val="0"/>
          <w:sz w:val="24"/>
          <w:szCs w:val="24"/>
          <w:lang w:eastAsia="zh-CN"/>
          <w14:ligatures w14:val="none"/>
        </w:rPr>
        <w:t>transfer pricing</w:t>
      </w:r>
      <w:r>
        <w:rPr>
          <w:rFonts w:ascii="Times New Roman" w:eastAsia="Times New Roman" w:hAnsi="Times New Roman" w:cs="Times New Roman"/>
          <w:color w:val="000000"/>
          <w:kern w:val="0"/>
          <w:sz w:val="24"/>
          <w:szCs w:val="24"/>
          <w:lang w:eastAsia="zh-CN"/>
          <w14:ligatures w14:val="none"/>
        </w:rPr>
        <w:t xml:space="preserve">. Hal ini didukung dengan tingkat signifikansi 0,00 &lt; 0,05 atau lebih kecil dari 0,05 dan koefisien regresi positif sebesar 4,219. Hasil tersebut menunjukkan bahwa setiap kenaikan pada </w:t>
      </w:r>
      <w:r>
        <w:rPr>
          <w:rFonts w:ascii="Times New Roman" w:eastAsia="Times New Roman" w:hAnsi="Times New Roman" w:cs="Times New Roman"/>
          <w:i/>
          <w:iCs/>
          <w:color w:val="000000"/>
          <w:kern w:val="0"/>
          <w:sz w:val="24"/>
          <w:szCs w:val="24"/>
          <w:lang w:eastAsia="zh-CN"/>
          <w14:ligatures w14:val="none"/>
        </w:rPr>
        <w:t xml:space="preserve">intangible asset </w:t>
      </w:r>
      <w:r>
        <w:rPr>
          <w:rFonts w:ascii="Times New Roman" w:eastAsia="Times New Roman" w:hAnsi="Times New Roman" w:cs="Times New Roman"/>
          <w:color w:val="000000"/>
          <w:kern w:val="0"/>
          <w:sz w:val="24"/>
          <w:szCs w:val="24"/>
          <w:lang w:eastAsia="zh-CN"/>
          <w14:ligatures w14:val="none"/>
        </w:rPr>
        <w:t xml:space="preserve">akan mempengaruhi adanya peningkatan pada </w:t>
      </w:r>
      <w:r>
        <w:rPr>
          <w:rFonts w:ascii="Times New Roman" w:eastAsia="Times New Roman" w:hAnsi="Times New Roman" w:cs="Times New Roman"/>
          <w:i/>
          <w:iCs/>
          <w:color w:val="000000"/>
          <w:kern w:val="0"/>
          <w:sz w:val="24"/>
          <w:szCs w:val="24"/>
          <w:lang w:eastAsia="zh-CN"/>
          <w14:ligatures w14:val="none"/>
        </w:rPr>
        <w:t>transfer pricing</w:t>
      </w:r>
      <w:r>
        <w:rPr>
          <w:rFonts w:ascii="Times New Roman" w:eastAsia="Times New Roman" w:hAnsi="Times New Roman" w:cs="Times New Roman"/>
          <w:color w:val="000000"/>
          <w:kern w:val="0"/>
          <w:sz w:val="24"/>
          <w:szCs w:val="24"/>
          <w:lang w:eastAsia="zh-CN"/>
          <w14:ligatures w14:val="none"/>
        </w:rPr>
        <w:t>. </w:t>
      </w:r>
      <w:r>
        <w:rPr>
          <w:rFonts w:ascii="Times New Roman" w:hAnsi="Times New Roman" w:cs="Times New Roman"/>
          <w:sz w:val="24"/>
          <w:szCs w:val="24"/>
          <w:lang w:val="en-US"/>
        </w:rPr>
        <w:t xml:space="preserve">Maka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w:t>
      </w:r>
    </w:p>
    <w:p w14:paraId="21CE77E9" w14:textId="77777777" w:rsidR="00BB58C4" w:rsidRDefault="00000000">
      <w:pPr>
        <w:spacing w:after="0" w:line="480" w:lineRule="auto"/>
        <w:ind w:firstLine="709"/>
        <w:jc w:val="both"/>
        <w:rPr>
          <w:rFonts w:ascii="Times New Roman" w:eastAsia="Times New Roman" w:hAnsi="Times New Roman" w:cs="Times New Roman"/>
          <w:kern w:val="0"/>
          <w:sz w:val="24"/>
          <w:szCs w:val="24"/>
          <w:lang w:eastAsia="zh-CN"/>
          <w14:ligatures w14:val="none"/>
        </w:rPr>
      </w:pPr>
      <w:r>
        <w:rPr>
          <w:rFonts w:ascii="Times New Roman" w:eastAsia="Times New Roman" w:hAnsi="Times New Roman" w:cs="Times New Roman"/>
          <w:i/>
          <w:iCs/>
          <w:color w:val="000000"/>
          <w:kern w:val="0"/>
          <w:sz w:val="24"/>
          <w:szCs w:val="24"/>
          <w:lang w:eastAsia="zh-CN"/>
          <w14:ligatures w14:val="none"/>
        </w:rPr>
        <w:t xml:space="preserve">Intangible asset </w:t>
      </w:r>
      <w:r>
        <w:rPr>
          <w:rFonts w:ascii="Times New Roman" w:eastAsia="Times New Roman" w:hAnsi="Times New Roman" w:cs="Times New Roman"/>
          <w:color w:val="000000"/>
          <w:kern w:val="0"/>
          <w:sz w:val="24"/>
          <w:szCs w:val="24"/>
          <w:lang w:eastAsia="zh-CN"/>
          <w14:ligatures w14:val="none"/>
        </w:rPr>
        <w:t xml:space="preserve">dimanfaatkan oleh pihak manajemen selaku agen dalam memperoleh keuntungan lebih berupa bonus yang lebih besar dari peningkatan laba yang diterima secara maksimal. Pihak manajemen akan membayar royalti atas </w:t>
      </w:r>
      <w:r>
        <w:rPr>
          <w:rFonts w:ascii="Times New Roman" w:eastAsia="Times New Roman" w:hAnsi="Times New Roman" w:cs="Times New Roman"/>
          <w:color w:val="000000"/>
          <w:kern w:val="0"/>
          <w:sz w:val="24"/>
          <w:szCs w:val="24"/>
          <w:lang w:eastAsia="zh-CN"/>
          <w14:ligatures w14:val="none"/>
        </w:rPr>
        <w:lastRenderedPageBreak/>
        <w:t xml:space="preserve">penggunaan </w:t>
      </w:r>
      <w:r>
        <w:rPr>
          <w:rFonts w:ascii="Times New Roman" w:eastAsia="Times New Roman" w:hAnsi="Times New Roman" w:cs="Times New Roman"/>
          <w:i/>
          <w:iCs/>
          <w:color w:val="000000"/>
          <w:kern w:val="0"/>
          <w:sz w:val="24"/>
          <w:szCs w:val="24"/>
          <w:lang w:eastAsia="zh-CN"/>
          <w14:ligatures w14:val="none"/>
        </w:rPr>
        <w:t xml:space="preserve">intangible assets </w:t>
      </w:r>
      <w:r>
        <w:rPr>
          <w:rFonts w:ascii="Times New Roman" w:eastAsia="Times New Roman" w:hAnsi="Times New Roman" w:cs="Times New Roman"/>
          <w:color w:val="000000"/>
          <w:kern w:val="0"/>
          <w:sz w:val="24"/>
          <w:szCs w:val="24"/>
          <w:lang w:eastAsia="zh-CN"/>
          <w14:ligatures w14:val="none"/>
        </w:rPr>
        <w:t>dengan nilai yang lebih tinggi kepada perusahaan berafiliasi yang bertempat di negara yang memiliki tarif pajak yang lebih rendah sehingga beban perusahaan bertambah sehingga laba yang diterima perusahaan menurun sehingga beban pajak yang dikenakan menjadi lebih rendah atau bahkan tidak membayar pajak sama sekali. (Novira at el., 2020).</w:t>
      </w:r>
    </w:p>
    <w:p w14:paraId="08DAE5B6" w14:textId="77777777" w:rsidR="00BB58C4" w:rsidRDefault="00000000">
      <w:pPr>
        <w:tabs>
          <w:tab w:val="left" w:pos="993"/>
        </w:tabs>
        <w:spacing w:line="480" w:lineRule="auto"/>
        <w:ind w:firstLine="709"/>
        <w:jc w:val="both"/>
        <w:rPr>
          <w:rFonts w:ascii="Times New Roman" w:hAnsi="Times New Roman" w:cs="Times New Roman"/>
          <w:sz w:val="24"/>
          <w:szCs w:val="24"/>
          <w:lang w:val="en-US"/>
        </w:rPr>
      </w:pPr>
      <w:r>
        <w:rPr>
          <w:rFonts w:ascii="Times New Roman" w:eastAsia="Times New Roman" w:hAnsi="Times New Roman" w:cs="Times New Roman"/>
          <w:color w:val="000000"/>
          <w:kern w:val="0"/>
          <w:sz w:val="24"/>
          <w:szCs w:val="24"/>
          <w:lang w:eastAsia="zh-CN"/>
          <w14:ligatures w14:val="none"/>
        </w:rPr>
        <w:t xml:space="preserve">Hasil penelitian ini sejalan dengan penelitian terdahulu yang dilakukan oleh Novira, Wahyudi, dan Khasanah yang menyatakan </w:t>
      </w:r>
      <w:r>
        <w:rPr>
          <w:rFonts w:ascii="Times New Roman" w:eastAsia="Times New Roman" w:hAnsi="Times New Roman" w:cs="Times New Roman"/>
          <w:i/>
          <w:iCs/>
          <w:color w:val="000000"/>
          <w:kern w:val="0"/>
          <w:sz w:val="24"/>
          <w:szCs w:val="24"/>
          <w:lang w:eastAsia="zh-CN"/>
          <w14:ligatures w14:val="none"/>
        </w:rPr>
        <w:t xml:space="preserve">intangible asset </w:t>
      </w:r>
      <w:r>
        <w:rPr>
          <w:rFonts w:ascii="Times New Roman" w:eastAsia="Times New Roman" w:hAnsi="Times New Roman" w:cs="Times New Roman"/>
          <w:color w:val="000000"/>
          <w:kern w:val="0"/>
          <w:sz w:val="24"/>
          <w:szCs w:val="24"/>
          <w:lang w:eastAsia="zh-CN"/>
          <w14:ligatures w14:val="none"/>
        </w:rPr>
        <w:t xml:space="preserve">berpengaruh terhadap keputusan perusahaan melakukan </w:t>
      </w:r>
      <w:r>
        <w:rPr>
          <w:rFonts w:ascii="Times New Roman" w:eastAsia="Times New Roman" w:hAnsi="Times New Roman" w:cs="Times New Roman"/>
          <w:i/>
          <w:iCs/>
          <w:color w:val="000000"/>
          <w:kern w:val="0"/>
          <w:sz w:val="24"/>
          <w:szCs w:val="24"/>
          <w:lang w:eastAsia="zh-CN"/>
          <w14:ligatures w14:val="none"/>
        </w:rPr>
        <w:t>transfer pricing</w:t>
      </w:r>
      <w:r>
        <w:rPr>
          <w:rFonts w:ascii="Times New Roman" w:eastAsia="Times New Roman" w:hAnsi="Times New Roman" w:cs="Times New Roman"/>
          <w:color w:val="000000"/>
          <w:kern w:val="0"/>
          <w:sz w:val="24"/>
          <w:szCs w:val="24"/>
          <w:lang w:eastAsia="zh-CN"/>
          <w14:ligatures w14:val="none"/>
        </w:rPr>
        <w:t xml:space="preserve">. Namun, hasil penelitian ini berbeda dengan penelitian terdahulu yang telah dilakukan oleh </w:t>
      </w:r>
      <w:r>
        <w:rPr>
          <w:rFonts w:ascii="Times New Roman" w:eastAsia="Times New Roman" w:hAnsi="Times New Roman" w:cs="Times New Roman"/>
          <w:color w:val="000000"/>
          <w:kern w:val="0"/>
          <w:sz w:val="24"/>
          <w:szCs w:val="24"/>
          <w:lang w:eastAsia="zh-CN"/>
          <w14:ligatures w14:val="none"/>
        </w:rPr>
        <w:fldChar w:fldCharType="begin" w:fldLock="1"/>
      </w:r>
      <w:r>
        <w:rPr>
          <w:rFonts w:ascii="Times New Roman" w:eastAsia="Times New Roman" w:hAnsi="Times New Roman" w:cs="Times New Roman"/>
          <w:color w:val="000000"/>
          <w:kern w:val="0"/>
          <w:sz w:val="24"/>
          <w:szCs w:val="24"/>
          <w:lang w:eastAsia="zh-CN"/>
          <w14:ligatures w14:val="none"/>
        </w:rPr>
        <w:instrText>ADDIN CSL_CITATION {"citationItems":[{"id":"ITEM-1","itemData":{"DOI":"10.24034/jiaku.v3i3.6401","author":[{"dropping-particle":"","family":"Sulistya","given":"Enthy","non-dropping-particle":"","parse-names":false,"suffix":""},{"dropping-particle":"","family":"Wulandari","given":"Suci","non-dropping-particle":"","parse-names":false,"suffix":""},{"dropping-particle":"","family":"Irawati","given":"Wiwit","non-dropping-particle":"","parse-names":false,"suffix":""}],"container-title":"JIAKu: Jurnal Ilmiah Akuntansi dan Keuangan","id":"ITEM-1","issue":"3","issued":{"date-parts":[["2024"]]},"page":"240-251","title":"Pengaruh Tax expenses, Tax Haven Utilization, Foreign Ownership dan Intangible Asset Terhadap Transfer Pricing","type":"article-journal","volume":"3"},"uris":["http://www.mendeley.com/documents/?uuid=60111f6d-1052-43e0-a72f-d800b4d69034"]}],"mendeley":{"formattedCitation":"(Sulistya et al., 2024)","plainTextFormattedCitation":"(Sulistya et al., 2024)","previouslyFormattedCitation":"(Sulistya et al., 2024)"},"properties":{"noteIndex":0},"schema":"https://github.com/citation-style-language/schema/raw/master/csl-citation.json"}</w:instrText>
      </w:r>
      <w:r>
        <w:rPr>
          <w:rFonts w:ascii="Times New Roman" w:eastAsia="Times New Roman" w:hAnsi="Times New Roman" w:cs="Times New Roman"/>
          <w:color w:val="000000"/>
          <w:kern w:val="0"/>
          <w:sz w:val="24"/>
          <w:szCs w:val="24"/>
          <w:lang w:eastAsia="zh-CN"/>
          <w14:ligatures w14:val="none"/>
        </w:rPr>
        <w:fldChar w:fldCharType="separate"/>
      </w:r>
      <w:r>
        <w:rPr>
          <w:rFonts w:ascii="Times New Roman" w:eastAsia="Times New Roman" w:hAnsi="Times New Roman" w:cs="Times New Roman"/>
          <w:color w:val="000000"/>
          <w:kern w:val="0"/>
          <w:sz w:val="24"/>
          <w:szCs w:val="24"/>
          <w:lang w:eastAsia="zh-CN"/>
          <w14:ligatures w14:val="none"/>
        </w:rPr>
        <w:t>(Sulistya et al., 2024)</w:t>
      </w:r>
      <w:r>
        <w:rPr>
          <w:rFonts w:ascii="Times New Roman" w:eastAsia="Times New Roman" w:hAnsi="Times New Roman" w:cs="Times New Roman"/>
          <w:color w:val="000000"/>
          <w:kern w:val="0"/>
          <w:sz w:val="24"/>
          <w:szCs w:val="24"/>
          <w:lang w:eastAsia="zh-CN"/>
          <w14:ligatures w14:val="none"/>
        </w:rPr>
        <w:fldChar w:fldCharType="end"/>
      </w:r>
      <w:r>
        <w:rPr>
          <w:rFonts w:ascii="Times New Roman" w:eastAsia="Times New Roman" w:hAnsi="Times New Roman" w:cs="Times New Roman"/>
          <w:color w:val="000000"/>
          <w:kern w:val="0"/>
          <w:sz w:val="24"/>
          <w:szCs w:val="24"/>
          <w:lang w:eastAsia="zh-CN"/>
          <w14:ligatures w14:val="none"/>
        </w:rPr>
        <w:t xml:space="preserve">, </w:t>
      </w:r>
      <w:r>
        <w:rPr>
          <w:rFonts w:ascii="Times New Roman" w:eastAsia="Times New Roman" w:hAnsi="Times New Roman" w:cs="Times New Roman"/>
          <w:color w:val="000000"/>
          <w:kern w:val="0"/>
          <w:sz w:val="24"/>
          <w:szCs w:val="24"/>
          <w:lang w:eastAsia="zh-CN"/>
          <w14:ligatures w14:val="none"/>
        </w:rPr>
        <w:fldChar w:fldCharType="begin" w:fldLock="1"/>
      </w:r>
      <w:r>
        <w:rPr>
          <w:rFonts w:ascii="Times New Roman" w:eastAsia="Times New Roman" w:hAnsi="Times New Roman" w:cs="Times New Roman"/>
          <w:color w:val="000000"/>
          <w:kern w:val="0"/>
          <w:sz w:val="24"/>
          <w:szCs w:val="24"/>
          <w:lang w:eastAsia="zh-CN"/>
          <w14:ligatures w14:val="none"/>
        </w:rPr>
        <w:instrText>ADDIN CSL_CITATION {"citationItems":[{"id":"ITEM-1","itemData":{"author":[{"dropping-particle":"","family":"Aisah","given":"Nur","non-dropping-particle":"","parse-names":false,"suffix":""},{"dropping-particle":"","family":"Pratiwi","given":"Eka","non-dropping-particle":"","parse-names":false,"suffix":""},{"dropping-particle":"","family":"Wadi","given":"Indra","non-dropping-particle":"","parse-names":false,"suffix":""},{"dropping-particle":"","family":"Pamulang","given":"Universitas","non-dropping-particle":"","parse-names":false,"suffix":""},{"dropping-particle":"","family":"Pamulang","given":"Universitas","non-dropping-particle":"","parse-names":false,"suffix":""}],"container-title":"EDUCORETAX","id":"ITEM-1","issue":"11","issued":{"date-parts":[["2024"]]},"page":"1345-1353","title":"THE INFLUENCE OF TAX BURDEN , INTANGIBLE ASSETS , AND FOREIGN OWNERSHIP ON TRANSFER PRICING POLICIES","type":"article-journal","volume":"4"},"uris":["http://www.mendeley.com/documents/?uuid=680568b2-6199-4d40-9916-4042bb179bfa"]}],"mendeley":{"formattedCitation":"(Aisah et al., 2024)","plainTextFormattedCitation":"(Aisah et al., 2024)","previouslyFormattedCitation":"(Aisah et al., 2024)"},"properties":{"noteIndex":0},"schema":"https://github.com/citation-style-language/schema/raw/master/csl-citation.json"}</w:instrText>
      </w:r>
      <w:r>
        <w:rPr>
          <w:rFonts w:ascii="Times New Roman" w:eastAsia="Times New Roman" w:hAnsi="Times New Roman" w:cs="Times New Roman"/>
          <w:color w:val="000000"/>
          <w:kern w:val="0"/>
          <w:sz w:val="24"/>
          <w:szCs w:val="24"/>
          <w:lang w:eastAsia="zh-CN"/>
          <w14:ligatures w14:val="none"/>
        </w:rPr>
        <w:fldChar w:fldCharType="separate"/>
      </w:r>
      <w:r>
        <w:rPr>
          <w:rFonts w:ascii="Times New Roman" w:eastAsia="Times New Roman" w:hAnsi="Times New Roman" w:cs="Times New Roman"/>
          <w:color w:val="000000"/>
          <w:kern w:val="0"/>
          <w:sz w:val="24"/>
          <w:szCs w:val="24"/>
          <w:lang w:eastAsia="zh-CN"/>
          <w14:ligatures w14:val="none"/>
        </w:rPr>
        <w:t>(Aisah et al., 2024)</w:t>
      </w:r>
      <w:r>
        <w:rPr>
          <w:rFonts w:ascii="Times New Roman" w:eastAsia="Times New Roman" w:hAnsi="Times New Roman" w:cs="Times New Roman"/>
          <w:color w:val="000000"/>
          <w:kern w:val="0"/>
          <w:sz w:val="24"/>
          <w:szCs w:val="24"/>
          <w:lang w:eastAsia="zh-CN"/>
          <w14:ligatures w14:val="none"/>
        </w:rPr>
        <w:fldChar w:fldCharType="end"/>
      </w:r>
      <w:r>
        <w:rPr>
          <w:rFonts w:ascii="Times New Roman" w:eastAsia="Times New Roman" w:hAnsi="Times New Roman" w:cs="Times New Roman"/>
          <w:color w:val="000000"/>
          <w:kern w:val="0"/>
          <w:sz w:val="24"/>
          <w:szCs w:val="24"/>
          <w:lang w:eastAsia="zh-CN"/>
          <w14:ligatures w14:val="none"/>
        </w:rPr>
        <w:t xml:space="preserve">, dan </w:t>
      </w:r>
      <w:r>
        <w:rPr>
          <w:rFonts w:ascii="Times New Roman" w:eastAsia="Times New Roman" w:hAnsi="Times New Roman" w:cs="Times New Roman"/>
          <w:color w:val="000000"/>
          <w:kern w:val="0"/>
          <w:sz w:val="24"/>
          <w:szCs w:val="24"/>
          <w:lang w:eastAsia="zh-CN"/>
          <w14:ligatures w14:val="none"/>
        </w:rPr>
        <w:fldChar w:fldCharType="begin" w:fldLock="1"/>
      </w:r>
      <w:r>
        <w:rPr>
          <w:rFonts w:ascii="Times New Roman" w:eastAsia="Times New Roman" w:hAnsi="Times New Roman" w:cs="Times New Roman"/>
          <w:color w:val="000000"/>
          <w:kern w:val="0"/>
          <w:sz w:val="24"/>
          <w:szCs w:val="24"/>
          <w:lang w:eastAsia="zh-CN"/>
          <w14:ligatures w14:val="none"/>
        </w:rPr>
        <w:instrText>ADDIN CSL_CITATION {"citationItems":[{"id":"ITEM-1","itemData":{"author":[{"dropping-particle":"","family":"Sari","given":"Jenny Puspita","non-dropping-particle":"","parse-names":false,"suffix":""}],"container-title":"Jurnal Akuntansi","id":"ITEM-1","issue":"2","issued":{"date-parts":[["2024"]]},"page":"422-435","title":"Debt Covenant, Tax Expense, and Intangible Assets on Transfer Pricing","type":"article-journal","volume":"16"},"uris":["http://www.mendeley.com/documents/?uuid=a2ff017e-a7f7-4d94-a58b-09cfd5747740"]}],"mendeley":{"formattedCitation":"(Sari, 2024)","plainTextFormattedCitation":"(Sari, 2024)","previouslyFormattedCitation":"(Sari, 2024)"},"properties":{"noteIndex":0},"schema":"https://github.com/citation-style-language/schema/raw/master/csl-citation.json"}</w:instrText>
      </w:r>
      <w:r>
        <w:rPr>
          <w:rFonts w:ascii="Times New Roman" w:eastAsia="Times New Roman" w:hAnsi="Times New Roman" w:cs="Times New Roman"/>
          <w:color w:val="000000"/>
          <w:kern w:val="0"/>
          <w:sz w:val="24"/>
          <w:szCs w:val="24"/>
          <w:lang w:eastAsia="zh-CN"/>
          <w14:ligatures w14:val="none"/>
        </w:rPr>
        <w:fldChar w:fldCharType="separate"/>
      </w:r>
      <w:r>
        <w:rPr>
          <w:rFonts w:ascii="Times New Roman" w:eastAsia="Times New Roman" w:hAnsi="Times New Roman" w:cs="Times New Roman"/>
          <w:color w:val="000000"/>
          <w:kern w:val="0"/>
          <w:sz w:val="24"/>
          <w:szCs w:val="24"/>
          <w:lang w:eastAsia="zh-CN"/>
          <w14:ligatures w14:val="none"/>
        </w:rPr>
        <w:t>(Sari, 2024)</w:t>
      </w:r>
      <w:r>
        <w:rPr>
          <w:rFonts w:ascii="Times New Roman" w:eastAsia="Times New Roman" w:hAnsi="Times New Roman" w:cs="Times New Roman"/>
          <w:color w:val="000000"/>
          <w:kern w:val="0"/>
          <w:sz w:val="24"/>
          <w:szCs w:val="24"/>
          <w:lang w:eastAsia="zh-CN"/>
          <w14:ligatures w14:val="none"/>
        </w:rPr>
        <w:fldChar w:fldCharType="end"/>
      </w:r>
      <w:r>
        <w:rPr>
          <w:rFonts w:ascii="Times New Roman" w:eastAsia="Times New Roman" w:hAnsi="Times New Roman" w:cs="Times New Roman"/>
          <w:color w:val="000000"/>
          <w:kern w:val="0"/>
          <w:sz w:val="24"/>
          <w:szCs w:val="24"/>
          <w:lang w:eastAsia="zh-CN"/>
          <w14:ligatures w14:val="none"/>
        </w:rPr>
        <w:t xml:space="preserve"> yang menyatakan bahwa </w:t>
      </w:r>
      <w:r>
        <w:rPr>
          <w:rFonts w:ascii="Times New Roman" w:eastAsia="Times New Roman" w:hAnsi="Times New Roman" w:cs="Times New Roman"/>
          <w:i/>
          <w:iCs/>
          <w:color w:val="000000"/>
          <w:kern w:val="0"/>
          <w:sz w:val="24"/>
          <w:szCs w:val="24"/>
          <w:lang w:eastAsia="zh-CN"/>
          <w14:ligatures w14:val="none"/>
        </w:rPr>
        <w:t xml:space="preserve">intangible asset </w:t>
      </w:r>
      <w:r>
        <w:rPr>
          <w:rFonts w:ascii="Times New Roman" w:eastAsia="Times New Roman" w:hAnsi="Times New Roman" w:cs="Times New Roman"/>
          <w:color w:val="000000"/>
          <w:kern w:val="0"/>
          <w:sz w:val="24"/>
          <w:szCs w:val="24"/>
          <w:lang w:eastAsia="zh-CN"/>
          <w14:ligatures w14:val="none"/>
        </w:rPr>
        <w:t xml:space="preserve">tidak memiliki pengaruh terhadap keputusan perusahaan dalam melakukan </w:t>
      </w:r>
      <w:r>
        <w:rPr>
          <w:rFonts w:ascii="Times New Roman" w:eastAsia="Times New Roman" w:hAnsi="Times New Roman" w:cs="Times New Roman"/>
          <w:i/>
          <w:iCs/>
          <w:color w:val="000000"/>
          <w:kern w:val="0"/>
          <w:sz w:val="24"/>
          <w:szCs w:val="24"/>
          <w:lang w:eastAsia="zh-CN"/>
          <w14:ligatures w14:val="none"/>
        </w:rPr>
        <w:t>transfer pricing</w:t>
      </w:r>
      <w:r>
        <w:rPr>
          <w:rFonts w:ascii="Times New Roman" w:eastAsia="Times New Roman" w:hAnsi="Times New Roman" w:cs="Times New Roman"/>
          <w:color w:val="000000"/>
          <w:kern w:val="0"/>
          <w:sz w:val="24"/>
          <w:szCs w:val="24"/>
          <w:lang w:eastAsia="zh-CN"/>
          <w14:ligatures w14:val="none"/>
        </w:rPr>
        <w:t>.</w:t>
      </w:r>
    </w:p>
    <w:p w14:paraId="50AB3635" w14:textId="77777777" w:rsidR="00BB58C4" w:rsidRDefault="00000000">
      <w:pPr>
        <w:tabs>
          <w:tab w:val="left" w:pos="993"/>
        </w:tabs>
        <w:spacing w:after="0" w:line="480" w:lineRule="auto"/>
        <w:ind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internalisasi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memanfaatkan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berwujud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intangible asset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dideteksi</w:t>
      </w:r>
      <w:proofErr w:type="spellEnd"/>
      <w:r>
        <w:rPr>
          <w:rFonts w:ascii="Times New Roman" w:hAnsi="Times New Roman" w:cs="Times New Roman"/>
          <w:sz w:val="24"/>
          <w:szCs w:val="24"/>
          <w:lang w:val="en-US"/>
        </w:rPr>
        <w:t xml:space="preserve"> guna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kepentingan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memaksimalkan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laba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{"citationItems":[{"id":"ITEM-1","itemData":{"author":[{"dropping-particle":"","family":"Sari","given":"Jenny Puspita","non-dropping-particle":"","parse-names":false,"suffix":""}],"container-title":"Jurnal Akuntansi","id":"ITEM-1","issue":"2","issued":{"date-parts":[["2024"]]},"page":"422-435","title":"Debt Covenant, Tax Expense, and Intangible Assets on Transfer Pricing","type":"article-journal","volume":"16"},"uris":["http://www.mendeley.com/documents/?uuid=a2ff017e-a7f7-4d94-a58b-09cfd5747740"]}],"mendeley":{"formattedCitation":"(Sari, 2024)","manualFormatting":"(Sari, 2024)","plainTextFormattedCitation":"(Sari, 2024)","previouslyFormattedCitation":"(Sari, 2024)"},"properties":{"noteIndex":0},"schema":"https://github.com/citation-style-language/schema/raw/master/csl-citation.json"}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(Sari, 2024)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534B66D8" w14:textId="77777777" w:rsidR="00BB58C4" w:rsidRDefault="00000000">
      <w:pPr>
        <w:pStyle w:val="subheading312"/>
        <w:rPr>
          <w:lang w:val="en-US"/>
        </w:rPr>
      </w:pPr>
      <w:bookmarkStart w:id="183" w:name="_Toc220995067"/>
      <w:r>
        <w:rPr>
          <w:lang w:val="en-US"/>
        </w:rPr>
        <w:t xml:space="preserve">4.3.3. </w:t>
      </w:r>
      <w:proofErr w:type="spellStart"/>
      <w:r>
        <w:rPr>
          <w:lang w:val="en-US"/>
        </w:rPr>
        <w:t>Pengaruh</w:t>
      </w:r>
      <w:proofErr w:type="spellEnd"/>
      <w:r>
        <w:rPr>
          <w:lang w:val="en-US"/>
        </w:rPr>
        <w:t xml:space="preserve"> </w:t>
      </w:r>
      <w:r>
        <w:rPr>
          <w:i/>
          <w:iCs/>
          <w:lang w:val="en-US"/>
        </w:rPr>
        <w:t>Tax Minimization</w:t>
      </w:r>
      <w:r>
        <w:rPr>
          <w:lang w:val="en-US"/>
        </w:rPr>
        <w:t xml:space="preserve"> </w:t>
      </w:r>
      <w:proofErr w:type="spellStart"/>
      <w:r>
        <w:rPr>
          <w:lang w:val="en-US"/>
        </w:rPr>
        <w:t>terhadap</w:t>
      </w:r>
      <w:proofErr w:type="spellEnd"/>
      <w:r>
        <w:rPr>
          <w:lang w:val="en-US"/>
        </w:rPr>
        <w:t xml:space="preserve"> Transfer Pricing</w:t>
      </w:r>
      <w:bookmarkEnd w:id="183"/>
    </w:p>
    <w:p w14:paraId="0EB55346" w14:textId="77777777" w:rsidR="00BB58C4" w:rsidRDefault="0000000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analisis yang dilakukan dalam penelitian pada perusahaan multinasional dibidang pertambangan yang terdaftar di Bursa Efek Indonesia periode 2019 – 2023, ditemukan bahwa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berpengaruh positif signifikan terhadap keputusan perusahaan melakukan praktik </w:t>
      </w:r>
      <w:r>
        <w:rPr>
          <w:rFonts w:ascii="Times New Roman" w:hAnsi="Times New Roman" w:cs="Times New Roman"/>
          <w:i/>
          <w:iCs/>
          <w:sz w:val="24"/>
          <w:szCs w:val="24"/>
        </w:rPr>
        <w:t>transfer pricing</w:t>
      </w:r>
      <w:r>
        <w:rPr>
          <w:rFonts w:ascii="Times New Roman" w:hAnsi="Times New Roman" w:cs="Times New Roman"/>
          <w:sz w:val="24"/>
          <w:szCs w:val="24"/>
        </w:rPr>
        <w:t xml:space="preserve">. Hal ini didukung oleh pengujian statistik yang menunjukkan nilai signifikansi di bawah taraf 0,05 dan nilai koefisien sebesar 12,227. Temuan ini mengindikasikan bahwa </w:t>
      </w:r>
      <w:r>
        <w:rPr>
          <w:rFonts w:ascii="Times New Roman" w:hAnsi="Times New Roman" w:cs="Times New Roman"/>
          <w:sz w:val="24"/>
          <w:szCs w:val="24"/>
        </w:rPr>
        <w:lastRenderedPageBreak/>
        <w:t xml:space="preserve">semakin tinggi upaya perusahaan untuk meminimalkan pajak yang harus dibayar, maka semakin tinggi juga kecenderungan perusahaan untuk melakukan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5D485FFF" w14:textId="77777777" w:rsidR="00BB58C4" w:rsidRDefault="0000000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Beban pajak yang semakin besar kemudian memicu perusahaan dalam melakukan praktik </w:t>
      </w:r>
      <w:r>
        <w:rPr>
          <w:rFonts w:ascii="Times New Roman" w:hAnsi="Times New Roman" w:cs="Times New Roman"/>
          <w:i/>
          <w:iCs/>
          <w:sz w:val="24"/>
          <w:szCs w:val="24"/>
        </w:rPr>
        <w:t>transfer pricing</w:t>
      </w:r>
      <w:r>
        <w:rPr>
          <w:rFonts w:ascii="Times New Roman" w:hAnsi="Times New Roman" w:cs="Times New Roman"/>
          <w:sz w:val="24"/>
          <w:szCs w:val="24"/>
        </w:rPr>
        <w:t xml:space="preserve"> yang bertujuan untuk meminimalkan beban pajak yang akan dibayarkan. Salah satu motivasi utama penggunaan </w:t>
      </w:r>
      <w:r>
        <w:rPr>
          <w:rFonts w:ascii="Times New Roman" w:hAnsi="Times New Roman" w:cs="Times New Roman"/>
          <w:i/>
          <w:iCs/>
          <w:sz w:val="24"/>
          <w:szCs w:val="24"/>
        </w:rPr>
        <w:t xml:space="preserve">transfer </w:t>
      </w:r>
      <w:r>
        <w:rPr>
          <w:rFonts w:ascii="Times New Roman" w:hAnsi="Times New Roman" w:cs="Times New Roman"/>
          <w:sz w:val="24"/>
          <w:szCs w:val="24"/>
        </w:rPr>
        <w:t xml:space="preserve">pricing adalah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yang digunakan oleh perusahaan dalam meminimalkan beban pajak yang wajib dibayarkan suatu perusahaan kepada otoritas perpajakan dengan memanfaatkan celah perbedaan tarif pajak antar negara. Hal ini sejalan dengan hasil empiris yang menemukan pengaruh positif dan signifikan antara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terhadap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serta berdasarkan teori internalisasi yang menyatakan bahwa manajemen akan berupaya mengoptimalkan profit yang dihasilkan oleh perusahaan dan menekan beban pajak yang wajib dibayarkan melalui pengelolaan </w:t>
      </w:r>
      <w:r>
        <w:rPr>
          <w:rFonts w:ascii="Times New Roman" w:hAnsi="Times New Roman" w:cs="Times New Roman"/>
          <w:i/>
          <w:iCs/>
          <w:sz w:val="24"/>
          <w:szCs w:val="24"/>
        </w:rPr>
        <w:t>transfer pricing</w:t>
      </w:r>
      <w:r>
        <w:rPr>
          <w:rFonts w:ascii="Times New Roman" w:hAnsi="Times New Roman" w:cs="Times New Roman"/>
          <w:sz w:val="24"/>
          <w:szCs w:val="24"/>
        </w:rPr>
        <w:t>.</w:t>
      </w:r>
    </w:p>
    <w:p w14:paraId="3C97A2FD" w14:textId="77777777" w:rsidR="00BB58C4" w:rsidRDefault="0000000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{"citationItems":[{"id":"ITEM-1","itemData":{"DOI":"10.24123/jbt.v5i1.4079","ISSN":"2580-4928","abstract":"Abstract\r The purpose of this study was to determine the effect of tax minimization, bonus mechanisms, foreign ownership, exchange rates, and audit quality on transfer pricing in manufacturing companies in Indonesia. The population of this research was all manufacturing companies listed on the Indonesia Stock Exchange from 2017 to 2019. By using the purposive sampling method, 81 companies were selected as the research sample. Based on logistic regression analysis, it was proven that the tax minimization variable has a significant positive effect on transfer pricing decisions. Likewise, the audit quality variable is proven to have a significant negative effect on transfer pricing decisions in manufacturing companies in Indonesia. Meanwhile, the bonus mechanism, foreign ownership, and exchange rate variables were not proven to have a significant effect on the company's transfer pricing decision. These results indicated that the greater the tax minimization carried out by the company and the lower the audit quality will increase the probability of the company in conducting transfer pricing, and vice versa. The results of this study have implications for encouraging the government to make regulations that can prevent transfer pricing practices between companies that have a special relationship that might harm the government from tax revenue.\r  Keywords: bonus mechanism; foreign ownership; tax minimization; transfer pricing","author":[{"dropping-particle":"","family":"Marfuah","given":"Marfuah","non-dropping-particle":"","parse-names":false,"suffix":""},{"dropping-particle":"","family":"Sanintya Mayantya","given":"","non-dropping-particle":"","parse-names":false,"suffix":""},{"dropping-particle":"","family":"Priyono Puji Prasetyo","given":"","non-dropping-particle":"","parse-names":false,"suffix":""}],"container-title":"Jurnal Bisnis Terapan","id":"ITEM-1","issue":"1","issued":{"date-parts":[["2021"]]},"page":"57-72","title":"the Effect of Tax Minimization, Bonus Mechanism, Foreign Ownership, Exchange Rate, Audit Quality on Transfer Pricing Decisions","type":"article-journal","volume":"5"},"uris":["http://www.mendeley.com/documents/?uuid=585f3e42-702a-4a8a-9d48-2a9b7a37c2a6"]}],"mendeley":{"formattedCitation":"(Marfuah et al., 2021)","manualFormatting":"Marfuah et al., (2021)","plainTextFormattedCitation":"(Marfuah et al., 2021)","previouslyFormattedCitation":"(Marfuah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Marfuah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{"citationItems":[{"id":"ITEM-1","itemData":{"DOI":"10.47505/IJRSS.2023.V4.4.1","ISSN":"25826220","abstract":"Profit is the main orientation for every business entitybecause profit is one of the company's performance indicators in order to maintain its sustainability, therefore various strategies are designed and implemented so that the company continues to exist and is able to compete along with increasingly competitive and massive developments. Transfer pricing is a strategy that is oftenimplemented by companies in order to manage resources while achieving profit optimization and as a strategy is certainly influenced by several determinants including Tax minimization, leverage and Good Corporate Governance. This study intends to examine the effect of tax minimization and leverage through the interaction of Good Corporate Governance which is proxied by the number of audit committees with educational backgrounds and accounting experience. The population used are all entities in the industrial sector listed on the Indonesia Stock Exchange, using purposive sampling obtained from 17 selected companies with the observation period 2019 –2021 so that a total sample data of 51 is obtained. Moderating Regression Analysis (MRA) is used as a technique to examine the relationship between variables. The test results show that partially Tax minimization, leverage, and Good Corporate Governance have a significant effect on transfer pricing. The test results also show that GCG is able to moderate both tax minimization and leverage on transfer pricing.","author":[{"dropping-particle":"","family":"Fatmi","given":"Aulia Arie","non-dropping-particle":"","parse-names":false,"suffix":""},{"dropping-particle":"","family":"Amin","given":"Aminul","non-dropping-particle":"","parse-names":false,"suffix":""}],"container-title":"International Journal of Research in Social Science and Humanities (IJRSS)","id":"ITEM-1","issue":"04","issued":{"date-parts":[["2023"]]},"page":"01-15","title":"The Effect of Tax Minimization and Leverage on Transfer Pricing Decisions With GCG as Moderation","type":"article-journal","volume":"09"},"uris":["http://www.mendeley.com/documents/?uuid=3d469e8b-bc9f-4dc0-9ffc-78030bea2052"]}],"mendeley":{"formattedCitation":"(Fatmi &amp; Amin, 2023)","manualFormatting":"Fatmi &amp; Amin (2023)","plainTextFormattedCitation":"(Fatmi &amp; Amin, 2023)","previouslyFormattedCitation":"(Fatmi &amp; Amin,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Fatmi &amp; Amin (2023)</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bahwa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berpengaruh positif signifikan terhadap keputusan perusahaan dalam melakukan praktik </w:t>
      </w:r>
      <w:r>
        <w:rPr>
          <w:rFonts w:ascii="Times New Roman" w:hAnsi="Times New Roman" w:cs="Times New Roman"/>
          <w:i/>
          <w:iCs/>
          <w:sz w:val="24"/>
          <w:szCs w:val="24"/>
        </w:rPr>
        <w:t>transfer pricing</w:t>
      </w:r>
      <w:r>
        <w:rPr>
          <w:rFonts w:ascii="Times New Roman" w:hAnsi="Times New Roman" w:cs="Times New Roman"/>
          <w:sz w:val="24"/>
          <w:szCs w:val="24"/>
        </w:rPr>
        <w:t xml:space="preserve">. Namun, hasil penelitian ini tidak sejalan dengan penelitian yang telah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{"citationItems":[{"id":"ITEM-1","itemData":{"DOI":"10.24167/jab.v19i1.3551","ISSN":"1412-775X","abstract":"The purpose of this study is to analyze the effect of tax minimization, bonus mechanism, and tunneling incentive on transfer pricing with leverage as a moderating variable. The population of this study are mining companies listed on the Indonesia Stock Exchange (IDX) in 2017-2019.The sample selection uses a purposive side technique. Samples that meet the criteria are 18 companies with 54 units of analysis, there are 8 outliers so that the number of samples is 46 units of analysis. The data analysis technique is Moderated Regression Analysis (MRA) with IBM SPSS Statistics Version 24 software. This study shows a negative effect of tax minimization, a positive effect of tunneling incentive, and no effect bonus mechanism on transfer pricing decisions. Leverage does not moderate the effect of tax minimization and bonus mechanism on transfer pricing decisions and only significantly moderates the effect of tunneling incentives on transfer pricing decisions.","author":[{"dropping-particle":"","family":"Lutfia","given":"Mei Dewi","non-dropping-particle":"","parse-names":false,"suffix":""},{"dropping-particle":"","family":"Sukirman","given":"Sukirman","non-dropping-particle":"","parse-names":false,"suffix":""}],"container-title":"Jurnal Akuntansi Bisnis","id":"ITEM-1","issue":"1","issued":{"date-parts":[["2021"]]},"page":"79","title":"Leverage Sebagai Pemoderasi Pada Transfer Pricing Yang Dipengaruhi Tax Minimiziation, Bonus Mechanism , dan Tunneling Incentive","type":"article-journal","volume":"19"},"uris":["http://www.mendeley.com/documents/?uuid=51a1b074-8d5f-4d60-825b-42fbf89e0658"]}],"mendeley":{"formattedCitation":"(Lutfia &amp; Sukirman, 2021)","manualFormatting":"Lutfia &amp; Sukirman (2021)","plainTextFormattedCitation":"(Lutfia &amp; Sukirman, 2021)","previouslyFormattedCitation":"(Lutfia &amp; Sukirman,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Lutfia &amp; Sukirman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ska","given":"Amilia","non-dropping-particle":"","parse-names":false,"suffix":""},{"dropping-particle":"","family":"Anwar","given":"Saiful","non-dropping-particle":"","parse-names":false,"suffix":""}],"container-title":"Jurnal Akuntansi Berkelanjutan Indonesia","id":"ITEM-1","issue":"3","issued":{"date-parts":[["2021"]]},"page":"266-280","title":"PENGARUH TUNNELING INCENTIVE , BONUS MECHANISM , DEBT COVENANT DAN TAX MINIMIZATION TERHADAP KEPUTUSAN TRANSFER PRICING Abstrack Abstrak","type":"article-journal","volume":"4"},"uris":["http://www.mendeley.com/documents/?uuid=c7389544-506d-4b61-8826-e95b132c1889"]}],"mendeley":{"formattedCitation":"(Riska &amp; Anwar, 2021)","manualFormatting":"Riska &amp; Anwar (2021)","plainTextFormattedCitation":"(Riska &amp; Anwar, 2021)","previouslyFormattedCitation":"(Riska &amp; Anwar,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Riska &amp; Anwar (2021)</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{"citationItems":[{"id":"ITEM-1","itemData":{"DOI":"10.37481/sjr.v6i1.634","ISSN":"2615-3009","abstract":"This study aims to find out and test empirically the effect of tax minimization, exchange rates and tunneling incentives on transfer tricing decisions in manufacturing companies listed on the Indonesia Stock Exchange in 2015-2020. The type of research used is associative quantitative which uses secondary data in the form of financial reports that have been published by the company on the Indonesia Stock Exchange. The population of this study were 138 companies and the selected sample was 11 companies using purposive sampling method, with 61 data analyzed. The data analysis technique for testing this hypothesis was carried out using the Eviews 9 application. The results of this study show that simultaneously tax minimization, exchange rate and tunneling incentives have a significant effect on transfer pricing. Partially, tax minimization has no effect on transfer pricing, the exchange rate has a significant positive effect on transfer pricing. Tunneling incentive has a significant positive effect on transfer pricing.","author":[{"dropping-particle":"","family":"Putri","given":"Wulandari Cahyani","non-dropping-particle":"","parse-names":false,"suffix":""},{"dropping-particle":"","family":"Lindawati","given":"Lindawati","non-dropping-particle":"","parse-names":false,"suffix":""}],"container-title":"SCIENTIFIC JOURNAL OF REFLECTION : Economic, Accounting, Management and Business","id":"ITEM-1","issue":"1","issued":{"date-parts":[["2023"]]},"page":"195-204","title":"Pengaruh Tax Minimization, Exchange Rate Dan Tunneling Incentive Terhadap Keputusan Transfer Pricing","type":"article-journal","volume":"6"},"uris":["http://www.mendeley.com/documents/?uuid=737bddbc-edfa-4071-9c61-e6720a578abf"]}],"mendeley":{"formattedCitation":"(Putri &amp; Lindawati, 2023)","manualFormatting":"Putri &amp; Lindawati (2023)","plainTextFormattedCitation":"(Putri &amp; Lindawati, 2023)","previouslyFormattedCitation":"(Putri &amp; Lindawati,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Putri &amp; Lindawati (2023)</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bahwa </w:t>
      </w: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tidak berpengaruh terhadap keputusan perusahaan dalam melakukan praktik </w:t>
      </w:r>
      <w:r>
        <w:rPr>
          <w:rFonts w:ascii="Times New Roman" w:hAnsi="Times New Roman" w:cs="Times New Roman"/>
          <w:i/>
          <w:iCs/>
          <w:sz w:val="24"/>
          <w:szCs w:val="24"/>
        </w:rPr>
        <w:t>transfer pricing</w:t>
      </w:r>
      <w:r>
        <w:rPr>
          <w:rFonts w:ascii="Times New Roman" w:hAnsi="Times New Roman" w:cs="Times New Roman"/>
          <w:sz w:val="24"/>
          <w:szCs w:val="24"/>
        </w:rPr>
        <w:t>.</w:t>
      </w:r>
    </w:p>
    <w:p w14:paraId="20548639" w14:textId="77777777" w:rsidR="00BB58C4" w:rsidRDefault="00BB58C4">
      <w:pPr>
        <w:spacing w:after="0" w:line="240" w:lineRule="auto"/>
        <w:jc w:val="both"/>
        <w:rPr>
          <w:rFonts w:ascii="Times New Roman" w:hAnsi="Times New Roman" w:cs="Times New Roman"/>
          <w:b/>
          <w:bCs/>
          <w:sz w:val="24"/>
          <w:szCs w:val="24"/>
        </w:rPr>
      </w:pPr>
    </w:p>
    <w:p w14:paraId="65AE0907" w14:textId="77777777" w:rsidR="00BB58C4" w:rsidRDefault="00BB58C4">
      <w:pPr>
        <w:spacing w:after="0" w:line="480" w:lineRule="auto"/>
        <w:jc w:val="both"/>
        <w:rPr>
          <w:rFonts w:ascii="Times New Roman" w:hAnsi="Times New Roman" w:cs="Times New Roman"/>
          <w:b/>
          <w:bCs/>
          <w:sz w:val="24"/>
          <w:szCs w:val="24"/>
        </w:rPr>
      </w:pPr>
    </w:p>
    <w:p w14:paraId="2C55444E" w14:textId="77777777" w:rsidR="00BB58C4" w:rsidRPr="004D07CE" w:rsidRDefault="00BB58C4">
      <w:pPr>
        <w:spacing w:after="0" w:line="480" w:lineRule="auto"/>
        <w:jc w:val="both"/>
        <w:rPr>
          <w:rFonts w:ascii="Times New Roman" w:hAnsi="Times New Roman" w:cs="Times New Roman"/>
          <w:b/>
          <w:bCs/>
          <w:sz w:val="24"/>
          <w:szCs w:val="24"/>
          <w:lang w:val="en-US"/>
        </w:rPr>
      </w:pPr>
    </w:p>
    <w:p w14:paraId="5E2A1DA8" w14:textId="77777777" w:rsidR="00BB58C4" w:rsidRDefault="00BB58C4">
      <w:pPr>
        <w:spacing w:after="0" w:line="480" w:lineRule="auto"/>
        <w:jc w:val="both"/>
        <w:rPr>
          <w:rFonts w:ascii="Times New Roman" w:hAnsi="Times New Roman" w:cs="Times New Roman"/>
          <w:b/>
          <w:bCs/>
          <w:sz w:val="24"/>
          <w:szCs w:val="24"/>
        </w:rPr>
        <w:sectPr w:rsidR="00BB58C4">
          <w:pgSz w:w="11906" w:h="16838"/>
          <w:pgMar w:top="2268" w:right="1701" w:bottom="1701" w:left="2268" w:header="709" w:footer="709" w:gutter="0"/>
          <w:cols w:space="708"/>
          <w:titlePg/>
          <w:docGrid w:linePitch="360"/>
        </w:sectPr>
      </w:pPr>
    </w:p>
    <w:p w14:paraId="10C08E26" w14:textId="77777777" w:rsidR="00BB58C4" w:rsidRDefault="00000000">
      <w:pPr>
        <w:pStyle w:val="Heading1"/>
        <w:rPr>
          <w:rFonts w:cs="Times New Roman"/>
          <w:szCs w:val="24"/>
        </w:rPr>
      </w:pPr>
      <w:bookmarkStart w:id="184" w:name="_Toc220995068"/>
      <w:r>
        <w:rPr>
          <w:rFonts w:cs="Times New Roman"/>
          <w:szCs w:val="24"/>
        </w:rPr>
        <w:lastRenderedPageBreak/>
        <w:t xml:space="preserve">BAB V </w:t>
      </w:r>
      <w:r>
        <w:rPr>
          <w:rFonts w:cs="Times New Roman"/>
          <w:szCs w:val="24"/>
        </w:rPr>
        <w:br/>
      </w:r>
      <w:r>
        <w:rPr>
          <w:rFonts w:cs="Times New Roman"/>
          <w:bCs/>
          <w:szCs w:val="24"/>
        </w:rPr>
        <w:t>PENUTUP</w:t>
      </w:r>
      <w:bookmarkEnd w:id="184"/>
    </w:p>
    <w:p w14:paraId="461A12A8" w14:textId="77777777" w:rsidR="00BB58C4" w:rsidRDefault="00BB58C4">
      <w:pPr>
        <w:pStyle w:val="ListParagraph"/>
        <w:numPr>
          <w:ilvl w:val="0"/>
          <w:numId w:val="1"/>
        </w:numPr>
        <w:spacing w:after="0" w:line="480" w:lineRule="auto"/>
        <w:outlineLvl w:val="1"/>
        <w:rPr>
          <w:rFonts w:ascii="Times New Roman" w:hAnsi="Times New Roman" w:cs="Times New Roman"/>
          <w:b/>
          <w:bCs/>
          <w:vanish/>
          <w:sz w:val="24"/>
          <w:szCs w:val="24"/>
        </w:rPr>
      </w:pPr>
      <w:bookmarkStart w:id="185" w:name="_Toc210632969"/>
      <w:bookmarkStart w:id="186" w:name="_Toc210205021"/>
      <w:bookmarkStart w:id="187" w:name="_Toc210205087"/>
      <w:bookmarkStart w:id="188" w:name="_Toc210257134"/>
      <w:bookmarkStart w:id="189" w:name="_Toc210173172"/>
      <w:bookmarkStart w:id="190" w:name="_Toc210205676"/>
      <w:bookmarkStart w:id="191" w:name="_Toc210172468"/>
      <w:bookmarkStart w:id="192" w:name="_Toc210623715"/>
      <w:bookmarkStart w:id="193" w:name="_Toc210205154"/>
      <w:bookmarkStart w:id="194" w:name="_Toc220995069"/>
      <w:bookmarkEnd w:id="185"/>
      <w:bookmarkEnd w:id="186"/>
      <w:bookmarkEnd w:id="187"/>
      <w:bookmarkEnd w:id="188"/>
      <w:bookmarkEnd w:id="189"/>
      <w:bookmarkEnd w:id="190"/>
      <w:bookmarkEnd w:id="191"/>
      <w:bookmarkEnd w:id="192"/>
      <w:bookmarkEnd w:id="193"/>
      <w:bookmarkEnd w:id="194"/>
    </w:p>
    <w:p w14:paraId="714AA27A" w14:textId="77777777" w:rsidR="00BB58C4" w:rsidRDefault="00000000">
      <w:pPr>
        <w:pStyle w:val="Heading2"/>
      </w:pPr>
      <w:bookmarkStart w:id="195" w:name="_Toc220995070"/>
      <w:r>
        <w:t>Kesimpulan</w:t>
      </w:r>
      <w:bookmarkEnd w:id="195"/>
    </w:p>
    <w:p w14:paraId="57480E4A" w14:textId="77777777" w:rsidR="00BB58C4" w:rsidRDefault="000000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analisis serta pembahasan yang telah dijelaskan pada bab sebelumnya, dapat disimpulkan hal-hal sebagai berikut :</w:t>
      </w:r>
    </w:p>
    <w:p w14:paraId="02592359" w14:textId="77777777" w:rsidR="00BB58C4" w:rsidRDefault="00000000">
      <w:pPr>
        <w:pStyle w:val="ListParagraph"/>
        <w:numPr>
          <w:ilvl w:val="1"/>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i/>
          <w:iCs/>
          <w:sz w:val="24"/>
          <w:szCs w:val="24"/>
        </w:rPr>
        <w:t>Tax Haven</w:t>
      </w:r>
      <w:r>
        <w:rPr>
          <w:rFonts w:ascii="Times New Roman" w:hAnsi="Times New Roman" w:cs="Times New Roman"/>
          <w:sz w:val="24"/>
          <w:szCs w:val="24"/>
        </w:rPr>
        <w:t xml:space="preserve"> berpengaruh positif signifikan terhadap keputusan perusahaan dalam melakukan praktik </w:t>
      </w:r>
      <w:r>
        <w:rPr>
          <w:rFonts w:ascii="Times New Roman" w:hAnsi="Times New Roman" w:cs="Times New Roman"/>
          <w:i/>
          <w:iCs/>
          <w:sz w:val="24"/>
          <w:szCs w:val="24"/>
        </w:rPr>
        <w:t xml:space="preserve">transfer pricing </w:t>
      </w:r>
      <w:r>
        <w:rPr>
          <w:rFonts w:ascii="Times New Roman" w:hAnsi="Times New Roman" w:cs="Times New Roman"/>
          <w:sz w:val="24"/>
          <w:szCs w:val="24"/>
        </w:rPr>
        <w:t>terkhususnya pada perusahaan multinasional sektor pertambangan yang terdaftar di Bursa Efek Indonesia Tahun 2019 – 2023.</w:t>
      </w:r>
    </w:p>
    <w:p w14:paraId="30ADC77A" w14:textId="77777777" w:rsidR="00BB58C4" w:rsidRDefault="00000000">
      <w:pPr>
        <w:pStyle w:val="ListParagraph"/>
        <w:numPr>
          <w:ilvl w:val="1"/>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i/>
          <w:iCs/>
          <w:sz w:val="24"/>
          <w:szCs w:val="24"/>
        </w:rPr>
        <w:t xml:space="preserve">Intangible Asset </w:t>
      </w:r>
      <w:r>
        <w:rPr>
          <w:rFonts w:ascii="Times New Roman" w:hAnsi="Times New Roman" w:cs="Times New Roman"/>
          <w:sz w:val="24"/>
          <w:szCs w:val="24"/>
        </w:rPr>
        <w:t xml:space="preserve">berpengaruh positif signifikan terhadap keputusan perusahaan melakukan </w:t>
      </w:r>
      <w:r>
        <w:rPr>
          <w:rFonts w:ascii="Times New Roman" w:hAnsi="Times New Roman" w:cs="Times New Roman"/>
          <w:i/>
          <w:iCs/>
          <w:sz w:val="24"/>
          <w:szCs w:val="24"/>
        </w:rPr>
        <w:t xml:space="preserve">transfer pricing </w:t>
      </w:r>
      <w:r>
        <w:rPr>
          <w:rFonts w:ascii="Times New Roman" w:hAnsi="Times New Roman" w:cs="Times New Roman"/>
          <w:sz w:val="24"/>
          <w:szCs w:val="24"/>
        </w:rPr>
        <w:t>pada perusahaan multinasional sektor pertambangan yang terdaftar di Bursa Efek Indonesia Tahun 2019-2023.</w:t>
      </w:r>
    </w:p>
    <w:p w14:paraId="15CA6B5E" w14:textId="77777777" w:rsidR="00BB58C4" w:rsidRDefault="00000000">
      <w:pPr>
        <w:pStyle w:val="ListParagraph"/>
        <w:numPr>
          <w:ilvl w:val="1"/>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i/>
          <w:iCs/>
          <w:sz w:val="24"/>
          <w:szCs w:val="24"/>
        </w:rPr>
        <w:t xml:space="preserve">Tax Minimization </w:t>
      </w:r>
      <w:r>
        <w:rPr>
          <w:rFonts w:ascii="Times New Roman" w:hAnsi="Times New Roman" w:cs="Times New Roman"/>
          <w:sz w:val="24"/>
          <w:szCs w:val="24"/>
        </w:rPr>
        <w:t xml:space="preserve">berpengaruh positif signifikan terhadap keputusan perusahaan dalam melakukan praktik </w:t>
      </w:r>
      <w:r>
        <w:rPr>
          <w:rFonts w:ascii="Times New Roman" w:hAnsi="Times New Roman" w:cs="Times New Roman"/>
          <w:i/>
          <w:iCs/>
          <w:sz w:val="24"/>
          <w:szCs w:val="24"/>
        </w:rPr>
        <w:t>transfer pricing</w:t>
      </w:r>
      <w:r>
        <w:rPr>
          <w:rFonts w:ascii="Times New Roman" w:hAnsi="Times New Roman" w:cs="Times New Roman"/>
          <w:sz w:val="24"/>
          <w:szCs w:val="24"/>
        </w:rPr>
        <w:t xml:space="preserve"> pada perusahaan Multinasional Sektor Pertambangan yang terdaftar di Bursa Efek Indonesia Tahun 2019-2023. </w:t>
      </w:r>
    </w:p>
    <w:p w14:paraId="1185A9AD" w14:textId="77777777" w:rsidR="00BB58C4" w:rsidRDefault="00000000">
      <w:pPr>
        <w:pStyle w:val="subbab5"/>
      </w:pPr>
      <w:bookmarkStart w:id="196" w:name="_Toc220995071"/>
      <w:r>
        <w:t>Saran</w:t>
      </w:r>
      <w:bookmarkEnd w:id="196"/>
    </w:p>
    <w:p w14:paraId="4FCB11FC" w14:textId="77777777" w:rsidR="00BB58C4" w:rsidRDefault="00000000">
      <w:pPr>
        <w:spacing w:after="0" w:line="480" w:lineRule="auto"/>
        <w:ind w:hanging="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hasil penelitian ini diharapkan di masa mendatang dapat menyajikan hasil penelitian yang lebih berkualitas serta masukan yang dapat digunakan sebagai bahan informasi untuk pertimbangan dalam pengambilan keputusan yaitu:</w:t>
      </w:r>
    </w:p>
    <w:p w14:paraId="3C7DDCF8" w14:textId="77777777" w:rsidR="00BB58C4" w:rsidRDefault="00000000">
      <w:pPr>
        <w:pStyle w:val="ListParagraph"/>
        <w:numPr>
          <w:ilvl w:val="0"/>
          <w:numId w:val="2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Pemerintah dapat menetapkan aturan-aturan tertentu atau pengecekan secara berkala pada perusahaan multinasional mengenai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karena jika hal </w:t>
      </w:r>
      <w:r>
        <w:rPr>
          <w:rFonts w:ascii="Times New Roman" w:hAnsi="Times New Roman" w:cs="Times New Roman"/>
          <w:sz w:val="24"/>
          <w:szCs w:val="24"/>
        </w:rPr>
        <w:lastRenderedPageBreak/>
        <w:t>tersebut dibiarkan maka dapat merugikan negara karena pajak yang tidak terbayarkan.</w:t>
      </w:r>
    </w:p>
    <w:p w14:paraId="4392E990" w14:textId="77777777" w:rsidR="00BB58C4" w:rsidRDefault="00000000">
      <w:pPr>
        <w:pStyle w:val="ListParagraph"/>
        <w:numPr>
          <w:ilvl w:val="0"/>
          <w:numId w:val="2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Perusahaan diharapkan dapat menyusun dokumentasi </w:t>
      </w:r>
      <w:r>
        <w:rPr>
          <w:rFonts w:ascii="Times New Roman" w:hAnsi="Times New Roman" w:cs="Times New Roman"/>
          <w:i/>
          <w:iCs/>
          <w:sz w:val="24"/>
          <w:szCs w:val="24"/>
        </w:rPr>
        <w:t xml:space="preserve">transfer pricing </w:t>
      </w:r>
      <w:r>
        <w:rPr>
          <w:rFonts w:ascii="Times New Roman" w:hAnsi="Times New Roman" w:cs="Times New Roman"/>
          <w:sz w:val="24"/>
          <w:szCs w:val="24"/>
        </w:rPr>
        <w:t xml:space="preserve">(TP-Doc) secara lengkap dan terperinci sebagai bukti kepatuhan terhadap aturan perpajakan untuk menghindari adanya risiko hukum dan sengketa pajak yang dapat merusak reputasi perusahaan. </w:t>
      </w:r>
    </w:p>
    <w:p w14:paraId="7617207C" w14:textId="77777777" w:rsidR="00BB58C4" w:rsidRDefault="00000000">
      <w:pPr>
        <w:pStyle w:val="subbab5"/>
        <w:jc w:val="both"/>
      </w:pPr>
      <w:bookmarkStart w:id="197" w:name="_Toc220995072"/>
      <w:r>
        <w:t>Keterbatasan Penelitian</w:t>
      </w:r>
      <w:bookmarkEnd w:id="197"/>
    </w:p>
    <w:p w14:paraId="704639D1" w14:textId="77777777" w:rsidR="00BB58C4" w:rsidRDefault="00000000">
      <w:pPr>
        <w:pStyle w:val="ListParagraph"/>
        <w:numPr>
          <w:ilvl w:val="0"/>
          <w:numId w:val="2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Penentuan sampel dengan metode </w:t>
      </w:r>
      <w:r>
        <w:rPr>
          <w:rFonts w:ascii="Times New Roman" w:hAnsi="Times New Roman" w:cs="Times New Roman"/>
          <w:i/>
          <w:iCs/>
          <w:sz w:val="24"/>
          <w:szCs w:val="24"/>
        </w:rPr>
        <w:t xml:space="preserve">purposive sampling </w:t>
      </w:r>
      <w:r>
        <w:rPr>
          <w:rFonts w:ascii="Times New Roman" w:hAnsi="Times New Roman" w:cs="Times New Roman"/>
          <w:sz w:val="24"/>
          <w:szCs w:val="24"/>
        </w:rPr>
        <w:t>menggunakan kriteria khusus sehingga tidak dapat digeneralisasi.</w:t>
      </w:r>
    </w:p>
    <w:p w14:paraId="51250208" w14:textId="77777777" w:rsidR="00BB58C4" w:rsidRDefault="00000000">
      <w:pPr>
        <w:pStyle w:val="ListParagraph"/>
        <w:numPr>
          <w:ilvl w:val="0"/>
          <w:numId w:val="2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Populasi yang digunakan pada penelitian ini hanya fokus kepada satu entitas perusahaan yaitu perusahaan pertambangan yang terdaftar di Bursa Efek Indonesia.</w:t>
      </w:r>
    </w:p>
    <w:p w14:paraId="13CBD788" w14:textId="77777777" w:rsidR="00BB58C4" w:rsidRDefault="00000000">
      <w:pPr>
        <w:pStyle w:val="ListParagraph"/>
        <w:numPr>
          <w:ilvl w:val="0"/>
          <w:numId w:val="29"/>
        </w:numPr>
        <w:spacing w:line="480" w:lineRule="auto"/>
        <w:ind w:left="284" w:hanging="284"/>
        <w:jc w:val="both"/>
        <w:rPr>
          <w:rFonts w:ascii="Times New Roman" w:hAnsi="Times New Roman" w:cs="Times New Roman"/>
          <w:sz w:val="24"/>
          <w:szCs w:val="24"/>
        </w:rPr>
        <w:sectPr w:rsidR="00BB58C4">
          <w:pgSz w:w="11906" w:h="16838"/>
          <w:pgMar w:top="2268" w:right="1701" w:bottom="1701" w:left="2268" w:header="709" w:footer="709" w:gutter="0"/>
          <w:cols w:space="708"/>
          <w:titlePg/>
          <w:docGrid w:linePitch="360"/>
        </w:sectPr>
      </w:pPr>
      <w:r>
        <w:rPr>
          <w:rFonts w:ascii="Times New Roman" w:hAnsi="Times New Roman" w:cs="Times New Roman"/>
          <w:sz w:val="24"/>
          <w:szCs w:val="24"/>
        </w:rPr>
        <w:t>Rentang waktu pengamatan penelitian yang terbatas selama lima tahun saja, yaitu tahun 2019-2023.</w:t>
      </w:r>
    </w:p>
    <w:p w14:paraId="0E184218" w14:textId="77777777" w:rsidR="00BB58C4" w:rsidRDefault="00000000">
      <w:pPr>
        <w:pStyle w:val="Heading1"/>
        <w:rPr>
          <w:rFonts w:cs="Times New Roman"/>
        </w:rPr>
      </w:pPr>
      <w:bookmarkStart w:id="198" w:name="_Toc220995073"/>
      <w:r>
        <w:rPr>
          <w:rFonts w:cs="Times New Roman"/>
        </w:rPr>
        <w:lastRenderedPageBreak/>
        <w:t>DAFTAR PUSTAKA</w:t>
      </w:r>
      <w:bookmarkEnd w:id="198"/>
    </w:p>
    <w:p w14:paraId="53AC4359" w14:textId="4A617C1B"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kern w:val="0"/>
          <w:sz w:val="24"/>
        </w:rPr>
        <w:t xml:space="preserve">Adhika, F. N., &amp; Wulandari, S. (2023). Pengaruh Beban Pajak, Mekanisme Bonus , </w:t>
      </w:r>
      <w:r w:rsidRPr="00DC0847">
        <w:rPr>
          <w:rFonts w:ascii="Times New Roman" w:hAnsi="Times New Roman" w:cs="Times New Roman"/>
          <w:i/>
          <w:iCs/>
          <w:kern w:val="0"/>
          <w:sz w:val="24"/>
        </w:rPr>
        <w:t>Exchange Rate</w:t>
      </w:r>
      <w:r>
        <w:rPr>
          <w:rFonts w:ascii="Times New Roman" w:hAnsi="Times New Roman" w:cs="Times New Roman"/>
          <w:kern w:val="0"/>
          <w:sz w:val="24"/>
        </w:rPr>
        <w:t xml:space="preserve">, dan </w:t>
      </w:r>
      <w:r w:rsidRPr="00DC0847">
        <w:rPr>
          <w:rFonts w:ascii="Times New Roman" w:hAnsi="Times New Roman" w:cs="Times New Roman"/>
          <w:i/>
          <w:iCs/>
          <w:kern w:val="0"/>
          <w:sz w:val="24"/>
        </w:rPr>
        <w:t>Intangible Asset</w:t>
      </w:r>
      <w:r>
        <w:rPr>
          <w:rFonts w:ascii="Times New Roman" w:hAnsi="Times New Roman" w:cs="Times New Roman"/>
          <w:kern w:val="0"/>
          <w:sz w:val="24"/>
        </w:rPr>
        <w:t xml:space="preserve"> terhadap Keputusan </w:t>
      </w:r>
      <w:r w:rsidRPr="00DC0847">
        <w:rPr>
          <w:rFonts w:ascii="Times New Roman" w:hAnsi="Times New Roman" w:cs="Times New Roman"/>
          <w:i/>
          <w:iCs/>
          <w:kern w:val="0"/>
          <w:sz w:val="24"/>
        </w:rPr>
        <w:t>Transfer Pricing</w:t>
      </w:r>
      <w:r>
        <w:rPr>
          <w:rFonts w:ascii="Times New Roman" w:hAnsi="Times New Roman" w:cs="Times New Roman"/>
          <w:kern w:val="0"/>
          <w:sz w:val="24"/>
        </w:rPr>
        <w:t xml:space="preserve">, </w:t>
      </w:r>
      <w:r>
        <w:rPr>
          <w:rFonts w:ascii="Times New Roman" w:hAnsi="Times New Roman" w:cs="Times New Roman"/>
          <w:i/>
          <w:iCs/>
          <w:kern w:val="0"/>
          <w:sz w:val="24"/>
        </w:rPr>
        <w:t>7</w:t>
      </w:r>
      <w:r>
        <w:rPr>
          <w:rFonts w:ascii="Times New Roman" w:hAnsi="Times New Roman" w:cs="Times New Roman"/>
          <w:kern w:val="0"/>
          <w:sz w:val="24"/>
        </w:rPr>
        <w:t>, 246–253. https://doi.org/10.33087/ekonomis.v7i1.900</w:t>
      </w:r>
    </w:p>
    <w:p w14:paraId="12A082C1"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Afzal, A. K. and M. N. I. (2023). </w:t>
      </w:r>
      <w:r w:rsidRPr="00DC0847">
        <w:rPr>
          <w:rFonts w:ascii="Times New Roman" w:hAnsi="Times New Roman" w:cs="Times New Roman"/>
          <w:i/>
          <w:iCs/>
          <w:kern w:val="0"/>
          <w:sz w:val="24"/>
        </w:rPr>
        <w:t>Transfer pricing practices in multinational corporations and their effects on developing countries ’ tax revenue : a systematic literature review</w:t>
      </w:r>
      <w:r>
        <w:rPr>
          <w:rFonts w:ascii="Times New Roman" w:hAnsi="Times New Roman" w:cs="Times New Roman"/>
          <w:kern w:val="0"/>
          <w:sz w:val="24"/>
        </w:rPr>
        <w:t>. https://doi.org/10.1108/ITPD-04-2023-0011</w:t>
      </w:r>
    </w:p>
    <w:p w14:paraId="32C4DC4A"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Aisah, N., Pratiwi, E., Wadi, I., Pamulang, U., &amp; Pamulang, U. (2024). The Influence Of Tax Burden , Intangible Assets , And Foreign Ownership On Transfer Pricing Policies. </w:t>
      </w:r>
      <w:r>
        <w:rPr>
          <w:rFonts w:ascii="Times New Roman" w:hAnsi="Times New Roman" w:cs="Times New Roman"/>
          <w:i/>
          <w:iCs/>
          <w:kern w:val="0"/>
          <w:sz w:val="24"/>
        </w:rPr>
        <w:t>EDUCORETAX</w:t>
      </w:r>
      <w:r>
        <w:rPr>
          <w:rFonts w:ascii="Times New Roman" w:hAnsi="Times New Roman" w:cs="Times New Roman"/>
          <w:kern w:val="0"/>
          <w:sz w:val="24"/>
        </w:rPr>
        <w:t xml:space="preserve">, </w:t>
      </w:r>
      <w:r>
        <w:rPr>
          <w:rFonts w:ascii="Times New Roman" w:hAnsi="Times New Roman" w:cs="Times New Roman"/>
          <w:i/>
          <w:iCs/>
          <w:kern w:val="0"/>
          <w:sz w:val="24"/>
        </w:rPr>
        <w:t>4</w:t>
      </w:r>
      <w:r>
        <w:rPr>
          <w:rFonts w:ascii="Times New Roman" w:hAnsi="Times New Roman" w:cs="Times New Roman"/>
          <w:kern w:val="0"/>
          <w:sz w:val="24"/>
        </w:rPr>
        <w:t>(11), 1345–1353.</w:t>
      </w:r>
    </w:p>
    <w:p w14:paraId="4543C2DF" w14:textId="1B0005FD"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Amanda, V. B., &amp; Carolina, V. (2021). Moderating Effect Of Executive Characteristics In The Effect Of Transfer Pricing On Tax Avoidance. </w:t>
      </w:r>
      <w:r>
        <w:rPr>
          <w:rFonts w:ascii="Times New Roman" w:hAnsi="Times New Roman" w:cs="Times New Roman"/>
          <w:i/>
          <w:iCs/>
          <w:kern w:val="0"/>
          <w:sz w:val="24"/>
        </w:rPr>
        <w:t>Jurnal Reviu</w:t>
      </w:r>
      <w:r w:rsidR="00DC0847">
        <w:rPr>
          <w:rFonts w:ascii="Times New Roman" w:hAnsi="Times New Roman" w:cs="Times New Roman"/>
          <w:i/>
          <w:iCs/>
          <w:kern w:val="0"/>
          <w:sz w:val="24"/>
          <w:lang w:val="en-US"/>
        </w:rPr>
        <w:t xml:space="preserve"> </w:t>
      </w:r>
      <w:r>
        <w:rPr>
          <w:rFonts w:ascii="Times New Roman" w:hAnsi="Times New Roman" w:cs="Times New Roman"/>
          <w:i/>
          <w:iCs/>
          <w:kern w:val="0"/>
          <w:sz w:val="24"/>
        </w:rPr>
        <w:t>Akuntansi Dan Keuangan</w:t>
      </w:r>
      <w:r>
        <w:rPr>
          <w:rFonts w:ascii="Times New Roman" w:hAnsi="Times New Roman" w:cs="Times New Roman"/>
          <w:kern w:val="0"/>
          <w:sz w:val="24"/>
        </w:rPr>
        <w:t xml:space="preserve">, </w:t>
      </w:r>
      <w:r>
        <w:rPr>
          <w:rFonts w:ascii="Times New Roman" w:hAnsi="Times New Roman" w:cs="Times New Roman"/>
          <w:i/>
          <w:iCs/>
          <w:kern w:val="0"/>
          <w:sz w:val="24"/>
        </w:rPr>
        <w:t>11</w:t>
      </w:r>
      <w:r>
        <w:rPr>
          <w:rFonts w:ascii="Times New Roman" w:hAnsi="Times New Roman" w:cs="Times New Roman"/>
          <w:kern w:val="0"/>
          <w:sz w:val="24"/>
        </w:rPr>
        <w:t>(3), 679–693. https://doi.org/10.22219/jrak.v11i3.17660</w:t>
      </w:r>
    </w:p>
    <w:p w14:paraId="5397C37F"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Azzuhriyyah, A. A. (2023). Pengaruh Tunneling Incentive , Intangible Asset , Dan Debt Covenant Terhadap Keputusan Transfer Pricing Dengan Tax Minimization Sebagai Variabel Moderasi ( Studi Empiris pada Perusahaan Manufaktur yang Terdaftar di Bursa Efek Indonesia Tahun 2015-2021 ). </w:t>
      </w:r>
      <w:r>
        <w:rPr>
          <w:rFonts w:ascii="Times New Roman" w:hAnsi="Times New Roman" w:cs="Times New Roman"/>
          <w:i/>
          <w:iCs/>
          <w:kern w:val="0"/>
          <w:sz w:val="24"/>
        </w:rPr>
        <w:t>EKOMBIS REVIEW: Jurnal Ilmiah Ekonomi Dan Bisnis</w:t>
      </w:r>
      <w:r>
        <w:rPr>
          <w:rFonts w:ascii="Times New Roman" w:hAnsi="Times New Roman" w:cs="Times New Roman"/>
          <w:kern w:val="0"/>
          <w:sz w:val="24"/>
        </w:rPr>
        <w:t xml:space="preserve">, </w:t>
      </w:r>
      <w:r>
        <w:rPr>
          <w:rFonts w:ascii="Times New Roman" w:hAnsi="Times New Roman" w:cs="Times New Roman"/>
          <w:i/>
          <w:iCs/>
          <w:kern w:val="0"/>
          <w:sz w:val="24"/>
        </w:rPr>
        <w:t>11</w:t>
      </w:r>
      <w:r>
        <w:rPr>
          <w:rFonts w:ascii="Times New Roman" w:hAnsi="Times New Roman" w:cs="Times New Roman"/>
          <w:kern w:val="0"/>
          <w:sz w:val="24"/>
        </w:rPr>
        <w:t>(1), 63–72. https://doi.org/https://doi.org/10.37676/ekombis.v11i1</w:t>
      </w:r>
    </w:p>
    <w:p w14:paraId="0033BADA"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Barker, J., Asare, K., &amp; Brickman, S. (2017). Transfer Pricing As A Vehicle In Corporate Tax Avoidance. </w:t>
      </w:r>
      <w:r>
        <w:rPr>
          <w:rFonts w:ascii="Times New Roman" w:hAnsi="Times New Roman" w:cs="Times New Roman"/>
          <w:i/>
          <w:iCs/>
          <w:kern w:val="0"/>
          <w:sz w:val="24"/>
        </w:rPr>
        <w:t>The Journal of Applied Business Research</w:t>
      </w:r>
      <w:r>
        <w:rPr>
          <w:rFonts w:ascii="Times New Roman" w:hAnsi="Times New Roman" w:cs="Times New Roman"/>
          <w:kern w:val="0"/>
          <w:sz w:val="24"/>
        </w:rPr>
        <w:t>, (February), 9–16.</w:t>
      </w:r>
    </w:p>
    <w:p w14:paraId="5B93FD42"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Bhudiyanti, K., &amp; Suryarini, T. (2022). Pengaruh Tax Haven, Foreign Ownership, dan Intangible Assets terhadap Keputusan Transfer Pricing. </w:t>
      </w:r>
      <w:r>
        <w:rPr>
          <w:rFonts w:ascii="Times New Roman" w:hAnsi="Times New Roman" w:cs="Times New Roman"/>
          <w:i/>
          <w:iCs/>
          <w:kern w:val="0"/>
          <w:sz w:val="24"/>
        </w:rPr>
        <w:t>Nominal Barometer Riset Akuntansi Dan Manajemen</w:t>
      </w:r>
      <w:r>
        <w:rPr>
          <w:rFonts w:ascii="Times New Roman" w:hAnsi="Times New Roman" w:cs="Times New Roman"/>
          <w:kern w:val="0"/>
          <w:sz w:val="24"/>
        </w:rPr>
        <w:t xml:space="preserve">, </w:t>
      </w:r>
      <w:r>
        <w:rPr>
          <w:rFonts w:ascii="Times New Roman" w:hAnsi="Times New Roman" w:cs="Times New Roman"/>
          <w:i/>
          <w:iCs/>
          <w:kern w:val="0"/>
          <w:sz w:val="24"/>
        </w:rPr>
        <w:t>11</w:t>
      </w:r>
      <w:r>
        <w:rPr>
          <w:rFonts w:ascii="Times New Roman" w:hAnsi="Times New Roman" w:cs="Times New Roman"/>
          <w:kern w:val="0"/>
          <w:sz w:val="24"/>
        </w:rPr>
        <w:t>(2), 272–273. https://doi.org/10.21831/nominal.v11i2.51444</w:t>
      </w:r>
    </w:p>
    <w:p w14:paraId="5767B26E"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Buckley, P. J., &amp; Casson, M. (1976). The Future of the Multinational Enterprise. London: Macmillan.</w:t>
      </w:r>
    </w:p>
    <w:p w14:paraId="40350BF0"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Deng, Z., Yan, J., &amp; Sun, P. (2020). Political Status and Tax Haven Investment of Emerging Market Firms: Evidence from China. </w:t>
      </w:r>
      <w:r>
        <w:rPr>
          <w:rFonts w:ascii="Times New Roman" w:hAnsi="Times New Roman" w:cs="Times New Roman"/>
          <w:i/>
          <w:iCs/>
          <w:kern w:val="0"/>
          <w:sz w:val="24"/>
        </w:rPr>
        <w:t>Journal of Business Ethics</w:t>
      </w:r>
      <w:r>
        <w:rPr>
          <w:rFonts w:ascii="Times New Roman" w:hAnsi="Times New Roman" w:cs="Times New Roman"/>
          <w:kern w:val="0"/>
          <w:sz w:val="24"/>
        </w:rPr>
        <w:t xml:space="preserve">, </w:t>
      </w:r>
      <w:r>
        <w:rPr>
          <w:rFonts w:ascii="Times New Roman" w:hAnsi="Times New Roman" w:cs="Times New Roman"/>
          <w:i/>
          <w:iCs/>
          <w:kern w:val="0"/>
          <w:sz w:val="24"/>
        </w:rPr>
        <w:t>165</w:t>
      </w:r>
      <w:r>
        <w:rPr>
          <w:rFonts w:ascii="Times New Roman" w:hAnsi="Times New Roman" w:cs="Times New Roman"/>
          <w:kern w:val="0"/>
          <w:sz w:val="24"/>
        </w:rPr>
        <w:t>(3), 469–488. https://doi.org/10.1007/s10551-018-4090-0</w:t>
      </w:r>
    </w:p>
    <w:p w14:paraId="4E17D831"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Devi, D. K., &amp; Suryarini, T. (2020). The Effect of Tax Minimization and Exchange Rate on Transfer Pricing Decisions with Leverage as Moderating. </w:t>
      </w:r>
      <w:r>
        <w:rPr>
          <w:rFonts w:ascii="Times New Roman" w:hAnsi="Times New Roman" w:cs="Times New Roman"/>
          <w:i/>
          <w:iCs/>
          <w:kern w:val="0"/>
          <w:sz w:val="24"/>
        </w:rPr>
        <w:t>Accounting Analysis Journal</w:t>
      </w:r>
      <w:r>
        <w:rPr>
          <w:rFonts w:ascii="Times New Roman" w:hAnsi="Times New Roman" w:cs="Times New Roman"/>
          <w:kern w:val="0"/>
          <w:sz w:val="24"/>
        </w:rPr>
        <w:t>. https://doi.org/10.15294/aaj.v9i2.36469</w:t>
      </w:r>
    </w:p>
    <w:p w14:paraId="03CDC01F" w14:textId="77777777" w:rsidR="00BB58C4" w:rsidRDefault="00BB58C4">
      <w:pPr>
        <w:widowControl w:val="0"/>
        <w:autoSpaceDE w:val="0"/>
        <w:autoSpaceDN w:val="0"/>
        <w:adjustRightInd w:val="0"/>
        <w:spacing w:line="240" w:lineRule="auto"/>
        <w:ind w:left="480" w:hanging="480"/>
        <w:jc w:val="both"/>
        <w:rPr>
          <w:rFonts w:ascii="Times New Roman" w:hAnsi="Times New Roman" w:cs="Times New Roman"/>
          <w:kern w:val="0"/>
          <w:sz w:val="24"/>
        </w:rPr>
      </w:pPr>
    </w:p>
    <w:p w14:paraId="07502375" w14:textId="77777777" w:rsidR="00BB58C4" w:rsidRDefault="00BB58C4">
      <w:pPr>
        <w:widowControl w:val="0"/>
        <w:autoSpaceDE w:val="0"/>
        <w:autoSpaceDN w:val="0"/>
        <w:adjustRightInd w:val="0"/>
        <w:spacing w:line="240" w:lineRule="auto"/>
        <w:ind w:left="480" w:hanging="480"/>
        <w:jc w:val="both"/>
        <w:rPr>
          <w:rFonts w:ascii="Times New Roman" w:hAnsi="Times New Roman" w:cs="Times New Roman"/>
          <w:kern w:val="0"/>
          <w:sz w:val="24"/>
        </w:rPr>
      </w:pPr>
    </w:p>
    <w:p w14:paraId="286CE9D7"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lastRenderedPageBreak/>
        <w:t xml:space="preserve">Devi, N. P. A. L. K., &amp; Noviari, N. (2022). Pengaruh Pajak dan Pemanfaatan Tax Haven pada Transfer Pricing. </w:t>
      </w:r>
      <w:r>
        <w:rPr>
          <w:rFonts w:ascii="Times New Roman" w:hAnsi="Times New Roman" w:cs="Times New Roman"/>
          <w:i/>
          <w:iCs/>
          <w:kern w:val="0"/>
          <w:sz w:val="24"/>
        </w:rPr>
        <w:t>E-Jurnal Akuntansi</w:t>
      </w:r>
      <w:r>
        <w:rPr>
          <w:rFonts w:ascii="Times New Roman" w:hAnsi="Times New Roman" w:cs="Times New Roman"/>
          <w:kern w:val="0"/>
          <w:sz w:val="24"/>
        </w:rPr>
        <w:t xml:space="preserve">, </w:t>
      </w:r>
      <w:r>
        <w:rPr>
          <w:rFonts w:ascii="Times New Roman" w:hAnsi="Times New Roman" w:cs="Times New Roman"/>
          <w:i/>
          <w:iCs/>
          <w:kern w:val="0"/>
          <w:sz w:val="24"/>
        </w:rPr>
        <w:t>32</w:t>
      </w:r>
      <w:r>
        <w:rPr>
          <w:rFonts w:ascii="Times New Roman" w:hAnsi="Times New Roman" w:cs="Times New Roman"/>
          <w:kern w:val="0"/>
          <w:sz w:val="24"/>
        </w:rPr>
        <w:t>(5), 1175. https://doi.org/10.24843/eja.2022.v32.i05.p05</w:t>
      </w:r>
    </w:p>
    <w:p w14:paraId="7553A8A1"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Dischinger, M., &amp; Riedel, N. (2011). Corporate Taxes and the Location of Intangible Assets within Multinational Firms. Journal of Accounting Research, 49(1), 69–110.</w:t>
      </w:r>
    </w:p>
    <w:p w14:paraId="25792C4A"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Dunning, J. H. (1988). The Eclectic Paradigm of International Production: A Restatement and Some Possible Extensions. Journal of International Business Studies, 19(1), 1–31.</w:t>
      </w:r>
    </w:p>
    <w:p w14:paraId="34A4D9D7"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Eisenhardt, K. (1989). Teori Portofolio dan Analisis Investasi (Edisi ke 10). </w:t>
      </w:r>
      <w:r>
        <w:rPr>
          <w:rFonts w:ascii="Times New Roman" w:hAnsi="Times New Roman" w:cs="Times New Roman"/>
          <w:i/>
          <w:iCs/>
          <w:kern w:val="0"/>
          <w:sz w:val="24"/>
        </w:rPr>
        <w:t>Academy of Management Review</w:t>
      </w:r>
      <w:r>
        <w:rPr>
          <w:rFonts w:ascii="Times New Roman" w:hAnsi="Times New Roman" w:cs="Times New Roman"/>
          <w:kern w:val="0"/>
          <w:sz w:val="24"/>
        </w:rPr>
        <w:t xml:space="preserve">, </w:t>
      </w:r>
      <w:r>
        <w:rPr>
          <w:rFonts w:ascii="Times New Roman" w:hAnsi="Times New Roman" w:cs="Times New Roman"/>
          <w:i/>
          <w:iCs/>
          <w:kern w:val="0"/>
          <w:sz w:val="24"/>
        </w:rPr>
        <w:t>14</w:t>
      </w:r>
      <w:r>
        <w:rPr>
          <w:rFonts w:ascii="Times New Roman" w:hAnsi="Times New Roman" w:cs="Times New Roman"/>
          <w:kern w:val="0"/>
          <w:sz w:val="24"/>
        </w:rPr>
        <w:t>(1), 57–74.</w:t>
      </w:r>
    </w:p>
    <w:p w14:paraId="3345E778"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Fatmi, A. A., &amp; Amin, A. (2023). The Effect of Tax Minimization and Leverage on Transfer Pricing Decisions With GCG as Moderation. </w:t>
      </w:r>
      <w:r>
        <w:rPr>
          <w:rFonts w:ascii="Times New Roman" w:hAnsi="Times New Roman" w:cs="Times New Roman"/>
          <w:i/>
          <w:iCs/>
          <w:kern w:val="0"/>
          <w:sz w:val="24"/>
        </w:rPr>
        <w:t>International Journal of Research in Social Science and Humanities (IJRSS)</w:t>
      </w:r>
      <w:r>
        <w:rPr>
          <w:rFonts w:ascii="Times New Roman" w:hAnsi="Times New Roman" w:cs="Times New Roman"/>
          <w:kern w:val="0"/>
          <w:sz w:val="24"/>
        </w:rPr>
        <w:t xml:space="preserve">, </w:t>
      </w:r>
      <w:r>
        <w:rPr>
          <w:rFonts w:ascii="Times New Roman" w:hAnsi="Times New Roman" w:cs="Times New Roman"/>
          <w:i/>
          <w:iCs/>
          <w:kern w:val="0"/>
          <w:sz w:val="24"/>
        </w:rPr>
        <w:t>09</w:t>
      </w:r>
      <w:r>
        <w:rPr>
          <w:rFonts w:ascii="Times New Roman" w:hAnsi="Times New Roman" w:cs="Times New Roman"/>
          <w:kern w:val="0"/>
          <w:sz w:val="24"/>
        </w:rPr>
        <w:t>(04), 01–15. https://doi.org/10.47505/IJRSS.2023.V4.4.1</w:t>
      </w:r>
    </w:p>
    <w:p w14:paraId="1BCDC2AF"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Göx, R. F., &amp; Schiller, U. (2006). An Economic Perspective on Transfer Pricing. </w:t>
      </w:r>
      <w:r>
        <w:rPr>
          <w:rFonts w:ascii="Times New Roman" w:hAnsi="Times New Roman" w:cs="Times New Roman"/>
          <w:i/>
          <w:iCs/>
          <w:kern w:val="0"/>
          <w:sz w:val="24"/>
        </w:rPr>
        <w:t>Handbooks of Management Accounting Research</w:t>
      </w:r>
      <w:r>
        <w:rPr>
          <w:rFonts w:ascii="Times New Roman" w:hAnsi="Times New Roman" w:cs="Times New Roman"/>
          <w:kern w:val="0"/>
          <w:sz w:val="24"/>
        </w:rPr>
        <w:t xml:space="preserve">, </w:t>
      </w:r>
      <w:r>
        <w:rPr>
          <w:rFonts w:ascii="Times New Roman" w:hAnsi="Times New Roman" w:cs="Times New Roman"/>
          <w:i/>
          <w:iCs/>
          <w:kern w:val="0"/>
          <w:sz w:val="24"/>
        </w:rPr>
        <w:t>2</w:t>
      </w:r>
      <w:r>
        <w:rPr>
          <w:rFonts w:ascii="Times New Roman" w:hAnsi="Times New Roman" w:cs="Times New Roman"/>
          <w:kern w:val="0"/>
          <w:sz w:val="24"/>
        </w:rPr>
        <w:t>(06), 673–695. https://doi.org/10.1016/S1751-3243(06)02009-8</w:t>
      </w:r>
    </w:p>
    <w:p w14:paraId="3FB2701E"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Hines, J. R., Jr. (2010). International Taxation and the Location of Activities. In A. J. Auerbach, R. Chetty, M. Feldstein, &amp; E. Saez (Eds.), Handbook of Public Economics (Vol. 5, pp. 569–631). Amsterdam: North-Holland.</w:t>
      </w:r>
    </w:p>
    <w:p w14:paraId="3B83FFBF"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Jensen, M., &amp; Meckling, W. (2012). Theory of the firm: Managerial behavior, agency costs, and ownership structure. </w:t>
      </w:r>
      <w:r>
        <w:rPr>
          <w:rFonts w:ascii="Times New Roman" w:hAnsi="Times New Roman" w:cs="Times New Roman"/>
          <w:i/>
          <w:iCs/>
          <w:kern w:val="0"/>
          <w:sz w:val="24"/>
        </w:rPr>
        <w:t>The Economic Nature of the Firm: A Reader, Third Edition</w:t>
      </w:r>
      <w:r>
        <w:rPr>
          <w:rFonts w:ascii="Times New Roman" w:hAnsi="Times New Roman" w:cs="Times New Roman"/>
          <w:kern w:val="0"/>
          <w:sz w:val="24"/>
        </w:rPr>
        <w:t>, 283–303. https://doi.org/10.1017/CBO9780511817410.023</w:t>
      </w:r>
    </w:p>
    <w:p w14:paraId="51F71BDA"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Kalsum, D. (2025). Factors Affecting Transfer Pricing, </w:t>
      </w:r>
      <w:r>
        <w:rPr>
          <w:rFonts w:ascii="Times New Roman" w:hAnsi="Times New Roman" w:cs="Times New Roman"/>
          <w:i/>
          <w:iCs/>
          <w:kern w:val="0"/>
          <w:sz w:val="24"/>
        </w:rPr>
        <w:t>9</w:t>
      </w:r>
      <w:r>
        <w:rPr>
          <w:rFonts w:ascii="Times New Roman" w:hAnsi="Times New Roman" w:cs="Times New Roman"/>
          <w:kern w:val="0"/>
          <w:sz w:val="24"/>
        </w:rPr>
        <w:t>(April), 1159–1174.</w:t>
      </w:r>
    </w:p>
    <w:p w14:paraId="0FF44F64"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Kemenkeu RI. (2023). Peraturan Menteri Keuangan Nomor 172 Tahun 2023 tentang Penerapan Prinsip Kewajaran dan Kelaziman Usaha dalam Transaksi yang Dipengaruhi Hubungan Istimewa, (2), 1–80. Retrieved from www.jdih.kemenkeu.go.id</w:t>
      </w:r>
    </w:p>
    <w:p w14:paraId="2A9676F6"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Khasanah, U., &amp; Suryarini, T. (2020). The Role of Prudence in Moderating the Effect of Bonus Mechanism, Intangible Assets, and Inventory Intensity Ratio on Transfer Pricing. </w:t>
      </w:r>
      <w:r>
        <w:rPr>
          <w:rFonts w:ascii="Times New Roman" w:hAnsi="Times New Roman" w:cs="Times New Roman"/>
          <w:i/>
          <w:iCs/>
          <w:kern w:val="0"/>
          <w:sz w:val="24"/>
        </w:rPr>
        <w:t>Journal of Accounting and Strategic Finance</w:t>
      </w:r>
      <w:r>
        <w:rPr>
          <w:rFonts w:ascii="Times New Roman" w:hAnsi="Times New Roman" w:cs="Times New Roman"/>
          <w:kern w:val="0"/>
          <w:sz w:val="24"/>
        </w:rPr>
        <w:t xml:space="preserve">, </w:t>
      </w:r>
      <w:r>
        <w:rPr>
          <w:rFonts w:ascii="Times New Roman" w:hAnsi="Times New Roman" w:cs="Times New Roman"/>
          <w:i/>
          <w:iCs/>
          <w:kern w:val="0"/>
          <w:sz w:val="24"/>
        </w:rPr>
        <w:t>3</w:t>
      </w:r>
      <w:r>
        <w:rPr>
          <w:rFonts w:ascii="Times New Roman" w:hAnsi="Times New Roman" w:cs="Times New Roman"/>
          <w:kern w:val="0"/>
          <w:sz w:val="24"/>
        </w:rPr>
        <w:t>(2), 154–168. https://doi.org/10.33005/jasf.v3i2.89</w:t>
      </w:r>
    </w:p>
    <w:p w14:paraId="695E87B8"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Lutfia, M. D., &amp; Sukirman, S. (2021). Leverage Sebagai Pemoderasi Pada Transfer Pricing Yang Dipengaruhi Tax Minimiziation, Bonus Mechanism , dan Tunneling Incentive. </w:t>
      </w:r>
      <w:r>
        <w:rPr>
          <w:rFonts w:ascii="Times New Roman" w:hAnsi="Times New Roman" w:cs="Times New Roman"/>
          <w:i/>
          <w:iCs/>
          <w:kern w:val="0"/>
          <w:sz w:val="24"/>
        </w:rPr>
        <w:t>Jurnal Akuntansi Bisnis</w:t>
      </w:r>
      <w:r>
        <w:rPr>
          <w:rFonts w:ascii="Times New Roman" w:hAnsi="Times New Roman" w:cs="Times New Roman"/>
          <w:kern w:val="0"/>
          <w:sz w:val="24"/>
        </w:rPr>
        <w:t xml:space="preserve">, </w:t>
      </w:r>
      <w:r>
        <w:rPr>
          <w:rFonts w:ascii="Times New Roman" w:hAnsi="Times New Roman" w:cs="Times New Roman"/>
          <w:i/>
          <w:iCs/>
          <w:kern w:val="0"/>
          <w:sz w:val="24"/>
        </w:rPr>
        <w:t>19</w:t>
      </w:r>
      <w:r>
        <w:rPr>
          <w:rFonts w:ascii="Times New Roman" w:hAnsi="Times New Roman" w:cs="Times New Roman"/>
          <w:kern w:val="0"/>
          <w:sz w:val="24"/>
        </w:rPr>
        <w:t>(1), 79. https://doi.org/10.24167/jab.v19i1.3551</w:t>
      </w:r>
    </w:p>
    <w:p w14:paraId="6A897B34" w14:textId="77777777" w:rsidR="00BB58C4" w:rsidRDefault="00BB58C4">
      <w:pPr>
        <w:widowControl w:val="0"/>
        <w:autoSpaceDE w:val="0"/>
        <w:autoSpaceDN w:val="0"/>
        <w:adjustRightInd w:val="0"/>
        <w:spacing w:line="240" w:lineRule="auto"/>
        <w:ind w:left="480" w:hanging="480"/>
        <w:jc w:val="both"/>
        <w:rPr>
          <w:rFonts w:ascii="Times New Roman" w:hAnsi="Times New Roman" w:cs="Times New Roman"/>
          <w:kern w:val="0"/>
          <w:sz w:val="24"/>
        </w:rPr>
      </w:pPr>
    </w:p>
    <w:p w14:paraId="3748602B"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lastRenderedPageBreak/>
        <w:t xml:space="preserve">Marfuah, M., Sanintya Mayantya, &amp; Priyono Puji Prasetyo. (2021). the Effect of Tax Minimization, Bonus Mechanism, Foreign Ownership, Exchange Rate, Audit Quality on Transfer Pricing Decisions. </w:t>
      </w:r>
      <w:r>
        <w:rPr>
          <w:rFonts w:ascii="Times New Roman" w:hAnsi="Times New Roman" w:cs="Times New Roman"/>
          <w:i/>
          <w:iCs/>
          <w:kern w:val="0"/>
          <w:sz w:val="24"/>
        </w:rPr>
        <w:t>Jurnal Bisnis Terapan</w:t>
      </w:r>
      <w:r>
        <w:rPr>
          <w:rFonts w:ascii="Times New Roman" w:hAnsi="Times New Roman" w:cs="Times New Roman"/>
          <w:kern w:val="0"/>
          <w:sz w:val="24"/>
        </w:rPr>
        <w:t xml:space="preserve">, </w:t>
      </w:r>
      <w:r>
        <w:rPr>
          <w:rFonts w:ascii="Times New Roman" w:hAnsi="Times New Roman" w:cs="Times New Roman"/>
          <w:i/>
          <w:iCs/>
          <w:kern w:val="0"/>
          <w:sz w:val="24"/>
        </w:rPr>
        <w:t>5</w:t>
      </w:r>
      <w:r>
        <w:rPr>
          <w:rFonts w:ascii="Times New Roman" w:hAnsi="Times New Roman" w:cs="Times New Roman"/>
          <w:kern w:val="0"/>
          <w:sz w:val="24"/>
        </w:rPr>
        <w:t>(1), 57–72. https://doi.org/10.24123/jbt.v5i1.4079</w:t>
      </w:r>
    </w:p>
    <w:p w14:paraId="6E9E2923"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Merck, R., &amp; Yeung, B. (1996). Internalization An event study test, </w:t>
      </w:r>
      <w:r>
        <w:rPr>
          <w:rFonts w:ascii="Times New Roman" w:hAnsi="Times New Roman" w:cs="Times New Roman"/>
          <w:i/>
          <w:iCs/>
          <w:kern w:val="0"/>
          <w:sz w:val="24"/>
        </w:rPr>
        <w:t>33</w:t>
      </w:r>
      <w:r>
        <w:rPr>
          <w:rFonts w:ascii="Times New Roman" w:hAnsi="Times New Roman" w:cs="Times New Roman"/>
          <w:kern w:val="0"/>
          <w:sz w:val="24"/>
        </w:rPr>
        <w:t>(1992), 41–56.</w:t>
      </w:r>
    </w:p>
    <w:p w14:paraId="449D038C"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Ni Putu Mila Purwitasari, N. K. L. A. M. (2022). Impact of Income Tax, Tax Haven Utilization, and Foreign Ownership on Transfer Pricing Practices, 2184–2196. https://doi.org/10.24843/EJA.2024.v34.i09.pxx</w:t>
      </w:r>
    </w:p>
    <w:p w14:paraId="569DF7FC"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Novira, A. R., Suzan, L., &amp; Asalam, A. G. (2020). Pengaruh Pajak, Intangible Assets, dan Mekanisme Bonus Terhadap Keputusan Transfer Pricing. </w:t>
      </w:r>
      <w:r>
        <w:rPr>
          <w:rFonts w:ascii="Times New Roman" w:hAnsi="Times New Roman" w:cs="Times New Roman"/>
          <w:i/>
          <w:iCs/>
          <w:kern w:val="0"/>
          <w:sz w:val="24"/>
        </w:rPr>
        <w:t>Journal of Applied Accounting and Taxation</w:t>
      </w:r>
      <w:r>
        <w:rPr>
          <w:rFonts w:ascii="Times New Roman" w:hAnsi="Times New Roman" w:cs="Times New Roman"/>
          <w:kern w:val="0"/>
          <w:sz w:val="24"/>
        </w:rPr>
        <w:t xml:space="preserve">, </w:t>
      </w:r>
      <w:r>
        <w:rPr>
          <w:rFonts w:ascii="Times New Roman" w:hAnsi="Times New Roman" w:cs="Times New Roman"/>
          <w:i/>
          <w:iCs/>
          <w:kern w:val="0"/>
          <w:sz w:val="24"/>
        </w:rPr>
        <w:t>5</w:t>
      </w:r>
      <w:r>
        <w:rPr>
          <w:rFonts w:ascii="Times New Roman" w:hAnsi="Times New Roman" w:cs="Times New Roman"/>
          <w:kern w:val="0"/>
          <w:sz w:val="24"/>
        </w:rPr>
        <w:t>(1), 17–23. https://doi.org/10.30871/jaat.v5i1.1852</w:t>
      </w:r>
    </w:p>
    <w:p w14:paraId="053F6E7E"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OECD. (2022). </w:t>
      </w:r>
      <w:r>
        <w:rPr>
          <w:rFonts w:ascii="Times New Roman" w:hAnsi="Times New Roman" w:cs="Times New Roman"/>
          <w:i/>
          <w:iCs/>
          <w:kern w:val="0"/>
          <w:sz w:val="24"/>
        </w:rPr>
        <w:t>OECD Transfer Pricing Guidelines for Multinational Enterprises and Tax Administrations</w:t>
      </w:r>
      <w:r>
        <w:rPr>
          <w:rFonts w:ascii="Times New Roman" w:hAnsi="Times New Roman" w:cs="Times New Roman"/>
          <w:kern w:val="0"/>
          <w:sz w:val="24"/>
        </w:rPr>
        <w:t xml:space="preserve">. </w:t>
      </w:r>
      <w:r>
        <w:rPr>
          <w:rFonts w:ascii="Times New Roman" w:hAnsi="Times New Roman" w:cs="Times New Roman"/>
          <w:i/>
          <w:iCs/>
          <w:kern w:val="0"/>
          <w:sz w:val="24"/>
        </w:rPr>
        <w:t>OECD Publishing, Paris</w:t>
      </w:r>
      <w:r>
        <w:rPr>
          <w:rFonts w:ascii="Times New Roman" w:hAnsi="Times New Roman" w:cs="Times New Roman"/>
          <w:kern w:val="0"/>
          <w:sz w:val="24"/>
        </w:rPr>
        <w:t xml:space="preserve"> (Vol. 60). https://doi.org/10.1111/fcre.12621</w:t>
      </w:r>
    </w:p>
    <w:p w14:paraId="6D7E997C"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Putri, W. C., &amp; Lindawati, L. (2023). Pengaruh Tax Minimization, Exchange Rate Dan Tunneling Incentive Terhadap Keputusan Transfer Pricing. </w:t>
      </w:r>
      <w:r>
        <w:rPr>
          <w:rFonts w:ascii="Times New Roman" w:hAnsi="Times New Roman" w:cs="Times New Roman"/>
          <w:i/>
          <w:iCs/>
          <w:kern w:val="0"/>
          <w:sz w:val="24"/>
        </w:rPr>
        <w:t>Scientific Journal Of Reflection : Economic, Accounting, Management and Business</w:t>
      </w:r>
      <w:r>
        <w:rPr>
          <w:rFonts w:ascii="Times New Roman" w:hAnsi="Times New Roman" w:cs="Times New Roman"/>
          <w:kern w:val="0"/>
          <w:sz w:val="24"/>
        </w:rPr>
        <w:t xml:space="preserve">, </w:t>
      </w:r>
      <w:r>
        <w:rPr>
          <w:rFonts w:ascii="Times New Roman" w:hAnsi="Times New Roman" w:cs="Times New Roman"/>
          <w:i/>
          <w:iCs/>
          <w:kern w:val="0"/>
          <w:sz w:val="24"/>
        </w:rPr>
        <w:t>6</w:t>
      </w:r>
      <w:r>
        <w:rPr>
          <w:rFonts w:ascii="Times New Roman" w:hAnsi="Times New Roman" w:cs="Times New Roman"/>
          <w:kern w:val="0"/>
          <w:sz w:val="24"/>
        </w:rPr>
        <w:t>(1), 195–204. https://doi.org/10.37481/sjr.v6i1.634</w:t>
      </w:r>
    </w:p>
    <w:p w14:paraId="2CD30F5A"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Richardson, G., &amp; Taylor, G. (2015). Income Shifting Incentives and Tax Haven Utilization: Evidence from Multinational U.S. Firms. </w:t>
      </w:r>
      <w:r>
        <w:rPr>
          <w:rFonts w:ascii="Times New Roman" w:hAnsi="Times New Roman" w:cs="Times New Roman"/>
          <w:i/>
          <w:iCs/>
          <w:kern w:val="0"/>
          <w:sz w:val="24"/>
        </w:rPr>
        <w:t>International Journal of Accounting</w:t>
      </w:r>
      <w:r>
        <w:rPr>
          <w:rFonts w:ascii="Times New Roman" w:hAnsi="Times New Roman" w:cs="Times New Roman"/>
          <w:kern w:val="0"/>
          <w:sz w:val="24"/>
        </w:rPr>
        <w:t xml:space="preserve">, </w:t>
      </w:r>
      <w:r>
        <w:rPr>
          <w:rFonts w:ascii="Times New Roman" w:hAnsi="Times New Roman" w:cs="Times New Roman"/>
          <w:i/>
          <w:iCs/>
          <w:kern w:val="0"/>
          <w:sz w:val="24"/>
        </w:rPr>
        <w:t>50</w:t>
      </w:r>
      <w:r>
        <w:rPr>
          <w:rFonts w:ascii="Times New Roman" w:hAnsi="Times New Roman" w:cs="Times New Roman"/>
          <w:kern w:val="0"/>
          <w:sz w:val="24"/>
        </w:rPr>
        <w:t>(4), 458–485. https://doi.org/10.1016/j.intacc.2015.10.001</w:t>
      </w:r>
    </w:p>
    <w:p w14:paraId="3800B95A"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Richardson, G., Taylor, G., &amp; Lanis, R. (2013). Determinants of transfer pricing aggressiveness: Empirical evidence from Australian firms. </w:t>
      </w:r>
      <w:r>
        <w:rPr>
          <w:rFonts w:ascii="Times New Roman" w:hAnsi="Times New Roman" w:cs="Times New Roman"/>
          <w:i/>
          <w:iCs/>
          <w:kern w:val="0"/>
          <w:sz w:val="24"/>
        </w:rPr>
        <w:t>Journal of Contemporary Accounting and Economics</w:t>
      </w:r>
      <w:r>
        <w:rPr>
          <w:rFonts w:ascii="Times New Roman" w:hAnsi="Times New Roman" w:cs="Times New Roman"/>
          <w:kern w:val="0"/>
          <w:sz w:val="24"/>
        </w:rPr>
        <w:t xml:space="preserve">, </w:t>
      </w:r>
      <w:r>
        <w:rPr>
          <w:rFonts w:ascii="Times New Roman" w:hAnsi="Times New Roman" w:cs="Times New Roman"/>
          <w:i/>
          <w:iCs/>
          <w:kern w:val="0"/>
          <w:sz w:val="24"/>
        </w:rPr>
        <w:t>9</w:t>
      </w:r>
      <w:r>
        <w:rPr>
          <w:rFonts w:ascii="Times New Roman" w:hAnsi="Times New Roman" w:cs="Times New Roman"/>
          <w:kern w:val="0"/>
          <w:sz w:val="24"/>
        </w:rPr>
        <w:t>(2), 136–150. https://doi.org/10.1016/j.jcae.2013.06.002</w:t>
      </w:r>
    </w:p>
    <w:p w14:paraId="0ED37A61"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Riska, A., &amp; Anwar, S. (2021). Pengaruh Tunneling Incentive , Bonus Mechanism , Debt Covenant Dan Tax Minimization Terhadap Keputusan Transfer Pricing Abstrack Abstrak. </w:t>
      </w:r>
      <w:r>
        <w:rPr>
          <w:rFonts w:ascii="Times New Roman" w:hAnsi="Times New Roman" w:cs="Times New Roman"/>
          <w:i/>
          <w:iCs/>
          <w:kern w:val="0"/>
          <w:sz w:val="24"/>
        </w:rPr>
        <w:t>Jurnal Akuntansi Berkelanjutan Indonesia</w:t>
      </w:r>
      <w:r>
        <w:rPr>
          <w:rFonts w:ascii="Times New Roman" w:hAnsi="Times New Roman" w:cs="Times New Roman"/>
          <w:kern w:val="0"/>
          <w:sz w:val="24"/>
        </w:rPr>
        <w:t xml:space="preserve">, </w:t>
      </w:r>
      <w:r>
        <w:rPr>
          <w:rFonts w:ascii="Times New Roman" w:hAnsi="Times New Roman" w:cs="Times New Roman"/>
          <w:i/>
          <w:iCs/>
          <w:kern w:val="0"/>
          <w:sz w:val="24"/>
        </w:rPr>
        <w:t>4</w:t>
      </w:r>
      <w:r>
        <w:rPr>
          <w:rFonts w:ascii="Times New Roman" w:hAnsi="Times New Roman" w:cs="Times New Roman"/>
          <w:kern w:val="0"/>
          <w:sz w:val="24"/>
        </w:rPr>
        <w:t>(3), 266–280.</w:t>
      </w:r>
    </w:p>
    <w:p w14:paraId="620A960E"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Romulo, C. S., &amp; Dalimunthe, Z. (2024). Effect of Related Party Transaction and Tax Haven Utilization on Tax Avoidance Moderated by Country-by-country Reporting. </w:t>
      </w:r>
      <w:r>
        <w:rPr>
          <w:rFonts w:ascii="Times New Roman" w:hAnsi="Times New Roman" w:cs="Times New Roman"/>
          <w:i/>
          <w:iCs/>
          <w:kern w:val="0"/>
          <w:sz w:val="24"/>
        </w:rPr>
        <w:t>Riwayat: Educational Journal of History and Humanities</w:t>
      </w:r>
      <w:r>
        <w:rPr>
          <w:rFonts w:ascii="Times New Roman" w:hAnsi="Times New Roman" w:cs="Times New Roman"/>
          <w:kern w:val="0"/>
          <w:sz w:val="24"/>
        </w:rPr>
        <w:t xml:space="preserve">, </w:t>
      </w:r>
      <w:r>
        <w:rPr>
          <w:rFonts w:ascii="Times New Roman" w:hAnsi="Times New Roman" w:cs="Times New Roman"/>
          <w:i/>
          <w:iCs/>
          <w:kern w:val="0"/>
          <w:sz w:val="24"/>
        </w:rPr>
        <w:t>7</w:t>
      </w:r>
      <w:r>
        <w:rPr>
          <w:rFonts w:ascii="Times New Roman" w:hAnsi="Times New Roman" w:cs="Times New Roman"/>
          <w:kern w:val="0"/>
          <w:sz w:val="24"/>
        </w:rPr>
        <w:t>(1), 26–40. https://doi.org/10.24815/jr.v7i1.36333</w:t>
      </w:r>
    </w:p>
    <w:p w14:paraId="4B2B877A"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Rugman, A. M. (1981). Inside the Multinationals: The Economics of Internal Markets. New York: Columbia University Press.</w:t>
      </w:r>
    </w:p>
    <w:p w14:paraId="5FF93ED7" w14:textId="77777777" w:rsidR="00BB58C4" w:rsidRDefault="00BB58C4">
      <w:pPr>
        <w:widowControl w:val="0"/>
        <w:autoSpaceDE w:val="0"/>
        <w:autoSpaceDN w:val="0"/>
        <w:adjustRightInd w:val="0"/>
        <w:spacing w:line="240" w:lineRule="auto"/>
        <w:ind w:left="480" w:hanging="480"/>
        <w:jc w:val="both"/>
        <w:rPr>
          <w:rFonts w:ascii="Times New Roman" w:hAnsi="Times New Roman" w:cs="Times New Roman"/>
          <w:kern w:val="0"/>
          <w:sz w:val="24"/>
        </w:rPr>
      </w:pPr>
    </w:p>
    <w:p w14:paraId="77ECB10B" w14:textId="77777777" w:rsidR="00BB58C4" w:rsidRDefault="00BB58C4">
      <w:pPr>
        <w:widowControl w:val="0"/>
        <w:autoSpaceDE w:val="0"/>
        <w:autoSpaceDN w:val="0"/>
        <w:adjustRightInd w:val="0"/>
        <w:spacing w:line="240" w:lineRule="auto"/>
        <w:ind w:left="480" w:hanging="480"/>
        <w:jc w:val="both"/>
        <w:rPr>
          <w:rFonts w:ascii="Times New Roman" w:hAnsi="Times New Roman" w:cs="Times New Roman"/>
          <w:kern w:val="0"/>
          <w:sz w:val="24"/>
          <w:lang w:val="en-US"/>
        </w:rPr>
      </w:pPr>
    </w:p>
    <w:p w14:paraId="4E50E543" w14:textId="77777777" w:rsidR="00BB58C4" w:rsidRDefault="00BB58C4">
      <w:pPr>
        <w:widowControl w:val="0"/>
        <w:autoSpaceDE w:val="0"/>
        <w:autoSpaceDN w:val="0"/>
        <w:adjustRightInd w:val="0"/>
        <w:spacing w:line="240" w:lineRule="auto"/>
        <w:ind w:left="480" w:hanging="480"/>
        <w:jc w:val="both"/>
        <w:rPr>
          <w:rFonts w:ascii="Times New Roman" w:hAnsi="Times New Roman" w:cs="Times New Roman"/>
          <w:kern w:val="0"/>
          <w:sz w:val="24"/>
          <w:lang w:val="en-US"/>
        </w:rPr>
      </w:pPr>
    </w:p>
    <w:p w14:paraId="10781555"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lastRenderedPageBreak/>
        <w:t xml:space="preserve">Samalagi, F., Hormati, A., Ali, I. M. A., &amp; Ternate, U. K. (2024). Pengaruh Pajak , Tax Havens , Exchange Rate , dan Tunneling Incentive Terhadap transfer Pricing pada Perusahaan Multinasional. </w:t>
      </w:r>
      <w:r>
        <w:rPr>
          <w:rFonts w:ascii="Times New Roman" w:hAnsi="Times New Roman" w:cs="Times New Roman"/>
          <w:i/>
          <w:iCs/>
          <w:kern w:val="0"/>
          <w:sz w:val="24"/>
        </w:rPr>
        <w:t>Ekonomika45: Jurnal Ilmiah Manajemen, Ekonomi Bisnis, Kewirausahaan</w:t>
      </w:r>
      <w:r>
        <w:rPr>
          <w:rFonts w:ascii="Times New Roman" w:hAnsi="Times New Roman" w:cs="Times New Roman"/>
          <w:kern w:val="0"/>
          <w:sz w:val="24"/>
        </w:rPr>
        <w:t xml:space="preserve">, </w:t>
      </w:r>
      <w:r>
        <w:rPr>
          <w:rFonts w:ascii="Times New Roman" w:hAnsi="Times New Roman" w:cs="Times New Roman"/>
          <w:i/>
          <w:iCs/>
          <w:kern w:val="0"/>
          <w:sz w:val="24"/>
        </w:rPr>
        <w:t>12</w:t>
      </w:r>
      <w:r>
        <w:rPr>
          <w:rFonts w:ascii="Times New Roman" w:hAnsi="Times New Roman" w:cs="Times New Roman"/>
          <w:kern w:val="0"/>
          <w:sz w:val="24"/>
        </w:rPr>
        <w:t>(1), 32–42.</w:t>
      </w:r>
    </w:p>
    <w:p w14:paraId="69D7171F"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Saputra, D. A. (2023). Unraveling the Effects of Transfer Pricing Documentation Regulation: Indonesia’ Evidence. </w:t>
      </w:r>
      <w:r>
        <w:rPr>
          <w:rFonts w:ascii="Times New Roman" w:hAnsi="Times New Roman" w:cs="Times New Roman"/>
          <w:i/>
          <w:iCs/>
          <w:kern w:val="0"/>
          <w:sz w:val="24"/>
        </w:rPr>
        <w:t>Jurnal Akuntansi Dan Keuangan Indonesia</w:t>
      </w:r>
      <w:r>
        <w:rPr>
          <w:rFonts w:ascii="Times New Roman" w:hAnsi="Times New Roman" w:cs="Times New Roman"/>
          <w:kern w:val="0"/>
          <w:sz w:val="24"/>
        </w:rPr>
        <w:t xml:space="preserve">, </w:t>
      </w:r>
      <w:r>
        <w:rPr>
          <w:rFonts w:ascii="Times New Roman" w:hAnsi="Times New Roman" w:cs="Times New Roman"/>
          <w:i/>
          <w:iCs/>
          <w:kern w:val="0"/>
          <w:sz w:val="24"/>
        </w:rPr>
        <w:t>20</w:t>
      </w:r>
      <w:r>
        <w:rPr>
          <w:rFonts w:ascii="Times New Roman" w:hAnsi="Times New Roman" w:cs="Times New Roman"/>
          <w:kern w:val="0"/>
          <w:sz w:val="24"/>
        </w:rPr>
        <w:t>(2), 186–205. https://doi.org/10.21002/jaki.2023.10</w:t>
      </w:r>
    </w:p>
    <w:p w14:paraId="7B9EF7C5"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Sari Apriliyani, J. J. R. S. (2024). Transfer Pricing: Tunnelling Incentive Dan Tax Haven Dimoederasi Foreign Ownership. </w:t>
      </w:r>
      <w:r>
        <w:rPr>
          <w:rFonts w:ascii="Times New Roman" w:hAnsi="Times New Roman" w:cs="Times New Roman"/>
          <w:i/>
          <w:iCs/>
          <w:kern w:val="0"/>
          <w:sz w:val="24"/>
        </w:rPr>
        <w:t>LITERA: Jurnal Literasi Akuntansi</w:t>
      </w:r>
      <w:r>
        <w:rPr>
          <w:rFonts w:ascii="Times New Roman" w:hAnsi="Times New Roman" w:cs="Times New Roman"/>
          <w:kern w:val="0"/>
          <w:sz w:val="24"/>
        </w:rPr>
        <w:t xml:space="preserve">, </w:t>
      </w:r>
      <w:r>
        <w:rPr>
          <w:rFonts w:ascii="Times New Roman" w:hAnsi="Times New Roman" w:cs="Times New Roman"/>
          <w:i/>
          <w:iCs/>
          <w:kern w:val="0"/>
          <w:sz w:val="24"/>
        </w:rPr>
        <w:t>4</w:t>
      </w:r>
      <w:r>
        <w:rPr>
          <w:rFonts w:ascii="Times New Roman" w:hAnsi="Times New Roman" w:cs="Times New Roman"/>
          <w:kern w:val="0"/>
          <w:sz w:val="24"/>
        </w:rPr>
        <w:t>(1), 238–254. https://doi.org/10.55587/jla.v4i1.112</w:t>
      </w:r>
    </w:p>
    <w:p w14:paraId="1C9435E8"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Sari, J. P. (2024). Debt Covenant, Tax Expense, and Intangible Assets on Transfer Pricing. </w:t>
      </w:r>
      <w:r>
        <w:rPr>
          <w:rFonts w:ascii="Times New Roman" w:hAnsi="Times New Roman" w:cs="Times New Roman"/>
          <w:i/>
          <w:iCs/>
          <w:kern w:val="0"/>
          <w:sz w:val="24"/>
        </w:rPr>
        <w:t>Jurnal Akuntansi</w:t>
      </w:r>
      <w:r>
        <w:rPr>
          <w:rFonts w:ascii="Times New Roman" w:hAnsi="Times New Roman" w:cs="Times New Roman"/>
          <w:kern w:val="0"/>
          <w:sz w:val="24"/>
        </w:rPr>
        <w:t xml:space="preserve">, </w:t>
      </w:r>
      <w:r>
        <w:rPr>
          <w:rFonts w:ascii="Times New Roman" w:hAnsi="Times New Roman" w:cs="Times New Roman"/>
          <w:i/>
          <w:iCs/>
          <w:kern w:val="0"/>
          <w:sz w:val="24"/>
        </w:rPr>
        <w:t>16</w:t>
      </w:r>
      <w:r>
        <w:rPr>
          <w:rFonts w:ascii="Times New Roman" w:hAnsi="Times New Roman" w:cs="Times New Roman"/>
          <w:kern w:val="0"/>
          <w:sz w:val="24"/>
        </w:rPr>
        <w:t>(2), 422–435.</w:t>
      </w:r>
    </w:p>
    <w:p w14:paraId="7CE4CA23"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Sikka, P., &amp; Willmott, H. (2010). The dark side of transfer pricing: Its role in tax avoidance and wealth retentiveness. </w:t>
      </w:r>
      <w:r>
        <w:rPr>
          <w:rFonts w:ascii="Times New Roman" w:hAnsi="Times New Roman" w:cs="Times New Roman"/>
          <w:i/>
          <w:iCs/>
          <w:kern w:val="0"/>
          <w:sz w:val="24"/>
        </w:rPr>
        <w:t>Critical Perspectives on Accounting</w:t>
      </w:r>
      <w:r>
        <w:rPr>
          <w:rFonts w:ascii="Times New Roman" w:hAnsi="Times New Roman" w:cs="Times New Roman"/>
          <w:kern w:val="0"/>
          <w:sz w:val="24"/>
        </w:rPr>
        <w:t xml:space="preserve">, </w:t>
      </w:r>
      <w:r>
        <w:rPr>
          <w:rFonts w:ascii="Times New Roman" w:hAnsi="Times New Roman" w:cs="Times New Roman"/>
          <w:i/>
          <w:iCs/>
          <w:kern w:val="0"/>
          <w:sz w:val="24"/>
        </w:rPr>
        <w:t>21</w:t>
      </w:r>
      <w:r>
        <w:rPr>
          <w:rFonts w:ascii="Times New Roman" w:hAnsi="Times New Roman" w:cs="Times New Roman"/>
          <w:kern w:val="0"/>
          <w:sz w:val="24"/>
        </w:rPr>
        <w:t>(4), 342–356. https://doi.org/10.1016/j.cpa.2010.02.004</w:t>
      </w:r>
    </w:p>
    <w:p w14:paraId="702B9E24"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Soetardjo, M. A. W. dan M. N. (2024). PEngaruh Beban Pajak , Aset Tidak Berwujud Dan Kualitas Audit Terhadap Keputusan Transfer Pricing. </w:t>
      </w:r>
      <w:r>
        <w:rPr>
          <w:rFonts w:ascii="Times New Roman" w:hAnsi="Times New Roman" w:cs="Times New Roman"/>
          <w:i/>
          <w:iCs/>
          <w:kern w:val="0"/>
          <w:sz w:val="24"/>
        </w:rPr>
        <w:t>Klabat Accounting Review</w:t>
      </w:r>
      <w:r>
        <w:rPr>
          <w:rFonts w:ascii="Times New Roman" w:hAnsi="Times New Roman" w:cs="Times New Roman"/>
          <w:kern w:val="0"/>
          <w:sz w:val="24"/>
        </w:rPr>
        <w:t xml:space="preserve">, </w:t>
      </w:r>
      <w:r>
        <w:rPr>
          <w:rFonts w:ascii="Times New Roman" w:hAnsi="Times New Roman" w:cs="Times New Roman"/>
          <w:i/>
          <w:iCs/>
          <w:kern w:val="0"/>
          <w:sz w:val="24"/>
        </w:rPr>
        <w:t>5</w:t>
      </w:r>
      <w:r>
        <w:rPr>
          <w:rFonts w:ascii="Times New Roman" w:hAnsi="Times New Roman" w:cs="Times New Roman"/>
          <w:kern w:val="0"/>
          <w:sz w:val="24"/>
        </w:rPr>
        <w:t>(1), 24–46. https://doi.org/https://doi.org/10.60090/kar.v5i1.1049.24-46</w:t>
      </w:r>
    </w:p>
    <w:p w14:paraId="545ECDFA"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Sulistya, E., Wulandari, S., &amp; Irawati, W. (2024). Pengaruh Tax expenses, Tax Haven Utilization, Foreign Ownership dan Intangible Asset Terhadap Transfer Pricing. </w:t>
      </w:r>
      <w:r>
        <w:rPr>
          <w:rFonts w:ascii="Times New Roman" w:hAnsi="Times New Roman" w:cs="Times New Roman"/>
          <w:i/>
          <w:iCs/>
          <w:kern w:val="0"/>
          <w:sz w:val="24"/>
        </w:rPr>
        <w:t>JIAKu: Jurnal Ilmiah Akuntansi Dan Keuangan</w:t>
      </w:r>
      <w:r>
        <w:rPr>
          <w:rFonts w:ascii="Times New Roman" w:hAnsi="Times New Roman" w:cs="Times New Roman"/>
          <w:kern w:val="0"/>
          <w:sz w:val="24"/>
        </w:rPr>
        <w:t xml:space="preserve">, </w:t>
      </w:r>
      <w:r>
        <w:rPr>
          <w:rFonts w:ascii="Times New Roman" w:hAnsi="Times New Roman" w:cs="Times New Roman"/>
          <w:i/>
          <w:iCs/>
          <w:kern w:val="0"/>
          <w:sz w:val="24"/>
        </w:rPr>
        <w:t>3</w:t>
      </w:r>
      <w:r>
        <w:rPr>
          <w:rFonts w:ascii="Times New Roman" w:hAnsi="Times New Roman" w:cs="Times New Roman"/>
          <w:kern w:val="0"/>
          <w:sz w:val="24"/>
        </w:rPr>
        <w:t>(3), 240–251. https://doi.org/10.24034/jiaku.v3i3.6401</w:t>
      </w:r>
    </w:p>
    <w:p w14:paraId="5410D63F"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Sumaryati, A. (2023). Pengaruh Multinasionalitas , Tax Haven , Dan Goodwill Terhadap Transfer Pricing Dengan Moderasi Political Connection. </w:t>
      </w:r>
      <w:r>
        <w:rPr>
          <w:rFonts w:ascii="Times New Roman" w:hAnsi="Times New Roman" w:cs="Times New Roman"/>
          <w:i/>
          <w:iCs/>
          <w:kern w:val="0"/>
          <w:sz w:val="24"/>
        </w:rPr>
        <w:t>JAKA: Jurnal Akuntansi, Keuangan Dan Auditing</w:t>
      </w:r>
      <w:r>
        <w:rPr>
          <w:rFonts w:ascii="Times New Roman" w:hAnsi="Times New Roman" w:cs="Times New Roman"/>
          <w:kern w:val="0"/>
          <w:sz w:val="24"/>
        </w:rPr>
        <w:t xml:space="preserve">, </w:t>
      </w:r>
      <w:r>
        <w:rPr>
          <w:rFonts w:ascii="Times New Roman" w:hAnsi="Times New Roman" w:cs="Times New Roman"/>
          <w:i/>
          <w:iCs/>
          <w:kern w:val="0"/>
          <w:sz w:val="24"/>
        </w:rPr>
        <w:t>4</w:t>
      </w:r>
      <w:r>
        <w:rPr>
          <w:rFonts w:ascii="Times New Roman" w:hAnsi="Times New Roman" w:cs="Times New Roman"/>
          <w:kern w:val="0"/>
          <w:sz w:val="24"/>
        </w:rPr>
        <w:t>(2), 93–113.</w:t>
      </w:r>
    </w:p>
    <w:p w14:paraId="24F81457"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Suryani, A., &amp; Herianti, E. (2023). Purposive Sampling Technique and Ordinary Least Square Analysis: Investigating the Relationship Between Managerial Overconfidence, Transfer Pricing and Tax Management in Indonesian Stock Exchange-Listed Firms. </w:t>
      </w:r>
      <w:r>
        <w:rPr>
          <w:rFonts w:ascii="Times New Roman" w:hAnsi="Times New Roman" w:cs="Times New Roman"/>
          <w:i/>
          <w:iCs/>
          <w:kern w:val="0"/>
          <w:sz w:val="24"/>
        </w:rPr>
        <w:t>International Journal of Professional Business Review</w:t>
      </w:r>
      <w:r>
        <w:rPr>
          <w:rFonts w:ascii="Times New Roman" w:hAnsi="Times New Roman" w:cs="Times New Roman"/>
          <w:kern w:val="0"/>
          <w:sz w:val="24"/>
        </w:rPr>
        <w:t>,</w:t>
      </w:r>
      <w:r>
        <w:rPr>
          <w:rFonts w:ascii="Times New Roman" w:hAnsi="Times New Roman" w:cs="Times New Roman"/>
          <w:i/>
          <w:iCs/>
          <w:kern w:val="0"/>
          <w:sz w:val="24"/>
        </w:rPr>
        <w:t>8</w:t>
      </w:r>
      <w:r>
        <w:rPr>
          <w:rFonts w:ascii="Times New Roman" w:hAnsi="Times New Roman" w:cs="Times New Roman"/>
          <w:kern w:val="0"/>
          <w:sz w:val="24"/>
        </w:rPr>
        <w:t>(8),e02684. https://doi.org/10.26668/businessreview/2023.v8i8.2684</w:t>
      </w:r>
    </w:p>
    <w:p w14:paraId="5C312532"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Wahyudi, I., &amp; Fitriah, N. (2021). Pengaruh Aset Tidak Berwujud, Ukuran Perusahaan, Kepatuhan Perpajakan, dan Leverage Terhadap Transfer Pricing. </w:t>
      </w:r>
      <w:r>
        <w:rPr>
          <w:rFonts w:ascii="Times New Roman" w:hAnsi="Times New Roman" w:cs="Times New Roman"/>
          <w:i/>
          <w:iCs/>
          <w:kern w:val="0"/>
          <w:sz w:val="24"/>
        </w:rPr>
        <w:t>Jurnal Akuntansi</w:t>
      </w:r>
      <w:r>
        <w:rPr>
          <w:rFonts w:ascii="Times New Roman" w:hAnsi="Times New Roman" w:cs="Times New Roman"/>
          <w:kern w:val="0"/>
          <w:sz w:val="24"/>
        </w:rPr>
        <w:t xml:space="preserve">, </w:t>
      </w:r>
      <w:r>
        <w:rPr>
          <w:rFonts w:ascii="Times New Roman" w:hAnsi="Times New Roman" w:cs="Times New Roman"/>
          <w:i/>
          <w:iCs/>
          <w:kern w:val="0"/>
          <w:sz w:val="24"/>
        </w:rPr>
        <w:t>13</w:t>
      </w:r>
      <w:r>
        <w:rPr>
          <w:rFonts w:ascii="Times New Roman" w:hAnsi="Times New Roman" w:cs="Times New Roman"/>
          <w:kern w:val="0"/>
          <w:sz w:val="24"/>
        </w:rPr>
        <w:t>(2), 388–401. https://doi.org/10.28932/jam.v13i2.3885</w:t>
      </w:r>
    </w:p>
    <w:p w14:paraId="646CD5F7"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kern w:val="0"/>
          <w:sz w:val="24"/>
        </w:rPr>
      </w:pPr>
      <w:r>
        <w:rPr>
          <w:rFonts w:ascii="Times New Roman" w:hAnsi="Times New Roman" w:cs="Times New Roman"/>
          <w:kern w:val="0"/>
          <w:sz w:val="24"/>
        </w:rPr>
        <w:t xml:space="preserve">Wayan, M. V. L., &amp; Khomsiyah, K. (2024). Pengaruh Debt Covenant, Ingitable Assets, Tax Minimization terhadap Transfer Pricing. </w:t>
      </w:r>
      <w:r>
        <w:rPr>
          <w:rFonts w:ascii="Times New Roman" w:hAnsi="Times New Roman" w:cs="Times New Roman"/>
          <w:i/>
          <w:iCs/>
          <w:kern w:val="0"/>
          <w:sz w:val="24"/>
        </w:rPr>
        <w:t>JIIP - Jurnal Ilmiah Ilmu Pendidikan</w:t>
      </w:r>
      <w:r>
        <w:rPr>
          <w:rFonts w:ascii="Times New Roman" w:hAnsi="Times New Roman" w:cs="Times New Roman"/>
          <w:kern w:val="0"/>
          <w:sz w:val="24"/>
        </w:rPr>
        <w:t xml:space="preserve">, </w:t>
      </w:r>
      <w:r>
        <w:rPr>
          <w:rFonts w:ascii="Times New Roman" w:hAnsi="Times New Roman" w:cs="Times New Roman"/>
          <w:i/>
          <w:iCs/>
          <w:kern w:val="0"/>
          <w:sz w:val="24"/>
        </w:rPr>
        <w:t>7</w:t>
      </w:r>
      <w:r>
        <w:rPr>
          <w:rFonts w:ascii="Times New Roman" w:hAnsi="Times New Roman" w:cs="Times New Roman"/>
          <w:kern w:val="0"/>
          <w:sz w:val="24"/>
        </w:rPr>
        <w:t>(9), 9533–9539. https://doi.org/10.54371/jiip.v7i9.5917</w:t>
      </w:r>
    </w:p>
    <w:p w14:paraId="3E5946AA" w14:textId="77777777" w:rsidR="00BB58C4" w:rsidRDefault="00BB58C4">
      <w:pPr>
        <w:widowControl w:val="0"/>
        <w:autoSpaceDE w:val="0"/>
        <w:autoSpaceDN w:val="0"/>
        <w:adjustRightInd w:val="0"/>
        <w:spacing w:line="240" w:lineRule="auto"/>
        <w:ind w:left="480" w:hanging="480"/>
        <w:jc w:val="both"/>
        <w:rPr>
          <w:rFonts w:ascii="Times New Roman" w:hAnsi="Times New Roman" w:cs="Times New Roman"/>
          <w:kern w:val="0"/>
          <w:sz w:val="24"/>
          <w:lang w:val="en-US"/>
        </w:rPr>
      </w:pPr>
    </w:p>
    <w:p w14:paraId="01F8AABF" w14:textId="77777777" w:rsidR="00BB58C4" w:rsidRDefault="00BB58C4">
      <w:pPr>
        <w:widowControl w:val="0"/>
        <w:autoSpaceDE w:val="0"/>
        <w:autoSpaceDN w:val="0"/>
        <w:adjustRightInd w:val="0"/>
        <w:spacing w:line="240" w:lineRule="auto"/>
        <w:ind w:left="480" w:hanging="480"/>
        <w:jc w:val="both"/>
        <w:rPr>
          <w:rFonts w:ascii="Times New Roman" w:hAnsi="Times New Roman" w:cs="Times New Roman"/>
          <w:kern w:val="0"/>
          <w:sz w:val="24"/>
          <w:lang w:val="en-US"/>
        </w:rPr>
      </w:pPr>
    </w:p>
    <w:p w14:paraId="3BBB23B3" w14:textId="77777777" w:rsidR="00BB58C4" w:rsidRDefault="00000000">
      <w:pPr>
        <w:widowControl w:val="0"/>
        <w:autoSpaceDE w:val="0"/>
        <w:autoSpaceDN w:val="0"/>
        <w:adjustRightInd w:val="0"/>
        <w:spacing w:line="240" w:lineRule="auto"/>
        <w:ind w:left="480" w:hanging="480"/>
        <w:jc w:val="both"/>
        <w:rPr>
          <w:rFonts w:ascii="Times New Roman" w:hAnsi="Times New Roman" w:cs="Times New Roman"/>
          <w:sz w:val="24"/>
        </w:rPr>
      </w:pPr>
      <w:r>
        <w:rPr>
          <w:rFonts w:ascii="Times New Roman" w:hAnsi="Times New Roman" w:cs="Times New Roman"/>
          <w:kern w:val="0"/>
          <w:sz w:val="24"/>
        </w:rPr>
        <w:lastRenderedPageBreak/>
        <w:t xml:space="preserve">Yeye, O., &amp; Egbunike, P. A. (2021). Transfer Pricing, Accruals Earnings Management and Corporate Tax Avoidance of Listed Multinational Corporations in Nigeria. </w:t>
      </w:r>
      <w:r>
        <w:rPr>
          <w:rFonts w:ascii="Times New Roman" w:hAnsi="Times New Roman" w:cs="Times New Roman"/>
          <w:i/>
          <w:iCs/>
          <w:kern w:val="0"/>
          <w:sz w:val="24"/>
        </w:rPr>
        <w:t>Journal of Global Accounting</w:t>
      </w:r>
      <w:r>
        <w:rPr>
          <w:rFonts w:ascii="Times New Roman" w:hAnsi="Times New Roman" w:cs="Times New Roman"/>
          <w:kern w:val="0"/>
          <w:sz w:val="24"/>
        </w:rPr>
        <w:t xml:space="preserve">, </w:t>
      </w:r>
      <w:r>
        <w:rPr>
          <w:rFonts w:ascii="Times New Roman" w:hAnsi="Times New Roman" w:cs="Times New Roman"/>
          <w:i/>
          <w:iCs/>
          <w:kern w:val="0"/>
          <w:sz w:val="24"/>
        </w:rPr>
        <w:t>7</w:t>
      </w:r>
      <w:r>
        <w:rPr>
          <w:rFonts w:ascii="Times New Roman" w:hAnsi="Times New Roman" w:cs="Times New Roman"/>
          <w:kern w:val="0"/>
          <w:sz w:val="24"/>
        </w:rPr>
        <w:t>(1), 63–79. Retrieved from https://journals.unizik.edu.ng/joga</w:t>
      </w:r>
    </w:p>
    <w:p w14:paraId="15555A5B" w14:textId="77777777" w:rsidR="00BB58C4" w:rsidRDefault="00000000">
      <w:pPr>
        <w:spacing w:after="0" w:line="240" w:lineRule="auto"/>
        <w:jc w:val="both"/>
        <w:rPr>
          <w:rFonts w:ascii="Times New Roman" w:hAnsi="Times New Roman" w:cs="Times New Roman"/>
          <w:sz w:val="24"/>
          <w:szCs w:val="24"/>
        </w:rPr>
        <w:sectPr w:rsidR="00BB58C4">
          <w:pgSz w:w="11906" w:h="16838"/>
          <w:pgMar w:top="2268" w:right="1701" w:bottom="1701" w:left="2268" w:header="709" w:footer="709" w:gutter="0"/>
          <w:cols w:space="708"/>
          <w:titlePg/>
          <w:docGrid w:linePitch="360"/>
        </w:sectPr>
      </w:pPr>
      <w:r>
        <w:rPr>
          <w:rFonts w:ascii="Times New Roman" w:hAnsi="Times New Roman" w:cs="Times New Roman"/>
          <w:sz w:val="24"/>
          <w:szCs w:val="24"/>
        </w:rPr>
        <w:fldChar w:fldCharType="end"/>
      </w:r>
    </w:p>
    <w:p w14:paraId="067814C0" w14:textId="77777777" w:rsidR="00BB58C4" w:rsidRDefault="00BB58C4">
      <w:pPr>
        <w:spacing w:after="0" w:line="240" w:lineRule="auto"/>
        <w:jc w:val="center"/>
        <w:rPr>
          <w:rFonts w:ascii="Times New Roman" w:hAnsi="Times New Roman" w:cs="Times New Roman"/>
          <w:b/>
          <w:bCs/>
          <w:sz w:val="32"/>
          <w:szCs w:val="32"/>
        </w:rPr>
      </w:pPr>
    </w:p>
    <w:p w14:paraId="47C0CC5C" w14:textId="77777777" w:rsidR="00BB58C4" w:rsidRDefault="00BB58C4">
      <w:pPr>
        <w:spacing w:after="0" w:line="240" w:lineRule="auto"/>
        <w:jc w:val="center"/>
        <w:rPr>
          <w:rFonts w:ascii="Times New Roman" w:hAnsi="Times New Roman" w:cs="Times New Roman"/>
          <w:b/>
          <w:bCs/>
          <w:sz w:val="32"/>
          <w:szCs w:val="32"/>
        </w:rPr>
      </w:pPr>
    </w:p>
    <w:p w14:paraId="4A6CD19E" w14:textId="77777777" w:rsidR="00BB58C4" w:rsidRDefault="00BB58C4">
      <w:pPr>
        <w:spacing w:after="0" w:line="240" w:lineRule="auto"/>
        <w:jc w:val="center"/>
        <w:rPr>
          <w:rFonts w:ascii="Times New Roman" w:hAnsi="Times New Roman" w:cs="Times New Roman"/>
          <w:b/>
          <w:bCs/>
          <w:sz w:val="32"/>
          <w:szCs w:val="32"/>
        </w:rPr>
      </w:pPr>
    </w:p>
    <w:p w14:paraId="4BB27F54" w14:textId="77777777" w:rsidR="00BB58C4" w:rsidRDefault="00BB58C4">
      <w:pPr>
        <w:spacing w:after="0" w:line="240" w:lineRule="auto"/>
        <w:jc w:val="center"/>
        <w:rPr>
          <w:rFonts w:ascii="Times New Roman" w:hAnsi="Times New Roman" w:cs="Times New Roman"/>
          <w:b/>
          <w:bCs/>
          <w:sz w:val="32"/>
          <w:szCs w:val="32"/>
        </w:rPr>
      </w:pPr>
    </w:p>
    <w:p w14:paraId="19CB86B2" w14:textId="77777777" w:rsidR="00BB58C4" w:rsidRDefault="00BB58C4">
      <w:pPr>
        <w:spacing w:after="0" w:line="240" w:lineRule="auto"/>
        <w:jc w:val="center"/>
        <w:rPr>
          <w:rFonts w:ascii="Times New Roman" w:hAnsi="Times New Roman" w:cs="Times New Roman"/>
          <w:b/>
          <w:bCs/>
          <w:sz w:val="32"/>
          <w:szCs w:val="32"/>
        </w:rPr>
      </w:pPr>
    </w:p>
    <w:p w14:paraId="2FFB1196" w14:textId="77777777" w:rsidR="00BB58C4" w:rsidRDefault="00BB58C4">
      <w:pPr>
        <w:spacing w:after="0" w:line="240" w:lineRule="auto"/>
        <w:jc w:val="center"/>
        <w:rPr>
          <w:rFonts w:ascii="Times New Roman" w:hAnsi="Times New Roman" w:cs="Times New Roman"/>
          <w:b/>
          <w:bCs/>
          <w:sz w:val="32"/>
          <w:szCs w:val="32"/>
        </w:rPr>
      </w:pPr>
    </w:p>
    <w:p w14:paraId="4DDE86CD" w14:textId="77777777" w:rsidR="00BB58C4" w:rsidRDefault="00BB58C4">
      <w:pPr>
        <w:spacing w:after="0" w:line="240" w:lineRule="auto"/>
        <w:jc w:val="center"/>
        <w:rPr>
          <w:rFonts w:ascii="Times New Roman" w:hAnsi="Times New Roman" w:cs="Times New Roman"/>
          <w:b/>
          <w:bCs/>
          <w:sz w:val="32"/>
          <w:szCs w:val="32"/>
        </w:rPr>
      </w:pPr>
    </w:p>
    <w:p w14:paraId="6CE6421C" w14:textId="77777777" w:rsidR="00BB58C4" w:rsidRDefault="00BB58C4">
      <w:pPr>
        <w:spacing w:after="0" w:line="240" w:lineRule="auto"/>
        <w:jc w:val="center"/>
        <w:rPr>
          <w:rFonts w:ascii="Times New Roman" w:hAnsi="Times New Roman" w:cs="Times New Roman"/>
          <w:b/>
          <w:bCs/>
          <w:sz w:val="32"/>
          <w:szCs w:val="32"/>
        </w:rPr>
      </w:pPr>
    </w:p>
    <w:p w14:paraId="58830BA1" w14:textId="77777777" w:rsidR="00BB58C4" w:rsidRDefault="00BB58C4">
      <w:pPr>
        <w:spacing w:after="0" w:line="240" w:lineRule="auto"/>
        <w:jc w:val="center"/>
        <w:rPr>
          <w:rFonts w:ascii="Times New Roman" w:hAnsi="Times New Roman" w:cs="Times New Roman"/>
          <w:b/>
          <w:bCs/>
          <w:sz w:val="32"/>
          <w:szCs w:val="32"/>
        </w:rPr>
      </w:pPr>
    </w:p>
    <w:p w14:paraId="36620937" w14:textId="77777777" w:rsidR="00BB58C4" w:rsidRDefault="00BB58C4">
      <w:pPr>
        <w:spacing w:after="0" w:line="240" w:lineRule="auto"/>
        <w:jc w:val="center"/>
        <w:rPr>
          <w:rFonts w:ascii="Times New Roman" w:hAnsi="Times New Roman" w:cs="Times New Roman"/>
          <w:b/>
          <w:bCs/>
          <w:sz w:val="32"/>
          <w:szCs w:val="32"/>
        </w:rPr>
      </w:pPr>
    </w:p>
    <w:p w14:paraId="6A0841C5" w14:textId="77777777" w:rsidR="00BB58C4" w:rsidRDefault="00BB58C4">
      <w:pPr>
        <w:spacing w:after="0" w:line="240" w:lineRule="auto"/>
        <w:jc w:val="center"/>
        <w:rPr>
          <w:rFonts w:ascii="Times New Roman" w:hAnsi="Times New Roman" w:cs="Times New Roman"/>
          <w:b/>
          <w:bCs/>
          <w:sz w:val="32"/>
          <w:szCs w:val="32"/>
        </w:rPr>
      </w:pPr>
    </w:p>
    <w:p w14:paraId="59D004A5" w14:textId="77777777" w:rsidR="00BB58C4" w:rsidRDefault="00BB58C4">
      <w:pPr>
        <w:spacing w:after="0" w:line="240" w:lineRule="auto"/>
        <w:jc w:val="center"/>
        <w:rPr>
          <w:rFonts w:ascii="Times New Roman" w:hAnsi="Times New Roman" w:cs="Times New Roman"/>
          <w:b/>
          <w:bCs/>
          <w:sz w:val="32"/>
          <w:szCs w:val="32"/>
        </w:rPr>
      </w:pPr>
    </w:p>
    <w:p w14:paraId="1C4F253B" w14:textId="77777777" w:rsidR="00BB58C4" w:rsidRDefault="00BB58C4">
      <w:pPr>
        <w:spacing w:after="0" w:line="240" w:lineRule="auto"/>
        <w:jc w:val="center"/>
        <w:rPr>
          <w:rFonts w:ascii="Times New Roman" w:hAnsi="Times New Roman" w:cs="Times New Roman"/>
          <w:b/>
          <w:bCs/>
          <w:sz w:val="32"/>
          <w:szCs w:val="32"/>
        </w:rPr>
      </w:pPr>
    </w:p>
    <w:p w14:paraId="23540281" w14:textId="77777777" w:rsidR="00BB58C4" w:rsidRDefault="00BB58C4">
      <w:pPr>
        <w:spacing w:after="0" w:line="240" w:lineRule="auto"/>
        <w:rPr>
          <w:rFonts w:ascii="Times New Roman" w:hAnsi="Times New Roman" w:cs="Times New Roman"/>
          <w:b/>
          <w:bCs/>
          <w:sz w:val="32"/>
          <w:szCs w:val="32"/>
        </w:rPr>
      </w:pPr>
    </w:p>
    <w:p w14:paraId="68F0DFEF" w14:textId="77777777" w:rsidR="00BB58C4" w:rsidRDefault="00000000">
      <w:pPr>
        <w:pStyle w:val="Heading1"/>
        <w:rPr>
          <w:sz w:val="32"/>
          <w:szCs w:val="48"/>
        </w:rPr>
        <w:sectPr w:rsidR="00BB58C4">
          <w:pgSz w:w="11906" w:h="16838"/>
          <w:pgMar w:top="2268" w:right="1701" w:bottom="1701" w:left="2268" w:header="709" w:footer="709" w:gutter="0"/>
          <w:cols w:space="708"/>
          <w:titlePg/>
          <w:docGrid w:linePitch="360"/>
        </w:sectPr>
      </w:pPr>
      <w:bookmarkStart w:id="199" w:name="_Toc220995074"/>
      <w:r>
        <w:rPr>
          <w:sz w:val="32"/>
          <w:szCs w:val="48"/>
        </w:rPr>
        <w:t>LAMPIRAN</w:t>
      </w:r>
      <w:bookmarkEnd w:id="199"/>
    </w:p>
    <w:p w14:paraId="7BCBC231" w14:textId="67CF4DFE" w:rsidR="00BB58C4" w:rsidRDefault="00000000">
      <w:pPr>
        <w:pStyle w:val="Caption"/>
        <w:jc w:val="both"/>
        <w:rPr>
          <w:sz w:val="22"/>
          <w:szCs w:val="22"/>
        </w:rPr>
      </w:pPr>
      <w:bookmarkStart w:id="200" w:name="_Toc210632774"/>
      <w:bookmarkEnd w:id="6"/>
      <w:r>
        <w:rPr>
          <w:sz w:val="22"/>
          <w:szCs w:val="22"/>
        </w:rPr>
        <w:lastRenderedPageBreak/>
        <w:t xml:space="preserve">Lampiran </w:t>
      </w:r>
      <w:r>
        <w:rPr>
          <w:sz w:val="22"/>
          <w:szCs w:val="22"/>
        </w:rPr>
        <w:fldChar w:fldCharType="begin"/>
      </w:r>
      <w:r>
        <w:rPr>
          <w:sz w:val="22"/>
          <w:szCs w:val="22"/>
        </w:rPr>
        <w:instrText xml:space="preserve"> SEQ Lampiran \* ARABIC </w:instrText>
      </w:r>
      <w:r>
        <w:rPr>
          <w:sz w:val="22"/>
          <w:szCs w:val="22"/>
        </w:rPr>
        <w:fldChar w:fldCharType="separate"/>
      </w:r>
      <w:r w:rsidR="00DB7568">
        <w:rPr>
          <w:noProof/>
          <w:sz w:val="22"/>
          <w:szCs w:val="22"/>
        </w:rPr>
        <w:t>1</w:t>
      </w:r>
      <w:r>
        <w:rPr>
          <w:sz w:val="22"/>
          <w:szCs w:val="22"/>
        </w:rPr>
        <w:fldChar w:fldCharType="end"/>
      </w:r>
      <w:r>
        <w:rPr>
          <w:sz w:val="22"/>
          <w:szCs w:val="22"/>
        </w:rPr>
        <w:t xml:space="preserve">: </w:t>
      </w:r>
      <w:r>
        <w:rPr>
          <w:rFonts w:cs="Times New Roman"/>
          <w:sz w:val="22"/>
          <w:szCs w:val="22"/>
        </w:rPr>
        <w:t>Daftar Sampel Perusahaan Multinasional Sektor Pertambangan Yang Terdaftar di Bursa Efek Indonesia Pada Tahun 2019 – 2023</w:t>
      </w:r>
      <w:bookmarkEnd w:id="20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9"/>
        <w:gridCol w:w="1558"/>
        <w:gridCol w:w="5382"/>
      </w:tblGrid>
      <w:tr w:rsidR="00BB58C4" w14:paraId="36E2FF98" w14:textId="77777777">
        <w:trPr>
          <w:trHeight w:val="230"/>
        </w:trPr>
        <w:tc>
          <w:tcPr>
            <w:tcW w:w="989" w:type="dxa"/>
          </w:tcPr>
          <w:p w14:paraId="52E5C0FE" w14:textId="77777777" w:rsidR="00BB58C4" w:rsidRDefault="00000000">
            <w:pPr>
              <w:pStyle w:val="TableParagraph"/>
              <w:ind w:left="65" w:right="57"/>
              <w:rPr>
                <w:b/>
                <w:sz w:val="20"/>
              </w:rPr>
            </w:pPr>
            <w:r>
              <w:rPr>
                <w:b/>
                <w:spacing w:val="-5"/>
                <w:sz w:val="20"/>
              </w:rPr>
              <w:t>No</w:t>
            </w:r>
          </w:p>
        </w:tc>
        <w:tc>
          <w:tcPr>
            <w:tcW w:w="1558" w:type="dxa"/>
          </w:tcPr>
          <w:p w14:paraId="5329BF64" w14:textId="77777777" w:rsidR="00BB58C4" w:rsidRDefault="00000000">
            <w:pPr>
              <w:pStyle w:val="TableParagraph"/>
              <w:ind w:left="12"/>
              <w:rPr>
                <w:b/>
                <w:sz w:val="20"/>
              </w:rPr>
            </w:pPr>
            <w:r>
              <w:rPr>
                <w:b/>
                <w:spacing w:val="-4"/>
                <w:sz w:val="20"/>
              </w:rPr>
              <w:t>Kode</w:t>
            </w:r>
          </w:p>
        </w:tc>
        <w:tc>
          <w:tcPr>
            <w:tcW w:w="5382" w:type="dxa"/>
          </w:tcPr>
          <w:p w14:paraId="03A0477C" w14:textId="77777777" w:rsidR="00BB58C4" w:rsidRDefault="00000000">
            <w:pPr>
              <w:pStyle w:val="TableParagraph"/>
              <w:ind w:left="5"/>
              <w:rPr>
                <w:b/>
                <w:sz w:val="20"/>
              </w:rPr>
            </w:pPr>
            <w:r>
              <w:rPr>
                <w:b/>
                <w:sz w:val="20"/>
              </w:rPr>
              <w:t>Nama</w:t>
            </w:r>
            <w:r>
              <w:rPr>
                <w:b/>
                <w:spacing w:val="-5"/>
                <w:sz w:val="20"/>
              </w:rPr>
              <w:t xml:space="preserve"> </w:t>
            </w:r>
            <w:r>
              <w:rPr>
                <w:b/>
                <w:spacing w:val="-2"/>
                <w:sz w:val="20"/>
              </w:rPr>
              <w:t>Perusahaan</w:t>
            </w:r>
          </w:p>
        </w:tc>
      </w:tr>
      <w:tr w:rsidR="00BB58C4" w14:paraId="2D3260F2" w14:textId="77777777">
        <w:trPr>
          <w:trHeight w:val="230"/>
        </w:trPr>
        <w:tc>
          <w:tcPr>
            <w:tcW w:w="989" w:type="dxa"/>
          </w:tcPr>
          <w:p w14:paraId="3D742FC1" w14:textId="77777777" w:rsidR="00BB58C4" w:rsidRDefault="00000000">
            <w:pPr>
              <w:pStyle w:val="TableParagraph"/>
              <w:ind w:left="65" w:right="98"/>
              <w:rPr>
                <w:sz w:val="20"/>
              </w:rPr>
            </w:pPr>
            <w:r>
              <w:rPr>
                <w:spacing w:val="-5"/>
                <w:sz w:val="20"/>
              </w:rPr>
              <w:t>1.</w:t>
            </w:r>
          </w:p>
        </w:tc>
        <w:tc>
          <w:tcPr>
            <w:tcW w:w="1558" w:type="dxa"/>
          </w:tcPr>
          <w:p w14:paraId="2D58C82B" w14:textId="77777777" w:rsidR="00BB58C4" w:rsidRDefault="00000000">
            <w:pPr>
              <w:pStyle w:val="TableParagraph"/>
              <w:ind w:left="107"/>
              <w:jc w:val="left"/>
              <w:rPr>
                <w:sz w:val="20"/>
              </w:rPr>
            </w:pPr>
            <w:r>
              <w:rPr>
                <w:spacing w:val="-4"/>
                <w:sz w:val="20"/>
              </w:rPr>
              <w:t>BYAN</w:t>
            </w:r>
          </w:p>
        </w:tc>
        <w:tc>
          <w:tcPr>
            <w:tcW w:w="5382" w:type="dxa"/>
          </w:tcPr>
          <w:p w14:paraId="4203F748" w14:textId="77777777" w:rsidR="00BB58C4" w:rsidRDefault="00000000">
            <w:pPr>
              <w:pStyle w:val="TableParagraph"/>
              <w:ind w:left="107"/>
              <w:jc w:val="left"/>
              <w:rPr>
                <w:sz w:val="20"/>
              </w:rPr>
            </w:pPr>
            <w:r>
              <w:rPr>
                <w:sz w:val="20"/>
              </w:rPr>
              <w:t>Bayan</w:t>
            </w:r>
            <w:r>
              <w:rPr>
                <w:spacing w:val="-7"/>
                <w:sz w:val="20"/>
              </w:rPr>
              <w:t xml:space="preserve"> </w:t>
            </w:r>
            <w:r>
              <w:rPr>
                <w:sz w:val="20"/>
              </w:rPr>
              <w:t>Resources</w:t>
            </w:r>
            <w:r>
              <w:rPr>
                <w:spacing w:val="-12"/>
                <w:sz w:val="20"/>
              </w:rPr>
              <w:t xml:space="preserve"> </w:t>
            </w:r>
            <w:r>
              <w:rPr>
                <w:spacing w:val="-5"/>
                <w:sz w:val="20"/>
              </w:rPr>
              <w:t>Tbk</w:t>
            </w:r>
          </w:p>
        </w:tc>
      </w:tr>
      <w:tr w:rsidR="00BB58C4" w14:paraId="3E6260FA" w14:textId="77777777">
        <w:trPr>
          <w:trHeight w:val="230"/>
        </w:trPr>
        <w:tc>
          <w:tcPr>
            <w:tcW w:w="989" w:type="dxa"/>
          </w:tcPr>
          <w:p w14:paraId="00BDEAF3" w14:textId="77777777" w:rsidR="00BB58C4" w:rsidRDefault="00000000">
            <w:pPr>
              <w:pStyle w:val="TableParagraph"/>
              <w:ind w:left="65" w:right="98"/>
              <w:rPr>
                <w:sz w:val="20"/>
              </w:rPr>
            </w:pPr>
            <w:r>
              <w:rPr>
                <w:spacing w:val="-5"/>
                <w:sz w:val="20"/>
              </w:rPr>
              <w:t>2.</w:t>
            </w:r>
          </w:p>
        </w:tc>
        <w:tc>
          <w:tcPr>
            <w:tcW w:w="1558" w:type="dxa"/>
          </w:tcPr>
          <w:p w14:paraId="10EB2740" w14:textId="77777777" w:rsidR="00BB58C4" w:rsidRDefault="00000000">
            <w:pPr>
              <w:pStyle w:val="TableParagraph"/>
              <w:ind w:left="107"/>
              <w:jc w:val="left"/>
              <w:rPr>
                <w:sz w:val="20"/>
              </w:rPr>
            </w:pPr>
            <w:r>
              <w:rPr>
                <w:spacing w:val="-4"/>
                <w:sz w:val="20"/>
              </w:rPr>
              <w:t>ADRO</w:t>
            </w:r>
          </w:p>
        </w:tc>
        <w:tc>
          <w:tcPr>
            <w:tcW w:w="5382" w:type="dxa"/>
          </w:tcPr>
          <w:p w14:paraId="284D73DB" w14:textId="77777777" w:rsidR="00BB58C4" w:rsidRDefault="00000000">
            <w:pPr>
              <w:pStyle w:val="TableParagraph"/>
              <w:ind w:left="107"/>
              <w:jc w:val="left"/>
              <w:rPr>
                <w:sz w:val="20"/>
              </w:rPr>
            </w:pPr>
            <w:r>
              <w:rPr>
                <w:sz w:val="20"/>
              </w:rPr>
              <w:t>Alamtri</w:t>
            </w:r>
            <w:r>
              <w:rPr>
                <w:spacing w:val="-8"/>
                <w:sz w:val="20"/>
              </w:rPr>
              <w:t xml:space="preserve"> </w:t>
            </w:r>
            <w:r>
              <w:rPr>
                <w:sz w:val="20"/>
              </w:rPr>
              <w:t>Resources</w:t>
            </w:r>
            <w:r>
              <w:rPr>
                <w:spacing w:val="-7"/>
                <w:sz w:val="20"/>
              </w:rPr>
              <w:t xml:space="preserve"> </w:t>
            </w:r>
            <w:r>
              <w:rPr>
                <w:sz w:val="20"/>
              </w:rPr>
              <w:t>Indonesia</w:t>
            </w:r>
            <w:r>
              <w:rPr>
                <w:spacing w:val="-11"/>
                <w:sz w:val="20"/>
              </w:rPr>
              <w:t xml:space="preserve"> </w:t>
            </w:r>
            <w:r>
              <w:rPr>
                <w:spacing w:val="-5"/>
                <w:sz w:val="20"/>
              </w:rPr>
              <w:t>Tbk</w:t>
            </w:r>
          </w:p>
        </w:tc>
      </w:tr>
      <w:tr w:rsidR="00BB58C4" w14:paraId="7E43EFBB" w14:textId="77777777">
        <w:trPr>
          <w:trHeight w:val="230"/>
        </w:trPr>
        <w:tc>
          <w:tcPr>
            <w:tcW w:w="989" w:type="dxa"/>
          </w:tcPr>
          <w:p w14:paraId="5F2F32CB" w14:textId="77777777" w:rsidR="00BB58C4" w:rsidRDefault="00000000">
            <w:pPr>
              <w:pStyle w:val="TableParagraph"/>
              <w:ind w:left="65" w:right="98"/>
              <w:rPr>
                <w:sz w:val="20"/>
              </w:rPr>
            </w:pPr>
            <w:r>
              <w:rPr>
                <w:spacing w:val="-5"/>
                <w:sz w:val="20"/>
              </w:rPr>
              <w:t>3.</w:t>
            </w:r>
          </w:p>
        </w:tc>
        <w:tc>
          <w:tcPr>
            <w:tcW w:w="1558" w:type="dxa"/>
          </w:tcPr>
          <w:p w14:paraId="30BC8158" w14:textId="77777777" w:rsidR="00BB58C4" w:rsidRDefault="00000000">
            <w:pPr>
              <w:pStyle w:val="TableParagraph"/>
              <w:ind w:left="107"/>
              <w:jc w:val="left"/>
              <w:rPr>
                <w:sz w:val="20"/>
              </w:rPr>
            </w:pPr>
            <w:r>
              <w:rPr>
                <w:spacing w:val="-4"/>
                <w:sz w:val="20"/>
              </w:rPr>
              <w:t>GEMS</w:t>
            </w:r>
          </w:p>
        </w:tc>
        <w:tc>
          <w:tcPr>
            <w:tcW w:w="5382" w:type="dxa"/>
          </w:tcPr>
          <w:p w14:paraId="4ABAE083" w14:textId="77777777" w:rsidR="00BB58C4" w:rsidRDefault="00000000">
            <w:pPr>
              <w:pStyle w:val="TableParagraph"/>
              <w:ind w:left="107"/>
              <w:jc w:val="left"/>
              <w:rPr>
                <w:sz w:val="20"/>
              </w:rPr>
            </w:pPr>
            <w:r>
              <w:rPr>
                <w:sz w:val="20"/>
              </w:rPr>
              <w:t>Golden</w:t>
            </w:r>
            <w:r>
              <w:rPr>
                <w:spacing w:val="-7"/>
                <w:sz w:val="20"/>
              </w:rPr>
              <w:t xml:space="preserve"> </w:t>
            </w:r>
            <w:r>
              <w:rPr>
                <w:sz w:val="20"/>
              </w:rPr>
              <w:t>Energy</w:t>
            </w:r>
            <w:r>
              <w:rPr>
                <w:spacing w:val="-6"/>
                <w:sz w:val="20"/>
              </w:rPr>
              <w:t xml:space="preserve"> </w:t>
            </w:r>
            <w:r>
              <w:rPr>
                <w:sz w:val="20"/>
              </w:rPr>
              <w:t>Mines</w:t>
            </w:r>
            <w:r>
              <w:rPr>
                <w:spacing w:val="-11"/>
                <w:sz w:val="20"/>
              </w:rPr>
              <w:t xml:space="preserve"> </w:t>
            </w:r>
            <w:r>
              <w:rPr>
                <w:spacing w:val="-5"/>
                <w:sz w:val="20"/>
              </w:rPr>
              <w:t>Tbk</w:t>
            </w:r>
          </w:p>
        </w:tc>
      </w:tr>
      <w:tr w:rsidR="00BB58C4" w14:paraId="6A4E1C64" w14:textId="77777777">
        <w:trPr>
          <w:trHeight w:val="230"/>
        </w:trPr>
        <w:tc>
          <w:tcPr>
            <w:tcW w:w="989" w:type="dxa"/>
          </w:tcPr>
          <w:p w14:paraId="0F50D997" w14:textId="77777777" w:rsidR="00BB58C4" w:rsidRDefault="00000000">
            <w:pPr>
              <w:pStyle w:val="TableParagraph"/>
              <w:ind w:left="65" w:right="98"/>
              <w:rPr>
                <w:sz w:val="20"/>
              </w:rPr>
            </w:pPr>
            <w:r>
              <w:rPr>
                <w:spacing w:val="-5"/>
                <w:sz w:val="20"/>
              </w:rPr>
              <w:t>4.</w:t>
            </w:r>
          </w:p>
        </w:tc>
        <w:tc>
          <w:tcPr>
            <w:tcW w:w="1558" w:type="dxa"/>
          </w:tcPr>
          <w:p w14:paraId="2BB824B0" w14:textId="77777777" w:rsidR="00BB58C4" w:rsidRDefault="00000000">
            <w:pPr>
              <w:pStyle w:val="TableParagraph"/>
              <w:ind w:left="107"/>
              <w:jc w:val="left"/>
              <w:rPr>
                <w:sz w:val="20"/>
              </w:rPr>
            </w:pPr>
            <w:r>
              <w:rPr>
                <w:spacing w:val="-4"/>
                <w:sz w:val="20"/>
              </w:rPr>
              <w:t>PTBA</w:t>
            </w:r>
          </w:p>
        </w:tc>
        <w:tc>
          <w:tcPr>
            <w:tcW w:w="5382" w:type="dxa"/>
          </w:tcPr>
          <w:p w14:paraId="52643B91" w14:textId="77777777" w:rsidR="00BB58C4" w:rsidRDefault="00000000">
            <w:pPr>
              <w:pStyle w:val="TableParagraph"/>
              <w:ind w:left="107"/>
              <w:jc w:val="left"/>
              <w:rPr>
                <w:sz w:val="20"/>
              </w:rPr>
            </w:pPr>
            <w:r>
              <w:rPr>
                <w:sz w:val="20"/>
              </w:rPr>
              <w:t>Bukit</w:t>
            </w:r>
            <w:r>
              <w:rPr>
                <w:spacing w:val="-13"/>
                <w:sz w:val="20"/>
              </w:rPr>
              <w:t xml:space="preserve"> </w:t>
            </w:r>
            <w:r>
              <w:rPr>
                <w:sz w:val="20"/>
              </w:rPr>
              <w:t>Asam</w:t>
            </w:r>
            <w:r>
              <w:rPr>
                <w:spacing w:val="-12"/>
                <w:sz w:val="20"/>
              </w:rPr>
              <w:t xml:space="preserve"> </w:t>
            </w:r>
            <w:r>
              <w:rPr>
                <w:spacing w:val="-5"/>
                <w:sz w:val="20"/>
              </w:rPr>
              <w:t>Tbk</w:t>
            </w:r>
          </w:p>
        </w:tc>
      </w:tr>
      <w:tr w:rsidR="00BB58C4" w14:paraId="788697F8" w14:textId="77777777">
        <w:trPr>
          <w:trHeight w:val="230"/>
        </w:trPr>
        <w:tc>
          <w:tcPr>
            <w:tcW w:w="989" w:type="dxa"/>
          </w:tcPr>
          <w:p w14:paraId="51A405B0" w14:textId="77777777" w:rsidR="00BB58C4" w:rsidRDefault="00000000">
            <w:pPr>
              <w:pStyle w:val="TableParagraph"/>
              <w:ind w:left="65" w:right="98"/>
              <w:rPr>
                <w:sz w:val="20"/>
              </w:rPr>
            </w:pPr>
            <w:r>
              <w:rPr>
                <w:spacing w:val="-5"/>
                <w:sz w:val="20"/>
              </w:rPr>
              <w:t>5.</w:t>
            </w:r>
          </w:p>
        </w:tc>
        <w:tc>
          <w:tcPr>
            <w:tcW w:w="1558" w:type="dxa"/>
          </w:tcPr>
          <w:p w14:paraId="1C7B1738" w14:textId="77777777" w:rsidR="00BB58C4" w:rsidRDefault="00000000">
            <w:pPr>
              <w:pStyle w:val="TableParagraph"/>
              <w:ind w:left="107"/>
              <w:jc w:val="left"/>
              <w:rPr>
                <w:sz w:val="20"/>
              </w:rPr>
            </w:pPr>
            <w:r>
              <w:rPr>
                <w:spacing w:val="-4"/>
                <w:sz w:val="20"/>
              </w:rPr>
              <w:t>TCPI</w:t>
            </w:r>
          </w:p>
        </w:tc>
        <w:tc>
          <w:tcPr>
            <w:tcW w:w="5382" w:type="dxa"/>
          </w:tcPr>
          <w:p w14:paraId="3936707F" w14:textId="77777777" w:rsidR="00BB58C4" w:rsidRDefault="00000000">
            <w:pPr>
              <w:pStyle w:val="TableParagraph"/>
              <w:ind w:left="107"/>
              <w:jc w:val="left"/>
              <w:rPr>
                <w:sz w:val="20"/>
              </w:rPr>
            </w:pPr>
            <w:r>
              <w:rPr>
                <w:sz w:val="20"/>
              </w:rPr>
              <w:t>Transcoal</w:t>
            </w:r>
            <w:r>
              <w:rPr>
                <w:spacing w:val="-12"/>
                <w:sz w:val="20"/>
              </w:rPr>
              <w:t xml:space="preserve"> </w:t>
            </w:r>
            <w:r>
              <w:rPr>
                <w:sz w:val="20"/>
              </w:rPr>
              <w:t>Pacific</w:t>
            </w:r>
            <w:r>
              <w:rPr>
                <w:spacing w:val="-13"/>
                <w:sz w:val="20"/>
              </w:rPr>
              <w:t xml:space="preserve"> </w:t>
            </w:r>
            <w:r>
              <w:rPr>
                <w:spacing w:val="-5"/>
                <w:sz w:val="20"/>
              </w:rPr>
              <w:t>Tbk</w:t>
            </w:r>
          </w:p>
        </w:tc>
      </w:tr>
      <w:tr w:rsidR="00BB58C4" w14:paraId="45FD331A" w14:textId="77777777">
        <w:trPr>
          <w:trHeight w:val="230"/>
        </w:trPr>
        <w:tc>
          <w:tcPr>
            <w:tcW w:w="989" w:type="dxa"/>
          </w:tcPr>
          <w:p w14:paraId="5E80EB25" w14:textId="77777777" w:rsidR="00BB58C4" w:rsidRDefault="00000000">
            <w:pPr>
              <w:pStyle w:val="TableParagraph"/>
              <w:ind w:left="65" w:right="98"/>
              <w:rPr>
                <w:sz w:val="20"/>
              </w:rPr>
            </w:pPr>
            <w:r>
              <w:rPr>
                <w:spacing w:val="-5"/>
                <w:sz w:val="20"/>
              </w:rPr>
              <w:t>6.</w:t>
            </w:r>
          </w:p>
        </w:tc>
        <w:tc>
          <w:tcPr>
            <w:tcW w:w="1558" w:type="dxa"/>
          </w:tcPr>
          <w:p w14:paraId="12C9D392" w14:textId="77777777" w:rsidR="00BB58C4" w:rsidRDefault="00000000">
            <w:pPr>
              <w:pStyle w:val="TableParagraph"/>
              <w:ind w:left="107"/>
              <w:jc w:val="left"/>
              <w:rPr>
                <w:sz w:val="20"/>
              </w:rPr>
            </w:pPr>
            <w:r>
              <w:rPr>
                <w:spacing w:val="-4"/>
                <w:sz w:val="20"/>
              </w:rPr>
              <w:t>BSSR</w:t>
            </w:r>
          </w:p>
        </w:tc>
        <w:tc>
          <w:tcPr>
            <w:tcW w:w="5382" w:type="dxa"/>
          </w:tcPr>
          <w:p w14:paraId="63C63572" w14:textId="77777777" w:rsidR="00BB58C4" w:rsidRDefault="00000000">
            <w:pPr>
              <w:pStyle w:val="TableParagraph"/>
              <w:ind w:left="107"/>
              <w:jc w:val="left"/>
              <w:rPr>
                <w:sz w:val="20"/>
              </w:rPr>
            </w:pPr>
            <w:r>
              <w:rPr>
                <w:sz w:val="20"/>
              </w:rPr>
              <w:t>Baramulti</w:t>
            </w:r>
            <w:r>
              <w:rPr>
                <w:spacing w:val="-12"/>
                <w:sz w:val="20"/>
              </w:rPr>
              <w:t xml:space="preserve"> </w:t>
            </w:r>
            <w:r>
              <w:rPr>
                <w:sz w:val="20"/>
              </w:rPr>
              <w:t>Suksessarana</w:t>
            </w:r>
            <w:r>
              <w:rPr>
                <w:spacing w:val="-12"/>
                <w:sz w:val="20"/>
              </w:rPr>
              <w:t xml:space="preserve"> </w:t>
            </w:r>
            <w:r>
              <w:rPr>
                <w:spacing w:val="-5"/>
                <w:sz w:val="20"/>
              </w:rPr>
              <w:t>Tbk</w:t>
            </w:r>
          </w:p>
        </w:tc>
      </w:tr>
      <w:tr w:rsidR="00BB58C4" w14:paraId="5EF2D2C9" w14:textId="77777777">
        <w:trPr>
          <w:trHeight w:val="230"/>
        </w:trPr>
        <w:tc>
          <w:tcPr>
            <w:tcW w:w="989" w:type="dxa"/>
          </w:tcPr>
          <w:p w14:paraId="1D9E3A60" w14:textId="77777777" w:rsidR="00BB58C4" w:rsidRDefault="00000000">
            <w:pPr>
              <w:pStyle w:val="TableParagraph"/>
              <w:ind w:left="65" w:right="98"/>
              <w:rPr>
                <w:sz w:val="20"/>
              </w:rPr>
            </w:pPr>
            <w:r>
              <w:rPr>
                <w:spacing w:val="-5"/>
                <w:sz w:val="20"/>
              </w:rPr>
              <w:t>7.</w:t>
            </w:r>
          </w:p>
        </w:tc>
        <w:tc>
          <w:tcPr>
            <w:tcW w:w="1558" w:type="dxa"/>
          </w:tcPr>
          <w:p w14:paraId="5A3224C1" w14:textId="77777777" w:rsidR="00BB58C4" w:rsidRDefault="00000000">
            <w:pPr>
              <w:pStyle w:val="TableParagraph"/>
              <w:ind w:left="107"/>
              <w:jc w:val="left"/>
              <w:rPr>
                <w:sz w:val="20"/>
              </w:rPr>
            </w:pPr>
            <w:r>
              <w:rPr>
                <w:spacing w:val="-4"/>
                <w:sz w:val="20"/>
              </w:rPr>
              <w:t>HRUM</w:t>
            </w:r>
          </w:p>
        </w:tc>
        <w:tc>
          <w:tcPr>
            <w:tcW w:w="5382" w:type="dxa"/>
          </w:tcPr>
          <w:p w14:paraId="50B8DC93" w14:textId="77777777" w:rsidR="00BB58C4" w:rsidRDefault="00000000">
            <w:pPr>
              <w:pStyle w:val="TableParagraph"/>
              <w:ind w:left="107"/>
              <w:jc w:val="left"/>
              <w:rPr>
                <w:sz w:val="20"/>
              </w:rPr>
            </w:pPr>
            <w:r>
              <w:rPr>
                <w:sz w:val="20"/>
              </w:rPr>
              <w:t>Harum</w:t>
            </w:r>
            <w:r>
              <w:rPr>
                <w:spacing w:val="-7"/>
                <w:sz w:val="20"/>
              </w:rPr>
              <w:t xml:space="preserve"> </w:t>
            </w:r>
            <w:r>
              <w:rPr>
                <w:sz w:val="20"/>
              </w:rPr>
              <w:t>Energy</w:t>
            </w:r>
            <w:r>
              <w:rPr>
                <w:spacing w:val="-11"/>
                <w:sz w:val="20"/>
              </w:rPr>
              <w:t xml:space="preserve"> </w:t>
            </w:r>
            <w:r>
              <w:rPr>
                <w:spacing w:val="-5"/>
                <w:sz w:val="20"/>
              </w:rPr>
              <w:t>Tbk</w:t>
            </w:r>
          </w:p>
        </w:tc>
      </w:tr>
      <w:tr w:rsidR="00BB58C4" w14:paraId="5660119F" w14:textId="77777777">
        <w:trPr>
          <w:trHeight w:val="230"/>
        </w:trPr>
        <w:tc>
          <w:tcPr>
            <w:tcW w:w="989" w:type="dxa"/>
          </w:tcPr>
          <w:p w14:paraId="248D4BA1" w14:textId="77777777" w:rsidR="00BB58C4" w:rsidRDefault="00000000">
            <w:pPr>
              <w:pStyle w:val="TableParagraph"/>
              <w:ind w:left="65" w:right="98"/>
              <w:rPr>
                <w:sz w:val="20"/>
              </w:rPr>
            </w:pPr>
            <w:r>
              <w:rPr>
                <w:spacing w:val="-5"/>
                <w:sz w:val="20"/>
              </w:rPr>
              <w:t>8.</w:t>
            </w:r>
          </w:p>
        </w:tc>
        <w:tc>
          <w:tcPr>
            <w:tcW w:w="1558" w:type="dxa"/>
          </w:tcPr>
          <w:p w14:paraId="5B9B1476" w14:textId="77777777" w:rsidR="00BB58C4" w:rsidRDefault="00000000">
            <w:pPr>
              <w:pStyle w:val="TableParagraph"/>
              <w:ind w:left="107"/>
              <w:jc w:val="left"/>
              <w:rPr>
                <w:sz w:val="20"/>
              </w:rPr>
            </w:pPr>
            <w:r>
              <w:rPr>
                <w:spacing w:val="-4"/>
                <w:sz w:val="20"/>
              </w:rPr>
              <w:t>BIPI</w:t>
            </w:r>
          </w:p>
        </w:tc>
        <w:tc>
          <w:tcPr>
            <w:tcW w:w="5382" w:type="dxa"/>
          </w:tcPr>
          <w:p w14:paraId="676CDCD0" w14:textId="77777777" w:rsidR="00BB58C4" w:rsidRDefault="00000000">
            <w:pPr>
              <w:pStyle w:val="TableParagraph"/>
              <w:ind w:left="107"/>
              <w:jc w:val="left"/>
              <w:rPr>
                <w:sz w:val="20"/>
              </w:rPr>
            </w:pPr>
            <w:r>
              <w:rPr>
                <w:sz w:val="20"/>
              </w:rPr>
              <w:t>Astrindo</w:t>
            </w:r>
            <w:r>
              <w:rPr>
                <w:spacing w:val="-9"/>
                <w:sz w:val="20"/>
              </w:rPr>
              <w:t xml:space="preserve"> </w:t>
            </w:r>
            <w:r>
              <w:rPr>
                <w:sz w:val="20"/>
              </w:rPr>
              <w:t>Nusantara</w:t>
            </w:r>
            <w:r>
              <w:rPr>
                <w:spacing w:val="-9"/>
                <w:sz w:val="20"/>
              </w:rPr>
              <w:t xml:space="preserve"> </w:t>
            </w:r>
            <w:r>
              <w:rPr>
                <w:sz w:val="20"/>
              </w:rPr>
              <w:t>Infrastruktur</w:t>
            </w:r>
            <w:r>
              <w:rPr>
                <w:spacing w:val="-12"/>
                <w:sz w:val="20"/>
              </w:rPr>
              <w:t xml:space="preserve"> </w:t>
            </w:r>
            <w:r>
              <w:rPr>
                <w:spacing w:val="-5"/>
                <w:sz w:val="20"/>
              </w:rPr>
              <w:t>Tbk</w:t>
            </w:r>
          </w:p>
        </w:tc>
      </w:tr>
      <w:tr w:rsidR="00BB58C4" w14:paraId="69529574" w14:textId="77777777">
        <w:trPr>
          <w:trHeight w:val="230"/>
        </w:trPr>
        <w:tc>
          <w:tcPr>
            <w:tcW w:w="989" w:type="dxa"/>
          </w:tcPr>
          <w:p w14:paraId="3E90D67B" w14:textId="77777777" w:rsidR="00BB58C4" w:rsidRDefault="00000000">
            <w:pPr>
              <w:pStyle w:val="TableParagraph"/>
              <w:spacing w:before="1"/>
              <w:ind w:left="65" w:right="98"/>
              <w:rPr>
                <w:sz w:val="20"/>
              </w:rPr>
            </w:pPr>
            <w:r>
              <w:rPr>
                <w:spacing w:val="-5"/>
                <w:sz w:val="20"/>
              </w:rPr>
              <w:t>9.</w:t>
            </w:r>
          </w:p>
        </w:tc>
        <w:tc>
          <w:tcPr>
            <w:tcW w:w="1558" w:type="dxa"/>
          </w:tcPr>
          <w:p w14:paraId="5580FEBB" w14:textId="77777777" w:rsidR="00BB58C4" w:rsidRDefault="00000000">
            <w:pPr>
              <w:pStyle w:val="TableParagraph"/>
              <w:spacing w:before="1"/>
              <w:ind w:left="107"/>
              <w:jc w:val="left"/>
              <w:rPr>
                <w:sz w:val="20"/>
              </w:rPr>
            </w:pPr>
            <w:r>
              <w:rPr>
                <w:spacing w:val="-4"/>
                <w:sz w:val="20"/>
              </w:rPr>
              <w:t>TOBA</w:t>
            </w:r>
          </w:p>
        </w:tc>
        <w:tc>
          <w:tcPr>
            <w:tcW w:w="5382" w:type="dxa"/>
          </w:tcPr>
          <w:p w14:paraId="50B921CD" w14:textId="77777777" w:rsidR="00BB58C4" w:rsidRDefault="00000000">
            <w:pPr>
              <w:pStyle w:val="TableParagraph"/>
              <w:spacing w:before="1"/>
              <w:ind w:left="107"/>
              <w:jc w:val="left"/>
              <w:rPr>
                <w:sz w:val="20"/>
              </w:rPr>
            </w:pPr>
            <w:r>
              <w:rPr>
                <w:sz w:val="20"/>
              </w:rPr>
              <w:t>TBS</w:t>
            </w:r>
            <w:r>
              <w:rPr>
                <w:spacing w:val="-7"/>
                <w:sz w:val="20"/>
              </w:rPr>
              <w:t xml:space="preserve"> </w:t>
            </w:r>
            <w:r>
              <w:rPr>
                <w:sz w:val="20"/>
              </w:rPr>
              <w:t>Energi</w:t>
            </w:r>
            <w:r>
              <w:rPr>
                <w:spacing w:val="-7"/>
                <w:sz w:val="20"/>
              </w:rPr>
              <w:t xml:space="preserve"> </w:t>
            </w:r>
            <w:r>
              <w:rPr>
                <w:sz w:val="20"/>
              </w:rPr>
              <w:t>Utama</w:t>
            </w:r>
            <w:r>
              <w:rPr>
                <w:spacing w:val="-9"/>
                <w:sz w:val="20"/>
              </w:rPr>
              <w:t xml:space="preserve"> </w:t>
            </w:r>
            <w:r>
              <w:rPr>
                <w:spacing w:val="-5"/>
                <w:sz w:val="20"/>
              </w:rPr>
              <w:t>Tbk</w:t>
            </w:r>
          </w:p>
        </w:tc>
      </w:tr>
      <w:tr w:rsidR="00BB58C4" w14:paraId="05E97B46" w14:textId="77777777">
        <w:trPr>
          <w:trHeight w:val="230"/>
        </w:trPr>
        <w:tc>
          <w:tcPr>
            <w:tcW w:w="989" w:type="dxa"/>
          </w:tcPr>
          <w:p w14:paraId="203C7722" w14:textId="77777777" w:rsidR="00BB58C4" w:rsidRDefault="00000000">
            <w:pPr>
              <w:pStyle w:val="TableParagraph"/>
              <w:ind w:left="98" w:right="33"/>
              <w:rPr>
                <w:sz w:val="20"/>
              </w:rPr>
            </w:pPr>
            <w:r>
              <w:rPr>
                <w:spacing w:val="-5"/>
                <w:sz w:val="20"/>
              </w:rPr>
              <w:t>10.</w:t>
            </w:r>
          </w:p>
        </w:tc>
        <w:tc>
          <w:tcPr>
            <w:tcW w:w="1558" w:type="dxa"/>
          </w:tcPr>
          <w:p w14:paraId="4AB30DB8" w14:textId="77777777" w:rsidR="00BB58C4" w:rsidRDefault="00000000">
            <w:pPr>
              <w:pStyle w:val="TableParagraph"/>
              <w:ind w:left="107"/>
              <w:jc w:val="left"/>
              <w:rPr>
                <w:sz w:val="20"/>
              </w:rPr>
            </w:pPr>
            <w:r>
              <w:rPr>
                <w:spacing w:val="-4"/>
                <w:sz w:val="20"/>
              </w:rPr>
              <w:t>TPMA</w:t>
            </w:r>
          </w:p>
        </w:tc>
        <w:tc>
          <w:tcPr>
            <w:tcW w:w="5382" w:type="dxa"/>
          </w:tcPr>
          <w:p w14:paraId="522238CA" w14:textId="77777777" w:rsidR="00BB58C4" w:rsidRDefault="00000000">
            <w:pPr>
              <w:pStyle w:val="TableParagraph"/>
              <w:ind w:left="107"/>
              <w:jc w:val="left"/>
              <w:rPr>
                <w:sz w:val="20"/>
              </w:rPr>
            </w:pPr>
            <w:r>
              <w:rPr>
                <w:sz w:val="20"/>
              </w:rPr>
              <w:t>Trans</w:t>
            </w:r>
            <w:r>
              <w:rPr>
                <w:spacing w:val="-9"/>
                <w:sz w:val="20"/>
              </w:rPr>
              <w:t xml:space="preserve"> </w:t>
            </w:r>
            <w:r>
              <w:rPr>
                <w:sz w:val="20"/>
              </w:rPr>
              <w:t>Power</w:t>
            </w:r>
            <w:r>
              <w:rPr>
                <w:spacing w:val="-6"/>
                <w:sz w:val="20"/>
              </w:rPr>
              <w:t xml:space="preserve"> </w:t>
            </w:r>
            <w:r>
              <w:rPr>
                <w:sz w:val="20"/>
              </w:rPr>
              <w:t>Marine</w:t>
            </w:r>
            <w:r>
              <w:rPr>
                <w:spacing w:val="-11"/>
                <w:sz w:val="20"/>
              </w:rPr>
              <w:t xml:space="preserve"> </w:t>
            </w:r>
            <w:r>
              <w:rPr>
                <w:spacing w:val="-5"/>
                <w:sz w:val="20"/>
              </w:rPr>
              <w:t>Tbk</w:t>
            </w:r>
          </w:p>
        </w:tc>
      </w:tr>
      <w:tr w:rsidR="00BB58C4" w14:paraId="24740129" w14:textId="77777777">
        <w:trPr>
          <w:trHeight w:val="230"/>
        </w:trPr>
        <w:tc>
          <w:tcPr>
            <w:tcW w:w="989" w:type="dxa"/>
          </w:tcPr>
          <w:p w14:paraId="692AD065" w14:textId="77777777" w:rsidR="00BB58C4" w:rsidRDefault="00000000">
            <w:pPr>
              <w:pStyle w:val="TableParagraph"/>
              <w:ind w:left="98" w:right="33"/>
              <w:rPr>
                <w:sz w:val="20"/>
              </w:rPr>
            </w:pPr>
            <w:r>
              <w:rPr>
                <w:spacing w:val="-5"/>
                <w:sz w:val="20"/>
              </w:rPr>
              <w:t>11.</w:t>
            </w:r>
          </w:p>
        </w:tc>
        <w:tc>
          <w:tcPr>
            <w:tcW w:w="1558" w:type="dxa"/>
          </w:tcPr>
          <w:p w14:paraId="2A8993BA" w14:textId="77777777" w:rsidR="00BB58C4" w:rsidRDefault="00000000">
            <w:pPr>
              <w:pStyle w:val="TableParagraph"/>
              <w:ind w:left="107"/>
              <w:jc w:val="left"/>
              <w:rPr>
                <w:sz w:val="20"/>
              </w:rPr>
            </w:pPr>
            <w:r>
              <w:rPr>
                <w:spacing w:val="-4"/>
                <w:sz w:val="20"/>
              </w:rPr>
              <w:t>MBAP</w:t>
            </w:r>
          </w:p>
        </w:tc>
        <w:tc>
          <w:tcPr>
            <w:tcW w:w="5382" w:type="dxa"/>
          </w:tcPr>
          <w:p w14:paraId="7AF502A9" w14:textId="77777777" w:rsidR="00BB58C4" w:rsidRDefault="00000000">
            <w:pPr>
              <w:pStyle w:val="TableParagraph"/>
              <w:ind w:left="107"/>
              <w:jc w:val="left"/>
              <w:rPr>
                <w:sz w:val="20"/>
              </w:rPr>
            </w:pPr>
            <w:r>
              <w:rPr>
                <w:spacing w:val="-2"/>
                <w:sz w:val="20"/>
              </w:rPr>
              <w:t>Mitrabara</w:t>
            </w:r>
            <w:r>
              <w:rPr>
                <w:sz w:val="20"/>
              </w:rPr>
              <w:t xml:space="preserve"> </w:t>
            </w:r>
            <w:r>
              <w:rPr>
                <w:spacing w:val="-2"/>
                <w:sz w:val="20"/>
              </w:rPr>
              <w:t>Adiperdana</w:t>
            </w:r>
            <w:r>
              <w:rPr>
                <w:spacing w:val="10"/>
                <w:sz w:val="20"/>
              </w:rPr>
              <w:t xml:space="preserve"> </w:t>
            </w:r>
            <w:r>
              <w:rPr>
                <w:spacing w:val="-5"/>
                <w:sz w:val="20"/>
              </w:rPr>
              <w:t>Tbk</w:t>
            </w:r>
          </w:p>
        </w:tc>
      </w:tr>
      <w:tr w:rsidR="00BB58C4" w14:paraId="232CA08F" w14:textId="77777777">
        <w:trPr>
          <w:trHeight w:val="230"/>
        </w:trPr>
        <w:tc>
          <w:tcPr>
            <w:tcW w:w="989" w:type="dxa"/>
          </w:tcPr>
          <w:p w14:paraId="115D4DCD" w14:textId="77777777" w:rsidR="00BB58C4" w:rsidRDefault="00000000">
            <w:pPr>
              <w:pStyle w:val="TableParagraph"/>
              <w:ind w:left="98" w:right="33"/>
              <w:rPr>
                <w:sz w:val="20"/>
              </w:rPr>
            </w:pPr>
            <w:r>
              <w:rPr>
                <w:spacing w:val="-5"/>
                <w:sz w:val="20"/>
              </w:rPr>
              <w:t>12.</w:t>
            </w:r>
          </w:p>
        </w:tc>
        <w:tc>
          <w:tcPr>
            <w:tcW w:w="1558" w:type="dxa"/>
          </w:tcPr>
          <w:p w14:paraId="437E6506" w14:textId="77777777" w:rsidR="00BB58C4" w:rsidRDefault="00000000">
            <w:pPr>
              <w:pStyle w:val="TableParagraph"/>
              <w:ind w:left="107"/>
              <w:jc w:val="left"/>
              <w:rPr>
                <w:sz w:val="20"/>
              </w:rPr>
            </w:pPr>
            <w:r>
              <w:rPr>
                <w:spacing w:val="-4"/>
                <w:sz w:val="20"/>
              </w:rPr>
              <w:t>PSSI</w:t>
            </w:r>
          </w:p>
        </w:tc>
        <w:tc>
          <w:tcPr>
            <w:tcW w:w="5382" w:type="dxa"/>
          </w:tcPr>
          <w:p w14:paraId="62F66FD1" w14:textId="77777777" w:rsidR="00BB58C4" w:rsidRDefault="00000000">
            <w:pPr>
              <w:pStyle w:val="TableParagraph"/>
              <w:ind w:left="107"/>
              <w:jc w:val="left"/>
              <w:rPr>
                <w:sz w:val="20"/>
              </w:rPr>
            </w:pPr>
            <w:r>
              <w:rPr>
                <w:sz w:val="20"/>
              </w:rPr>
              <w:t>IMC</w:t>
            </w:r>
            <w:r>
              <w:rPr>
                <w:spacing w:val="-9"/>
                <w:sz w:val="20"/>
              </w:rPr>
              <w:t xml:space="preserve"> </w:t>
            </w:r>
            <w:r>
              <w:rPr>
                <w:sz w:val="20"/>
              </w:rPr>
              <w:t>Pelita</w:t>
            </w:r>
            <w:r>
              <w:rPr>
                <w:spacing w:val="-5"/>
                <w:sz w:val="20"/>
              </w:rPr>
              <w:t xml:space="preserve"> </w:t>
            </w:r>
            <w:r>
              <w:rPr>
                <w:sz w:val="20"/>
              </w:rPr>
              <w:t>Logistik</w:t>
            </w:r>
            <w:r>
              <w:rPr>
                <w:spacing w:val="-8"/>
                <w:sz w:val="20"/>
              </w:rPr>
              <w:t xml:space="preserve"> </w:t>
            </w:r>
            <w:r>
              <w:rPr>
                <w:spacing w:val="-5"/>
                <w:sz w:val="20"/>
              </w:rPr>
              <w:t>Tbk</w:t>
            </w:r>
          </w:p>
        </w:tc>
      </w:tr>
      <w:tr w:rsidR="00BB58C4" w14:paraId="06842B23" w14:textId="77777777">
        <w:trPr>
          <w:trHeight w:val="230"/>
        </w:trPr>
        <w:tc>
          <w:tcPr>
            <w:tcW w:w="989" w:type="dxa"/>
          </w:tcPr>
          <w:p w14:paraId="02185C8E" w14:textId="77777777" w:rsidR="00BB58C4" w:rsidRDefault="00000000">
            <w:pPr>
              <w:pStyle w:val="TableParagraph"/>
              <w:ind w:left="98" w:right="33"/>
              <w:rPr>
                <w:sz w:val="20"/>
              </w:rPr>
            </w:pPr>
            <w:r>
              <w:rPr>
                <w:spacing w:val="-5"/>
                <w:sz w:val="20"/>
              </w:rPr>
              <w:t>13.</w:t>
            </w:r>
          </w:p>
        </w:tc>
        <w:tc>
          <w:tcPr>
            <w:tcW w:w="1558" w:type="dxa"/>
          </w:tcPr>
          <w:p w14:paraId="7BA35573" w14:textId="77777777" w:rsidR="00BB58C4" w:rsidRDefault="00000000">
            <w:pPr>
              <w:pStyle w:val="TableParagraph"/>
              <w:ind w:left="107"/>
              <w:jc w:val="left"/>
              <w:rPr>
                <w:sz w:val="20"/>
              </w:rPr>
            </w:pPr>
            <w:r>
              <w:rPr>
                <w:spacing w:val="-4"/>
                <w:sz w:val="20"/>
              </w:rPr>
              <w:t>PTRO</w:t>
            </w:r>
          </w:p>
        </w:tc>
        <w:tc>
          <w:tcPr>
            <w:tcW w:w="5382" w:type="dxa"/>
          </w:tcPr>
          <w:p w14:paraId="441220E1" w14:textId="77777777" w:rsidR="00BB58C4" w:rsidRDefault="00000000">
            <w:pPr>
              <w:pStyle w:val="TableParagraph"/>
              <w:ind w:left="107"/>
              <w:jc w:val="left"/>
              <w:rPr>
                <w:sz w:val="20"/>
              </w:rPr>
            </w:pPr>
            <w:r>
              <w:rPr>
                <w:sz w:val="20"/>
              </w:rPr>
              <w:t>Petrosea</w:t>
            </w:r>
            <w:r>
              <w:rPr>
                <w:spacing w:val="-11"/>
                <w:sz w:val="20"/>
              </w:rPr>
              <w:t xml:space="preserve"> </w:t>
            </w:r>
            <w:r>
              <w:rPr>
                <w:spacing w:val="-5"/>
                <w:sz w:val="20"/>
              </w:rPr>
              <w:t>Tbk</w:t>
            </w:r>
          </w:p>
        </w:tc>
      </w:tr>
      <w:tr w:rsidR="00BB58C4" w14:paraId="44AAFACB" w14:textId="77777777">
        <w:trPr>
          <w:trHeight w:val="230"/>
        </w:trPr>
        <w:tc>
          <w:tcPr>
            <w:tcW w:w="989" w:type="dxa"/>
          </w:tcPr>
          <w:p w14:paraId="17779790" w14:textId="77777777" w:rsidR="00BB58C4" w:rsidRDefault="00000000">
            <w:pPr>
              <w:pStyle w:val="TableParagraph"/>
              <w:ind w:left="98" w:right="33"/>
              <w:rPr>
                <w:sz w:val="20"/>
              </w:rPr>
            </w:pPr>
            <w:r>
              <w:rPr>
                <w:spacing w:val="-5"/>
                <w:sz w:val="20"/>
              </w:rPr>
              <w:t>14.</w:t>
            </w:r>
          </w:p>
        </w:tc>
        <w:tc>
          <w:tcPr>
            <w:tcW w:w="1558" w:type="dxa"/>
          </w:tcPr>
          <w:p w14:paraId="61FE2B7A" w14:textId="77777777" w:rsidR="00BB58C4" w:rsidRDefault="00000000">
            <w:pPr>
              <w:pStyle w:val="TableParagraph"/>
              <w:ind w:left="107"/>
              <w:jc w:val="left"/>
              <w:rPr>
                <w:sz w:val="20"/>
              </w:rPr>
            </w:pPr>
            <w:r>
              <w:rPr>
                <w:spacing w:val="-4"/>
                <w:sz w:val="20"/>
              </w:rPr>
              <w:t>DEWA</w:t>
            </w:r>
          </w:p>
        </w:tc>
        <w:tc>
          <w:tcPr>
            <w:tcW w:w="5382" w:type="dxa"/>
          </w:tcPr>
          <w:p w14:paraId="6ED6E20D" w14:textId="77777777" w:rsidR="00BB58C4" w:rsidRDefault="00000000">
            <w:pPr>
              <w:pStyle w:val="TableParagraph"/>
              <w:ind w:left="107"/>
              <w:jc w:val="left"/>
              <w:rPr>
                <w:sz w:val="20"/>
              </w:rPr>
            </w:pPr>
            <w:r>
              <w:rPr>
                <w:sz w:val="20"/>
              </w:rPr>
              <w:t>Darma</w:t>
            </w:r>
            <w:r>
              <w:rPr>
                <w:spacing w:val="-5"/>
                <w:sz w:val="20"/>
              </w:rPr>
              <w:t xml:space="preserve"> </w:t>
            </w:r>
            <w:r>
              <w:rPr>
                <w:sz w:val="20"/>
              </w:rPr>
              <w:t>Henwa</w:t>
            </w:r>
            <w:r>
              <w:rPr>
                <w:spacing w:val="-9"/>
                <w:sz w:val="20"/>
              </w:rPr>
              <w:t xml:space="preserve"> </w:t>
            </w:r>
            <w:r>
              <w:rPr>
                <w:spacing w:val="-5"/>
                <w:sz w:val="20"/>
              </w:rPr>
              <w:t>Tbk</w:t>
            </w:r>
          </w:p>
        </w:tc>
      </w:tr>
      <w:tr w:rsidR="00BB58C4" w14:paraId="0D8DF018" w14:textId="77777777">
        <w:trPr>
          <w:trHeight w:val="230"/>
        </w:trPr>
        <w:tc>
          <w:tcPr>
            <w:tcW w:w="989" w:type="dxa"/>
          </w:tcPr>
          <w:p w14:paraId="6E641124" w14:textId="77777777" w:rsidR="00BB58C4" w:rsidRDefault="00000000">
            <w:pPr>
              <w:pStyle w:val="TableParagraph"/>
              <w:ind w:left="98" w:right="33"/>
              <w:rPr>
                <w:sz w:val="20"/>
              </w:rPr>
            </w:pPr>
            <w:r>
              <w:rPr>
                <w:spacing w:val="-5"/>
                <w:sz w:val="20"/>
              </w:rPr>
              <w:t>15.</w:t>
            </w:r>
          </w:p>
        </w:tc>
        <w:tc>
          <w:tcPr>
            <w:tcW w:w="1558" w:type="dxa"/>
          </w:tcPr>
          <w:p w14:paraId="0FF2724A" w14:textId="77777777" w:rsidR="00BB58C4" w:rsidRDefault="00000000">
            <w:pPr>
              <w:pStyle w:val="TableParagraph"/>
              <w:ind w:left="107"/>
              <w:jc w:val="left"/>
              <w:rPr>
                <w:sz w:val="20"/>
              </w:rPr>
            </w:pPr>
            <w:r>
              <w:rPr>
                <w:spacing w:val="-4"/>
                <w:sz w:val="20"/>
              </w:rPr>
              <w:t>MYOH</w:t>
            </w:r>
          </w:p>
        </w:tc>
        <w:tc>
          <w:tcPr>
            <w:tcW w:w="5382" w:type="dxa"/>
          </w:tcPr>
          <w:p w14:paraId="63173D0C" w14:textId="77777777" w:rsidR="00BB58C4" w:rsidRDefault="00000000">
            <w:pPr>
              <w:pStyle w:val="TableParagraph"/>
              <w:ind w:left="107"/>
              <w:jc w:val="left"/>
              <w:rPr>
                <w:sz w:val="20"/>
              </w:rPr>
            </w:pPr>
            <w:r>
              <w:rPr>
                <w:sz w:val="20"/>
              </w:rPr>
              <w:t>Samindo</w:t>
            </w:r>
            <w:r>
              <w:rPr>
                <w:spacing w:val="-7"/>
                <w:sz w:val="20"/>
              </w:rPr>
              <w:t xml:space="preserve"> </w:t>
            </w:r>
            <w:r>
              <w:rPr>
                <w:sz w:val="20"/>
              </w:rPr>
              <w:t>Resources</w:t>
            </w:r>
            <w:r>
              <w:rPr>
                <w:spacing w:val="-13"/>
                <w:sz w:val="20"/>
              </w:rPr>
              <w:t xml:space="preserve"> </w:t>
            </w:r>
            <w:r>
              <w:rPr>
                <w:spacing w:val="-5"/>
                <w:sz w:val="20"/>
              </w:rPr>
              <w:t>Tbk</w:t>
            </w:r>
          </w:p>
        </w:tc>
      </w:tr>
      <w:tr w:rsidR="00BB58C4" w14:paraId="65294F52" w14:textId="77777777">
        <w:trPr>
          <w:trHeight w:val="230"/>
        </w:trPr>
        <w:tc>
          <w:tcPr>
            <w:tcW w:w="989" w:type="dxa"/>
          </w:tcPr>
          <w:p w14:paraId="1940906E" w14:textId="77777777" w:rsidR="00BB58C4" w:rsidRDefault="00000000">
            <w:pPr>
              <w:pStyle w:val="TableParagraph"/>
              <w:ind w:left="98" w:right="33"/>
              <w:rPr>
                <w:sz w:val="20"/>
              </w:rPr>
            </w:pPr>
            <w:r>
              <w:rPr>
                <w:spacing w:val="-5"/>
                <w:sz w:val="20"/>
              </w:rPr>
              <w:t>16.</w:t>
            </w:r>
          </w:p>
        </w:tc>
        <w:tc>
          <w:tcPr>
            <w:tcW w:w="1558" w:type="dxa"/>
          </w:tcPr>
          <w:p w14:paraId="5CF178EB" w14:textId="77777777" w:rsidR="00BB58C4" w:rsidRDefault="00000000">
            <w:pPr>
              <w:pStyle w:val="TableParagraph"/>
              <w:ind w:left="107"/>
              <w:jc w:val="left"/>
              <w:rPr>
                <w:sz w:val="20"/>
              </w:rPr>
            </w:pPr>
            <w:r>
              <w:rPr>
                <w:spacing w:val="-4"/>
                <w:sz w:val="20"/>
              </w:rPr>
              <w:t>ITMA</w:t>
            </w:r>
          </w:p>
        </w:tc>
        <w:tc>
          <w:tcPr>
            <w:tcW w:w="5382" w:type="dxa"/>
          </w:tcPr>
          <w:p w14:paraId="36B8A89D" w14:textId="77777777" w:rsidR="00BB58C4" w:rsidRDefault="00000000">
            <w:pPr>
              <w:pStyle w:val="TableParagraph"/>
              <w:ind w:left="107"/>
              <w:jc w:val="left"/>
              <w:rPr>
                <w:sz w:val="20"/>
              </w:rPr>
            </w:pPr>
            <w:r>
              <w:rPr>
                <w:sz w:val="20"/>
              </w:rPr>
              <w:t>Sumber</w:t>
            </w:r>
            <w:r>
              <w:rPr>
                <w:spacing w:val="-12"/>
                <w:sz w:val="20"/>
              </w:rPr>
              <w:t xml:space="preserve"> </w:t>
            </w:r>
            <w:r>
              <w:rPr>
                <w:sz w:val="20"/>
              </w:rPr>
              <w:t>Energi</w:t>
            </w:r>
            <w:r>
              <w:rPr>
                <w:spacing w:val="-12"/>
                <w:sz w:val="20"/>
              </w:rPr>
              <w:t xml:space="preserve"> </w:t>
            </w:r>
            <w:r>
              <w:rPr>
                <w:sz w:val="20"/>
              </w:rPr>
              <w:t>Andalan</w:t>
            </w:r>
            <w:r>
              <w:rPr>
                <w:spacing w:val="-10"/>
                <w:sz w:val="20"/>
              </w:rPr>
              <w:t xml:space="preserve"> </w:t>
            </w:r>
            <w:r>
              <w:rPr>
                <w:spacing w:val="-5"/>
                <w:sz w:val="20"/>
              </w:rPr>
              <w:t>Tbk</w:t>
            </w:r>
          </w:p>
        </w:tc>
      </w:tr>
      <w:tr w:rsidR="00BB58C4" w14:paraId="18162CC0" w14:textId="77777777">
        <w:trPr>
          <w:trHeight w:val="230"/>
        </w:trPr>
        <w:tc>
          <w:tcPr>
            <w:tcW w:w="989" w:type="dxa"/>
          </w:tcPr>
          <w:p w14:paraId="7CD4F725" w14:textId="77777777" w:rsidR="00BB58C4" w:rsidRDefault="00000000">
            <w:pPr>
              <w:pStyle w:val="TableParagraph"/>
              <w:ind w:left="98" w:right="33"/>
              <w:rPr>
                <w:sz w:val="20"/>
              </w:rPr>
            </w:pPr>
            <w:r>
              <w:rPr>
                <w:spacing w:val="-5"/>
                <w:sz w:val="20"/>
              </w:rPr>
              <w:t>17.</w:t>
            </w:r>
          </w:p>
        </w:tc>
        <w:tc>
          <w:tcPr>
            <w:tcW w:w="1558" w:type="dxa"/>
          </w:tcPr>
          <w:p w14:paraId="111A3809" w14:textId="77777777" w:rsidR="00BB58C4" w:rsidRDefault="00000000">
            <w:pPr>
              <w:pStyle w:val="TableParagraph"/>
              <w:ind w:left="107"/>
              <w:jc w:val="left"/>
              <w:rPr>
                <w:sz w:val="20"/>
              </w:rPr>
            </w:pPr>
            <w:r>
              <w:rPr>
                <w:spacing w:val="-4"/>
                <w:sz w:val="20"/>
              </w:rPr>
              <w:t>BRMS</w:t>
            </w:r>
          </w:p>
        </w:tc>
        <w:tc>
          <w:tcPr>
            <w:tcW w:w="5382" w:type="dxa"/>
          </w:tcPr>
          <w:p w14:paraId="35E472D5" w14:textId="77777777" w:rsidR="00BB58C4" w:rsidRDefault="00000000">
            <w:pPr>
              <w:pStyle w:val="TableParagraph"/>
              <w:ind w:left="107"/>
              <w:jc w:val="left"/>
              <w:rPr>
                <w:sz w:val="20"/>
              </w:rPr>
            </w:pPr>
            <w:r>
              <w:rPr>
                <w:sz w:val="20"/>
              </w:rPr>
              <w:t>Bumi</w:t>
            </w:r>
            <w:r>
              <w:rPr>
                <w:spacing w:val="-9"/>
                <w:sz w:val="20"/>
              </w:rPr>
              <w:t xml:space="preserve"> </w:t>
            </w:r>
            <w:r>
              <w:rPr>
                <w:sz w:val="20"/>
              </w:rPr>
              <w:t>Resources</w:t>
            </w:r>
            <w:r>
              <w:rPr>
                <w:spacing w:val="-8"/>
                <w:sz w:val="20"/>
              </w:rPr>
              <w:t xml:space="preserve"> </w:t>
            </w:r>
            <w:r>
              <w:rPr>
                <w:sz w:val="20"/>
              </w:rPr>
              <w:t>Minerals</w:t>
            </w:r>
            <w:r>
              <w:rPr>
                <w:spacing w:val="-12"/>
                <w:sz w:val="20"/>
              </w:rPr>
              <w:t xml:space="preserve"> </w:t>
            </w:r>
            <w:r>
              <w:rPr>
                <w:spacing w:val="-5"/>
                <w:sz w:val="20"/>
              </w:rPr>
              <w:t>Tbk</w:t>
            </w:r>
          </w:p>
        </w:tc>
      </w:tr>
      <w:tr w:rsidR="00BB58C4" w14:paraId="1FB4A03E" w14:textId="77777777">
        <w:trPr>
          <w:trHeight w:val="230"/>
        </w:trPr>
        <w:tc>
          <w:tcPr>
            <w:tcW w:w="989" w:type="dxa"/>
          </w:tcPr>
          <w:p w14:paraId="25BF6D49" w14:textId="77777777" w:rsidR="00BB58C4" w:rsidRDefault="00000000">
            <w:pPr>
              <w:pStyle w:val="TableParagraph"/>
              <w:ind w:left="98" w:right="33"/>
              <w:rPr>
                <w:sz w:val="20"/>
              </w:rPr>
            </w:pPr>
            <w:r>
              <w:rPr>
                <w:spacing w:val="-5"/>
                <w:sz w:val="20"/>
              </w:rPr>
              <w:t>18.</w:t>
            </w:r>
          </w:p>
        </w:tc>
        <w:tc>
          <w:tcPr>
            <w:tcW w:w="1558" w:type="dxa"/>
          </w:tcPr>
          <w:p w14:paraId="3BD05174" w14:textId="77777777" w:rsidR="00BB58C4" w:rsidRDefault="00000000">
            <w:pPr>
              <w:pStyle w:val="TableParagraph"/>
              <w:ind w:left="107"/>
              <w:jc w:val="left"/>
              <w:rPr>
                <w:sz w:val="20"/>
              </w:rPr>
            </w:pPr>
            <w:r>
              <w:rPr>
                <w:spacing w:val="-4"/>
                <w:sz w:val="20"/>
              </w:rPr>
              <w:t>ANTM</w:t>
            </w:r>
          </w:p>
        </w:tc>
        <w:tc>
          <w:tcPr>
            <w:tcW w:w="5382" w:type="dxa"/>
          </w:tcPr>
          <w:p w14:paraId="41D19101" w14:textId="77777777" w:rsidR="00BB58C4" w:rsidRDefault="00000000">
            <w:pPr>
              <w:pStyle w:val="TableParagraph"/>
              <w:ind w:left="107"/>
              <w:jc w:val="left"/>
              <w:rPr>
                <w:sz w:val="20"/>
              </w:rPr>
            </w:pPr>
            <w:r>
              <w:rPr>
                <w:spacing w:val="-2"/>
                <w:sz w:val="20"/>
              </w:rPr>
              <w:t>Aneka</w:t>
            </w:r>
            <w:r>
              <w:rPr>
                <w:spacing w:val="-3"/>
                <w:sz w:val="20"/>
              </w:rPr>
              <w:t xml:space="preserve"> </w:t>
            </w:r>
            <w:r>
              <w:rPr>
                <w:spacing w:val="-2"/>
                <w:sz w:val="20"/>
              </w:rPr>
              <w:t>Tambang</w:t>
            </w:r>
            <w:r>
              <w:rPr>
                <w:spacing w:val="-3"/>
                <w:sz w:val="20"/>
              </w:rPr>
              <w:t xml:space="preserve"> </w:t>
            </w:r>
            <w:r>
              <w:rPr>
                <w:spacing w:val="-5"/>
                <w:sz w:val="20"/>
              </w:rPr>
              <w:t>Tbk</w:t>
            </w:r>
          </w:p>
        </w:tc>
      </w:tr>
      <w:tr w:rsidR="00BB58C4" w14:paraId="5A541750" w14:textId="77777777">
        <w:trPr>
          <w:trHeight w:val="230"/>
        </w:trPr>
        <w:tc>
          <w:tcPr>
            <w:tcW w:w="989" w:type="dxa"/>
          </w:tcPr>
          <w:p w14:paraId="6F742BEF" w14:textId="77777777" w:rsidR="00BB58C4" w:rsidRDefault="00000000">
            <w:pPr>
              <w:pStyle w:val="TableParagraph"/>
              <w:ind w:left="98" w:right="33"/>
              <w:rPr>
                <w:sz w:val="20"/>
              </w:rPr>
            </w:pPr>
            <w:r>
              <w:rPr>
                <w:spacing w:val="-5"/>
                <w:sz w:val="20"/>
              </w:rPr>
              <w:t>19.</w:t>
            </w:r>
          </w:p>
        </w:tc>
        <w:tc>
          <w:tcPr>
            <w:tcW w:w="1558" w:type="dxa"/>
          </w:tcPr>
          <w:p w14:paraId="56C65F9E" w14:textId="77777777" w:rsidR="00BB58C4" w:rsidRDefault="00000000">
            <w:pPr>
              <w:pStyle w:val="TableParagraph"/>
              <w:ind w:left="107"/>
              <w:jc w:val="left"/>
              <w:rPr>
                <w:sz w:val="20"/>
              </w:rPr>
            </w:pPr>
            <w:r>
              <w:rPr>
                <w:spacing w:val="-4"/>
                <w:sz w:val="20"/>
              </w:rPr>
              <w:t>MDKA</w:t>
            </w:r>
          </w:p>
        </w:tc>
        <w:tc>
          <w:tcPr>
            <w:tcW w:w="5382" w:type="dxa"/>
          </w:tcPr>
          <w:p w14:paraId="134F0A8A" w14:textId="77777777" w:rsidR="00BB58C4" w:rsidRDefault="00000000">
            <w:pPr>
              <w:pStyle w:val="TableParagraph"/>
              <w:ind w:left="107"/>
              <w:jc w:val="left"/>
              <w:rPr>
                <w:sz w:val="20"/>
              </w:rPr>
            </w:pPr>
            <w:r>
              <w:rPr>
                <w:sz w:val="20"/>
              </w:rPr>
              <w:t>Merdeka</w:t>
            </w:r>
            <w:r>
              <w:rPr>
                <w:spacing w:val="-5"/>
                <w:sz w:val="20"/>
              </w:rPr>
              <w:t xml:space="preserve"> </w:t>
            </w:r>
            <w:r>
              <w:rPr>
                <w:sz w:val="20"/>
              </w:rPr>
              <w:t>Copper</w:t>
            </w:r>
            <w:r>
              <w:rPr>
                <w:spacing w:val="-5"/>
                <w:sz w:val="20"/>
              </w:rPr>
              <w:t xml:space="preserve"> </w:t>
            </w:r>
            <w:r>
              <w:rPr>
                <w:sz w:val="20"/>
              </w:rPr>
              <w:t>Gold</w:t>
            </w:r>
            <w:r>
              <w:rPr>
                <w:spacing w:val="-8"/>
                <w:sz w:val="20"/>
              </w:rPr>
              <w:t xml:space="preserve"> </w:t>
            </w:r>
            <w:r>
              <w:rPr>
                <w:spacing w:val="-5"/>
                <w:sz w:val="20"/>
              </w:rPr>
              <w:t>Tbk</w:t>
            </w:r>
          </w:p>
        </w:tc>
      </w:tr>
      <w:tr w:rsidR="00BB58C4" w14:paraId="5D1C471A" w14:textId="77777777">
        <w:trPr>
          <w:trHeight w:val="230"/>
        </w:trPr>
        <w:tc>
          <w:tcPr>
            <w:tcW w:w="989" w:type="dxa"/>
          </w:tcPr>
          <w:p w14:paraId="670F4754" w14:textId="77777777" w:rsidR="00BB58C4" w:rsidRDefault="00000000">
            <w:pPr>
              <w:pStyle w:val="TableParagraph"/>
              <w:ind w:left="98" w:right="33"/>
              <w:rPr>
                <w:sz w:val="20"/>
              </w:rPr>
            </w:pPr>
            <w:r>
              <w:rPr>
                <w:spacing w:val="-5"/>
                <w:sz w:val="20"/>
              </w:rPr>
              <w:t>20.</w:t>
            </w:r>
          </w:p>
        </w:tc>
        <w:tc>
          <w:tcPr>
            <w:tcW w:w="1558" w:type="dxa"/>
          </w:tcPr>
          <w:p w14:paraId="5030579A" w14:textId="77777777" w:rsidR="00BB58C4" w:rsidRDefault="00000000">
            <w:pPr>
              <w:pStyle w:val="TableParagraph"/>
              <w:ind w:left="107"/>
              <w:jc w:val="left"/>
              <w:rPr>
                <w:sz w:val="20"/>
              </w:rPr>
            </w:pPr>
            <w:r>
              <w:rPr>
                <w:spacing w:val="-4"/>
                <w:sz w:val="20"/>
              </w:rPr>
              <w:t>INCO</w:t>
            </w:r>
          </w:p>
        </w:tc>
        <w:tc>
          <w:tcPr>
            <w:tcW w:w="5382" w:type="dxa"/>
          </w:tcPr>
          <w:p w14:paraId="699D92F9" w14:textId="77777777" w:rsidR="00BB58C4" w:rsidRDefault="00000000">
            <w:pPr>
              <w:pStyle w:val="TableParagraph"/>
              <w:ind w:left="107"/>
              <w:jc w:val="left"/>
              <w:rPr>
                <w:sz w:val="20"/>
              </w:rPr>
            </w:pPr>
            <w:r>
              <w:rPr>
                <w:spacing w:val="-2"/>
                <w:sz w:val="20"/>
              </w:rPr>
              <w:t>Vale</w:t>
            </w:r>
            <w:r>
              <w:rPr>
                <w:spacing w:val="-4"/>
                <w:sz w:val="20"/>
              </w:rPr>
              <w:t xml:space="preserve"> </w:t>
            </w:r>
            <w:r>
              <w:rPr>
                <w:spacing w:val="-2"/>
                <w:sz w:val="20"/>
              </w:rPr>
              <w:t>Indonesia</w:t>
            </w:r>
            <w:r>
              <w:rPr>
                <w:spacing w:val="-8"/>
                <w:sz w:val="20"/>
              </w:rPr>
              <w:t xml:space="preserve"> </w:t>
            </w:r>
            <w:r>
              <w:rPr>
                <w:spacing w:val="-5"/>
                <w:sz w:val="20"/>
              </w:rPr>
              <w:t>Tbk</w:t>
            </w:r>
          </w:p>
        </w:tc>
      </w:tr>
      <w:tr w:rsidR="00BB58C4" w14:paraId="4C98BE5D" w14:textId="77777777">
        <w:trPr>
          <w:trHeight w:val="230"/>
        </w:trPr>
        <w:tc>
          <w:tcPr>
            <w:tcW w:w="989" w:type="dxa"/>
          </w:tcPr>
          <w:p w14:paraId="20E098D3" w14:textId="77777777" w:rsidR="00BB58C4" w:rsidRDefault="00000000">
            <w:pPr>
              <w:pStyle w:val="TableParagraph"/>
              <w:ind w:left="98" w:right="33"/>
              <w:rPr>
                <w:sz w:val="20"/>
              </w:rPr>
            </w:pPr>
            <w:r>
              <w:rPr>
                <w:spacing w:val="-5"/>
                <w:sz w:val="20"/>
              </w:rPr>
              <w:t>21.</w:t>
            </w:r>
          </w:p>
        </w:tc>
        <w:tc>
          <w:tcPr>
            <w:tcW w:w="1558" w:type="dxa"/>
          </w:tcPr>
          <w:p w14:paraId="63538B1A" w14:textId="77777777" w:rsidR="00BB58C4" w:rsidRDefault="00000000">
            <w:pPr>
              <w:pStyle w:val="TableParagraph"/>
              <w:ind w:left="107"/>
              <w:jc w:val="left"/>
              <w:rPr>
                <w:sz w:val="20"/>
              </w:rPr>
            </w:pPr>
            <w:r>
              <w:rPr>
                <w:spacing w:val="-4"/>
                <w:sz w:val="20"/>
              </w:rPr>
              <w:t>CITA</w:t>
            </w:r>
          </w:p>
        </w:tc>
        <w:tc>
          <w:tcPr>
            <w:tcW w:w="5382" w:type="dxa"/>
          </w:tcPr>
          <w:p w14:paraId="170C43FB" w14:textId="77777777" w:rsidR="00BB58C4" w:rsidRDefault="00000000">
            <w:pPr>
              <w:pStyle w:val="TableParagraph"/>
              <w:ind w:left="107"/>
              <w:jc w:val="left"/>
              <w:rPr>
                <w:sz w:val="20"/>
              </w:rPr>
            </w:pPr>
            <w:r>
              <w:rPr>
                <w:sz w:val="20"/>
              </w:rPr>
              <w:t>Cita</w:t>
            </w:r>
            <w:r>
              <w:rPr>
                <w:spacing w:val="-5"/>
                <w:sz w:val="20"/>
              </w:rPr>
              <w:t xml:space="preserve"> </w:t>
            </w:r>
            <w:r>
              <w:rPr>
                <w:sz w:val="20"/>
              </w:rPr>
              <w:t>Mineral</w:t>
            </w:r>
            <w:r>
              <w:rPr>
                <w:spacing w:val="-5"/>
                <w:sz w:val="20"/>
              </w:rPr>
              <w:t xml:space="preserve"> </w:t>
            </w:r>
            <w:r>
              <w:rPr>
                <w:sz w:val="20"/>
              </w:rPr>
              <w:t>Investindo</w:t>
            </w:r>
            <w:r>
              <w:rPr>
                <w:spacing w:val="-9"/>
                <w:sz w:val="20"/>
              </w:rPr>
              <w:t xml:space="preserve"> </w:t>
            </w:r>
            <w:r>
              <w:rPr>
                <w:spacing w:val="-5"/>
                <w:sz w:val="20"/>
              </w:rPr>
              <w:t>Tbk</w:t>
            </w:r>
          </w:p>
        </w:tc>
      </w:tr>
      <w:tr w:rsidR="00BB58C4" w14:paraId="0E69177B" w14:textId="77777777">
        <w:trPr>
          <w:trHeight w:val="230"/>
        </w:trPr>
        <w:tc>
          <w:tcPr>
            <w:tcW w:w="989" w:type="dxa"/>
          </w:tcPr>
          <w:p w14:paraId="1ACBC8E2" w14:textId="77777777" w:rsidR="00BB58C4" w:rsidRDefault="00000000">
            <w:pPr>
              <w:pStyle w:val="TableParagraph"/>
              <w:ind w:left="98" w:right="33"/>
              <w:rPr>
                <w:sz w:val="20"/>
              </w:rPr>
            </w:pPr>
            <w:r>
              <w:rPr>
                <w:spacing w:val="-5"/>
                <w:sz w:val="20"/>
              </w:rPr>
              <w:t>22.</w:t>
            </w:r>
          </w:p>
        </w:tc>
        <w:tc>
          <w:tcPr>
            <w:tcW w:w="1558" w:type="dxa"/>
          </w:tcPr>
          <w:p w14:paraId="16E64A70" w14:textId="77777777" w:rsidR="00BB58C4" w:rsidRDefault="00000000">
            <w:pPr>
              <w:pStyle w:val="TableParagraph"/>
              <w:ind w:left="107"/>
              <w:jc w:val="left"/>
              <w:rPr>
                <w:sz w:val="20"/>
              </w:rPr>
            </w:pPr>
            <w:r>
              <w:rPr>
                <w:spacing w:val="-4"/>
                <w:sz w:val="20"/>
              </w:rPr>
              <w:t>IFSH</w:t>
            </w:r>
          </w:p>
        </w:tc>
        <w:tc>
          <w:tcPr>
            <w:tcW w:w="5382" w:type="dxa"/>
          </w:tcPr>
          <w:p w14:paraId="1BC27757" w14:textId="77777777" w:rsidR="00BB58C4" w:rsidRDefault="00000000">
            <w:pPr>
              <w:pStyle w:val="TableParagraph"/>
              <w:ind w:left="107"/>
              <w:jc w:val="left"/>
              <w:rPr>
                <w:sz w:val="20"/>
              </w:rPr>
            </w:pPr>
            <w:r>
              <w:rPr>
                <w:sz w:val="20"/>
              </w:rPr>
              <w:t>Ifishdeco</w:t>
            </w:r>
            <w:r>
              <w:rPr>
                <w:spacing w:val="-12"/>
                <w:sz w:val="20"/>
              </w:rPr>
              <w:t xml:space="preserve"> </w:t>
            </w:r>
            <w:r>
              <w:rPr>
                <w:spacing w:val="-5"/>
                <w:sz w:val="20"/>
              </w:rPr>
              <w:t>Tbk</w:t>
            </w:r>
          </w:p>
        </w:tc>
      </w:tr>
      <w:tr w:rsidR="00BB58C4" w14:paraId="7E37CA73" w14:textId="77777777">
        <w:trPr>
          <w:trHeight w:val="230"/>
        </w:trPr>
        <w:tc>
          <w:tcPr>
            <w:tcW w:w="989" w:type="dxa"/>
          </w:tcPr>
          <w:p w14:paraId="70B6791C" w14:textId="77777777" w:rsidR="00BB58C4" w:rsidRDefault="00000000">
            <w:pPr>
              <w:pStyle w:val="TableParagraph"/>
              <w:ind w:left="98" w:right="33"/>
              <w:rPr>
                <w:sz w:val="20"/>
              </w:rPr>
            </w:pPr>
            <w:r>
              <w:rPr>
                <w:spacing w:val="-5"/>
                <w:sz w:val="20"/>
              </w:rPr>
              <w:t>23.</w:t>
            </w:r>
          </w:p>
        </w:tc>
        <w:tc>
          <w:tcPr>
            <w:tcW w:w="1558" w:type="dxa"/>
          </w:tcPr>
          <w:p w14:paraId="2351268D" w14:textId="77777777" w:rsidR="00BB58C4" w:rsidRDefault="00000000">
            <w:pPr>
              <w:pStyle w:val="TableParagraph"/>
              <w:ind w:left="107"/>
              <w:jc w:val="left"/>
              <w:rPr>
                <w:sz w:val="20"/>
              </w:rPr>
            </w:pPr>
            <w:r>
              <w:rPr>
                <w:spacing w:val="-4"/>
                <w:sz w:val="20"/>
              </w:rPr>
              <w:t>UNTR</w:t>
            </w:r>
          </w:p>
        </w:tc>
        <w:tc>
          <w:tcPr>
            <w:tcW w:w="5382" w:type="dxa"/>
          </w:tcPr>
          <w:p w14:paraId="7B40C0F7" w14:textId="77777777" w:rsidR="00BB58C4" w:rsidRDefault="00000000">
            <w:pPr>
              <w:pStyle w:val="TableParagraph"/>
              <w:ind w:left="107"/>
              <w:jc w:val="left"/>
              <w:rPr>
                <w:sz w:val="20"/>
              </w:rPr>
            </w:pPr>
            <w:r>
              <w:rPr>
                <w:spacing w:val="-2"/>
                <w:sz w:val="20"/>
              </w:rPr>
              <w:t>United</w:t>
            </w:r>
            <w:r>
              <w:rPr>
                <w:spacing w:val="1"/>
                <w:sz w:val="20"/>
              </w:rPr>
              <w:t xml:space="preserve"> </w:t>
            </w:r>
            <w:r>
              <w:rPr>
                <w:spacing w:val="-2"/>
                <w:sz w:val="20"/>
              </w:rPr>
              <w:t xml:space="preserve">Tractors </w:t>
            </w:r>
            <w:r>
              <w:rPr>
                <w:spacing w:val="-5"/>
                <w:sz w:val="20"/>
              </w:rPr>
              <w:t>Tbk</w:t>
            </w:r>
          </w:p>
        </w:tc>
      </w:tr>
      <w:tr w:rsidR="00BB58C4" w14:paraId="2E98A95E" w14:textId="77777777">
        <w:trPr>
          <w:trHeight w:val="230"/>
        </w:trPr>
        <w:tc>
          <w:tcPr>
            <w:tcW w:w="989" w:type="dxa"/>
          </w:tcPr>
          <w:p w14:paraId="3D5E8E65" w14:textId="77777777" w:rsidR="00BB58C4" w:rsidRDefault="00000000">
            <w:pPr>
              <w:pStyle w:val="TableParagraph"/>
              <w:ind w:left="98" w:right="33"/>
              <w:rPr>
                <w:sz w:val="20"/>
              </w:rPr>
            </w:pPr>
            <w:r>
              <w:rPr>
                <w:spacing w:val="-5"/>
                <w:sz w:val="20"/>
              </w:rPr>
              <w:t>24.</w:t>
            </w:r>
          </w:p>
        </w:tc>
        <w:tc>
          <w:tcPr>
            <w:tcW w:w="1558" w:type="dxa"/>
          </w:tcPr>
          <w:p w14:paraId="6F8992D4" w14:textId="77777777" w:rsidR="00BB58C4" w:rsidRDefault="00000000">
            <w:pPr>
              <w:pStyle w:val="TableParagraph"/>
              <w:ind w:left="107"/>
              <w:jc w:val="left"/>
              <w:rPr>
                <w:sz w:val="20"/>
              </w:rPr>
            </w:pPr>
            <w:r>
              <w:rPr>
                <w:spacing w:val="-4"/>
                <w:sz w:val="20"/>
              </w:rPr>
              <w:t>ENRG</w:t>
            </w:r>
          </w:p>
        </w:tc>
        <w:tc>
          <w:tcPr>
            <w:tcW w:w="5382" w:type="dxa"/>
          </w:tcPr>
          <w:p w14:paraId="0BD2BC90" w14:textId="77777777" w:rsidR="00BB58C4" w:rsidRDefault="00000000">
            <w:pPr>
              <w:pStyle w:val="TableParagraph"/>
              <w:ind w:left="107"/>
              <w:jc w:val="left"/>
              <w:rPr>
                <w:sz w:val="20"/>
              </w:rPr>
            </w:pPr>
            <w:r>
              <w:rPr>
                <w:sz w:val="20"/>
              </w:rPr>
              <w:t>Energi</w:t>
            </w:r>
            <w:r>
              <w:rPr>
                <w:spacing w:val="-7"/>
                <w:sz w:val="20"/>
              </w:rPr>
              <w:t xml:space="preserve"> </w:t>
            </w:r>
            <w:r>
              <w:rPr>
                <w:sz w:val="20"/>
              </w:rPr>
              <w:t>Mega</w:t>
            </w:r>
            <w:r>
              <w:rPr>
                <w:spacing w:val="-6"/>
                <w:sz w:val="20"/>
              </w:rPr>
              <w:t xml:space="preserve"> </w:t>
            </w:r>
            <w:r>
              <w:rPr>
                <w:sz w:val="20"/>
              </w:rPr>
              <w:t>Persada</w:t>
            </w:r>
            <w:r>
              <w:rPr>
                <w:spacing w:val="-10"/>
                <w:sz w:val="20"/>
              </w:rPr>
              <w:t xml:space="preserve"> </w:t>
            </w:r>
            <w:r>
              <w:rPr>
                <w:spacing w:val="-5"/>
                <w:sz w:val="20"/>
              </w:rPr>
              <w:t>Tbk</w:t>
            </w:r>
          </w:p>
        </w:tc>
      </w:tr>
      <w:tr w:rsidR="00BB58C4" w14:paraId="518D86E2" w14:textId="77777777">
        <w:trPr>
          <w:trHeight w:val="230"/>
        </w:trPr>
        <w:tc>
          <w:tcPr>
            <w:tcW w:w="989" w:type="dxa"/>
          </w:tcPr>
          <w:p w14:paraId="31A658CF" w14:textId="77777777" w:rsidR="00BB58C4" w:rsidRDefault="00000000">
            <w:pPr>
              <w:pStyle w:val="TableParagraph"/>
              <w:ind w:left="98" w:right="33"/>
              <w:rPr>
                <w:sz w:val="20"/>
              </w:rPr>
            </w:pPr>
            <w:r>
              <w:rPr>
                <w:spacing w:val="-5"/>
                <w:sz w:val="20"/>
              </w:rPr>
              <w:t>25.</w:t>
            </w:r>
          </w:p>
        </w:tc>
        <w:tc>
          <w:tcPr>
            <w:tcW w:w="1558" w:type="dxa"/>
          </w:tcPr>
          <w:p w14:paraId="55A9D8FC" w14:textId="77777777" w:rsidR="00BB58C4" w:rsidRDefault="00000000">
            <w:pPr>
              <w:pStyle w:val="TableParagraph"/>
              <w:ind w:left="107"/>
              <w:jc w:val="left"/>
              <w:rPr>
                <w:sz w:val="20"/>
              </w:rPr>
            </w:pPr>
            <w:r>
              <w:rPr>
                <w:spacing w:val="-4"/>
                <w:sz w:val="20"/>
              </w:rPr>
              <w:t>SGER</w:t>
            </w:r>
          </w:p>
        </w:tc>
        <w:tc>
          <w:tcPr>
            <w:tcW w:w="5382" w:type="dxa"/>
          </w:tcPr>
          <w:p w14:paraId="6FF628F1" w14:textId="77777777" w:rsidR="00BB58C4" w:rsidRDefault="00000000">
            <w:pPr>
              <w:pStyle w:val="TableParagraph"/>
              <w:ind w:left="107"/>
              <w:jc w:val="left"/>
              <w:rPr>
                <w:sz w:val="20"/>
              </w:rPr>
            </w:pPr>
            <w:r>
              <w:rPr>
                <w:sz w:val="20"/>
              </w:rPr>
              <w:t>Sumber</w:t>
            </w:r>
            <w:r>
              <w:rPr>
                <w:spacing w:val="-5"/>
                <w:sz w:val="20"/>
              </w:rPr>
              <w:t xml:space="preserve"> </w:t>
            </w:r>
            <w:r>
              <w:rPr>
                <w:spacing w:val="-2"/>
                <w:sz w:val="20"/>
              </w:rPr>
              <w:t>Global</w:t>
            </w:r>
          </w:p>
        </w:tc>
      </w:tr>
    </w:tbl>
    <w:p w14:paraId="3D7C6425" w14:textId="77777777" w:rsidR="00BB58C4" w:rsidRDefault="00BB58C4">
      <w:pPr>
        <w:spacing w:line="276" w:lineRule="auto"/>
        <w:jc w:val="both"/>
        <w:rPr>
          <w:rFonts w:ascii="Times New Roman" w:hAnsi="Times New Roman" w:cs="Times New Roman"/>
          <w:b/>
          <w:bCs/>
          <w:sz w:val="24"/>
          <w:szCs w:val="24"/>
        </w:rPr>
      </w:pPr>
    </w:p>
    <w:p w14:paraId="681AA353" w14:textId="00956B0F" w:rsidR="00BB58C4" w:rsidRDefault="00000000">
      <w:pPr>
        <w:pStyle w:val="Caption"/>
        <w:rPr>
          <w:rFonts w:eastAsia="Times New Roman" w:cs="Times New Roman"/>
          <w:kern w:val="0"/>
          <w:lang w:val="id"/>
          <w14:ligatures w14:val="none"/>
        </w:rPr>
      </w:pPr>
      <w:bookmarkStart w:id="201" w:name="_Toc210632775"/>
      <w:r>
        <w:t xml:space="preserve">Lampiran </w:t>
      </w:r>
      <w:r>
        <w:fldChar w:fldCharType="begin"/>
      </w:r>
      <w:r>
        <w:instrText xml:space="preserve"> SEQ Lampiran \* ARABIC </w:instrText>
      </w:r>
      <w:r>
        <w:fldChar w:fldCharType="separate"/>
      </w:r>
      <w:r w:rsidR="00DB7568">
        <w:rPr>
          <w:noProof/>
        </w:rPr>
        <w:t>2</w:t>
      </w:r>
      <w:r>
        <w:fldChar w:fldCharType="end"/>
      </w:r>
      <w:r>
        <w:rPr>
          <w:rFonts w:eastAsia="Times New Roman" w:cs="Times New Roman"/>
          <w:kern w:val="0"/>
          <w:lang w:val="id"/>
          <w14:ligatures w14:val="none"/>
        </w:rPr>
        <w:t>:</w:t>
      </w:r>
      <w:r>
        <w:rPr>
          <w:rFonts w:eastAsia="Times New Roman" w:cs="Times New Roman"/>
          <w:spacing w:val="-9"/>
          <w:kern w:val="0"/>
          <w:lang w:val="id"/>
          <w14:ligatures w14:val="none"/>
        </w:rPr>
        <w:t xml:space="preserve"> </w:t>
      </w:r>
      <w:r>
        <w:rPr>
          <w:rFonts w:eastAsia="Times New Roman" w:cs="Times New Roman"/>
          <w:kern w:val="0"/>
          <w:lang w:val="id"/>
          <w14:ligatures w14:val="none"/>
        </w:rPr>
        <w:t>Hasil</w:t>
      </w:r>
      <w:r>
        <w:rPr>
          <w:rFonts w:eastAsia="Times New Roman" w:cs="Times New Roman"/>
          <w:spacing w:val="-12"/>
          <w:kern w:val="0"/>
          <w:lang w:val="id"/>
          <w14:ligatures w14:val="none"/>
        </w:rPr>
        <w:t xml:space="preserve"> </w:t>
      </w:r>
      <w:r>
        <w:rPr>
          <w:rFonts w:eastAsia="Times New Roman" w:cs="Times New Roman"/>
          <w:kern w:val="0"/>
          <w:lang w:val="id"/>
          <w14:ligatures w14:val="none"/>
        </w:rPr>
        <w:t>Tabulasi</w:t>
      </w:r>
      <w:r>
        <w:rPr>
          <w:rFonts w:eastAsia="Times New Roman" w:cs="Times New Roman"/>
          <w:spacing w:val="-7"/>
          <w:kern w:val="0"/>
          <w:lang w:val="id"/>
          <w14:ligatures w14:val="none"/>
        </w:rPr>
        <w:t xml:space="preserve"> </w:t>
      </w:r>
      <w:r>
        <w:rPr>
          <w:rFonts w:eastAsia="Times New Roman" w:cs="Times New Roman"/>
          <w:kern w:val="0"/>
          <w:lang w:val="id"/>
          <w14:ligatures w14:val="none"/>
        </w:rPr>
        <w:t>Perhitungan</w:t>
      </w:r>
      <w:r>
        <w:rPr>
          <w:rFonts w:eastAsia="Times New Roman" w:cs="Times New Roman"/>
          <w:spacing w:val="-8"/>
          <w:kern w:val="0"/>
          <w:lang w:val="id"/>
          <w14:ligatures w14:val="none"/>
        </w:rPr>
        <w:t xml:space="preserve"> </w:t>
      </w:r>
      <w:r>
        <w:rPr>
          <w:rFonts w:eastAsia="Times New Roman" w:cs="Times New Roman"/>
          <w:kern w:val="0"/>
          <w:lang w:val="id"/>
          <w14:ligatures w14:val="none"/>
        </w:rPr>
        <w:t>Data</w:t>
      </w:r>
      <w:r>
        <w:rPr>
          <w:rFonts w:eastAsia="Times New Roman" w:cs="Times New Roman"/>
          <w:spacing w:val="-8"/>
          <w:kern w:val="0"/>
          <w:lang w:val="id"/>
          <w14:ligatures w14:val="none"/>
        </w:rPr>
        <w:t xml:space="preserve"> </w:t>
      </w:r>
      <w:r>
        <w:rPr>
          <w:rFonts w:eastAsia="Times New Roman" w:cs="Times New Roman"/>
          <w:kern w:val="0"/>
          <w:lang w:val="id"/>
          <w14:ligatures w14:val="none"/>
        </w:rPr>
        <w:t>Sampel</w:t>
      </w:r>
      <w:r>
        <w:rPr>
          <w:rFonts w:eastAsia="Times New Roman" w:cs="Times New Roman"/>
          <w:spacing w:val="-7"/>
          <w:kern w:val="0"/>
          <w:lang w:val="id"/>
          <w14:ligatures w14:val="none"/>
        </w:rPr>
        <w:t xml:space="preserve"> </w:t>
      </w:r>
      <w:r>
        <w:rPr>
          <w:rFonts w:eastAsia="Times New Roman" w:cs="Times New Roman"/>
          <w:spacing w:val="-2"/>
          <w:kern w:val="0"/>
          <w:lang w:val="id"/>
          <w14:ligatures w14:val="none"/>
        </w:rPr>
        <w:t>Penelitian</w:t>
      </w:r>
      <w:bookmarkEnd w:id="201"/>
    </w:p>
    <w:tbl>
      <w:tblPr>
        <w:tblW w:w="79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4"/>
        <w:gridCol w:w="992"/>
        <w:gridCol w:w="1354"/>
        <w:gridCol w:w="1242"/>
        <w:gridCol w:w="1446"/>
        <w:gridCol w:w="1485"/>
      </w:tblGrid>
      <w:tr w:rsidR="00BB58C4" w14:paraId="4AB48589" w14:textId="77777777">
        <w:trPr>
          <w:trHeight w:val="460"/>
        </w:trPr>
        <w:tc>
          <w:tcPr>
            <w:tcW w:w="1414" w:type="dxa"/>
          </w:tcPr>
          <w:p w14:paraId="60F896B8" w14:textId="77777777" w:rsidR="00BB58C4" w:rsidRDefault="00000000">
            <w:pPr>
              <w:widowControl w:val="0"/>
              <w:autoSpaceDE w:val="0"/>
              <w:autoSpaceDN w:val="0"/>
              <w:spacing w:after="0" w:line="240" w:lineRule="auto"/>
              <w:ind w:left="8" w:right="2"/>
              <w:jc w:val="center"/>
              <w:rPr>
                <w:rFonts w:ascii="Times New Roman" w:eastAsia="Times New Roman" w:hAnsi="Times New Roman" w:cs="Times New Roman"/>
                <w:b/>
                <w:kern w:val="0"/>
                <w:sz w:val="20"/>
                <w:lang w:val="id"/>
                <w14:ligatures w14:val="none"/>
              </w:rPr>
            </w:pPr>
            <w:r>
              <w:rPr>
                <w:rFonts w:ascii="Times New Roman" w:eastAsia="Times New Roman" w:hAnsi="Times New Roman" w:cs="Times New Roman"/>
                <w:b/>
                <w:spacing w:val="-4"/>
                <w:kern w:val="0"/>
                <w:sz w:val="20"/>
                <w:lang w:val="id"/>
                <w14:ligatures w14:val="none"/>
              </w:rPr>
              <w:t>Kode</w:t>
            </w:r>
          </w:p>
          <w:p w14:paraId="3BBAFC71"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b/>
                <w:kern w:val="0"/>
                <w:sz w:val="20"/>
                <w:lang w:val="id"/>
                <w14:ligatures w14:val="none"/>
              </w:rPr>
            </w:pPr>
            <w:r>
              <w:rPr>
                <w:rFonts w:ascii="Times New Roman" w:eastAsia="Times New Roman" w:hAnsi="Times New Roman" w:cs="Times New Roman"/>
                <w:b/>
                <w:spacing w:val="-2"/>
                <w:kern w:val="0"/>
                <w:sz w:val="20"/>
                <w:lang w:val="id"/>
                <w14:ligatures w14:val="none"/>
              </w:rPr>
              <w:t>Perusahaan</w:t>
            </w:r>
          </w:p>
        </w:tc>
        <w:tc>
          <w:tcPr>
            <w:tcW w:w="992" w:type="dxa"/>
          </w:tcPr>
          <w:p w14:paraId="0F734E99" w14:textId="77777777" w:rsidR="00BB58C4" w:rsidRDefault="00000000">
            <w:pPr>
              <w:widowControl w:val="0"/>
              <w:autoSpaceDE w:val="0"/>
              <w:autoSpaceDN w:val="0"/>
              <w:spacing w:before="115" w:after="0" w:line="240" w:lineRule="auto"/>
              <w:ind w:left="11" w:right="3"/>
              <w:jc w:val="center"/>
              <w:rPr>
                <w:rFonts w:ascii="Times New Roman" w:eastAsia="Times New Roman" w:hAnsi="Times New Roman" w:cs="Times New Roman"/>
                <w:b/>
                <w:kern w:val="0"/>
                <w:sz w:val="20"/>
                <w:lang w:val="id"/>
                <w14:ligatures w14:val="none"/>
              </w:rPr>
            </w:pPr>
            <w:r>
              <w:rPr>
                <w:rFonts w:ascii="Times New Roman" w:eastAsia="Times New Roman" w:hAnsi="Times New Roman" w:cs="Times New Roman"/>
                <w:b/>
                <w:spacing w:val="-2"/>
                <w:kern w:val="0"/>
                <w:sz w:val="20"/>
                <w:lang w:val="id"/>
                <w14:ligatures w14:val="none"/>
              </w:rPr>
              <w:t>Periode</w:t>
            </w:r>
          </w:p>
        </w:tc>
        <w:tc>
          <w:tcPr>
            <w:tcW w:w="1354" w:type="dxa"/>
          </w:tcPr>
          <w:p w14:paraId="559B0B5D" w14:textId="77777777" w:rsidR="00BB58C4" w:rsidRDefault="00000000">
            <w:pPr>
              <w:widowControl w:val="0"/>
              <w:autoSpaceDE w:val="0"/>
              <w:autoSpaceDN w:val="0"/>
              <w:spacing w:after="0" w:line="230" w:lineRule="atLeast"/>
              <w:ind w:left="368" w:right="300" w:hanging="51"/>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2"/>
                <w:kern w:val="0"/>
                <w:sz w:val="20"/>
                <w:lang w:val="id"/>
                <w14:ligatures w14:val="none"/>
              </w:rPr>
              <w:t>Transfer Pricing</w:t>
            </w:r>
          </w:p>
        </w:tc>
        <w:tc>
          <w:tcPr>
            <w:tcW w:w="1242" w:type="dxa"/>
          </w:tcPr>
          <w:p w14:paraId="380FC913" w14:textId="77777777" w:rsidR="00BB58C4" w:rsidRDefault="00000000">
            <w:pPr>
              <w:widowControl w:val="0"/>
              <w:autoSpaceDE w:val="0"/>
              <w:autoSpaceDN w:val="0"/>
              <w:spacing w:before="115" w:after="0" w:line="240" w:lineRule="auto"/>
              <w:ind w:left="5"/>
              <w:jc w:val="center"/>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4"/>
                <w:kern w:val="0"/>
                <w:sz w:val="20"/>
                <w:lang w:val="id"/>
                <w14:ligatures w14:val="none"/>
              </w:rPr>
              <w:t>Tax</w:t>
            </w:r>
            <w:r>
              <w:rPr>
                <w:rFonts w:ascii="Times New Roman" w:eastAsia="Times New Roman" w:hAnsi="Times New Roman" w:cs="Times New Roman"/>
                <w:b/>
                <w:i/>
                <w:spacing w:val="-9"/>
                <w:kern w:val="0"/>
                <w:sz w:val="20"/>
                <w:lang w:val="id"/>
                <w14:ligatures w14:val="none"/>
              </w:rPr>
              <w:t xml:space="preserve"> </w:t>
            </w:r>
            <w:r>
              <w:rPr>
                <w:rFonts w:ascii="Times New Roman" w:eastAsia="Times New Roman" w:hAnsi="Times New Roman" w:cs="Times New Roman"/>
                <w:b/>
                <w:i/>
                <w:spacing w:val="-4"/>
                <w:kern w:val="0"/>
                <w:sz w:val="20"/>
                <w:lang w:val="id"/>
                <w14:ligatures w14:val="none"/>
              </w:rPr>
              <w:t>Haven</w:t>
            </w:r>
          </w:p>
        </w:tc>
        <w:tc>
          <w:tcPr>
            <w:tcW w:w="1446" w:type="dxa"/>
          </w:tcPr>
          <w:p w14:paraId="50A1B305" w14:textId="77777777" w:rsidR="00BB58C4" w:rsidRDefault="00000000">
            <w:pPr>
              <w:widowControl w:val="0"/>
              <w:autoSpaceDE w:val="0"/>
              <w:autoSpaceDN w:val="0"/>
              <w:spacing w:after="0" w:line="230" w:lineRule="atLeast"/>
              <w:ind w:left="501" w:hanging="209"/>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2"/>
                <w:kern w:val="0"/>
                <w:sz w:val="20"/>
                <w:lang w:val="id"/>
                <w14:ligatures w14:val="none"/>
              </w:rPr>
              <w:t>Intangible Asset</w:t>
            </w:r>
          </w:p>
        </w:tc>
        <w:tc>
          <w:tcPr>
            <w:tcW w:w="1485" w:type="dxa"/>
          </w:tcPr>
          <w:p w14:paraId="665DADD7" w14:textId="77777777" w:rsidR="00BB58C4" w:rsidRDefault="00000000">
            <w:pPr>
              <w:widowControl w:val="0"/>
              <w:autoSpaceDE w:val="0"/>
              <w:autoSpaceDN w:val="0"/>
              <w:spacing w:after="0" w:line="240" w:lineRule="auto"/>
              <w:ind w:left="3" w:right="3"/>
              <w:jc w:val="center"/>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5"/>
                <w:kern w:val="0"/>
                <w:sz w:val="20"/>
                <w:lang w:val="id"/>
                <w14:ligatures w14:val="none"/>
              </w:rPr>
              <w:t>Tax</w:t>
            </w:r>
          </w:p>
          <w:p w14:paraId="32E307F1" w14:textId="77777777" w:rsidR="00BB58C4" w:rsidRDefault="00000000">
            <w:pPr>
              <w:widowControl w:val="0"/>
              <w:autoSpaceDE w:val="0"/>
              <w:autoSpaceDN w:val="0"/>
              <w:spacing w:after="0" w:line="210" w:lineRule="exact"/>
              <w:ind w:left="3" w:right="3"/>
              <w:jc w:val="center"/>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2"/>
                <w:kern w:val="0"/>
                <w:sz w:val="20"/>
                <w:lang w:val="id"/>
                <w14:ligatures w14:val="none"/>
              </w:rPr>
              <w:t>Minimization</w:t>
            </w:r>
          </w:p>
        </w:tc>
      </w:tr>
      <w:tr w:rsidR="00BB58C4" w14:paraId="358E1A75" w14:textId="77777777">
        <w:trPr>
          <w:trHeight w:val="230"/>
        </w:trPr>
        <w:tc>
          <w:tcPr>
            <w:tcW w:w="1414" w:type="dxa"/>
          </w:tcPr>
          <w:p w14:paraId="0A73C292"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BYAN</w:t>
            </w:r>
          </w:p>
        </w:tc>
        <w:tc>
          <w:tcPr>
            <w:tcW w:w="992" w:type="dxa"/>
          </w:tcPr>
          <w:p w14:paraId="15FC20CD"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4" w:type="dxa"/>
          </w:tcPr>
          <w:p w14:paraId="04831013"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70,395</w:t>
            </w:r>
          </w:p>
        </w:tc>
        <w:tc>
          <w:tcPr>
            <w:tcW w:w="1242" w:type="dxa"/>
          </w:tcPr>
          <w:p w14:paraId="330C53D6"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7AF915A6"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0,530</w:t>
            </w:r>
          </w:p>
        </w:tc>
        <w:tc>
          <w:tcPr>
            <w:tcW w:w="1485" w:type="dxa"/>
          </w:tcPr>
          <w:p w14:paraId="40C08A80"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1,802</w:t>
            </w:r>
          </w:p>
        </w:tc>
      </w:tr>
      <w:tr w:rsidR="00BB58C4" w14:paraId="0F2F4BD9" w14:textId="77777777">
        <w:trPr>
          <w:trHeight w:val="230"/>
        </w:trPr>
        <w:tc>
          <w:tcPr>
            <w:tcW w:w="1414" w:type="dxa"/>
          </w:tcPr>
          <w:p w14:paraId="2799B8B2"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BYAN</w:t>
            </w:r>
          </w:p>
        </w:tc>
        <w:tc>
          <w:tcPr>
            <w:tcW w:w="992" w:type="dxa"/>
          </w:tcPr>
          <w:p w14:paraId="4F4F555C"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4" w:type="dxa"/>
          </w:tcPr>
          <w:p w14:paraId="318A9C50"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149,778</w:t>
            </w:r>
          </w:p>
        </w:tc>
        <w:tc>
          <w:tcPr>
            <w:tcW w:w="1242" w:type="dxa"/>
          </w:tcPr>
          <w:p w14:paraId="2D9B8680"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4283A362"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0,305</w:t>
            </w:r>
          </w:p>
        </w:tc>
        <w:tc>
          <w:tcPr>
            <w:tcW w:w="1485" w:type="dxa"/>
          </w:tcPr>
          <w:p w14:paraId="4F1FB9FF"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9,924</w:t>
            </w:r>
          </w:p>
        </w:tc>
      </w:tr>
      <w:tr w:rsidR="00BB58C4" w14:paraId="65C24114" w14:textId="77777777">
        <w:trPr>
          <w:trHeight w:val="230"/>
        </w:trPr>
        <w:tc>
          <w:tcPr>
            <w:tcW w:w="1414" w:type="dxa"/>
          </w:tcPr>
          <w:p w14:paraId="247D8000"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BYAN</w:t>
            </w:r>
          </w:p>
        </w:tc>
        <w:tc>
          <w:tcPr>
            <w:tcW w:w="992" w:type="dxa"/>
          </w:tcPr>
          <w:p w14:paraId="7DA4545E"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4" w:type="dxa"/>
          </w:tcPr>
          <w:p w14:paraId="24458838"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45,392</w:t>
            </w:r>
          </w:p>
        </w:tc>
        <w:tc>
          <w:tcPr>
            <w:tcW w:w="1242" w:type="dxa"/>
          </w:tcPr>
          <w:p w14:paraId="1A879FBE"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6007F5DE"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1,241</w:t>
            </w:r>
          </w:p>
        </w:tc>
        <w:tc>
          <w:tcPr>
            <w:tcW w:w="1485" w:type="dxa"/>
          </w:tcPr>
          <w:p w14:paraId="2C70282E"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0,466</w:t>
            </w:r>
          </w:p>
        </w:tc>
      </w:tr>
      <w:tr w:rsidR="00BB58C4" w14:paraId="7739FE5D" w14:textId="77777777">
        <w:trPr>
          <w:trHeight w:val="230"/>
        </w:trPr>
        <w:tc>
          <w:tcPr>
            <w:tcW w:w="1414" w:type="dxa"/>
          </w:tcPr>
          <w:p w14:paraId="68478A55"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BYAN</w:t>
            </w:r>
          </w:p>
        </w:tc>
        <w:tc>
          <w:tcPr>
            <w:tcW w:w="992" w:type="dxa"/>
          </w:tcPr>
          <w:p w14:paraId="1B92D891"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4" w:type="dxa"/>
          </w:tcPr>
          <w:p w14:paraId="6B8AE58D"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46,971</w:t>
            </w:r>
          </w:p>
        </w:tc>
        <w:tc>
          <w:tcPr>
            <w:tcW w:w="1242" w:type="dxa"/>
          </w:tcPr>
          <w:p w14:paraId="4A9538E0"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59B3BD85"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0,395</w:t>
            </w:r>
          </w:p>
        </w:tc>
        <w:tc>
          <w:tcPr>
            <w:tcW w:w="1485" w:type="dxa"/>
          </w:tcPr>
          <w:p w14:paraId="5F7A707B"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1.168</w:t>
            </w:r>
          </w:p>
        </w:tc>
      </w:tr>
      <w:tr w:rsidR="00BB58C4" w14:paraId="1D299A67" w14:textId="77777777">
        <w:trPr>
          <w:trHeight w:val="230"/>
        </w:trPr>
        <w:tc>
          <w:tcPr>
            <w:tcW w:w="1414" w:type="dxa"/>
          </w:tcPr>
          <w:p w14:paraId="06E03445"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BYAN</w:t>
            </w:r>
          </w:p>
        </w:tc>
        <w:tc>
          <w:tcPr>
            <w:tcW w:w="992" w:type="dxa"/>
          </w:tcPr>
          <w:p w14:paraId="6241DF8E"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4" w:type="dxa"/>
          </w:tcPr>
          <w:p w14:paraId="142A3609"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46,594</w:t>
            </w:r>
          </w:p>
        </w:tc>
        <w:tc>
          <w:tcPr>
            <w:tcW w:w="1242" w:type="dxa"/>
          </w:tcPr>
          <w:p w14:paraId="3267BCE1"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50C5D3C3"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0,314</w:t>
            </w:r>
          </w:p>
        </w:tc>
        <w:tc>
          <w:tcPr>
            <w:tcW w:w="1485" w:type="dxa"/>
          </w:tcPr>
          <w:p w14:paraId="5059B961"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0,532</w:t>
            </w:r>
          </w:p>
        </w:tc>
      </w:tr>
      <w:tr w:rsidR="00BB58C4" w14:paraId="692DC3A9" w14:textId="77777777">
        <w:trPr>
          <w:trHeight w:val="230"/>
        </w:trPr>
        <w:tc>
          <w:tcPr>
            <w:tcW w:w="1414" w:type="dxa"/>
          </w:tcPr>
          <w:p w14:paraId="601524ED"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ADRO</w:t>
            </w:r>
          </w:p>
        </w:tc>
        <w:tc>
          <w:tcPr>
            <w:tcW w:w="992" w:type="dxa"/>
          </w:tcPr>
          <w:p w14:paraId="26368B30"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4" w:type="dxa"/>
          </w:tcPr>
          <w:p w14:paraId="15868A48"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72,163</w:t>
            </w:r>
          </w:p>
        </w:tc>
        <w:tc>
          <w:tcPr>
            <w:tcW w:w="1242" w:type="dxa"/>
          </w:tcPr>
          <w:p w14:paraId="65739776"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1E86899F"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2,515</w:t>
            </w:r>
          </w:p>
        </w:tc>
        <w:tc>
          <w:tcPr>
            <w:tcW w:w="1485" w:type="dxa"/>
          </w:tcPr>
          <w:p w14:paraId="2A5A66FD"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2,933</w:t>
            </w:r>
          </w:p>
        </w:tc>
      </w:tr>
      <w:tr w:rsidR="00BB58C4" w14:paraId="3E2222D4" w14:textId="77777777">
        <w:trPr>
          <w:trHeight w:val="230"/>
        </w:trPr>
        <w:tc>
          <w:tcPr>
            <w:tcW w:w="1414" w:type="dxa"/>
          </w:tcPr>
          <w:p w14:paraId="1BB81CBD"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ADRO</w:t>
            </w:r>
          </w:p>
        </w:tc>
        <w:tc>
          <w:tcPr>
            <w:tcW w:w="992" w:type="dxa"/>
          </w:tcPr>
          <w:p w14:paraId="0133392F"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4" w:type="dxa"/>
          </w:tcPr>
          <w:p w14:paraId="25256E3B"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119,568</w:t>
            </w:r>
          </w:p>
        </w:tc>
        <w:tc>
          <w:tcPr>
            <w:tcW w:w="1242" w:type="dxa"/>
          </w:tcPr>
          <w:p w14:paraId="2802A31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08370CD9"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1,431</w:t>
            </w:r>
          </w:p>
        </w:tc>
        <w:tc>
          <w:tcPr>
            <w:tcW w:w="1485" w:type="dxa"/>
          </w:tcPr>
          <w:p w14:paraId="42F4A31B"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5,683</w:t>
            </w:r>
          </w:p>
        </w:tc>
      </w:tr>
      <w:tr w:rsidR="00BB58C4" w14:paraId="159C5AD9" w14:textId="77777777">
        <w:trPr>
          <w:trHeight w:val="230"/>
        </w:trPr>
        <w:tc>
          <w:tcPr>
            <w:tcW w:w="1414" w:type="dxa"/>
          </w:tcPr>
          <w:p w14:paraId="3E9F0345" w14:textId="77777777" w:rsidR="00BB58C4" w:rsidRDefault="00000000">
            <w:pPr>
              <w:widowControl w:val="0"/>
              <w:autoSpaceDE w:val="0"/>
              <w:autoSpaceDN w:val="0"/>
              <w:spacing w:before="1"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ADRO</w:t>
            </w:r>
          </w:p>
        </w:tc>
        <w:tc>
          <w:tcPr>
            <w:tcW w:w="992" w:type="dxa"/>
          </w:tcPr>
          <w:p w14:paraId="754D4940" w14:textId="77777777" w:rsidR="00BB58C4" w:rsidRDefault="00000000">
            <w:pPr>
              <w:widowControl w:val="0"/>
              <w:autoSpaceDE w:val="0"/>
              <w:autoSpaceDN w:val="0"/>
              <w:spacing w:before="1"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4" w:type="dxa"/>
          </w:tcPr>
          <w:p w14:paraId="31001EA0" w14:textId="77777777" w:rsidR="00BB58C4" w:rsidRDefault="00000000">
            <w:pPr>
              <w:widowControl w:val="0"/>
              <w:autoSpaceDE w:val="0"/>
              <w:autoSpaceDN w:val="0"/>
              <w:spacing w:before="1"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94,751</w:t>
            </w:r>
          </w:p>
        </w:tc>
        <w:tc>
          <w:tcPr>
            <w:tcW w:w="1242" w:type="dxa"/>
          </w:tcPr>
          <w:p w14:paraId="6CA3BC0F" w14:textId="77777777" w:rsidR="00BB58C4" w:rsidRDefault="00000000">
            <w:pPr>
              <w:widowControl w:val="0"/>
              <w:autoSpaceDE w:val="0"/>
              <w:autoSpaceDN w:val="0"/>
              <w:spacing w:before="1"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607286C8" w14:textId="77777777" w:rsidR="00BB58C4" w:rsidRDefault="00000000">
            <w:pPr>
              <w:widowControl w:val="0"/>
              <w:autoSpaceDE w:val="0"/>
              <w:autoSpaceDN w:val="0"/>
              <w:spacing w:before="1"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2,320</w:t>
            </w:r>
          </w:p>
        </w:tc>
        <w:tc>
          <w:tcPr>
            <w:tcW w:w="1485" w:type="dxa"/>
          </w:tcPr>
          <w:p w14:paraId="24A97FE6" w14:textId="77777777" w:rsidR="00BB58C4" w:rsidRDefault="00000000">
            <w:pPr>
              <w:widowControl w:val="0"/>
              <w:autoSpaceDE w:val="0"/>
              <w:autoSpaceDN w:val="0"/>
              <w:spacing w:before="1"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4,022</w:t>
            </w:r>
          </w:p>
        </w:tc>
      </w:tr>
      <w:tr w:rsidR="00BB58C4" w14:paraId="4B4F8DEA" w14:textId="77777777">
        <w:trPr>
          <w:trHeight w:val="230"/>
        </w:trPr>
        <w:tc>
          <w:tcPr>
            <w:tcW w:w="1414" w:type="dxa"/>
          </w:tcPr>
          <w:p w14:paraId="2A55E477"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ADRO</w:t>
            </w:r>
          </w:p>
        </w:tc>
        <w:tc>
          <w:tcPr>
            <w:tcW w:w="992" w:type="dxa"/>
          </w:tcPr>
          <w:p w14:paraId="3C2A7476"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4" w:type="dxa"/>
          </w:tcPr>
          <w:p w14:paraId="43C2946E"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36,939</w:t>
            </w:r>
          </w:p>
        </w:tc>
        <w:tc>
          <w:tcPr>
            <w:tcW w:w="1242" w:type="dxa"/>
          </w:tcPr>
          <w:p w14:paraId="1AC5175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161CC36A"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1,572</w:t>
            </w:r>
          </w:p>
        </w:tc>
        <w:tc>
          <w:tcPr>
            <w:tcW w:w="1485" w:type="dxa"/>
          </w:tcPr>
          <w:p w14:paraId="68818170"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0,575</w:t>
            </w:r>
          </w:p>
        </w:tc>
      </w:tr>
      <w:tr w:rsidR="00BB58C4" w14:paraId="3E17BD75" w14:textId="77777777">
        <w:trPr>
          <w:trHeight w:val="230"/>
        </w:trPr>
        <w:tc>
          <w:tcPr>
            <w:tcW w:w="1414" w:type="dxa"/>
          </w:tcPr>
          <w:p w14:paraId="460416E2"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ADRO</w:t>
            </w:r>
          </w:p>
        </w:tc>
        <w:tc>
          <w:tcPr>
            <w:tcW w:w="992" w:type="dxa"/>
          </w:tcPr>
          <w:p w14:paraId="25EEC3E1"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4" w:type="dxa"/>
          </w:tcPr>
          <w:p w14:paraId="53DD582B"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65,028</w:t>
            </w:r>
          </w:p>
        </w:tc>
        <w:tc>
          <w:tcPr>
            <w:tcW w:w="1242" w:type="dxa"/>
          </w:tcPr>
          <w:p w14:paraId="6D8C43C2"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39105706"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1,955</w:t>
            </w:r>
          </w:p>
        </w:tc>
        <w:tc>
          <w:tcPr>
            <w:tcW w:w="1485" w:type="dxa"/>
          </w:tcPr>
          <w:p w14:paraId="42E74A3C"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0,845</w:t>
            </w:r>
          </w:p>
        </w:tc>
      </w:tr>
      <w:tr w:rsidR="00BB58C4" w14:paraId="24CE07BA" w14:textId="77777777">
        <w:trPr>
          <w:trHeight w:val="230"/>
        </w:trPr>
        <w:tc>
          <w:tcPr>
            <w:tcW w:w="1414" w:type="dxa"/>
          </w:tcPr>
          <w:p w14:paraId="2FCC0D4B"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GEMS</w:t>
            </w:r>
          </w:p>
        </w:tc>
        <w:tc>
          <w:tcPr>
            <w:tcW w:w="992" w:type="dxa"/>
          </w:tcPr>
          <w:p w14:paraId="4226BD47"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4" w:type="dxa"/>
          </w:tcPr>
          <w:p w14:paraId="63382E1F"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44,618</w:t>
            </w:r>
          </w:p>
        </w:tc>
        <w:tc>
          <w:tcPr>
            <w:tcW w:w="1242" w:type="dxa"/>
          </w:tcPr>
          <w:p w14:paraId="7D4E5996"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41CFD923"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0,693</w:t>
            </w:r>
          </w:p>
        </w:tc>
        <w:tc>
          <w:tcPr>
            <w:tcW w:w="1485" w:type="dxa"/>
          </w:tcPr>
          <w:p w14:paraId="5DC9E11D"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0,430</w:t>
            </w:r>
          </w:p>
        </w:tc>
      </w:tr>
      <w:tr w:rsidR="00BB58C4" w14:paraId="4699F84A" w14:textId="77777777">
        <w:trPr>
          <w:trHeight w:val="230"/>
        </w:trPr>
        <w:tc>
          <w:tcPr>
            <w:tcW w:w="1414" w:type="dxa"/>
          </w:tcPr>
          <w:p w14:paraId="0F0B3D85"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GEMS</w:t>
            </w:r>
          </w:p>
        </w:tc>
        <w:tc>
          <w:tcPr>
            <w:tcW w:w="992" w:type="dxa"/>
          </w:tcPr>
          <w:p w14:paraId="3D43CDB7"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4" w:type="dxa"/>
          </w:tcPr>
          <w:p w14:paraId="6D37BA5F"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44,739</w:t>
            </w:r>
          </w:p>
        </w:tc>
        <w:tc>
          <w:tcPr>
            <w:tcW w:w="1242" w:type="dxa"/>
          </w:tcPr>
          <w:p w14:paraId="0DF5C700"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28E00179"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0,817</w:t>
            </w:r>
          </w:p>
        </w:tc>
        <w:tc>
          <w:tcPr>
            <w:tcW w:w="1485" w:type="dxa"/>
          </w:tcPr>
          <w:p w14:paraId="34A55AD2"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0,400</w:t>
            </w:r>
          </w:p>
        </w:tc>
      </w:tr>
      <w:tr w:rsidR="00BB58C4" w14:paraId="1FF26328" w14:textId="77777777">
        <w:trPr>
          <w:trHeight w:val="230"/>
        </w:trPr>
        <w:tc>
          <w:tcPr>
            <w:tcW w:w="1414" w:type="dxa"/>
          </w:tcPr>
          <w:p w14:paraId="1BD70C19"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GEMS</w:t>
            </w:r>
          </w:p>
        </w:tc>
        <w:tc>
          <w:tcPr>
            <w:tcW w:w="992" w:type="dxa"/>
          </w:tcPr>
          <w:p w14:paraId="23F7CD10"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4" w:type="dxa"/>
          </w:tcPr>
          <w:p w14:paraId="74829834"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47,215</w:t>
            </w:r>
          </w:p>
        </w:tc>
        <w:tc>
          <w:tcPr>
            <w:tcW w:w="1242" w:type="dxa"/>
          </w:tcPr>
          <w:p w14:paraId="51160856"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554AB869"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0,426</w:t>
            </w:r>
          </w:p>
        </w:tc>
        <w:tc>
          <w:tcPr>
            <w:tcW w:w="1485" w:type="dxa"/>
          </w:tcPr>
          <w:p w14:paraId="2E9186F0"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0,158</w:t>
            </w:r>
          </w:p>
        </w:tc>
      </w:tr>
      <w:tr w:rsidR="00BB58C4" w14:paraId="5DC07AA9" w14:textId="77777777">
        <w:trPr>
          <w:trHeight w:val="230"/>
        </w:trPr>
        <w:tc>
          <w:tcPr>
            <w:tcW w:w="1414" w:type="dxa"/>
          </w:tcPr>
          <w:p w14:paraId="30D2B153"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GEMS</w:t>
            </w:r>
          </w:p>
        </w:tc>
        <w:tc>
          <w:tcPr>
            <w:tcW w:w="992" w:type="dxa"/>
          </w:tcPr>
          <w:p w14:paraId="1DE9950C"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4" w:type="dxa"/>
          </w:tcPr>
          <w:p w14:paraId="2507A34F"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15,375</w:t>
            </w:r>
          </w:p>
        </w:tc>
        <w:tc>
          <w:tcPr>
            <w:tcW w:w="1242" w:type="dxa"/>
          </w:tcPr>
          <w:p w14:paraId="3110DF26"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6F4D7949"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0,731</w:t>
            </w:r>
          </w:p>
        </w:tc>
        <w:tc>
          <w:tcPr>
            <w:tcW w:w="1485" w:type="dxa"/>
          </w:tcPr>
          <w:p w14:paraId="0A32E67A"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0,280</w:t>
            </w:r>
          </w:p>
        </w:tc>
      </w:tr>
      <w:tr w:rsidR="00BB58C4" w14:paraId="4CE2FCAC" w14:textId="77777777">
        <w:trPr>
          <w:trHeight w:val="230"/>
        </w:trPr>
        <w:tc>
          <w:tcPr>
            <w:tcW w:w="1414" w:type="dxa"/>
          </w:tcPr>
          <w:p w14:paraId="3C2E82E8"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GEMS</w:t>
            </w:r>
          </w:p>
        </w:tc>
        <w:tc>
          <w:tcPr>
            <w:tcW w:w="992" w:type="dxa"/>
          </w:tcPr>
          <w:p w14:paraId="5F60CC21"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4" w:type="dxa"/>
          </w:tcPr>
          <w:p w14:paraId="1F8403A1"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24,619</w:t>
            </w:r>
          </w:p>
        </w:tc>
        <w:tc>
          <w:tcPr>
            <w:tcW w:w="1242" w:type="dxa"/>
          </w:tcPr>
          <w:p w14:paraId="268BF1B6"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61C48BC3"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0,447</w:t>
            </w:r>
          </w:p>
        </w:tc>
        <w:tc>
          <w:tcPr>
            <w:tcW w:w="1485" w:type="dxa"/>
          </w:tcPr>
          <w:p w14:paraId="4C329DF7"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0,975</w:t>
            </w:r>
          </w:p>
        </w:tc>
      </w:tr>
      <w:tr w:rsidR="00BB58C4" w14:paraId="57C469B2" w14:textId="77777777">
        <w:trPr>
          <w:trHeight w:val="229"/>
        </w:trPr>
        <w:tc>
          <w:tcPr>
            <w:tcW w:w="1414" w:type="dxa"/>
          </w:tcPr>
          <w:p w14:paraId="3B043A8F"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PTBA</w:t>
            </w:r>
          </w:p>
        </w:tc>
        <w:tc>
          <w:tcPr>
            <w:tcW w:w="992" w:type="dxa"/>
          </w:tcPr>
          <w:p w14:paraId="2C476541"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4" w:type="dxa"/>
          </w:tcPr>
          <w:p w14:paraId="4A043844"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37,017</w:t>
            </w:r>
          </w:p>
        </w:tc>
        <w:tc>
          <w:tcPr>
            <w:tcW w:w="1242" w:type="dxa"/>
          </w:tcPr>
          <w:p w14:paraId="1EEF77C0"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63D1BB91"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0,143</w:t>
            </w:r>
          </w:p>
        </w:tc>
        <w:tc>
          <w:tcPr>
            <w:tcW w:w="1485" w:type="dxa"/>
          </w:tcPr>
          <w:p w14:paraId="00159A13"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0,078</w:t>
            </w:r>
          </w:p>
        </w:tc>
      </w:tr>
      <w:tr w:rsidR="00BB58C4" w14:paraId="755B9C8E" w14:textId="77777777">
        <w:trPr>
          <w:trHeight w:val="230"/>
        </w:trPr>
        <w:tc>
          <w:tcPr>
            <w:tcW w:w="1414" w:type="dxa"/>
          </w:tcPr>
          <w:p w14:paraId="2517C49B"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PTBA</w:t>
            </w:r>
          </w:p>
        </w:tc>
        <w:tc>
          <w:tcPr>
            <w:tcW w:w="992" w:type="dxa"/>
          </w:tcPr>
          <w:p w14:paraId="1BDE47DA"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4" w:type="dxa"/>
          </w:tcPr>
          <w:p w14:paraId="39772BFF"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22,059</w:t>
            </w:r>
          </w:p>
        </w:tc>
        <w:tc>
          <w:tcPr>
            <w:tcW w:w="1242" w:type="dxa"/>
          </w:tcPr>
          <w:p w14:paraId="2BDF9926"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3C031388"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0,466</w:t>
            </w:r>
          </w:p>
        </w:tc>
        <w:tc>
          <w:tcPr>
            <w:tcW w:w="1485" w:type="dxa"/>
          </w:tcPr>
          <w:p w14:paraId="5D11223E"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0,181</w:t>
            </w:r>
          </w:p>
        </w:tc>
      </w:tr>
      <w:tr w:rsidR="00BB58C4" w14:paraId="3C03B8F4" w14:textId="77777777">
        <w:trPr>
          <w:trHeight w:val="229"/>
        </w:trPr>
        <w:tc>
          <w:tcPr>
            <w:tcW w:w="1414" w:type="dxa"/>
          </w:tcPr>
          <w:p w14:paraId="5691F356"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PTBA</w:t>
            </w:r>
          </w:p>
        </w:tc>
        <w:tc>
          <w:tcPr>
            <w:tcW w:w="992" w:type="dxa"/>
          </w:tcPr>
          <w:p w14:paraId="38311EE8"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4" w:type="dxa"/>
          </w:tcPr>
          <w:p w14:paraId="4F7B7D00"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31,466</w:t>
            </w:r>
          </w:p>
        </w:tc>
        <w:tc>
          <w:tcPr>
            <w:tcW w:w="1242" w:type="dxa"/>
          </w:tcPr>
          <w:p w14:paraId="4F775738"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6" w:type="dxa"/>
          </w:tcPr>
          <w:p w14:paraId="3059E09A"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0,035</w:t>
            </w:r>
          </w:p>
        </w:tc>
        <w:tc>
          <w:tcPr>
            <w:tcW w:w="1485" w:type="dxa"/>
          </w:tcPr>
          <w:p w14:paraId="030A44F2"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0,012</w:t>
            </w:r>
          </w:p>
        </w:tc>
      </w:tr>
    </w:tbl>
    <w:p w14:paraId="75DB3597" w14:textId="77777777" w:rsidR="00BB58C4" w:rsidRDefault="00BB58C4">
      <w:pPr>
        <w:spacing w:after="0" w:line="276" w:lineRule="auto"/>
        <w:jc w:val="both"/>
        <w:rPr>
          <w:rFonts w:ascii="Times New Roman" w:hAnsi="Times New Roman" w:cs="Times New Roman"/>
          <w:b/>
          <w:bCs/>
          <w:sz w:val="24"/>
          <w:szCs w:val="24"/>
        </w:rPr>
        <w:sectPr w:rsidR="00BB58C4">
          <w:pgSz w:w="11906" w:h="16838"/>
          <w:pgMar w:top="2268" w:right="1701" w:bottom="1701" w:left="2268" w:header="709" w:footer="709" w:gutter="0"/>
          <w:cols w:space="708"/>
          <w:docGrid w:linePitch="360"/>
        </w:sectPr>
      </w:pP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990"/>
        <w:gridCol w:w="1350"/>
        <w:gridCol w:w="1239"/>
        <w:gridCol w:w="1443"/>
        <w:gridCol w:w="1486"/>
        <w:gridCol w:w="14"/>
      </w:tblGrid>
      <w:tr w:rsidR="00BB58C4" w14:paraId="6A0E71F9" w14:textId="77777777">
        <w:trPr>
          <w:gridAfter w:val="1"/>
          <w:wAfter w:w="14" w:type="dxa"/>
          <w:trHeight w:val="460"/>
        </w:trPr>
        <w:tc>
          <w:tcPr>
            <w:tcW w:w="1416" w:type="dxa"/>
          </w:tcPr>
          <w:p w14:paraId="75A3E799" w14:textId="77777777" w:rsidR="00BB58C4" w:rsidRDefault="00000000">
            <w:pPr>
              <w:widowControl w:val="0"/>
              <w:autoSpaceDE w:val="0"/>
              <w:autoSpaceDN w:val="0"/>
              <w:spacing w:after="0" w:line="240" w:lineRule="auto"/>
              <w:ind w:left="8" w:right="2"/>
              <w:jc w:val="center"/>
              <w:rPr>
                <w:rFonts w:ascii="Times New Roman" w:eastAsia="Times New Roman" w:hAnsi="Times New Roman" w:cs="Times New Roman"/>
                <w:b/>
                <w:kern w:val="0"/>
                <w:sz w:val="20"/>
                <w:lang w:val="id"/>
                <w14:ligatures w14:val="none"/>
              </w:rPr>
            </w:pPr>
            <w:r>
              <w:rPr>
                <w:rFonts w:ascii="Times New Roman" w:eastAsia="Times New Roman" w:hAnsi="Times New Roman" w:cs="Times New Roman"/>
                <w:b/>
                <w:spacing w:val="-4"/>
                <w:kern w:val="0"/>
                <w:sz w:val="20"/>
                <w:lang w:val="id"/>
                <w14:ligatures w14:val="none"/>
              </w:rPr>
              <w:lastRenderedPageBreak/>
              <w:t>Kode</w:t>
            </w:r>
          </w:p>
          <w:p w14:paraId="2BF8E1A1"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b/>
                <w:kern w:val="0"/>
                <w:sz w:val="20"/>
                <w:lang w:val="id"/>
                <w14:ligatures w14:val="none"/>
              </w:rPr>
            </w:pPr>
            <w:r>
              <w:rPr>
                <w:rFonts w:ascii="Times New Roman" w:eastAsia="Times New Roman" w:hAnsi="Times New Roman" w:cs="Times New Roman"/>
                <w:b/>
                <w:spacing w:val="-2"/>
                <w:kern w:val="0"/>
                <w:sz w:val="20"/>
                <w:lang w:val="id"/>
                <w14:ligatures w14:val="none"/>
              </w:rPr>
              <w:t>Perusahaan</w:t>
            </w:r>
          </w:p>
        </w:tc>
        <w:tc>
          <w:tcPr>
            <w:tcW w:w="990" w:type="dxa"/>
          </w:tcPr>
          <w:p w14:paraId="05F49982" w14:textId="77777777" w:rsidR="00BB58C4" w:rsidRDefault="00000000">
            <w:pPr>
              <w:widowControl w:val="0"/>
              <w:autoSpaceDE w:val="0"/>
              <w:autoSpaceDN w:val="0"/>
              <w:spacing w:before="115" w:after="0" w:line="240" w:lineRule="auto"/>
              <w:ind w:left="11" w:right="3"/>
              <w:jc w:val="center"/>
              <w:rPr>
                <w:rFonts w:ascii="Times New Roman" w:eastAsia="Times New Roman" w:hAnsi="Times New Roman" w:cs="Times New Roman"/>
                <w:b/>
                <w:kern w:val="0"/>
                <w:sz w:val="20"/>
                <w:lang w:val="id"/>
                <w14:ligatures w14:val="none"/>
              </w:rPr>
            </w:pPr>
            <w:r>
              <w:rPr>
                <w:rFonts w:ascii="Times New Roman" w:eastAsia="Times New Roman" w:hAnsi="Times New Roman" w:cs="Times New Roman"/>
                <w:b/>
                <w:spacing w:val="-2"/>
                <w:kern w:val="0"/>
                <w:sz w:val="20"/>
                <w:lang w:val="id"/>
                <w14:ligatures w14:val="none"/>
              </w:rPr>
              <w:t>Periode</w:t>
            </w:r>
          </w:p>
        </w:tc>
        <w:tc>
          <w:tcPr>
            <w:tcW w:w="1350" w:type="dxa"/>
          </w:tcPr>
          <w:p w14:paraId="13B1D6AA" w14:textId="77777777" w:rsidR="00BB58C4" w:rsidRDefault="00000000">
            <w:pPr>
              <w:widowControl w:val="0"/>
              <w:autoSpaceDE w:val="0"/>
              <w:autoSpaceDN w:val="0"/>
              <w:spacing w:after="0" w:line="230" w:lineRule="atLeast"/>
              <w:ind w:left="368" w:right="300" w:hanging="51"/>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2"/>
                <w:kern w:val="0"/>
                <w:sz w:val="20"/>
                <w:lang w:val="id"/>
                <w14:ligatures w14:val="none"/>
              </w:rPr>
              <w:t>Transfer Pricing</w:t>
            </w:r>
          </w:p>
        </w:tc>
        <w:tc>
          <w:tcPr>
            <w:tcW w:w="1239" w:type="dxa"/>
          </w:tcPr>
          <w:p w14:paraId="2884E158" w14:textId="77777777" w:rsidR="00BB58C4" w:rsidRDefault="00000000">
            <w:pPr>
              <w:widowControl w:val="0"/>
              <w:autoSpaceDE w:val="0"/>
              <w:autoSpaceDN w:val="0"/>
              <w:spacing w:before="115" w:after="0" w:line="240" w:lineRule="auto"/>
              <w:ind w:left="5"/>
              <w:jc w:val="center"/>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4"/>
                <w:kern w:val="0"/>
                <w:sz w:val="20"/>
                <w:lang w:val="id"/>
                <w14:ligatures w14:val="none"/>
              </w:rPr>
              <w:t>Tax</w:t>
            </w:r>
            <w:r>
              <w:rPr>
                <w:rFonts w:ascii="Times New Roman" w:eastAsia="Times New Roman" w:hAnsi="Times New Roman" w:cs="Times New Roman"/>
                <w:b/>
                <w:i/>
                <w:spacing w:val="-9"/>
                <w:kern w:val="0"/>
                <w:sz w:val="20"/>
                <w:lang w:val="id"/>
                <w14:ligatures w14:val="none"/>
              </w:rPr>
              <w:t xml:space="preserve"> </w:t>
            </w:r>
            <w:r>
              <w:rPr>
                <w:rFonts w:ascii="Times New Roman" w:eastAsia="Times New Roman" w:hAnsi="Times New Roman" w:cs="Times New Roman"/>
                <w:b/>
                <w:i/>
                <w:spacing w:val="-4"/>
                <w:kern w:val="0"/>
                <w:sz w:val="20"/>
                <w:lang w:val="id"/>
                <w14:ligatures w14:val="none"/>
              </w:rPr>
              <w:t>Haven</w:t>
            </w:r>
          </w:p>
        </w:tc>
        <w:tc>
          <w:tcPr>
            <w:tcW w:w="1443" w:type="dxa"/>
          </w:tcPr>
          <w:p w14:paraId="0CC5BF8B" w14:textId="77777777" w:rsidR="00BB58C4" w:rsidRDefault="00000000">
            <w:pPr>
              <w:widowControl w:val="0"/>
              <w:autoSpaceDE w:val="0"/>
              <w:autoSpaceDN w:val="0"/>
              <w:spacing w:after="0" w:line="230" w:lineRule="atLeast"/>
              <w:ind w:left="501" w:hanging="209"/>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2"/>
                <w:kern w:val="0"/>
                <w:sz w:val="20"/>
                <w:lang w:val="id"/>
                <w14:ligatures w14:val="none"/>
              </w:rPr>
              <w:t>Intangible Asset</w:t>
            </w:r>
          </w:p>
        </w:tc>
        <w:tc>
          <w:tcPr>
            <w:tcW w:w="1486" w:type="dxa"/>
          </w:tcPr>
          <w:p w14:paraId="1951F16B" w14:textId="77777777" w:rsidR="00BB58C4" w:rsidRDefault="00000000">
            <w:pPr>
              <w:widowControl w:val="0"/>
              <w:autoSpaceDE w:val="0"/>
              <w:autoSpaceDN w:val="0"/>
              <w:spacing w:after="0" w:line="240" w:lineRule="auto"/>
              <w:ind w:left="3" w:right="3"/>
              <w:jc w:val="center"/>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5"/>
                <w:kern w:val="0"/>
                <w:sz w:val="20"/>
                <w:lang w:val="id"/>
                <w14:ligatures w14:val="none"/>
              </w:rPr>
              <w:t>Tax</w:t>
            </w:r>
          </w:p>
          <w:p w14:paraId="77A75901" w14:textId="77777777" w:rsidR="00BB58C4" w:rsidRDefault="00000000">
            <w:pPr>
              <w:widowControl w:val="0"/>
              <w:autoSpaceDE w:val="0"/>
              <w:autoSpaceDN w:val="0"/>
              <w:spacing w:after="0" w:line="210" w:lineRule="exact"/>
              <w:ind w:left="3" w:right="3"/>
              <w:jc w:val="center"/>
              <w:rPr>
                <w:rFonts w:ascii="Times New Roman" w:eastAsia="Times New Roman" w:hAnsi="Times New Roman" w:cs="Times New Roman"/>
                <w:b/>
                <w:i/>
                <w:kern w:val="0"/>
                <w:sz w:val="20"/>
                <w:lang w:val="id"/>
                <w14:ligatures w14:val="none"/>
              </w:rPr>
            </w:pPr>
            <w:r>
              <w:rPr>
                <w:rFonts w:ascii="Times New Roman" w:eastAsia="Times New Roman" w:hAnsi="Times New Roman" w:cs="Times New Roman"/>
                <w:b/>
                <w:i/>
                <w:spacing w:val="-2"/>
                <w:kern w:val="0"/>
                <w:sz w:val="20"/>
                <w:lang w:val="id"/>
                <w14:ligatures w14:val="none"/>
              </w:rPr>
              <w:t>Minimization</w:t>
            </w:r>
          </w:p>
        </w:tc>
      </w:tr>
      <w:tr w:rsidR="00BB58C4" w14:paraId="7A00594B" w14:textId="77777777">
        <w:trPr>
          <w:gridAfter w:val="1"/>
          <w:wAfter w:w="14" w:type="dxa"/>
          <w:trHeight w:val="230"/>
        </w:trPr>
        <w:tc>
          <w:tcPr>
            <w:tcW w:w="1416" w:type="dxa"/>
          </w:tcPr>
          <w:p w14:paraId="47374BFA"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PTBA</w:t>
            </w:r>
          </w:p>
        </w:tc>
        <w:tc>
          <w:tcPr>
            <w:tcW w:w="990" w:type="dxa"/>
          </w:tcPr>
          <w:p w14:paraId="2F6A8C97"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25A03D5F"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32,468</w:t>
            </w:r>
          </w:p>
        </w:tc>
        <w:tc>
          <w:tcPr>
            <w:tcW w:w="1239" w:type="dxa"/>
          </w:tcPr>
          <w:p w14:paraId="0F5F280D"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50903996"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0,062</w:t>
            </w:r>
          </w:p>
        </w:tc>
        <w:tc>
          <w:tcPr>
            <w:tcW w:w="1486" w:type="dxa"/>
          </w:tcPr>
          <w:p w14:paraId="47FE188B"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0,016</w:t>
            </w:r>
          </w:p>
        </w:tc>
      </w:tr>
      <w:tr w:rsidR="00BB58C4" w14:paraId="31228718" w14:textId="77777777">
        <w:trPr>
          <w:gridAfter w:val="1"/>
          <w:wAfter w:w="14" w:type="dxa"/>
          <w:trHeight w:val="230"/>
        </w:trPr>
        <w:tc>
          <w:tcPr>
            <w:tcW w:w="1416" w:type="dxa"/>
          </w:tcPr>
          <w:p w14:paraId="7A6E996A"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PTBA</w:t>
            </w:r>
          </w:p>
        </w:tc>
        <w:tc>
          <w:tcPr>
            <w:tcW w:w="990" w:type="dxa"/>
          </w:tcPr>
          <w:p w14:paraId="00006B6D"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2B25E813"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27,552</w:t>
            </w:r>
          </w:p>
        </w:tc>
        <w:tc>
          <w:tcPr>
            <w:tcW w:w="1239" w:type="dxa"/>
          </w:tcPr>
          <w:p w14:paraId="6844F293"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381AD894"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0,028</w:t>
            </w:r>
          </w:p>
        </w:tc>
        <w:tc>
          <w:tcPr>
            <w:tcW w:w="1486" w:type="dxa"/>
          </w:tcPr>
          <w:p w14:paraId="78F3842C"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0,038</w:t>
            </w:r>
          </w:p>
        </w:tc>
      </w:tr>
      <w:tr w:rsidR="00BB58C4" w14:paraId="5DF365CE" w14:textId="77777777">
        <w:trPr>
          <w:gridAfter w:val="1"/>
          <w:wAfter w:w="14" w:type="dxa"/>
          <w:trHeight w:val="230"/>
        </w:trPr>
        <w:tc>
          <w:tcPr>
            <w:tcW w:w="1416" w:type="dxa"/>
          </w:tcPr>
          <w:p w14:paraId="14A567FB"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TCPI</w:t>
            </w:r>
          </w:p>
        </w:tc>
        <w:tc>
          <w:tcPr>
            <w:tcW w:w="990" w:type="dxa"/>
          </w:tcPr>
          <w:p w14:paraId="2892CDDE"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22F094A4"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54,690</w:t>
            </w:r>
          </w:p>
        </w:tc>
        <w:tc>
          <w:tcPr>
            <w:tcW w:w="1239" w:type="dxa"/>
          </w:tcPr>
          <w:p w14:paraId="02832D00"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7D620F2B"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1,369</w:t>
            </w:r>
          </w:p>
        </w:tc>
        <w:tc>
          <w:tcPr>
            <w:tcW w:w="1486" w:type="dxa"/>
          </w:tcPr>
          <w:p w14:paraId="35ECF157"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0,514</w:t>
            </w:r>
          </w:p>
        </w:tc>
      </w:tr>
      <w:tr w:rsidR="00BB58C4" w14:paraId="06E9A9AE" w14:textId="77777777">
        <w:trPr>
          <w:gridAfter w:val="1"/>
          <w:wAfter w:w="14" w:type="dxa"/>
          <w:trHeight w:val="230"/>
        </w:trPr>
        <w:tc>
          <w:tcPr>
            <w:tcW w:w="1416" w:type="dxa"/>
          </w:tcPr>
          <w:p w14:paraId="5D956973"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TCPI</w:t>
            </w:r>
          </w:p>
        </w:tc>
        <w:tc>
          <w:tcPr>
            <w:tcW w:w="990" w:type="dxa"/>
          </w:tcPr>
          <w:p w14:paraId="47FB43E8"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0D69010A"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39,629</w:t>
            </w:r>
          </w:p>
        </w:tc>
        <w:tc>
          <w:tcPr>
            <w:tcW w:w="1239" w:type="dxa"/>
          </w:tcPr>
          <w:p w14:paraId="10598360"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5511A9D4"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1,581</w:t>
            </w:r>
          </w:p>
        </w:tc>
        <w:tc>
          <w:tcPr>
            <w:tcW w:w="1486" w:type="dxa"/>
          </w:tcPr>
          <w:p w14:paraId="21AD0D73"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0,593</w:t>
            </w:r>
          </w:p>
        </w:tc>
      </w:tr>
      <w:tr w:rsidR="00BB58C4" w14:paraId="7E3DB30E" w14:textId="77777777">
        <w:trPr>
          <w:gridAfter w:val="1"/>
          <w:wAfter w:w="14" w:type="dxa"/>
          <w:trHeight w:val="230"/>
        </w:trPr>
        <w:tc>
          <w:tcPr>
            <w:tcW w:w="1416" w:type="dxa"/>
          </w:tcPr>
          <w:p w14:paraId="4D1F34D4"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TCPI</w:t>
            </w:r>
          </w:p>
        </w:tc>
        <w:tc>
          <w:tcPr>
            <w:tcW w:w="990" w:type="dxa"/>
          </w:tcPr>
          <w:p w14:paraId="413A80D5"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7C6D40B8"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55,075</w:t>
            </w:r>
          </w:p>
        </w:tc>
        <w:tc>
          <w:tcPr>
            <w:tcW w:w="1239" w:type="dxa"/>
          </w:tcPr>
          <w:p w14:paraId="0658CEC7"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18016C8E"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1,522</w:t>
            </w:r>
          </w:p>
        </w:tc>
        <w:tc>
          <w:tcPr>
            <w:tcW w:w="1486" w:type="dxa"/>
          </w:tcPr>
          <w:p w14:paraId="09AE4946"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0,568</w:t>
            </w:r>
          </w:p>
        </w:tc>
      </w:tr>
      <w:tr w:rsidR="00BB58C4" w14:paraId="37CF065C" w14:textId="77777777">
        <w:trPr>
          <w:gridAfter w:val="1"/>
          <w:wAfter w:w="14" w:type="dxa"/>
          <w:trHeight w:val="230"/>
        </w:trPr>
        <w:tc>
          <w:tcPr>
            <w:tcW w:w="1416" w:type="dxa"/>
          </w:tcPr>
          <w:p w14:paraId="200B1BDF"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TCPI</w:t>
            </w:r>
          </w:p>
        </w:tc>
        <w:tc>
          <w:tcPr>
            <w:tcW w:w="990" w:type="dxa"/>
          </w:tcPr>
          <w:p w14:paraId="6538F02F"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5463216D"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29,694</w:t>
            </w:r>
          </w:p>
        </w:tc>
        <w:tc>
          <w:tcPr>
            <w:tcW w:w="1239" w:type="dxa"/>
          </w:tcPr>
          <w:p w14:paraId="7A06311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5A95CE57"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1,899</w:t>
            </w:r>
          </w:p>
        </w:tc>
        <w:tc>
          <w:tcPr>
            <w:tcW w:w="1486" w:type="dxa"/>
          </w:tcPr>
          <w:p w14:paraId="4019C608"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0,652</w:t>
            </w:r>
          </w:p>
        </w:tc>
      </w:tr>
      <w:tr w:rsidR="00BB58C4" w14:paraId="36496328" w14:textId="77777777">
        <w:trPr>
          <w:gridAfter w:val="1"/>
          <w:wAfter w:w="14" w:type="dxa"/>
          <w:trHeight w:val="230"/>
        </w:trPr>
        <w:tc>
          <w:tcPr>
            <w:tcW w:w="1416" w:type="dxa"/>
          </w:tcPr>
          <w:p w14:paraId="1C33CF04"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TCPI</w:t>
            </w:r>
          </w:p>
        </w:tc>
        <w:tc>
          <w:tcPr>
            <w:tcW w:w="990" w:type="dxa"/>
          </w:tcPr>
          <w:p w14:paraId="0A998CE5"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3FBEE8C2"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41,939</w:t>
            </w:r>
          </w:p>
        </w:tc>
        <w:tc>
          <w:tcPr>
            <w:tcW w:w="1239" w:type="dxa"/>
          </w:tcPr>
          <w:p w14:paraId="19F443D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ADADE54"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0,750</w:t>
            </w:r>
          </w:p>
        </w:tc>
        <w:tc>
          <w:tcPr>
            <w:tcW w:w="1486" w:type="dxa"/>
          </w:tcPr>
          <w:p w14:paraId="49900CD7"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0,258</w:t>
            </w:r>
          </w:p>
        </w:tc>
      </w:tr>
      <w:tr w:rsidR="00BB58C4" w14:paraId="79129B67" w14:textId="77777777">
        <w:trPr>
          <w:gridAfter w:val="1"/>
          <w:wAfter w:w="14" w:type="dxa"/>
          <w:trHeight w:val="230"/>
        </w:trPr>
        <w:tc>
          <w:tcPr>
            <w:tcW w:w="1416" w:type="dxa"/>
          </w:tcPr>
          <w:p w14:paraId="386DC136"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BSSR</w:t>
            </w:r>
          </w:p>
        </w:tc>
        <w:tc>
          <w:tcPr>
            <w:tcW w:w="990" w:type="dxa"/>
          </w:tcPr>
          <w:p w14:paraId="6599F9A0"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5F0A5420"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52,313</w:t>
            </w:r>
          </w:p>
        </w:tc>
        <w:tc>
          <w:tcPr>
            <w:tcW w:w="1239" w:type="dxa"/>
          </w:tcPr>
          <w:p w14:paraId="2A4A4A22"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7F0AD383"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1,023</w:t>
            </w:r>
          </w:p>
        </w:tc>
        <w:tc>
          <w:tcPr>
            <w:tcW w:w="1486" w:type="dxa"/>
          </w:tcPr>
          <w:p w14:paraId="5D614EA3"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0,477</w:t>
            </w:r>
          </w:p>
        </w:tc>
      </w:tr>
      <w:tr w:rsidR="00BB58C4" w14:paraId="5895853F" w14:textId="77777777">
        <w:trPr>
          <w:gridAfter w:val="1"/>
          <w:wAfter w:w="14" w:type="dxa"/>
          <w:trHeight w:val="230"/>
        </w:trPr>
        <w:tc>
          <w:tcPr>
            <w:tcW w:w="1416" w:type="dxa"/>
          </w:tcPr>
          <w:p w14:paraId="59E0B69A"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BSSR</w:t>
            </w:r>
          </w:p>
        </w:tc>
        <w:tc>
          <w:tcPr>
            <w:tcW w:w="990" w:type="dxa"/>
          </w:tcPr>
          <w:p w14:paraId="1CCA1946"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1038586A"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29,946</w:t>
            </w:r>
          </w:p>
        </w:tc>
        <w:tc>
          <w:tcPr>
            <w:tcW w:w="1239" w:type="dxa"/>
          </w:tcPr>
          <w:p w14:paraId="5CA4A702"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33A7E306"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0,064</w:t>
            </w:r>
          </w:p>
        </w:tc>
        <w:tc>
          <w:tcPr>
            <w:tcW w:w="1486" w:type="dxa"/>
          </w:tcPr>
          <w:p w14:paraId="4ABD3B37"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0,008</w:t>
            </w:r>
          </w:p>
        </w:tc>
      </w:tr>
      <w:tr w:rsidR="00BB58C4" w14:paraId="28D22B74" w14:textId="77777777">
        <w:trPr>
          <w:gridAfter w:val="1"/>
          <w:wAfter w:w="14" w:type="dxa"/>
          <w:trHeight w:val="229"/>
        </w:trPr>
        <w:tc>
          <w:tcPr>
            <w:tcW w:w="1416" w:type="dxa"/>
          </w:tcPr>
          <w:p w14:paraId="7B259AAC"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BSSR</w:t>
            </w:r>
          </w:p>
        </w:tc>
        <w:tc>
          <w:tcPr>
            <w:tcW w:w="990" w:type="dxa"/>
          </w:tcPr>
          <w:p w14:paraId="6CABC20D"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14405972"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67,427</w:t>
            </w:r>
          </w:p>
        </w:tc>
        <w:tc>
          <w:tcPr>
            <w:tcW w:w="1239" w:type="dxa"/>
          </w:tcPr>
          <w:p w14:paraId="03B43379"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33276041"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2,572</w:t>
            </w:r>
          </w:p>
        </w:tc>
        <w:tc>
          <w:tcPr>
            <w:tcW w:w="1486" w:type="dxa"/>
          </w:tcPr>
          <w:p w14:paraId="08A47967"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0,968</w:t>
            </w:r>
          </w:p>
        </w:tc>
      </w:tr>
      <w:tr w:rsidR="00BB58C4" w14:paraId="2F071B1F" w14:textId="77777777">
        <w:trPr>
          <w:gridAfter w:val="1"/>
          <w:wAfter w:w="14" w:type="dxa"/>
          <w:trHeight w:val="230"/>
        </w:trPr>
        <w:tc>
          <w:tcPr>
            <w:tcW w:w="1416" w:type="dxa"/>
          </w:tcPr>
          <w:p w14:paraId="21D9BC1D" w14:textId="77777777" w:rsidR="00BB58C4" w:rsidRDefault="00000000">
            <w:pPr>
              <w:widowControl w:val="0"/>
              <w:autoSpaceDE w:val="0"/>
              <w:autoSpaceDN w:val="0"/>
              <w:spacing w:before="1"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BSSR</w:t>
            </w:r>
          </w:p>
        </w:tc>
        <w:tc>
          <w:tcPr>
            <w:tcW w:w="990" w:type="dxa"/>
          </w:tcPr>
          <w:p w14:paraId="39125623" w14:textId="77777777" w:rsidR="00BB58C4" w:rsidRDefault="00000000">
            <w:pPr>
              <w:widowControl w:val="0"/>
              <w:autoSpaceDE w:val="0"/>
              <w:autoSpaceDN w:val="0"/>
              <w:spacing w:before="1"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0F7F6000" w14:textId="77777777" w:rsidR="00BB58C4" w:rsidRDefault="00000000">
            <w:pPr>
              <w:widowControl w:val="0"/>
              <w:autoSpaceDE w:val="0"/>
              <w:autoSpaceDN w:val="0"/>
              <w:spacing w:before="1"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41,775</w:t>
            </w:r>
          </w:p>
        </w:tc>
        <w:tc>
          <w:tcPr>
            <w:tcW w:w="1239" w:type="dxa"/>
          </w:tcPr>
          <w:p w14:paraId="249286F7" w14:textId="77777777" w:rsidR="00BB58C4" w:rsidRDefault="00000000">
            <w:pPr>
              <w:widowControl w:val="0"/>
              <w:autoSpaceDE w:val="0"/>
              <w:autoSpaceDN w:val="0"/>
              <w:spacing w:before="1"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24507697" w14:textId="77777777" w:rsidR="00BB58C4" w:rsidRDefault="00000000">
            <w:pPr>
              <w:widowControl w:val="0"/>
              <w:autoSpaceDE w:val="0"/>
              <w:autoSpaceDN w:val="0"/>
              <w:spacing w:before="1"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0,764</w:t>
            </w:r>
          </w:p>
        </w:tc>
        <w:tc>
          <w:tcPr>
            <w:tcW w:w="1486" w:type="dxa"/>
          </w:tcPr>
          <w:p w14:paraId="3DE255EC" w14:textId="77777777" w:rsidR="00BB58C4" w:rsidRDefault="00000000">
            <w:pPr>
              <w:widowControl w:val="0"/>
              <w:autoSpaceDE w:val="0"/>
              <w:autoSpaceDN w:val="0"/>
              <w:spacing w:before="1"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0,286</w:t>
            </w:r>
          </w:p>
        </w:tc>
      </w:tr>
      <w:tr w:rsidR="00BB58C4" w14:paraId="32AF85DA" w14:textId="77777777">
        <w:trPr>
          <w:gridAfter w:val="1"/>
          <w:wAfter w:w="14" w:type="dxa"/>
          <w:trHeight w:val="230"/>
        </w:trPr>
        <w:tc>
          <w:tcPr>
            <w:tcW w:w="1416" w:type="dxa"/>
          </w:tcPr>
          <w:p w14:paraId="3EA84CAD"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BSSR</w:t>
            </w:r>
          </w:p>
        </w:tc>
        <w:tc>
          <w:tcPr>
            <w:tcW w:w="990" w:type="dxa"/>
          </w:tcPr>
          <w:p w14:paraId="59926F93"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61CF355D"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35,235</w:t>
            </w:r>
          </w:p>
        </w:tc>
        <w:tc>
          <w:tcPr>
            <w:tcW w:w="1239" w:type="dxa"/>
          </w:tcPr>
          <w:p w14:paraId="653F1E41"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1788BEA"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1,038</w:t>
            </w:r>
          </w:p>
        </w:tc>
        <w:tc>
          <w:tcPr>
            <w:tcW w:w="1486" w:type="dxa"/>
          </w:tcPr>
          <w:p w14:paraId="489C63DA"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0,472</w:t>
            </w:r>
          </w:p>
        </w:tc>
      </w:tr>
      <w:tr w:rsidR="00BB58C4" w14:paraId="08219E13" w14:textId="77777777">
        <w:trPr>
          <w:gridAfter w:val="1"/>
          <w:wAfter w:w="14" w:type="dxa"/>
          <w:trHeight w:val="230"/>
        </w:trPr>
        <w:tc>
          <w:tcPr>
            <w:tcW w:w="1416" w:type="dxa"/>
          </w:tcPr>
          <w:p w14:paraId="12AEC601"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HRUM</w:t>
            </w:r>
          </w:p>
        </w:tc>
        <w:tc>
          <w:tcPr>
            <w:tcW w:w="990" w:type="dxa"/>
          </w:tcPr>
          <w:p w14:paraId="55EEC49E"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43F9BA57"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60,552</w:t>
            </w:r>
          </w:p>
        </w:tc>
        <w:tc>
          <w:tcPr>
            <w:tcW w:w="1239" w:type="dxa"/>
          </w:tcPr>
          <w:p w14:paraId="5E6E6662"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C5AA214"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2,217</w:t>
            </w:r>
          </w:p>
        </w:tc>
        <w:tc>
          <w:tcPr>
            <w:tcW w:w="1486" w:type="dxa"/>
          </w:tcPr>
          <w:p w14:paraId="4C08C95C"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1,324</w:t>
            </w:r>
          </w:p>
        </w:tc>
      </w:tr>
      <w:tr w:rsidR="00BB58C4" w14:paraId="63CBCA5C" w14:textId="77777777">
        <w:trPr>
          <w:gridAfter w:val="1"/>
          <w:wAfter w:w="14" w:type="dxa"/>
          <w:trHeight w:val="230"/>
        </w:trPr>
        <w:tc>
          <w:tcPr>
            <w:tcW w:w="1416" w:type="dxa"/>
          </w:tcPr>
          <w:p w14:paraId="0CB9F59A"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HRUM</w:t>
            </w:r>
          </w:p>
        </w:tc>
        <w:tc>
          <w:tcPr>
            <w:tcW w:w="990" w:type="dxa"/>
          </w:tcPr>
          <w:p w14:paraId="550FDF59"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5CF84155"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92,430</w:t>
            </w:r>
          </w:p>
        </w:tc>
        <w:tc>
          <w:tcPr>
            <w:tcW w:w="1239" w:type="dxa"/>
          </w:tcPr>
          <w:p w14:paraId="3AEF3837"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064C63C3"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2,758</w:t>
            </w:r>
          </w:p>
        </w:tc>
        <w:tc>
          <w:tcPr>
            <w:tcW w:w="1486" w:type="dxa"/>
          </w:tcPr>
          <w:p w14:paraId="3B9BD1C8"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1,738</w:t>
            </w:r>
          </w:p>
        </w:tc>
      </w:tr>
      <w:tr w:rsidR="00BB58C4" w14:paraId="076C55E1" w14:textId="77777777">
        <w:trPr>
          <w:gridAfter w:val="1"/>
          <w:wAfter w:w="14" w:type="dxa"/>
          <w:trHeight w:val="230"/>
        </w:trPr>
        <w:tc>
          <w:tcPr>
            <w:tcW w:w="1416" w:type="dxa"/>
          </w:tcPr>
          <w:p w14:paraId="1C1F0A0F"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HRUM</w:t>
            </w:r>
          </w:p>
        </w:tc>
        <w:tc>
          <w:tcPr>
            <w:tcW w:w="990" w:type="dxa"/>
          </w:tcPr>
          <w:p w14:paraId="6DD1A4BB"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1EA99E7C"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64,300</w:t>
            </w:r>
          </w:p>
        </w:tc>
        <w:tc>
          <w:tcPr>
            <w:tcW w:w="1239" w:type="dxa"/>
          </w:tcPr>
          <w:p w14:paraId="6C31BAF5"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ADE46E2"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4,151</w:t>
            </w:r>
          </w:p>
        </w:tc>
        <w:tc>
          <w:tcPr>
            <w:tcW w:w="1486" w:type="dxa"/>
          </w:tcPr>
          <w:p w14:paraId="4C522BEF"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1,558</w:t>
            </w:r>
          </w:p>
        </w:tc>
      </w:tr>
      <w:tr w:rsidR="00BB58C4" w14:paraId="3A8BA8B0" w14:textId="77777777">
        <w:trPr>
          <w:gridAfter w:val="1"/>
          <w:wAfter w:w="14" w:type="dxa"/>
          <w:trHeight w:val="230"/>
        </w:trPr>
        <w:tc>
          <w:tcPr>
            <w:tcW w:w="1416" w:type="dxa"/>
          </w:tcPr>
          <w:p w14:paraId="62275B59"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HRUM</w:t>
            </w:r>
          </w:p>
        </w:tc>
        <w:tc>
          <w:tcPr>
            <w:tcW w:w="990" w:type="dxa"/>
          </w:tcPr>
          <w:p w14:paraId="1AE85188"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5D8C8CF8"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48,743</w:t>
            </w:r>
          </w:p>
        </w:tc>
        <w:tc>
          <w:tcPr>
            <w:tcW w:w="1239" w:type="dxa"/>
          </w:tcPr>
          <w:p w14:paraId="7408F9A1"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175D9924"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1,979</w:t>
            </w:r>
          </w:p>
        </w:tc>
        <w:tc>
          <w:tcPr>
            <w:tcW w:w="1486" w:type="dxa"/>
          </w:tcPr>
          <w:p w14:paraId="7CC8B318"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0,814</w:t>
            </w:r>
          </w:p>
        </w:tc>
      </w:tr>
      <w:tr w:rsidR="00BB58C4" w14:paraId="4DE827C5" w14:textId="77777777">
        <w:trPr>
          <w:gridAfter w:val="1"/>
          <w:wAfter w:w="14" w:type="dxa"/>
          <w:trHeight w:val="230"/>
        </w:trPr>
        <w:tc>
          <w:tcPr>
            <w:tcW w:w="1416" w:type="dxa"/>
          </w:tcPr>
          <w:p w14:paraId="1AD34347"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HRUM</w:t>
            </w:r>
          </w:p>
        </w:tc>
        <w:tc>
          <w:tcPr>
            <w:tcW w:w="990" w:type="dxa"/>
          </w:tcPr>
          <w:p w14:paraId="35C8BE61"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713C62EE"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40,935</w:t>
            </w:r>
          </w:p>
        </w:tc>
        <w:tc>
          <w:tcPr>
            <w:tcW w:w="1239" w:type="dxa"/>
          </w:tcPr>
          <w:p w14:paraId="34AC408B"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F34E68B"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0,488</w:t>
            </w:r>
          </w:p>
        </w:tc>
        <w:tc>
          <w:tcPr>
            <w:tcW w:w="1486" w:type="dxa"/>
          </w:tcPr>
          <w:p w14:paraId="3B7D385D"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0,216</w:t>
            </w:r>
          </w:p>
        </w:tc>
      </w:tr>
      <w:tr w:rsidR="00BB58C4" w14:paraId="503FBD85" w14:textId="77777777">
        <w:trPr>
          <w:gridAfter w:val="1"/>
          <w:wAfter w:w="14" w:type="dxa"/>
          <w:trHeight w:val="230"/>
        </w:trPr>
        <w:tc>
          <w:tcPr>
            <w:tcW w:w="1416" w:type="dxa"/>
          </w:tcPr>
          <w:p w14:paraId="5E4A7E31"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BIPI</w:t>
            </w:r>
          </w:p>
        </w:tc>
        <w:tc>
          <w:tcPr>
            <w:tcW w:w="990" w:type="dxa"/>
          </w:tcPr>
          <w:p w14:paraId="6AD7FE88"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7B4C9459"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19,002</w:t>
            </w:r>
          </w:p>
        </w:tc>
        <w:tc>
          <w:tcPr>
            <w:tcW w:w="1239" w:type="dxa"/>
          </w:tcPr>
          <w:p w14:paraId="43E41EBB"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217BC447"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0,532</w:t>
            </w:r>
          </w:p>
        </w:tc>
        <w:tc>
          <w:tcPr>
            <w:tcW w:w="1486" w:type="dxa"/>
          </w:tcPr>
          <w:p w14:paraId="24259131"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0,079</w:t>
            </w:r>
          </w:p>
        </w:tc>
      </w:tr>
      <w:tr w:rsidR="00BB58C4" w14:paraId="21D17CD9" w14:textId="77777777">
        <w:trPr>
          <w:gridAfter w:val="1"/>
          <w:wAfter w:w="14" w:type="dxa"/>
          <w:trHeight w:val="230"/>
        </w:trPr>
        <w:tc>
          <w:tcPr>
            <w:tcW w:w="1416" w:type="dxa"/>
          </w:tcPr>
          <w:p w14:paraId="3856846A"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BIPI</w:t>
            </w:r>
          </w:p>
        </w:tc>
        <w:tc>
          <w:tcPr>
            <w:tcW w:w="990" w:type="dxa"/>
          </w:tcPr>
          <w:p w14:paraId="6A229BF7"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4CC63B2E"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46,607</w:t>
            </w:r>
          </w:p>
        </w:tc>
        <w:tc>
          <w:tcPr>
            <w:tcW w:w="1239" w:type="dxa"/>
          </w:tcPr>
          <w:p w14:paraId="6BD9357D"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06E5FE31"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0,274</w:t>
            </w:r>
          </w:p>
        </w:tc>
        <w:tc>
          <w:tcPr>
            <w:tcW w:w="1486" w:type="dxa"/>
          </w:tcPr>
          <w:p w14:paraId="405541FE"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0,186</w:t>
            </w:r>
          </w:p>
        </w:tc>
      </w:tr>
      <w:tr w:rsidR="00BB58C4" w14:paraId="543AFB99" w14:textId="77777777">
        <w:trPr>
          <w:gridAfter w:val="1"/>
          <w:wAfter w:w="14" w:type="dxa"/>
          <w:trHeight w:val="230"/>
        </w:trPr>
        <w:tc>
          <w:tcPr>
            <w:tcW w:w="1416" w:type="dxa"/>
          </w:tcPr>
          <w:p w14:paraId="7CAF66EC"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BIPI</w:t>
            </w:r>
          </w:p>
        </w:tc>
        <w:tc>
          <w:tcPr>
            <w:tcW w:w="990" w:type="dxa"/>
          </w:tcPr>
          <w:p w14:paraId="700C609F"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25E39B64"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9,873</w:t>
            </w:r>
          </w:p>
        </w:tc>
        <w:tc>
          <w:tcPr>
            <w:tcW w:w="1239" w:type="dxa"/>
          </w:tcPr>
          <w:p w14:paraId="27CD06E6"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7F8E6889"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0,311</w:t>
            </w:r>
          </w:p>
        </w:tc>
        <w:tc>
          <w:tcPr>
            <w:tcW w:w="1486" w:type="dxa"/>
          </w:tcPr>
          <w:p w14:paraId="154D5ED0"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0,012</w:t>
            </w:r>
          </w:p>
        </w:tc>
      </w:tr>
      <w:tr w:rsidR="00BB58C4" w14:paraId="2D42483B" w14:textId="77777777">
        <w:trPr>
          <w:gridAfter w:val="1"/>
          <w:wAfter w:w="14" w:type="dxa"/>
          <w:trHeight w:val="230"/>
        </w:trPr>
        <w:tc>
          <w:tcPr>
            <w:tcW w:w="1416" w:type="dxa"/>
          </w:tcPr>
          <w:p w14:paraId="75D2F299"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BIPI</w:t>
            </w:r>
          </w:p>
        </w:tc>
        <w:tc>
          <w:tcPr>
            <w:tcW w:w="990" w:type="dxa"/>
          </w:tcPr>
          <w:p w14:paraId="38B1C581"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16F2AB53"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16,993</w:t>
            </w:r>
          </w:p>
        </w:tc>
        <w:tc>
          <w:tcPr>
            <w:tcW w:w="1239" w:type="dxa"/>
          </w:tcPr>
          <w:p w14:paraId="76A3513C"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727072F0"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0,439</w:t>
            </w:r>
          </w:p>
        </w:tc>
        <w:tc>
          <w:tcPr>
            <w:tcW w:w="1486" w:type="dxa"/>
          </w:tcPr>
          <w:p w14:paraId="5EF66309"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0,034</w:t>
            </w:r>
          </w:p>
        </w:tc>
      </w:tr>
      <w:tr w:rsidR="00BB58C4" w14:paraId="63F9D0CA" w14:textId="77777777">
        <w:trPr>
          <w:gridAfter w:val="1"/>
          <w:wAfter w:w="14" w:type="dxa"/>
          <w:trHeight w:val="230"/>
        </w:trPr>
        <w:tc>
          <w:tcPr>
            <w:tcW w:w="1416" w:type="dxa"/>
          </w:tcPr>
          <w:p w14:paraId="62D9D1DA"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BIPI</w:t>
            </w:r>
          </w:p>
        </w:tc>
        <w:tc>
          <w:tcPr>
            <w:tcW w:w="990" w:type="dxa"/>
          </w:tcPr>
          <w:p w14:paraId="595490E7"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1C47DFA9"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34,497</w:t>
            </w:r>
          </w:p>
        </w:tc>
        <w:tc>
          <w:tcPr>
            <w:tcW w:w="1239" w:type="dxa"/>
          </w:tcPr>
          <w:p w14:paraId="0C5C25E6"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6269151"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0,508</w:t>
            </w:r>
          </w:p>
        </w:tc>
        <w:tc>
          <w:tcPr>
            <w:tcW w:w="1486" w:type="dxa"/>
          </w:tcPr>
          <w:p w14:paraId="50A1A312"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0,194</w:t>
            </w:r>
          </w:p>
        </w:tc>
      </w:tr>
      <w:tr w:rsidR="00BB58C4" w14:paraId="4AB23AD9" w14:textId="77777777">
        <w:trPr>
          <w:gridAfter w:val="1"/>
          <w:wAfter w:w="14" w:type="dxa"/>
          <w:trHeight w:val="230"/>
        </w:trPr>
        <w:tc>
          <w:tcPr>
            <w:tcW w:w="1416" w:type="dxa"/>
          </w:tcPr>
          <w:p w14:paraId="01CBBAC4"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TOBA</w:t>
            </w:r>
          </w:p>
        </w:tc>
        <w:tc>
          <w:tcPr>
            <w:tcW w:w="990" w:type="dxa"/>
          </w:tcPr>
          <w:p w14:paraId="7FC89B76"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4E00E8CB"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96,496</w:t>
            </w:r>
          </w:p>
        </w:tc>
        <w:tc>
          <w:tcPr>
            <w:tcW w:w="1239" w:type="dxa"/>
          </w:tcPr>
          <w:p w14:paraId="13EF85F2"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66F2525A"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4,442</w:t>
            </w:r>
          </w:p>
        </w:tc>
        <w:tc>
          <w:tcPr>
            <w:tcW w:w="1486" w:type="dxa"/>
          </w:tcPr>
          <w:p w14:paraId="794E44CC"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2,406</w:t>
            </w:r>
          </w:p>
        </w:tc>
      </w:tr>
      <w:tr w:rsidR="00BB58C4" w14:paraId="100DC90C" w14:textId="77777777">
        <w:trPr>
          <w:gridAfter w:val="1"/>
          <w:wAfter w:w="14" w:type="dxa"/>
          <w:trHeight w:val="230"/>
        </w:trPr>
        <w:tc>
          <w:tcPr>
            <w:tcW w:w="1416" w:type="dxa"/>
          </w:tcPr>
          <w:p w14:paraId="328870AC"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TOBA</w:t>
            </w:r>
          </w:p>
        </w:tc>
        <w:tc>
          <w:tcPr>
            <w:tcW w:w="990" w:type="dxa"/>
          </w:tcPr>
          <w:p w14:paraId="37574828"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2A77FFEC"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74,936</w:t>
            </w:r>
          </w:p>
        </w:tc>
        <w:tc>
          <w:tcPr>
            <w:tcW w:w="1239" w:type="dxa"/>
          </w:tcPr>
          <w:p w14:paraId="58A1CEF5"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528D7F1E"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4,867</w:t>
            </w:r>
          </w:p>
        </w:tc>
        <w:tc>
          <w:tcPr>
            <w:tcW w:w="1486" w:type="dxa"/>
          </w:tcPr>
          <w:p w14:paraId="1952943E"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2,031</w:t>
            </w:r>
          </w:p>
        </w:tc>
      </w:tr>
      <w:tr w:rsidR="00BB58C4" w14:paraId="03C3E5D9" w14:textId="77777777">
        <w:trPr>
          <w:gridAfter w:val="1"/>
          <w:wAfter w:w="14" w:type="dxa"/>
          <w:trHeight w:val="230"/>
        </w:trPr>
        <w:tc>
          <w:tcPr>
            <w:tcW w:w="1416" w:type="dxa"/>
          </w:tcPr>
          <w:p w14:paraId="7BE67F83"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TOBA</w:t>
            </w:r>
          </w:p>
        </w:tc>
        <w:tc>
          <w:tcPr>
            <w:tcW w:w="990" w:type="dxa"/>
          </w:tcPr>
          <w:p w14:paraId="54B6C098"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020778BD"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76,464</w:t>
            </w:r>
          </w:p>
        </w:tc>
        <w:tc>
          <w:tcPr>
            <w:tcW w:w="1239" w:type="dxa"/>
          </w:tcPr>
          <w:p w14:paraId="73AFA540"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34638A1B"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2,957</w:t>
            </w:r>
          </w:p>
        </w:tc>
        <w:tc>
          <w:tcPr>
            <w:tcW w:w="1486" w:type="dxa"/>
          </w:tcPr>
          <w:p w14:paraId="69B5EFF8"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1,973</w:t>
            </w:r>
          </w:p>
        </w:tc>
      </w:tr>
      <w:tr w:rsidR="00BB58C4" w14:paraId="3003FBB6" w14:textId="77777777">
        <w:trPr>
          <w:gridAfter w:val="1"/>
          <w:wAfter w:w="14" w:type="dxa"/>
          <w:trHeight w:val="230"/>
        </w:trPr>
        <w:tc>
          <w:tcPr>
            <w:tcW w:w="1416" w:type="dxa"/>
          </w:tcPr>
          <w:p w14:paraId="0D5566C3"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TOBA</w:t>
            </w:r>
          </w:p>
        </w:tc>
        <w:tc>
          <w:tcPr>
            <w:tcW w:w="990" w:type="dxa"/>
          </w:tcPr>
          <w:p w14:paraId="205411C5"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543A7E9E"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57,664</w:t>
            </w:r>
          </w:p>
        </w:tc>
        <w:tc>
          <w:tcPr>
            <w:tcW w:w="1239" w:type="dxa"/>
          </w:tcPr>
          <w:p w14:paraId="63185B3F"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387176A6"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3,057</w:t>
            </w:r>
          </w:p>
        </w:tc>
        <w:tc>
          <w:tcPr>
            <w:tcW w:w="1486" w:type="dxa"/>
          </w:tcPr>
          <w:p w14:paraId="73E19452"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1,623</w:t>
            </w:r>
          </w:p>
        </w:tc>
      </w:tr>
      <w:tr w:rsidR="00BB58C4" w14:paraId="27BAA429" w14:textId="77777777">
        <w:trPr>
          <w:gridAfter w:val="1"/>
          <w:wAfter w:w="14" w:type="dxa"/>
          <w:trHeight w:val="230"/>
        </w:trPr>
        <w:tc>
          <w:tcPr>
            <w:tcW w:w="1416" w:type="dxa"/>
          </w:tcPr>
          <w:p w14:paraId="23DC3A94"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TOBA</w:t>
            </w:r>
          </w:p>
        </w:tc>
        <w:tc>
          <w:tcPr>
            <w:tcW w:w="990" w:type="dxa"/>
          </w:tcPr>
          <w:p w14:paraId="52C001DA"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2B13E9FA"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52,202</w:t>
            </w:r>
          </w:p>
        </w:tc>
        <w:tc>
          <w:tcPr>
            <w:tcW w:w="1239" w:type="dxa"/>
          </w:tcPr>
          <w:p w14:paraId="3603F73C"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5130835A"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2,597</w:t>
            </w:r>
          </w:p>
        </w:tc>
        <w:tc>
          <w:tcPr>
            <w:tcW w:w="1486" w:type="dxa"/>
          </w:tcPr>
          <w:p w14:paraId="4D2BE345"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1,229</w:t>
            </w:r>
          </w:p>
        </w:tc>
      </w:tr>
      <w:tr w:rsidR="00BB58C4" w14:paraId="2900C549" w14:textId="77777777">
        <w:trPr>
          <w:gridAfter w:val="1"/>
          <w:wAfter w:w="14" w:type="dxa"/>
          <w:trHeight w:val="230"/>
        </w:trPr>
        <w:tc>
          <w:tcPr>
            <w:tcW w:w="1416" w:type="dxa"/>
          </w:tcPr>
          <w:p w14:paraId="3E38876B"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TPMA</w:t>
            </w:r>
          </w:p>
        </w:tc>
        <w:tc>
          <w:tcPr>
            <w:tcW w:w="990" w:type="dxa"/>
          </w:tcPr>
          <w:p w14:paraId="19AFFB80"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0F5018FF"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36,322</w:t>
            </w:r>
          </w:p>
        </w:tc>
        <w:tc>
          <w:tcPr>
            <w:tcW w:w="1239" w:type="dxa"/>
          </w:tcPr>
          <w:p w14:paraId="0EDBAAA8"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1C2EB577"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0,239</w:t>
            </w:r>
          </w:p>
        </w:tc>
        <w:tc>
          <w:tcPr>
            <w:tcW w:w="1486" w:type="dxa"/>
          </w:tcPr>
          <w:p w14:paraId="46F4662E"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0,117</w:t>
            </w:r>
          </w:p>
        </w:tc>
      </w:tr>
      <w:tr w:rsidR="00BB58C4" w14:paraId="60B2D24D" w14:textId="77777777">
        <w:trPr>
          <w:gridAfter w:val="1"/>
          <w:wAfter w:w="14" w:type="dxa"/>
          <w:trHeight w:val="230"/>
        </w:trPr>
        <w:tc>
          <w:tcPr>
            <w:tcW w:w="1416" w:type="dxa"/>
          </w:tcPr>
          <w:p w14:paraId="1D9D3B71"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TPMA</w:t>
            </w:r>
          </w:p>
        </w:tc>
        <w:tc>
          <w:tcPr>
            <w:tcW w:w="990" w:type="dxa"/>
          </w:tcPr>
          <w:p w14:paraId="33FE2130"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374BFEB0"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26,164</w:t>
            </w:r>
          </w:p>
        </w:tc>
        <w:tc>
          <w:tcPr>
            <w:tcW w:w="1239" w:type="dxa"/>
          </w:tcPr>
          <w:p w14:paraId="79766E0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F67859D"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0,203</w:t>
            </w:r>
          </w:p>
        </w:tc>
        <w:tc>
          <w:tcPr>
            <w:tcW w:w="1486" w:type="dxa"/>
          </w:tcPr>
          <w:p w14:paraId="517DC31B"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0,154</w:t>
            </w:r>
          </w:p>
        </w:tc>
      </w:tr>
      <w:tr w:rsidR="00BB58C4" w14:paraId="1685F7AC" w14:textId="77777777">
        <w:trPr>
          <w:gridAfter w:val="1"/>
          <w:wAfter w:w="14" w:type="dxa"/>
          <w:trHeight w:val="230"/>
        </w:trPr>
        <w:tc>
          <w:tcPr>
            <w:tcW w:w="1416" w:type="dxa"/>
          </w:tcPr>
          <w:p w14:paraId="473AB89A"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TPMA</w:t>
            </w:r>
          </w:p>
        </w:tc>
        <w:tc>
          <w:tcPr>
            <w:tcW w:w="990" w:type="dxa"/>
          </w:tcPr>
          <w:p w14:paraId="32C8C39D"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5B052571"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53,512</w:t>
            </w:r>
          </w:p>
        </w:tc>
        <w:tc>
          <w:tcPr>
            <w:tcW w:w="1239" w:type="dxa"/>
          </w:tcPr>
          <w:p w14:paraId="6F7A3DDC"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3FA40AA5"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0,151</w:t>
            </w:r>
          </w:p>
        </w:tc>
        <w:tc>
          <w:tcPr>
            <w:tcW w:w="1486" w:type="dxa"/>
          </w:tcPr>
          <w:p w14:paraId="1339412C"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0,100</w:t>
            </w:r>
          </w:p>
        </w:tc>
      </w:tr>
      <w:tr w:rsidR="00BB58C4" w14:paraId="2C19A86C" w14:textId="77777777">
        <w:trPr>
          <w:gridAfter w:val="1"/>
          <w:wAfter w:w="14" w:type="dxa"/>
          <w:trHeight w:val="230"/>
        </w:trPr>
        <w:tc>
          <w:tcPr>
            <w:tcW w:w="1416" w:type="dxa"/>
          </w:tcPr>
          <w:p w14:paraId="2C7B4E4A"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TPMA</w:t>
            </w:r>
          </w:p>
        </w:tc>
        <w:tc>
          <w:tcPr>
            <w:tcW w:w="990" w:type="dxa"/>
          </w:tcPr>
          <w:p w14:paraId="11772754"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232C8F12"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32,081</w:t>
            </w:r>
          </w:p>
        </w:tc>
        <w:tc>
          <w:tcPr>
            <w:tcW w:w="1239" w:type="dxa"/>
          </w:tcPr>
          <w:p w14:paraId="7F7958F0"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6D55E040"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0,037</w:t>
            </w:r>
          </w:p>
        </w:tc>
        <w:tc>
          <w:tcPr>
            <w:tcW w:w="1486" w:type="dxa"/>
          </w:tcPr>
          <w:p w14:paraId="1288FB34"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0,038</w:t>
            </w:r>
          </w:p>
        </w:tc>
      </w:tr>
      <w:tr w:rsidR="00BB58C4" w14:paraId="4E248A6E" w14:textId="77777777">
        <w:trPr>
          <w:gridAfter w:val="1"/>
          <w:wAfter w:w="14" w:type="dxa"/>
          <w:trHeight w:val="230"/>
        </w:trPr>
        <w:tc>
          <w:tcPr>
            <w:tcW w:w="1416" w:type="dxa"/>
          </w:tcPr>
          <w:p w14:paraId="6F5F095A" w14:textId="77777777" w:rsidR="00BB58C4" w:rsidRDefault="00000000">
            <w:pPr>
              <w:widowControl w:val="0"/>
              <w:autoSpaceDE w:val="0"/>
              <w:autoSpaceDN w:val="0"/>
              <w:spacing w:after="0" w:line="210" w:lineRule="exact"/>
              <w:ind w:left="8" w:righ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TPMA</w:t>
            </w:r>
          </w:p>
        </w:tc>
        <w:tc>
          <w:tcPr>
            <w:tcW w:w="990" w:type="dxa"/>
          </w:tcPr>
          <w:p w14:paraId="2BF6C4E5"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34EC6121"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12,022</w:t>
            </w:r>
          </w:p>
        </w:tc>
        <w:tc>
          <w:tcPr>
            <w:tcW w:w="1239" w:type="dxa"/>
          </w:tcPr>
          <w:p w14:paraId="6B5703F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043FA719"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0,176</w:t>
            </w:r>
          </w:p>
        </w:tc>
        <w:tc>
          <w:tcPr>
            <w:tcW w:w="1486" w:type="dxa"/>
          </w:tcPr>
          <w:p w14:paraId="18FA1C83"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0,072</w:t>
            </w:r>
          </w:p>
        </w:tc>
      </w:tr>
      <w:tr w:rsidR="00BB58C4" w14:paraId="7C2C20EC" w14:textId="77777777">
        <w:trPr>
          <w:gridAfter w:val="1"/>
          <w:wAfter w:w="14" w:type="dxa"/>
          <w:trHeight w:val="230"/>
        </w:trPr>
        <w:tc>
          <w:tcPr>
            <w:tcW w:w="1416" w:type="dxa"/>
          </w:tcPr>
          <w:p w14:paraId="6ADF8AAE"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MBAP</w:t>
            </w:r>
          </w:p>
        </w:tc>
        <w:tc>
          <w:tcPr>
            <w:tcW w:w="990" w:type="dxa"/>
          </w:tcPr>
          <w:p w14:paraId="1CD8248F"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2AFF326E"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39,653</w:t>
            </w:r>
          </w:p>
        </w:tc>
        <w:tc>
          <w:tcPr>
            <w:tcW w:w="1239" w:type="dxa"/>
          </w:tcPr>
          <w:p w14:paraId="1B3E6D72"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4F96CD4"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0,944</w:t>
            </w:r>
          </w:p>
        </w:tc>
        <w:tc>
          <w:tcPr>
            <w:tcW w:w="1486" w:type="dxa"/>
          </w:tcPr>
          <w:p w14:paraId="2FD0E69F"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0,363</w:t>
            </w:r>
          </w:p>
        </w:tc>
      </w:tr>
      <w:tr w:rsidR="00BB58C4" w14:paraId="55F5A43A" w14:textId="77777777">
        <w:trPr>
          <w:gridAfter w:val="1"/>
          <w:wAfter w:w="14" w:type="dxa"/>
          <w:trHeight w:val="230"/>
        </w:trPr>
        <w:tc>
          <w:tcPr>
            <w:tcW w:w="1416" w:type="dxa"/>
          </w:tcPr>
          <w:p w14:paraId="43F802A8"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MBAP</w:t>
            </w:r>
          </w:p>
        </w:tc>
        <w:tc>
          <w:tcPr>
            <w:tcW w:w="990" w:type="dxa"/>
          </w:tcPr>
          <w:p w14:paraId="1C8AC9DD"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136EED2B"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34,043</w:t>
            </w:r>
          </w:p>
        </w:tc>
        <w:tc>
          <w:tcPr>
            <w:tcW w:w="1239" w:type="dxa"/>
          </w:tcPr>
          <w:p w14:paraId="218D41D8"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323D04A"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1,140</w:t>
            </w:r>
          </w:p>
        </w:tc>
        <w:tc>
          <w:tcPr>
            <w:tcW w:w="1486" w:type="dxa"/>
          </w:tcPr>
          <w:p w14:paraId="4FFA7209"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0,417</w:t>
            </w:r>
          </w:p>
        </w:tc>
      </w:tr>
      <w:tr w:rsidR="00BB58C4" w14:paraId="73EFB42D" w14:textId="77777777">
        <w:trPr>
          <w:gridAfter w:val="1"/>
          <w:wAfter w:w="14" w:type="dxa"/>
          <w:trHeight w:val="230"/>
        </w:trPr>
        <w:tc>
          <w:tcPr>
            <w:tcW w:w="1416" w:type="dxa"/>
          </w:tcPr>
          <w:p w14:paraId="4BAA208F"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MBAP</w:t>
            </w:r>
          </w:p>
        </w:tc>
        <w:tc>
          <w:tcPr>
            <w:tcW w:w="990" w:type="dxa"/>
          </w:tcPr>
          <w:p w14:paraId="58AFDF78"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6E1CF068"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22,976</w:t>
            </w:r>
          </w:p>
        </w:tc>
        <w:tc>
          <w:tcPr>
            <w:tcW w:w="1239" w:type="dxa"/>
          </w:tcPr>
          <w:p w14:paraId="673FC29C"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1419CC31"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0,201</w:t>
            </w:r>
          </w:p>
        </w:tc>
        <w:tc>
          <w:tcPr>
            <w:tcW w:w="1486" w:type="dxa"/>
          </w:tcPr>
          <w:p w14:paraId="3CBB2E65"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0,072</w:t>
            </w:r>
          </w:p>
        </w:tc>
      </w:tr>
      <w:tr w:rsidR="00BB58C4" w14:paraId="540AA6DF" w14:textId="77777777">
        <w:trPr>
          <w:gridAfter w:val="1"/>
          <w:wAfter w:w="14" w:type="dxa"/>
          <w:trHeight w:val="230"/>
        </w:trPr>
        <w:tc>
          <w:tcPr>
            <w:tcW w:w="1416" w:type="dxa"/>
          </w:tcPr>
          <w:p w14:paraId="4DE01A3B"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MBAP</w:t>
            </w:r>
          </w:p>
        </w:tc>
        <w:tc>
          <w:tcPr>
            <w:tcW w:w="990" w:type="dxa"/>
          </w:tcPr>
          <w:p w14:paraId="295B3B40"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2BFCDCB8"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48,308</w:t>
            </w:r>
          </w:p>
        </w:tc>
        <w:tc>
          <w:tcPr>
            <w:tcW w:w="1239" w:type="dxa"/>
          </w:tcPr>
          <w:p w14:paraId="1EAC49D9"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5299DCDA"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0,126</w:t>
            </w:r>
          </w:p>
        </w:tc>
        <w:tc>
          <w:tcPr>
            <w:tcW w:w="1486" w:type="dxa"/>
          </w:tcPr>
          <w:p w14:paraId="73BA7AEC"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0,047</w:t>
            </w:r>
          </w:p>
        </w:tc>
      </w:tr>
      <w:tr w:rsidR="00BB58C4" w14:paraId="6EDC70B4" w14:textId="77777777">
        <w:trPr>
          <w:gridAfter w:val="1"/>
          <w:wAfter w:w="14" w:type="dxa"/>
          <w:trHeight w:val="230"/>
        </w:trPr>
        <w:tc>
          <w:tcPr>
            <w:tcW w:w="1416" w:type="dxa"/>
          </w:tcPr>
          <w:p w14:paraId="37B08BA9" w14:textId="77777777" w:rsidR="00BB58C4" w:rsidRDefault="00000000">
            <w:pPr>
              <w:widowControl w:val="0"/>
              <w:autoSpaceDE w:val="0"/>
              <w:autoSpaceDN w:val="0"/>
              <w:spacing w:after="0" w:line="210" w:lineRule="exact"/>
              <w:ind w:left="8" w:right="4"/>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MBAP</w:t>
            </w:r>
          </w:p>
        </w:tc>
        <w:tc>
          <w:tcPr>
            <w:tcW w:w="990" w:type="dxa"/>
          </w:tcPr>
          <w:p w14:paraId="0AEA9349"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64211688"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50,803</w:t>
            </w:r>
          </w:p>
        </w:tc>
        <w:tc>
          <w:tcPr>
            <w:tcW w:w="1239" w:type="dxa"/>
          </w:tcPr>
          <w:p w14:paraId="646A566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5E812540"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1,338</w:t>
            </w:r>
          </w:p>
        </w:tc>
        <w:tc>
          <w:tcPr>
            <w:tcW w:w="1486" w:type="dxa"/>
          </w:tcPr>
          <w:p w14:paraId="1B7EE9CF"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0,562</w:t>
            </w:r>
          </w:p>
        </w:tc>
      </w:tr>
      <w:tr w:rsidR="00BB58C4" w14:paraId="77F9D210" w14:textId="77777777">
        <w:trPr>
          <w:gridAfter w:val="1"/>
          <w:wAfter w:w="14" w:type="dxa"/>
          <w:trHeight w:val="229"/>
        </w:trPr>
        <w:tc>
          <w:tcPr>
            <w:tcW w:w="1416" w:type="dxa"/>
          </w:tcPr>
          <w:p w14:paraId="19DCA6AC"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PSSI</w:t>
            </w:r>
          </w:p>
        </w:tc>
        <w:tc>
          <w:tcPr>
            <w:tcW w:w="990" w:type="dxa"/>
          </w:tcPr>
          <w:p w14:paraId="40F2E2EF"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40F8CB7B"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54,377</w:t>
            </w:r>
          </w:p>
        </w:tc>
        <w:tc>
          <w:tcPr>
            <w:tcW w:w="1239" w:type="dxa"/>
          </w:tcPr>
          <w:p w14:paraId="23A313AA"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2361C67"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0,291</w:t>
            </w:r>
          </w:p>
        </w:tc>
        <w:tc>
          <w:tcPr>
            <w:tcW w:w="1486" w:type="dxa"/>
          </w:tcPr>
          <w:p w14:paraId="30EC6560"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0,225</w:t>
            </w:r>
          </w:p>
        </w:tc>
      </w:tr>
      <w:tr w:rsidR="00BB58C4" w14:paraId="131A28B4" w14:textId="77777777">
        <w:trPr>
          <w:gridAfter w:val="1"/>
          <w:wAfter w:w="14" w:type="dxa"/>
          <w:trHeight w:val="227"/>
        </w:trPr>
        <w:tc>
          <w:tcPr>
            <w:tcW w:w="1416" w:type="dxa"/>
          </w:tcPr>
          <w:p w14:paraId="45FCA6E0" w14:textId="77777777" w:rsidR="00BB58C4" w:rsidRDefault="00000000">
            <w:pPr>
              <w:widowControl w:val="0"/>
              <w:autoSpaceDE w:val="0"/>
              <w:autoSpaceDN w:val="0"/>
              <w:spacing w:after="0" w:line="208"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PSSI</w:t>
            </w:r>
          </w:p>
        </w:tc>
        <w:tc>
          <w:tcPr>
            <w:tcW w:w="990" w:type="dxa"/>
          </w:tcPr>
          <w:p w14:paraId="089AAAFB" w14:textId="77777777" w:rsidR="00BB58C4" w:rsidRDefault="00000000">
            <w:pPr>
              <w:widowControl w:val="0"/>
              <w:autoSpaceDE w:val="0"/>
              <w:autoSpaceDN w:val="0"/>
              <w:spacing w:after="0" w:line="208"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309E1D3A" w14:textId="77777777" w:rsidR="00BB58C4" w:rsidRDefault="00000000">
            <w:pPr>
              <w:widowControl w:val="0"/>
              <w:autoSpaceDE w:val="0"/>
              <w:autoSpaceDN w:val="0"/>
              <w:spacing w:after="0" w:line="208"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34,395</w:t>
            </w:r>
          </w:p>
        </w:tc>
        <w:tc>
          <w:tcPr>
            <w:tcW w:w="1239" w:type="dxa"/>
          </w:tcPr>
          <w:p w14:paraId="3CD3FCD5" w14:textId="77777777" w:rsidR="00BB58C4" w:rsidRDefault="00000000">
            <w:pPr>
              <w:widowControl w:val="0"/>
              <w:autoSpaceDE w:val="0"/>
              <w:autoSpaceDN w:val="0"/>
              <w:spacing w:after="0" w:line="208"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2B974B26" w14:textId="77777777" w:rsidR="00BB58C4" w:rsidRDefault="00000000">
            <w:pPr>
              <w:widowControl w:val="0"/>
              <w:autoSpaceDE w:val="0"/>
              <w:autoSpaceDN w:val="0"/>
              <w:spacing w:after="0" w:line="208"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0,146</w:t>
            </w:r>
          </w:p>
        </w:tc>
        <w:tc>
          <w:tcPr>
            <w:tcW w:w="1486" w:type="dxa"/>
          </w:tcPr>
          <w:p w14:paraId="662ACD7D" w14:textId="77777777" w:rsidR="00BB58C4" w:rsidRDefault="00000000">
            <w:pPr>
              <w:widowControl w:val="0"/>
              <w:autoSpaceDE w:val="0"/>
              <w:autoSpaceDN w:val="0"/>
              <w:spacing w:after="0" w:line="208"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0,089</w:t>
            </w:r>
          </w:p>
        </w:tc>
      </w:tr>
      <w:tr w:rsidR="00BB58C4" w14:paraId="21C935AF" w14:textId="77777777">
        <w:trPr>
          <w:gridAfter w:val="1"/>
          <w:wAfter w:w="14" w:type="dxa"/>
          <w:trHeight w:val="230"/>
        </w:trPr>
        <w:tc>
          <w:tcPr>
            <w:tcW w:w="1416" w:type="dxa"/>
          </w:tcPr>
          <w:p w14:paraId="6D983144"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PSSI</w:t>
            </w:r>
          </w:p>
        </w:tc>
        <w:tc>
          <w:tcPr>
            <w:tcW w:w="990" w:type="dxa"/>
          </w:tcPr>
          <w:p w14:paraId="02A70088"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5BCC1A93"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29,333</w:t>
            </w:r>
          </w:p>
        </w:tc>
        <w:tc>
          <w:tcPr>
            <w:tcW w:w="1239" w:type="dxa"/>
          </w:tcPr>
          <w:p w14:paraId="402469F3"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50015303"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0,511</w:t>
            </w:r>
          </w:p>
        </w:tc>
        <w:tc>
          <w:tcPr>
            <w:tcW w:w="1486" w:type="dxa"/>
          </w:tcPr>
          <w:p w14:paraId="5DDA7BB8"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0,185</w:t>
            </w:r>
          </w:p>
        </w:tc>
      </w:tr>
      <w:tr w:rsidR="00BB58C4" w14:paraId="4BB9D814" w14:textId="77777777">
        <w:trPr>
          <w:gridAfter w:val="1"/>
          <w:wAfter w:w="14" w:type="dxa"/>
          <w:trHeight w:val="230"/>
        </w:trPr>
        <w:tc>
          <w:tcPr>
            <w:tcW w:w="1416" w:type="dxa"/>
          </w:tcPr>
          <w:p w14:paraId="3F1D4D5F" w14:textId="77777777" w:rsidR="00BB58C4" w:rsidRDefault="00000000">
            <w:pPr>
              <w:widowControl w:val="0"/>
              <w:autoSpaceDE w:val="0"/>
              <w:autoSpaceDN w:val="0"/>
              <w:spacing w:before="1"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PSSI</w:t>
            </w:r>
          </w:p>
        </w:tc>
        <w:tc>
          <w:tcPr>
            <w:tcW w:w="990" w:type="dxa"/>
          </w:tcPr>
          <w:p w14:paraId="622E0456" w14:textId="77777777" w:rsidR="00BB58C4" w:rsidRDefault="00000000">
            <w:pPr>
              <w:widowControl w:val="0"/>
              <w:autoSpaceDE w:val="0"/>
              <w:autoSpaceDN w:val="0"/>
              <w:spacing w:before="1"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1A693461" w14:textId="77777777" w:rsidR="00BB58C4" w:rsidRDefault="00000000">
            <w:pPr>
              <w:widowControl w:val="0"/>
              <w:autoSpaceDE w:val="0"/>
              <w:autoSpaceDN w:val="0"/>
              <w:spacing w:before="1"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31,491</w:t>
            </w:r>
          </w:p>
        </w:tc>
        <w:tc>
          <w:tcPr>
            <w:tcW w:w="1239" w:type="dxa"/>
          </w:tcPr>
          <w:p w14:paraId="510B3E9C" w14:textId="77777777" w:rsidR="00BB58C4" w:rsidRDefault="00000000">
            <w:pPr>
              <w:widowControl w:val="0"/>
              <w:autoSpaceDE w:val="0"/>
              <w:autoSpaceDN w:val="0"/>
              <w:spacing w:before="1"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376DCA8D" w14:textId="77777777" w:rsidR="00BB58C4" w:rsidRDefault="00000000">
            <w:pPr>
              <w:widowControl w:val="0"/>
              <w:autoSpaceDE w:val="0"/>
              <w:autoSpaceDN w:val="0"/>
              <w:spacing w:before="1"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0,016</w:t>
            </w:r>
          </w:p>
        </w:tc>
        <w:tc>
          <w:tcPr>
            <w:tcW w:w="1486" w:type="dxa"/>
          </w:tcPr>
          <w:p w14:paraId="0A0061F0" w14:textId="77777777" w:rsidR="00BB58C4" w:rsidRDefault="00000000">
            <w:pPr>
              <w:widowControl w:val="0"/>
              <w:autoSpaceDE w:val="0"/>
              <w:autoSpaceDN w:val="0"/>
              <w:spacing w:before="1"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0,007</w:t>
            </w:r>
          </w:p>
        </w:tc>
      </w:tr>
      <w:tr w:rsidR="00BB58C4" w14:paraId="00F1245A" w14:textId="77777777">
        <w:trPr>
          <w:gridAfter w:val="1"/>
          <w:wAfter w:w="14" w:type="dxa"/>
          <w:trHeight w:val="230"/>
        </w:trPr>
        <w:tc>
          <w:tcPr>
            <w:tcW w:w="1416" w:type="dxa"/>
          </w:tcPr>
          <w:p w14:paraId="33A35155"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PSSI</w:t>
            </w:r>
          </w:p>
        </w:tc>
        <w:tc>
          <w:tcPr>
            <w:tcW w:w="990" w:type="dxa"/>
          </w:tcPr>
          <w:p w14:paraId="1B73EA18"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48E867BF"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37,984</w:t>
            </w:r>
          </w:p>
        </w:tc>
        <w:tc>
          <w:tcPr>
            <w:tcW w:w="1239" w:type="dxa"/>
          </w:tcPr>
          <w:p w14:paraId="16E0D9BD"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4B0DE8D9"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0,016</w:t>
            </w:r>
          </w:p>
        </w:tc>
        <w:tc>
          <w:tcPr>
            <w:tcW w:w="1486" w:type="dxa"/>
          </w:tcPr>
          <w:p w14:paraId="6FAAA7B8"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0,011</w:t>
            </w:r>
          </w:p>
        </w:tc>
      </w:tr>
      <w:tr w:rsidR="00BB58C4" w14:paraId="3C9E5F5F" w14:textId="77777777">
        <w:trPr>
          <w:gridAfter w:val="1"/>
          <w:wAfter w:w="14" w:type="dxa"/>
          <w:trHeight w:val="230"/>
        </w:trPr>
        <w:tc>
          <w:tcPr>
            <w:tcW w:w="1416" w:type="dxa"/>
          </w:tcPr>
          <w:p w14:paraId="3E0C3064"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PTRO</w:t>
            </w:r>
          </w:p>
        </w:tc>
        <w:tc>
          <w:tcPr>
            <w:tcW w:w="990" w:type="dxa"/>
          </w:tcPr>
          <w:p w14:paraId="74A93FCC"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1C0167C1"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34,806</w:t>
            </w:r>
          </w:p>
        </w:tc>
        <w:tc>
          <w:tcPr>
            <w:tcW w:w="1239" w:type="dxa"/>
          </w:tcPr>
          <w:p w14:paraId="7CF6074A"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05829A39"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1,318</w:t>
            </w:r>
          </w:p>
        </w:tc>
        <w:tc>
          <w:tcPr>
            <w:tcW w:w="1486" w:type="dxa"/>
          </w:tcPr>
          <w:p w14:paraId="7E632564"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0,496</w:t>
            </w:r>
          </w:p>
        </w:tc>
      </w:tr>
      <w:tr w:rsidR="00BB58C4" w14:paraId="4E52F767" w14:textId="77777777">
        <w:trPr>
          <w:gridAfter w:val="1"/>
          <w:wAfter w:w="14" w:type="dxa"/>
          <w:trHeight w:val="230"/>
        </w:trPr>
        <w:tc>
          <w:tcPr>
            <w:tcW w:w="1416" w:type="dxa"/>
          </w:tcPr>
          <w:p w14:paraId="22BD84AC"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PTRO</w:t>
            </w:r>
          </w:p>
        </w:tc>
        <w:tc>
          <w:tcPr>
            <w:tcW w:w="990" w:type="dxa"/>
          </w:tcPr>
          <w:p w14:paraId="5B97870F"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5F253CB7"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56,124</w:t>
            </w:r>
          </w:p>
        </w:tc>
        <w:tc>
          <w:tcPr>
            <w:tcW w:w="1239" w:type="dxa"/>
          </w:tcPr>
          <w:p w14:paraId="32971265"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68A98554"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3,376</w:t>
            </w:r>
          </w:p>
        </w:tc>
        <w:tc>
          <w:tcPr>
            <w:tcW w:w="1486" w:type="dxa"/>
          </w:tcPr>
          <w:p w14:paraId="4A6CE326"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1,295</w:t>
            </w:r>
          </w:p>
        </w:tc>
      </w:tr>
      <w:tr w:rsidR="00BB58C4" w14:paraId="28E0FD7A" w14:textId="77777777">
        <w:trPr>
          <w:gridAfter w:val="1"/>
          <w:wAfter w:w="14" w:type="dxa"/>
          <w:trHeight w:val="230"/>
        </w:trPr>
        <w:tc>
          <w:tcPr>
            <w:tcW w:w="1416" w:type="dxa"/>
          </w:tcPr>
          <w:p w14:paraId="5FEA1903"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PTRO</w:t>
            </w:r>
          </w:p>
        </w:tc>
        <w:tc>
          <w:tcPr>
            <w:tcW w:w="990" w:type="dxa"/>
          </w:tcPr>
          <w:p w14:paraId="32CE65D4"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33253269"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52,502</w:t>
            </w:r>
          </w:p>
        </w:tc>
        <w:tc>
          <w:tcPr>
            <w:tcW w:w="1239" w:type="dxa"/>
          </w:tcPr>
          <w:p w14:paraId="350BA90E"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1B615FCC"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2,506</w:t>
            </w:r>
          </w:p>
        </w:tc>
        <w:tc>
          <w:tcPr>
            <w:tcW w:w="1486" w:type="dxa"/>
          </w:tcPr>
          <w:p w14:paraId="01A4C332"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0,981</w:t>
            </w:r>
          </w:p>
        </w:tc>
      </w:tr>
      <w:tr w:rsidR="00BB58C4" w14:paraId="71F18BC5" w14:textId="77777777">
        <w:trPr>
          <w:gridAfter w:val="1"/>
          <w:wAfter w:w="14" w:type="dxa"/>
          <w:trHeight w:val="230"/>
        </w:trPr>
        <w:tc>
          <w:tcPr>
            <w:tcW w:w="1416" w:type="dxa"/>
          </w:tcPr>
          <w:p w14:paraId="5A690085"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PTRO</w:t>
            </w:r>
          </w:p>
        </w:tc>
        <w:tc>
          <w:tcPr>
            <w:tcW w:w="990" w:type="dxa"/>
          </w:tcPr>
          <w:p w14:paraId="0945D370"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56CD14B3"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30,149</w:t>
            </w:r>
          </w:p>
        </w:tc>
        <w:tc>
          <w:tcPr>
            <w:tcW w:w="1239" w:type="dxa"/>
          </w:tcPr>
          <w:p w14:paraId="14A00CE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5B1B55F3"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1,627</w:t>
            </w:r>
          </w:p>
        </w:tc>
        <w:tc>
          <w:tcPr>
            <w:tcW w:w="1486" w:type="dxa"/>
          </w:tcPr>
          <w:p w14:paraId="42BD4449"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0,596</w:t>
            </w:r>
          </w:p>
        </w:tc>
      </w:tr>
      <w:tr w:rsidR="00BB58C4" w14:paraId="556364DB" w14:textId="77777777">
        <w:trPr>
          <w:gridAfter w:val="1"/>
          <w:wAfter w:w="14" w:type="dxa"/>
          <w:trHeight w:val="230"/>
        </w:trPr>
        <w:tc>
          <w:tcPr>
            <w:tcW w:w="1416" w:type="dxa"/>
          </w:tcPr>
          <w:p w14:paraId="5A8BE9F1" w14:textId="77777777" w:rsidR="00BB58C4" w:rsidRDefault="00000000">
            <w:pPr>
              <w:widowControl w:val="0"/>
              <w:autoSpaceDE w:val="0"/>
              <w:autoSpaceDN w:val="0"/>
              <w:spacing w:after="0" w:line="210" w:lineRule="exact"/>
              <w:ind w:left="8" w:right="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PTRO</w:t>
            </w:r>
          </w:p>
        </w:tc>
        <w:tc>
          <w:tcPr>
            <w:tcW w:w="990" w:type="dxa"/>
          </w:tcPr>
          <w:p w14:paraId="449AB99D"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2023</w:t>
            </w:r>
          </w:p>
        </w:tc>
        <w:tc>
          <w:tcPr>
            <w:tcW w:w="1350" w:type="dxa"/>
          </w:tcPr>
          <w:p w14:paraId="7ECF878F"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59,808</w:t>
            </w:r>
          </w:p>
        </w:tc>
        <w:tc>
          <w:tcPr>
            <w:tcW w:w="1239" w:type="dxa"/>
          </w:tcPr>
          <w:p w14:paraId="7A907CBF"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140E98B6"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1,149</w:t>
            </w:r>
          </w:p>
        </w:tc>
        <w:tc>
          <w:tcPr>
            <w:tcW w:w="1486" w:type="dxa"/>
          </w:tcPr>
          <w:p w14:paraId="0F053232"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0,473</w:t>
            </w:r>
          </w:p>
        </w:tc>
      </w:tr>
      <w:tr w:rsidR="00BB58C4" w14:paraId="07733730" w14:textId="77777777">
        <w:trPr>
          <w:gridAfter w:val="1"/>
          <w:wAfter w:w="14" w:type="dxa"/>
          <w:trHeight w:val="230"/>
        </w:trPr>
        <w:tc>
          <w:tcPr>
            <w:tcW w:w="1416" w:type="dxa"/>
          </w:tcPr>
          <w:p w14:paraId="61210457"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DEWA</w:t>
            </w:r>
          </w:p>
        </w:tc>
        <w:tc>
          <w:tcPr>
            <w:tcW w:w="990" w:type="dxa"/>
          </w:tcPr>
          <w:p w14:paraId="4AB07531"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2019</w:t>
            </w:r>
          </w:p>
        </w:tc>
        <w:tc>
          <w:tcPr>
            <w:tcW w:w="1350" w:type="dxa"/>
          </w:tcPr>
          <w:p w14:paraId="6E8CAEBE" w14:textId="77777777" w:rsidR="00BB58C4" w:rsidRDefault="00000000">
            <w:pPr>
              <w:widowControl w:val="0"/>
              <w:autoSpaceDE w:val="0"/>
              <w:autoSpaceDN w:val="0"/>
              <w:spacing w:after="0" w:line="210"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97,122</w:t>
            </w:r>
          </w:p>
        </w:tc>
        <w:tc>
          <w:tcPr>
            <w:tcW w:w="1239" w:type="dxa"/>
          </w:tcPr>
          <w:p w14:paraId="261895FA"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183E617A"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6,271</w:t>
            </w:r>
          </w:p>
        </w:tc>
        <w:tc>
          <w:tcPr>
            <w:tcW w:w="1486" w:type="dxa"/>
          </w:tcPr>
          <w:p w14:paraId="2C2E4E01"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2,398</w:t>
            </w:r>
          </w:p>
        </w:tc>
      </w:tr>
      <w:tr w:rsidR="00BB58C4" w14:paraId="18A6A582" w14:textId="77777777">
        <w:trPr>
          <w:gridAfter w:val="1"/>
          <w:wAfter w:w="14" w:type="dxa"/>
          <w:trHeight w:val="230"/>
        </w:trPr>
        <w:tc>
          <w:tcPr>
            <w:tcW w:w="1416" w:type="dxa"/>
          </w:tcPr>
          <w:p w14:paraId="6A18D01A"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DEWA</w:t>
            </w:r>
          </w:p>
        </w:tc>
        <w:tc>
          <w:tcPr>
            <w:tcW w:w="990" w:type="dxa"/>
          </w:tcPr>
          <w:p w14:paraId="54F460F7"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2020</w:t>
            </w:r>
          </w:p>
        </w:tc>
        <w:tc>
          <w:tcPr>
            <w:tcW w:w="1350" w:type="dxa"/>
          </w:tcPr>
          <w:p w14:paraId="3E38D6AC"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112,061</w:t>
            </w:r>
          </w:p>
        </w:tc>
        <w:tc>
          <w:tcPr>
            <w:tcW w:w="1239" w:type="dxa"/>
          </w:tcPr>
          <w:p w14:paraId="2590506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2C68BFE1"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6,750</w:t>
            </w:r>
          </w:p>
        </w:tc>
        <w:tc>
          <w:tcPr>
            <w:tcW w:w="1486" w:type="dxa"/>
          </w:tcPr>
          <w:p w14:paraId="4995F361"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3,551</w:t>
            </w:r>
          </w:p>
        </w:tc>
      </w:tr>
      <w:tr w:rsidR="00BB58C4" w14:paraId="295C18BE" w14:textId="77777777">
        <w:trPr>
          <w:gridAfter w:val="1"/>
          <w:wAfter w:w="14" w:type="dxa"/>
          <w:trHeight w:val="230"/>
        </w:trPr>
        <w:tc>
          <w:tcPr>
            <w:tcW w:w="1416" w:type="dxa"/>
          </w:tcPr>
          <w:p w14:paraId="4C283AD3" w14:textId="77777777" w:rsidR="00BB58C4" w:rsidRDefault="00000000">
            <w:pPr>
              <w:widowControl w:val="0"/>
              <w:autoSpaceDE w:val="0"/>
              <w:autoSpaceDN w:val="0"/>
              <w:spacing w:after="0" w:line="210"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DEWA</w:t>
            </w:r>
          </w:p>
        </w:tc>
        <w:tc>
          <w:tcPr>
            <w:tcW w:w="990" w:type="dxa"/>
          </w:tcPr>
          <w:p w14:paraId="3E659F3F" w14:textId="77777777" w:rsidR="00BB58C4" w:rsidRDefault="00000000">
            <w:pPr>
              <w:widowControl w:val="0"/>
              <w:autoSpaceDE w:val="0"/>
              <w:autoSpaceDN w:val="0"/>
              <w:spacing w:after="0" w:line="210"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2021</w:t>
            </w:r>
          </w:p>
        </w:tc>
        <w:tc>
          <w:tcPr>
            <w:tcW w:w="1350" w:type="dxa"/>
          </w:tcPr>
          <w:p w14:paraId="5B9B119F" w14:textId="77777777" w:rsidR="00BB58C4" w:rsidRDefault="00000000">
            <w:pPr>
              <w:widowControl w:val="0"/>
              <w:autoSpaceDE w:val="0"/>
              <w:autoSpaceDN w:val="0"/>
              <w:spacing w:after="0" w:line="210" w:lineRule="exact"/>
              <w:ind w:left="8"/>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110,436</w:t>
            </w:r>
          </w:p>
        </w:tc>
        <w:tc>
          <w:tcPr>
            <w:tcW w:w="1239" w:type="dxa"/>
          </w:tcPr>
          <w:p w14:paraId="66FFE384" w14:textId="77777777" w:rsidR="00BB58C4" w:rsidRDefault="00000000">
            <w:pPr>
              <w:widowControl w:val="0"/>
              <w:autoSpaceDE w:val="0"/>
              <w:autoSpaceDN w:val="0"/>
              <w:spacing w:after="0" w:line="210"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01C8283B" w14:textId="77777777" w:rsidR="00BB58C4" w:rsidRDefault="00000000">
            <w:pPr>
              <w:widowControl w:val="0"/>
              <w:autoSpaceDE w:val="0"/>
              <w:autoSpaceDN w:val="0"/>
              <w:spacing w:after="0" w:line="210"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6,785</w:t>
            </w:r>
          </w:p>
        </w:tc>
        <w:tc>
          <w:tcPr>
            <w:tcW w:w="1486" w:type="dxa"/>
          </w:tcPr>
          <w:p w14:paraId="76BC1AC6" w14:textId="77777777" w:rsidR="00BB58C4" w:rsidRDefault="00000000">
            <w:pPr>
              <w:widowControl w:val="0"/>
              <w:autoSpaceDE w:val="0"/>
              <w:autoSpaceDN w:val="0"/>
              <w:spacing w:after="0" w:line="210"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2,531</w:t>
            </w:r>
          </w:p>
        </w:tc>
      </w:tr>
      <w:tr w:rsidR="00BB58C4" w14:paraId="2F91415B" w14:textId="77777777">
        <w:trPr>
          <w:gridAfter w:val="1"/>
          <w:wAfter w:w="14" w:type="dxa"/>
          <w:trHeight w:val="232"/>
        </w:trPr>
        <w:tc>
          <w:tcPr>
            <w:tcW w:w="1416" w:type="dxa"/>
          </w:tcPr>
          <w:p w14:paraId="4D2DF056" w14:textId="77777777" w:rsidR="00BB58C4" w:rsidRDefault="00000000">
            <w:pPr>
              <w:widowControl w:val="0"/>
              <w:autoSpaceDE w:val="0"/>
              <w:autoSpaceDN w:val="0"/>
              <w:spacing w:after="0" w:line="212" w:lineRule="exact"/>
              <w:ind w:left="8"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DEWA</w:t>
            </w:r>
          </w:p>
        </w:tc>
        <w:tc>
          <w:tcPr>
            <w:tcW w:w="990" w:type="dxa"/>
          </w:tcPr>
          <w:p w14:paraId="7669FFBC" w14:textId="77777777" w:rsidR="00BB58C4" w:rsidRDefault="00000000">
            <w:pPr>
              <w:widowControl w:val="0"/>
              <w:autoSpaceDE w:val="0"/>
              <w:autoSpaceDN w:val="0"/>
              <w:spacing w:after="0" w:line="212" w:lineRule="exact"/>
              <w:ind w:left="11"/>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4"/>
                <w:kern w:val="0"/>
                <w:sz w:val="20"/>
                <w:lang w:val="id"/>
                <w14:ligatures w14:val="none"/>
              </w:rPr>
              <w:t>2022</w:t>
            </w:r>
          </w:p>
        </w:tc>
        <w:tc>
          <w:tcPr>
            <w:tcW w:w="1350" w:type="dxa"/>
          </w:tcPr>
          <w:p w14:paraId="5B84D019" w14:textId="77777777" w:rsidR="00BB58C4" w:rsidRDefault="00000000">
            <w:pPr>
              <w:widowControl w:val="0"/>
              <w:autoSpaceDE w:val="0"/>
              <w:autoSpaceDN w:val="0"/>
              <w:spacing w:after="0" w:line="212" w:lineRule="exact"/>
              <w:ind w:left="8" w:righ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90,683</w:t>
            </w:r>
          </w:p>
        </w:tc>
        <w:tc>
          <w:tcPr>
            <w:tcW w:w="1239" w:type="dxa"/>
          </w:tcPr>
          <w:p w14:paraId="11303237" w14:textId="77777777" w:rsidR="00BB58C4" w:rsidRDefault="00000000">
            <w:pPr>
              <w:widowControl w:val="0"/>
              <w:autoSpaceDE w:val="0"/>
              <w:autoSpaceDN w:val="0"/>
              <w:spacing w:after="0" w:line="212" w:lineRule="exact"/>
              <w:ind w:left="5" w:right="2"/>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10"/>
                <w:kern w:val="0"/>
                <w:sz w:val="20"/>
                <w:lang w:val="id"/>
                <w14:ligatures w14:val="none"/>
              </w:rPr>
              <w:t>1</w:t>
            </w:r>
          </w:p>
        </w:tc>
        <w:tc>
          <w:tcPr>
            <w:tcW w:w="1443" w:type="dxa"/>
          </w:tcPr>
          <w:p w14:paraId="01032760" w14:textId="77777777" w:rsidR="00BB58C4" w:rsidRDefault="00000000">
            <w:pPr>
              <w:widowControl w:val="0"/>
              <w:autoSpaceDE w:val="0"/>
              <w:autoSpaceDN w:val="0"/>
              <w:spacing w:after="0" w:line="212" w:lineRule="exact"/>
              <w:ind w:left="5"/>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6,675</w:t>
            </w:r>
          </w:p>
        </w:tc>
        <w:tc>
          <w:tcPr>
            <w:tcW w:w="1486" w:type="dxa"/>
          </w:tcPr>
          <w:p w14:paraId="710A349C" w14:textId="77777777" w:rsidR="00BB58C4" w:rsidRDefault="00000000">
            <w:pPr>
              <w:widowControl w:val="0"/>
              <w:autoSpaceDE w:val="0"/>
              <w:autoSpaceDN w:val="0"/>
              <w:spacing w:after="0" w:line="212" w:lineRule="exact"/>
              <w:ind w:left="3"/>
              <w:jc w:val="center"/>
              <w:rPr>
                <w:rFonts w:ascii="Times New Roman" w:eastAsia="Times New Roman" w:hAnsi="Times New Roman" w:cs="Times New Roman"/>
                <w:kern w:val="0"/>
                <w:sz w:val="20"/>
                <w:lang w:val="id"/>
                <w14:ligatures w14:val="none"/>
              </w:rPr>
            </w:pPr>
            <w:r>
              <w:rPr>
                <w:rFonts w:ascii="Times New Roman" w:eastAsia="Times New Roman" w:hAnsi="Times New Roman" w:cs="Times New Roman"/>
                <w:spacing w:val="-2"/>
                <w:kern w:val="0"/>
                <w:sz w:val="20"/>
                <w:lang w:val="id"/>
                <w14:ligatures w14:val="none"/>
              </w:rPr>
              <w:t>2,546</w:t>
            </w:r>
          </w:p>
        </w:tc>
      </w:tr>
      <w:tr w:rsidR="00BB58C4" w14:paraId="6FC6555E" w14:textId="77777777">
        <w:trPr>
          <w:gridAfter w:val="1"/>
          <w:wAfter w:w="14" w:type="dxa"/>
          <w:trHeight w:val="460"/>
        </w:trPr>
        <w:tc>
          <w:tcPr>
            <w:tcW w:w="1416" w:type="dxa"/>
          </w:tcPr>
          <w:p w14:paraId="728508A9" w14:textId="77777777" w:rsidR="00BB58C4" w:rsidRDefault="00000000">
            <w:pPr>
              <w:pStyle w:val="TableParagraph"/>
              <w:spacing w:line="240" w:lineRule="auto"/>
              <w:ind w:left="8" w:right="2"/>
              <w:rPr>
                <w:b/>
                <w:sz w:val="20"/>
              </w:rPr>
            </w:pPr>
            <w:r>
              <w:rPr>
                <w:b/>
                <w:spacing w:val="-4"/>
                <w:sz w:val="20"/>
              </w:rPr>
              <w:lastRenderedPageBreak/>
              <w:t>Kode</w:t>
            </w:r>
          </w:p>
          <w:p w14:paraId="74AA3BF8" w14:textId="77777777" w:rsidR="00BB58C4" w:rsidRDefault="00000000">
            <w:pPr>
              <w:pStyle w:val="TableParagraph"/>
              <w:ind w:left="8"/>
              <w:rPr>
                <w:b/>
                <w:sz w:val="20"/>
              </w:rPr>
            </w:pPr>
            <w:r>
              <w:rPr>
                <w:b/>
                <w:spacing w:val="-2"/>
                <w:sz w:val="20"/>
              </w:rPr>
              <w:t>Perusahaan</w:t>
            </w:r>
          </w:p>
        </w:tc>
        <w:tc>
          <w:tcPr>
            <w:tcW w:w="990" w:type="dxa"/>
          </w:tcPr>
          <w:p w14:paraId="41CB8D9C" w14:textId="77777777" w:rsidR="00BB58C4" w:rsidRDefault="00000000">
            <w:pPr>
              <w:pStyle w:val="TableParagraph"/>
              <w:spacing w:before="115" w:line="240" w:lineRule="auto"/>
              <w:ind w:left="11" w:right="3"/>
              <w:rPr>
                <w:b/>
                <w:sz w:val="20"/>
              </w:rPr>
            </w:pPr>
            <w:r>
              <w:rPr>
                <w:b/>
                <w:spacing w:val="-2"/>
                <w:sz w:val="20"/>
              </w:rPr>
              <w:t>Periode</w:t>
            </w:r>
          </w:p>
        </w:tc>
        <w:tc>
          <w:tcPr>
            <w:tcW w:w="1350" w:type="dxa"/>
          </w:tcPr>
          <w:p w14:paraId="39045E88" w14:textId="77777777" w:rsidR="00BB58C4" w:rsidRDefault="00000000">
            <w:pPr>
              <w:pStyle w:val="TableParagraph"/>
              <w:spacing w:line="230" w:lineRule="atLeast"/>
              <w:ind w:left="368" w:right="300" w:hanging="51"/>
              <w:jc w:val="left"/>
              <w:rPr>
                <w:b/>
                <w:i/>
                <w:sz w:val="20"/>
              </w:rPr>
            </w:pPr>
            <w:r>
              <w:rPr>
                <w:b/>
                <w:i/>
                <w:spacing w:val="-2"/>
                <w:sz w:val="20"/>
              </w:rPr>
              <w:t>Transfer Pricing</w:t>
            </w:r>
          </w:p>
        </w:tc>
        <w:tc>
          <w:tcPr>
            <w:tcW w:w="1239" w:type="dxa"/>
          </w:tcPr>
          <w:p w14:paraId="77AB5E78" w14:textId="77777777" w:rsidR="00BB58C4" w:rsidRDefault="00000000">
            <w:pPr>
              <w:pStyle w:val="TableParagraph"/>
              <w:spacing w:before="115" w:line="240" w:lineRule="auto"/>
              <w:ind w:left="5"/>
              <w:rPr>
                <w:b/>
                <w:i/>
                <w:sz w:val="20"/>
              </w:rPr>
            </w:pPr>
            <w:r>
              <w:rPr>
                <w:b/>
                <w:i/>
                <w:spacing w:val="-4"/>
                <w:sz w:val="20"/>
              </w:rPr>
              <w:t>Tax</w:t>
            </w:r>
            <w:r>
              <w:rPr>
                <w:b/>
                <w:i/>
                <w:spacing w:val="-9"/>
                <w:sz w:val="20"/>
              </w:rPr>
              <w:t xml:space="preserve"> </w:t>
            </w:r>
            <w:r>
              <w:rPr>
                <w:b/>
                <w:i/>
                <w:spacing w:val="-4"/>
                <w:sz w:val="20"/>
              </w:rPr>
              <w:t>Haven</w:t>
            </w:r>
          </w:p>
        </w:tc>
        <w:tc>
          <w:tcPr>
            <w:tcW w:w="1443" w:type="dxa"/>
          </w:tcPr>
          <w:p w14:paraId="04542459" w14:textId="77777777" w:rsidR="00BB58C4" w:rsidRDefault="00000000">
            <w:pPr>
              <w:pStyle w:val="TableParagraph"/>
              <w:spacing w:line="230" w:lineRule="atLeast"/>
              <w:ind w:left="501" w:hanging="209"/>
              <w:jc w:val="left"/>
              <w:rPr>
                <w:b/>
                <w:i/>
                <w:sz w:val="20"/>
              </w:rPr>
            </w:pPr>
            <w:r>
              <w:rPr>
                <w:b/>
                <w:i/>
                <w:spacing w:val="-2"/>
                <w:sz w:val="20"/>
              </w:rPr>
              <w:t>Intangible Asset</w:t>
            </w:r>
          </w:p>
        </w:tc>
        <w:tc>
          <w:tcPr>
            <w:tcW w:w="1486" w:type="dxa"/>
          </w:tcPr>
          <w:p w14:paraId="2B031C76" w14:textId="77777777" w:rsidR="00BB58C4" w:rsidRDefault="00000000">
            <w:pPr>
              <w:pStyle w:val="TableParagraph"/>
              <w:spacing w:line="240" w:lineRule="auto"/>
              <w:ind w:left="3" w:right="3"/>
              <w:rPr>
                <w:b/>
                <w:i/>
                <w:sz w:val="20"/>
              </w:rPr>
            </w:pPr>
            <w:r>
              <w:rPr>
                <w:b/>
                <w:i/>
                <w:spacing w:val="-5"/>
                <w:sz w:val="20"/>
              </w:rPr>
              <w:t>Tax</w:t>
            </w:r>
          </w:p>
          <w:p w14:paraId="3167A233" w14:textId="77777777" w:rsidR="00BB58C4" w:rsidRDefault="00000000">
            <w:pPr>
              <w:pStyle w:val="TableParagraph"/>
              <w:ind w:left="3" w:right="3"/>
              <w:rPr>
                <w:b/>
                <w:i/>
                <w:sz w:val="20"/>
              </w:rPr>
            </w:pPr>
            <w:r>
              <w:rPr>
                <w:b/>
                <w:i/>
                <w:spacing w:val="-2"/>
                <w:sz w:val="20"/>
              </w:rPr>
              <w:t>Minimization</w:t>
            </w:r>
          </w:p>
        </w:tc>
      </w:tr>
      <w:tr w:rsidR="00BB58C4" w14:paraId="4DD3F001" w14:textId="77777777">
        <w:trPr>
          <w:gridAfter w:val="1"/>
          <w:wAfter w:w="14" w:type="dxa"/>
          <w:trHeight w:val="230"/>
        </w:trPr>
        <w:tc>
          <w:tcPr>
            <w:tcW w:w="1416" w:type="dxa"/>
          </w:tcPr>
          <w:p w14:paraId="26C5E4FF" w14:textId="77777777" w:rsidR="00BB58C4" w:rsidRDefault="00000000">
            <w:pPr>
              <w:pStyle w:val="TableParagraph"/>
              <w:ind w:left="8" w:right="2"/>
              <w:rPr>
                <w:sz w:val="20"/>
              </w:rPr>
            </w:pPr>
            <w:r>
              <w:rPr>
                <w:spacing w:val="-4"/>
                <w:sz w:val="20"/>
              </w:rPr>
              <w:t>DEWA</w:t>
            </w:r>
          </w:p>
        </w:tc>
        <w:tc>
          <w:tcPr>
            <w:tcW w:w="990" w:type="dxa"/>
          </w:tcPr>
          <w:p w14:paraId="10EEC934" w14:textId="77777777" w:rsidR="00BB58C4" w:rsidRDefault="00000000">
            <w:pPr>
              <w:pStyle w:val="TableParagraph"/>
              <w:ind w:left="11"/>
              <w:rPr>
                <w:sz w:val="20"/>
              </w:rPr>
            </w:pPr>
            <w:r>
              <w:rPr>
                <w:spacing w:val="-4"/>
                <w:sz w:val="20"/>
              </w:rPr>
              <w:t>2023</w:t>
            </w:r>
          </w:p>
        </w:tc>
        <w:tc>
          <w:tcPr>
            <w:tcW w:w="1350" w:type="dxa"/>
          </w:tcPr>
          <w:p w14:paraId="33A99D11" w14:textId="77777777" w:rsidR="00BB58C4" w:rsidRDefault="00000000">
            <w:pPr>
              <w:pStyle w:val="TableParagraph"/>
              <w:ind w:left="8" w:right="3"/>
              <w:rPr>
                <w:sz w:val="20"/>
              </w:rPr>
            </w:pPr>
            <w:r>
              <w:rPr>
                <w:spacing w:val="-2"/>
                <w:sz w:val="20"/>
              </w:rPr>
              <w:t>80,741</w:t>
            </w:r>
          </w:p>
        </w:tc>
        <w:tc>
          <w:tcPr>
            <w:tcW w:w="1239" w:type="dxa"/>
          </w:tcPr>
          <w:p w14:paraId="0CFB7277" w14:textId="77777777" w:rsidR="00BB58C4" w:rsidRDefault="00000000">
            <w:pPr>
              <w:pStyle w:val="TableParagraph"/>
              <w:ind w:left="5" w:right="2"/>
              <w:rPr>
                <w:sz w:val="20"/>
              </w:rPr>
            </w:pPr>
            <w:r>
              <w:rPr>
                <w:spacing w:val="-10"/>
                <w:sz w:val="20"/>
              </w:rPr>
              <w:t>1</w:t>
            </w:r>
          </w:p>
        </w:tc>
        <w:tc>
          <w:tcPr>
            <w:tcW w:w="1443" w:type="dxa"/>
          </w:tcPr>
          <w:p w14:paraId="2562F82E" w14:textId="77777777" w:rsidR="00BB58C4" w:rsidRDefault="00000000">
            <w:pPr>
              <w:pStyle w:val="TableParagraph"/>
              <w:ind w:left="5"/>
              <w:rPr>
                <w:sz w:val="20"/>
              </w:rPr>
            </w:pPr>
            <w:r>
              <w:rPr>
                <w:spacing w:val="-2"/>
                <w:sz w:val="20"/>
              </w:rPr>
              <w:t>6,715</w:t>
            </w:r>
          </w:p>
        </w:tc>
        <w:tc>
          <w:tcPr>
            <w:tcW w:w="1486" w:type="dxa"/>
          </w:tcPr>
          <w:p w14:paraId="60D7B1FC" w14:textId="77777777" w:rsidR="00BB58C4" w:rsidRDefault="00000000">
            <w:pPr>
              <w:pStyle w:val="TableParagraph"/>
              <w:ind w:left="3"/>
              <w:rPr>
                <w:sz w:val="20"/>
              </w:rPr>
            </w:pPr>
            <w:r>
              <w:rPr>
                <w:spacing w:val="-2"/>
                <w:sz w:val="20"/>
              </w:rPr>
              <w:t>2,543</w:t>
            </w:r>
          </w:p>
        </w:tc>
      </w:tr>
      <w:tr w:rsidR="00BB58C4" w14:paraId="6A2F9A31" w14:textId="77777777">
        <w:trPr>
          <w:gridAfter w:val="1"/>
          <w:wAfter w:w="14" w:type="dxa"/>
          <w:trHeight w:val="230"/>
        </w:trPr>
        <w:tc>
          <w:tcPr>
            <w:tcW w:w="1416" w:type="dxa"/>
          </w:tcPr>
          <w:p w14:paraId="56AB3FF0" w14:textId="77777777" w:rsidR="00BB58C4" w:rsidRDefault="00000000">
            <w:pPr>
              <w:pStyle w:val="TableParagraph"/>
              <w:ind w:left="8" w:right="2"/>
              <w:rPr>
                <w:sz w:val="20"/>
              </w:rPr>
            </w:pPr>
            <w:r>
              <w:rPr>
                <w:spacing w:val="-4"/>
                <w:sz w:val="20"/>
              </w:rPr>
              <w:t>MYOH</w:t>
            </w:r>
          </w:p>
        </w:tc>
        <w:tc>
          <w:tcPr>
            <w:tcW w:w="990" w:type="dxa"/>
          </w:tcPr>
          <w:p w14:paraId="02C0B168" w14:textId="77777777" w:rsidR="00BB58C4" w:rsidRDefault="00000000">
            <w:pPr>
              <w:pStyle w:val="TableParagraph"/>
              <w:ind w:left="11"/>
              <w:rPr>
                <w:sz w:val="20"/>
              </w:rPr>
            </w:pPr>
            <w:r>
              <w:rPr>
                <w:spacing w:val="-4"/>
                <w:sz w:val="20"/>
              </w:rPr>
              <w:t>2019</w:t>
            </w:r>
          </w:p>
        </w:tc>
        <w:tc>
          <w:tcPr>
            <w:tcW w:w="1350" w:type="dxa"/>
          </w:tcPr>
          <w:p w14:paraId="3562A6BE" w14:textId="77777777" w:rsidR="00BB58C4" w:rsidRDefault="00000000">
            <w:pPr>
              <w:pStyle w:val="TableParagraph"/>
              <w:ind w:left="8" w:right="3"/>
              <w:rPr>
                <w:sz w:val="20"/>
              </w:rPr>
            </w:pPr>
            <w:r>
              <w:rPr>
                <w:spacing w:val="-2"/>
                <w:sz w:val="20"/>
              </w:rPr>
              <w:t>130,927</w:t>
            </w:r>
          </w:p>
        </w:tc>
        <w:tc>
          <w:tcPr>
            <w:tcW w:w="1239" w:type="dxa"/>
          </w:tcPr>
          <w:p w14:paraId="24A39733" w14:textId="77777777" w:rsidR="00BB58C4" w:rsidRDefault="00000000">
            <w:pPr>
              <w:pStyle w:val="TableParagraph"/>
              <w:ind w:left="5" w:right="2"/>
              <w:rPr>
                <w:sz w:val="20"/>
              </w:rPr>
            </w:pPr>
            <w:r>
              <w:rPr>
                <w:spacing w:val="-10"/>
                <w:sz w:val="20"/>
              </w:rPr>
              <w:t>1</w:t>
            </w:r>
          </w:p>
        </w:tc>
        <w:tc>
          <w:tcPr>
            <w:tcW w:w="1443" w:type="dxa"/>
          </w:tcPr>
          <w:p w14:paraId="32EC57A5" w14:textId="77777777" w:rsidR="00BB58C4" w:rsidRDefault="00000000">
            <w:pPr>
              <w:pStyle w:val="TableParagraph"/>
              <w:ind w:left="5"/>
              <w:rPr>
                <w:sz w:val="20"/>
              </w:rPr>
            </w:pPr>
            <w:r>
              <w:rPr>
                <w:spacing w:val="-2"/>
                <w:sz w:val="20"/>
              </w:rPr>
              <w:t>11,196</w:t>
            </w:r>
          </w:p>
        </w:tc>
        <w:tc>
          <w:tcPr>
            <w:tcW w:w="1486" w:type="dxa"/>
          </w:tcPr>
          <w:p w14:paraId="2FEB1FCC" w14:textId="77777777" w:rsidR="00BB58C4" w:rsidRDefault="00000000">
            <w:pPr>
              <w:pStyle w:val="TableParagraph"/>
              <w:ind w:left="3"/>
              <w:rPr>
                <w:sz w:val="20"/>
              </w:rPr>
            </w:pPr>
            <w:r>
              <w:rPr>
                <w:spacing w:val="-2"/>
                <w:sz w:val="20"/>
              </w:rPr>
              <w:t>4,292</w:t>
            </w:r>
          </w:p>
        </w:tc>
      </w:tr>
      <w:tr w:rsidR="00BB58C4" w14:paraId="73634895" w14:textId="77777777">
        <w:trPr>
          <w:gridAfter w:val="1"/>
          <w:wAfter w:w="14" w:type="dxa"/>
          <w:trHeight w:val="230"/>
        </w:trPr>
        <w:tc>
          <w:tcPr>
            <w:tcW w:w="1416" w:type="dxa"/>
          </w:tcPr>
          <w:p w14:paraId="3F3B35C6" w14:textId="77777777" w:rsidR="00BB58C4" w:rsidRDefault="00000000">
            <w:pPr>
              <w:pStyle w:val="TableParagraph"/>
              <w:ind w:left="8" w:right="2"/>
              <w:rPr>
                <w:sz w:val="20"/>
              </w:rPr>
            </w:pPr>
            <w:r>
              <w:rPr>
                <w:spacing w:val="-4"/>
                <w:sz w:val="20"/>
              </w:rPr>
              <w:t>MYOH</w:t>
            </w:r>
          </w:p>
        </w:tc>
        <w:tc>
          <w:tcPr>
            <w:tcW w:w="990" w:type="dxa"/>
          </w:tcPr>
          <w:p w14:paraId="5D8ABCF4" w14:textId="77777777" w:rsidR="00BB58C4" w:rsidRDefault="00000000">
            <w:pPr>
              <w:pStyle w:val="TableParagraph"/>
              <w:ind w:left="11"/>
              <w:rPr>
                <w:sz w:val="20"/>
              </w:rPr>
            </w:pPr>
            <w:r>
              <w:rPr>
                <w:spacing w:val="-4"/>
                <w:sz w:val="20"/>
              </w:rPr>
              <w:t>2020</w:t>
            </w:r>
          </w:p>
        </w:tc>
        <w:tc>
          <w:tcPr>
            <w:tcW w:w="1350" w:type="dxa"/>
          </w:tcPr>
          <w:p w14:paraId="2E7FB62E" w14:textId="77777777" w:rsidR="00BB58C4" w:rsidRDefault="00000000">
            <w:pPr>
              <w:pStyle w:val="TableParagraph"/>
              <w:ind w:left="8" w:right="3"/>
              <w:rPr>
                <w:sz w:val="20"/>
              </w:rPr>
            </w:pPr>
            <w:r>
              <w:rPr>
                <w:spacing w:val="-2"/>
                <w:sz w:val="20"/>
              </w:rPr>
              <w:t>46,883</w:t>
            </w:r>
          </w:p>
        </w:tc>
        <w:tc>
          <w:tcPr>
            <w:tcW w:w="1239" w:type="dxa"/>
          </w:tcPr>
          <w:p w14:paraId="747CDEDF" w14:textId="77777777" w:rsidR="00BB58C4" w:rsidRDefault="00000000">
            <w:pPr>
              <w:pStyle w:val="TableParagraph"/>
              <w:ind w:left="5" w:right="2"/>
              <w:rPr>
                <w:sz w:val="20"/>
              </w:rPr>
            </w:pPr>
            <w:r>
              <w:rPr>
                <w:spacing w:val="-10"/>
                <w:sz w:val="20"/>
              </w:rPr>
              <w:t>1</w:t>
            </w:r>
          </w:p>
        </w:tc>
        <w:tc>
          <w:tcPr>
            <w:tcW w:w="1443" w:type="dxa"/>
          </w:tcPr>
          <w:p w14:paraId="757EFAE2" w14:textId="77777777" w:rsidR="00BB58C4" w:rsidRDefault="00000000">
            <w:pPr>
              <w:pStyle w:val="TableParagraph"/>
              <w:ind w:left="5"/>
              <w:rPr>
                <w:sz w:val="20"/>
              </w:rPr>
            </w:pPr>
            <w:r>
              <w:rPr>
                <w:spacing w:val="-2"/>
                <w:sz w:val="20"/>
              </w:rPr>
              <w:t>0,138</w:t>
            </w:r>
          </w:p>
        </w:tc>
        <w:tc>
          <w:tcPr>
            <w:tcW w:w="1486" w:type="dxa"/>
          </w:tcPr>
          <w:p w14:paraId="236BA345" w14:textId="77777777" w:rsidR="00BB58C4" w:rsidRDefault="00000000">
            <w:pPr>
              <w:pStyle w:val="TableParagraph"/>
              <w:ind w:left="3"/>
              <w:rPr>
                <w:sz w:val="20"/>
              </w:rPr>
            </w:pPr>
            <w:r>
              <w:rPr>
                <w:spacing w:val="-2"/>
                <w:sz w:val="20"/>
              </w:rPr>
              <w:t>0,236</w:t>
            </w:r>
          </w:p>
        </w:tc>
      </w:tr>
      <w:tr w:rsidR="00BB58C4" w14:paraId="0A8FF196" w14:textId="77777777">
        <w:trPr>
          <w:gridAfter w:val="1"/>
          <w:wAfter w:w="14" w:type="dxa"/>
          <w:trHeight w:val="230"/>
        </w:trPr>
        <w:tc>
          <w:tcPr>
            <w:tcW w:w="1416" w:type="dxa"/>
          </w:tcPr>
          <w:p w14:paraId="42E47703" w14:textId="77777777" w:rsidR="00BB58C4" w:rsidRDefault="00000000">
            <w:pPr>
              <w:pStyle w:val="TableParagraph"/>
              <w:ind w:left="8" w:right="2"/>
              <w:rPr>
                <w:sz w:val="20"/>
              </w:rPr>
            </w:pPr>
            <w:r>
              <w:rPr>
                <w:spacing w:val="-4"/>
                <w:sz w:val="20"/>
              </w:rPr>
              <w:t>MYOH</w:t>
            </w:r>
          </w:p>
        </w:tc>
        <w:tc>
          <w:tcPr>
            <w:tcW w:w="990" w:type="dxa"/>
          </w:tcPr>
          <w:p w14:paraId="51B683BB" w14:textId="77777777" w:rsidR="00BB58C4" w:rsidRDefault="00000000">
            <w:pPr>
              <w:pStyle w:val="TableParagraph"/>
              <w:ind w:left="11"/>
              <w:rPr>
                <w:sz w:val="20"/>
              </w:rPr>
            </w:pPr>
            <w:r>
              <w:rPr>
                <w:spacing w:val="-4"/>
                <w:sz w:val="20"/>
              </w:rPr>
              <w:t>2021</w:t>
            </w:r>
          </w:p>
        </w:tc>
        <w:tc>
          <w:tcPr>
            <w:tcW w:w="1350" w:type="dxa"/>
          </w:tcPr>
          <w:p w14:paraId="61E88E60" w14:textId="77777777" w:rsidR="00BB58C4" w:rsidRDefault="00000000">
            <w:pPr>
              <w:pStyle w:val="TableParagraph"/>
              <w:ind w:left="8" w:right="3"/>
              <w:rPr>
                <w:sz w:val="20"/>
              </w:rPr>
            </w:pPr>
            <w:r>
              <w:rPr>
                <w:spacing w:val="-2"/>
                <w:sz w:val="20"/>
              </w:rPr>
              <w:t>32,841</w:t>
            </w:r>
          </w:p>
        </w:tc>
        <w:tc>
          <w:tcPr>
            <w:tcW w:w="1239" w:type="dxa"/>
          </w:tcPr>
          <w:p w14:paraId="31AAD2DD" w14:textId="77777777" w:rsidR="00BB58C4" w:rsidRDefault="00000000">
            <w:pPr>
              <w:pStyle w:val="TableParagraph"/>
              <w:ind w:left="5" w:right="2"/>
              <w:rPr>
                <w:sz w:val="20"/>
              </w:rPr>
            </w:pPr>
            <w:r>
              <w:rPr>
                <w:spacing w:val="-10"/>
                <w:sz w:val="20"/>
              </w:rPr>
              <w:t>1</w:t>
            </w:r>
          </w:p>
        </w:tc>
        <w:tc>
          <w:tcPr>
            <w:tcW w:w="1443" w:type="dxa"/>
          </w:tcPr>
          <w:p w14:paraId="016847E6" w14:textId="77777777" w:rsidR="00BB58C4" w:rsidRDefault="00000000">
            <w:pPr>
              <w:pStyle w:val="TableParagraph"/>
              <w:ind w:left="5"/>
              <w:rPr>
                <w:sz w:val="20"/>
              </w:rPr>
            </w:pPr>
            <w:r>
              <w:rPr>
                <w:spacing w:val="-2"/>
                <w:sz w:val="20"/>
              </w:rPr>
              <w:t>0,378</w:t>
            </w:r>
          </w:p>
        </w:tc>
        <w:tc>
          <w:tcPr>
            <w:tcW w:w="1486" w:type="dxa"/>
          </w:tcPr>
          <w:p w14:paraId="189AED57" w14:textId="77777777" w:rsidR="00BB58C4" w:rsidRDefault="00000000">
            <w:pPr>
              <w:pStyle w:val="TableParagraph"/>
              <w:ind w:left="3"/>
              <w:rPr>
                <w:sz w:val="20"/>
              </w:rPr>
            </w:pPr>
            <w:r>
              <w:rPr>
                <w:spacing w:val="-2"/>
                <w:sz w:val="20"/>
              </w:rPr>
              <w:t>0,293</w:t>
            </w:r>
          </w:p>
        </w:tc>
      </w:tr>
      <w:tr w:rsidR="00BB58C4" w14:paraId="6766EAEE" w14:textId="77777777">
        <w:trPr>
          <w:gridAfter w:val="1"/>
          <w:wAfter w:w="14" w:type="dxa"/>
          <w:trHeight w:val="230"/>
        </w:trPr>
        <w:tc>
          <w:tcPr>
            <w:tcW w:w="1416" w:type="dxa"/>
          </w:tcPr>
          <w:p w14:paraId="4F33B157" w14:textId="77777777" w:rsidR="00BB58C4" w:rsidRDefault="00000000">
            <w:pPr>
              <w:pStyle w:val="TableParagraph"/>
              <w:ind w:left="8" w:right="2"/>
              <w:rPr>
                <w:sz w:val="20"/>
              </w:rPr>
            </w:pPr>
            <w:r>
              <w:rPr>
                <w:spacing w:val="-4"/>
                <w:sz w:val="20"/>
              </w:rPr>
              <w:t>MYOH</w:t>
            </w:r>
          </w:p>
        </w:tc>
        <w:tc>
          <w:tcPr>
            <w:tcW w:w="990" w:type="dxa"/>
          </w:tcPr>
          <w:p w14:paraId="0D272E63" w14:textId="77777777" w:rsidR="00BB58C4" w:rsidRDefault="00000000">
            <w:pPr>
              <w:pStyle w:val="TableParagraph"/>
              <w:ind w:left="11"/>
              <w:rPr>
                <w:sz w:val="20"/>
              </w:rPr>
            </w:pPr>
            <w:r>
              <w:rPr>
                <w:spacing w:val="-4"/>
                <w:sz w:val="20"/>
              </w:rPr>
              <w:t>2022</w:t>
            </w:r>
          </w:p>
        </w:tc>
        <w:tc>
          <w:tcPr>
            <w:tcW w:w="1350" w:type="dxa"/>
          </w:tcPr>
          <w:p w14:paraId="332B4A9B" w14:textId="77777777" w:rsidR="00BB58C4" w:rsidRDefault="00000000">
            <w:pPr>
              <w:pStyle w:val="TableParagraph"/>
              <w:ind w:left="8" w:right="3"/>
              <w:rPr>
                <w:sz w:val="20"/>
              </w:rPr>
            </w:pPr>
            <w:r>
              <w:rPr>
                <w:spacing w:val="-2"/>
                <w:sz w:val="20"/>
              </w:rPr>
              <w:t>60,026</w:t>
            </w:r>
          </w:p>
        </w:tc>
        <w:tc>
          <w:tcPr>
            <w:tcW w:w="1239" w:type="dxa"/>
          </w:tcPr>
          <w:p w14:paraId="1ED9F075" w14:textId="77777777" w:rsidR="00BB58C4" w:rsidRDefault="00000000">
            <w:pPr>
              <w:pStyle w:val="TableParagraph"/>
              <w:ind w:left="5" w:right="2"/>
              <w:rPr>
                <w:sz w:val="20"/>
              </w:rPr>
            </w:pPr>
            <w:r>
              <w:rPr>
                <w:spacing w:val="-10"/>
                <w:sz w:val="20"/>
              </w:rPr>
              <w:t>1</w:t>
            </w:r>
          </w:p>
        </w:tc>
        <w:tc>
          <w:tcPr>
            <w:tcW w:w="1443" w:type="dxa"/>
          </w:tcPr>
          <w:p w14:paraId="29EA6B4F" w14:textId="77777777" w:rsidR="00BB58C4" w:rsidRDefault="00000000">
            <w:pPr>
              <w:pStyle w:val="TableParagraph"/>
              <w:ind w:left="5"/>
              <w:rPr>
                <w:sz w:val="20"/>
              </w:rPr>
            </w:pPr>
            <w:r>
              <w:rPr>
                <w:spacing w:val="-2"/>
                <w:sz w:val="20"/>
              </w:rPr>
              <w:t>0,381</w:t>
            </w:r>
          </w:p>
        </w:tc>
        <w:tc>
          <w:tcPr>
            <w:tcW w:w="1486" w:type="dxa"/>
          </w:tcPr>
          <w:p w14:paraId="21236F06" w14:textId="77777777" w:rsidR="00BB58C4" w:rsidRDefault="00000000">
            <w:pPr>
              <w:pStyle w:val="TableParagraph"/>
              <w:ind w:left="3"/>
              <w:rPr>
                <w:sz w:val="20"/>
              </w:rPr>
            </w:pPr>
            <w:r>
              <w:rPr>
                <w:spacing w:val="-2"/>
                <w:sz w:val="20"/>
              </w:rPr>
              <w:t>0,139</w:t>
            </w:r>
          </w:p>
        </w:tc>
      </w:tr>
      <w:tr w:rsidR="00BB58C4" w14:paraId="268EE4E6" w14:textId="77777777">
        <w:trPr>
          <w:gridAfter w:val="1"/>
          <w:wAfter w:w="14" w:type="dxa"/>
          <w:trHeight w:val="230"/>
        </w:trPr>
        <w:tc>
          <w:tcPr>
            <w:tcW w:w="1416" w:type="dxa"/>
          </w:tcPr>
          <w:p w14:paraId="724F9DAD" w14:textId="77777777" w:rsidR="00BB58C4" w:rsidRDefault="00000000">
            <w:pPr>
              <w:pStyle w:val="TableParagraph"/>
              <w:ind w:left="8" w:right="2"/>
              <w:rPr>
                <w:sz w:val="20"/>
              </w:rPr>
            </w:pPr>
            <w:r>
              <w:rPr>
                <w:spacing w:val="-4"/>
                <w:sz w:val="20"/>
              </w:rPr>
              <w:t>MYOH</w:t>
            </w:r>
          </w:p>
        </w:tc>
        <w:tc>
          <w:tcPr>
            <w:tcW w:w="990" w:type="dxa"/>
          </w:tcPr>
          <w:p w14:paraId="7360E14B" w14:textId="77777777" w:rsidR="00BB58C4" w:rsidRDefault="00000000">
            <w:pPr>
              <w:pStyle w:val="TableParagraph"/>
              <w:ind w:left="11"/>
              <w:rPr>
                <w:sz w:val="20"/>
              </w:rPr>
            </w:pPr>
            <w:r>
              <w:rPr>
                <w:spacing w:val="-4"/>
                <w:sz w:val="20"/>
              </w:rPr>
              <w:t>2023</w:t>
            </w:r>
          </w:p>
        </w:tc>
        <w:tc>
          <w:tcPr>
            <w:tcW w:w="1350" w:type="dxa"/>
          </w:tcPr>
          <w:p w14:paraId="66AFE65E" w14:textId="77777777" w:rsidR="00BB58C4" w:rsidRDefault="00000000">
            <w:pPr>
              <w:pStyle w:val="TableParagraph"/>
              <w:ind w:left="8"/>
              <w:rPr>
                <w:sz w:val="20"/>
              </w:rPr>
            </w:pPr>
            <w:r>
              <w:rPr>
                <w:spacing w:val="-2"/>
                <w:sz w:val="20"/>
              </w:rPr>
              <w:t>5,737</w:t>
            </w:r>
          </w:p>
        </w:tc>
        <w:tc>
          <w:tcPr>
            <w:tcW w:w="1239" w:type="dxa"/>
          </w:tcPr>
          <w:p w14:paraId="05258230" w14:textId="77777777" w:rsidR="00BB58C4" w:rsidRDefault="00000000">
            <w:pPr>
              <w:pStyle w:val="TableParagraph"/>
              <w:ind w:left="5" w:right="2"/>
              <w:rPr>
                <w:sz w:val="20"/>
              </w:rPr>
            </w:pPr>
            <w:r>
              <w:rPr>
                <w:spacing w:val="-10"/>
                <w:sz w:val="20"/>
              </w:rPr>
              <w:t>1</w:t>
            </w:r>
          </w:p>
        </w:tc>
        <w:tc>
          <w:tcPr>
            <w:tcW w:w="1443" w:type="dxa"/>
          </w:tcPr>
          <w:p w14:paraId="0B001D58" w14:textId="77777777" w:rsidR="00BB58C4" w:rsidRDefault="00000000">
            <w:pPr>
              <w:pStyle w:val="TableParagraph"/>
              <w:ind w:left="5"/>
              <w:rPr>
                <w:sz w:val="20"/>
              </w:rPr>
            </w:pPr>
            <w:r>
              <w:rPr>
                <w:spacing w:val="-2"/>
                <w:sz w:val="20"/>
              </w:rPr>
              <w:t>0,415</w:t>
            </w:r>
          </w:p>
        </w:tc>
        <w:tc>
          <w:tcPr>
            <w:tcW w:w="1486" w:type="dxa"/>
          </w:tcPr>
          <w:p w14:paraId="1E726B66" w14:textId="77777777" w:rsidR="00BB58C4" w:rsidRDefault="00000000">
            <w:pPr>
              <w:pStyle w:val="TableParagraph"/>
              <w:ind w:left="3"/>
              <w:rPr>
                <w:sz w:val="20"/>
              </w:rPr>
            </w:pPr>
            <w:r>
              <w:rPr>
                <w:spacing w:val="-2"/>
                <w:sz w:val="20"/>
              </w:rPr>
              <w:t>0,177</w:t>
            </w:r>
          </w:p>
        </w:tc>
      </w:tr>
      <w:tr w:rsidR="00BB58C4" w14:paraId="4C0E96F3" w14:textId="77777777">
        <w:trPr>
          <w:gridAfter w:val="1"/>
          <w:wAfter w:w="14" w:type="dxa"/>
          <w:trHeight w:val="230"/>
        </w:trPr>
        <w:tc>
          <w:tcPr>
            <w:tcW w:w="1416" w:type="dxa"/>
          </w:tcPr>
          <w:p w14:paraId="52F011E9" w14:textId="77777777" w:rsidR="00BB58C4" w:rsidRDefault="00000000">
            <w:pPr>
              <w:pStyle w:val="TableParagraph"/>
              <w:ind w:left="8" w:right="1"/>
              <w:rPr>
                <w:sz w:val="20"/>
              </w:rPr>
            </w:pPr>
            <w:r>
              <w:rPr>
                <w:spacing w:val="-4"/>
                <w:sz w:val="20"/>
              </w:rPr>
              <w:t>ITMA</w:t>
            </w:r>
          </w:p>
        </w:tc>
        <w:tc>
          <w:tcPr>
            <w:tcW w:w="990" w:type="dxa"/>
          </w:tcPr>
          <w:p w14:paraId="5EEC06FD" w14:textId="77777777" w:rsidR="00BB58C4" w:rsidRDefault="00000000">
            <w:pPr>
              <w:pStyle w:val="TableParagraph"/>
              <w:ind w:left="11"/>
              <w:rPr>
                <w:sz w:val="20"/>
              </w:rPr>
            </w:pPr>
            <w:r>
              <w:rPr>
                <w:spacing w:val="-4"/>
                <w:sz w:val="20"/>
              </w:rPr>
              <w:t>2019</w:t>
            </w:r>
          </w:p>
        </w:tc>
        <w:tc>
          <w:tcPr>
            <w:tcW w:w="1350" w:type="dxa"/>
          </w:tcPr>
          <w:p w14:paraId="1FD4EE9B" w14:textId="77777777" w:rsidR="00BB58C4" w:rsidRDefault="00000000">
            <w:pPr>
              <w:pStyle w:val="TableParagraph"/>
              <w:ind w:left="8" w:right="3"/>
              <w:rPr>
                <w:sz w:val="20"/>
              </w:rPr>
            </w:pPr>
            <w:r>
              <w:rPr>
                <w:spacing w:val="-2"/>
                <w:sz w:val="20"/>
              </w:rPr>
              <w:t>83,436</w:t>
            </w:r>
          </w:p>
        </w:tc>
        <w:tc>
          <w:tcPr>
            <w:tcW w:w="1239" w:type="dxa"/>
          </w:tcPr>
          <w:p w14:paraId="46D269DA" w14:textId="77777777" w:rsidR="00BB58C4" w:rsidRDefault="00000000">
            <w:pPr>
              <w:pStyle w:val="TableParagraph"/>
              <w:ind w:left="5" w:right="2"/>
              <w:rPr>
                <w:sz w:val="20"/>
              </w:rPr>
            </w:pPr>
            <w:r>
              <w:rPr>
                <w:spacing w:val="-10"/>
                <w:sz w:val="20"/>
              </w:rPr>
              <w:t>1</w:t>
            </w:r>
          </w:p>
        </w:tc>
        <w:tc>
          <w:tcPr>
            <w:tcW w:w="1443" w:type="dxa"/>
          </w:tcPr>
          <w:p w14:paraId="1133BD38" w14:textId="77777777" w:rsidR="00BB58C4" w:rsidRDefault="00000000">
            <w:pPr>
              <w:pStyle w:val="TableParagraph"/>
              <w:ind w:left="5"/>
              <w:rPr>
                <w:sz w:val="20"/>
              </w:rPr>
            </w:pPr>
            <w:r>
              <w:rPr>
                <w:spacing w:val="-2"/>
                <w:sz w:val="20"/>
              </w:rPr>
              <w:t>5,507</w:t>
            </w:r>
          </w:p>
        </w:tc>
        <w:tc>
          <w:tcPr>
            <w:tcW w:w="1486" w:type="dxa"/>
          </w:tcPr>
          <w:p w14:paraId="08EECBD6" w14:textId="77777777" w:rsidR="00BB58C4" w:rsidRDefault="00000000">
            <w:pPr>
              <w:pStyle w:val="TableParagraph"/>
              <w:ind w:left="3"/>
              <w:rPr>
                <w:sz w:val="20"/>
              </w:rPr>
            </w:pPr>
            <w:r>
              <w:rPr>
                <w:spacing w:val="-2"/>
                <w:sz w:val="20"/>
              </w:rPr>
              <w:t>1,977</w:t>
            </w:r>
          </w:p>
        </w:tc>
      </w:tr>
      <w:tr w:rsidR="00BB58C4" w14:paraId="61867689" w14:textId="77777777">
        <w:trPr>
          <w:gridAfter w:val="1"/>
          <w:wAfter w:w="14" w:type="dxa"/>
          <w:trHeight w:val="230"/>
        </w:trPr>
        <w:tc>
          <w:tcPr>
            <w:tcW w:w="1416" w:type="dxa"/>
          </w:tcPr>
          <w:p w14:paraId="66C1C9AF" w14:textId="77777777" w:rsidR="00BB58C4" w:rsidRDefault="00000000">
            <w:pPr>
              <w:pStyle w:val="TableParagraph"/>
              <w:ind w:left="8" w:right="1"/>
              <w:rPr>
                <w:sz w:val="20"/>
              </w:rPr>
            </w:pPr>
            <w:r>
              <w:rPr>
                <w:spacing w:val="-4"/>
                <w:sz w:val="20"/>
              </w:rPr>
              <w:t>ITMA</w:t>
            </w:r>
          </w:p>
        </w:tc>
        <w:tc>
          <w:tcPr>
            <w:tcW w:w="990" w:type="dxa"/>
          </w:tcPr>
          <w:p w14:paraId="33631D82" w14:textId="77777777" w:rsidR="00BB58C4" w:rsidRDefault="00000000">
            <w:pPr>
              <w:pStyle w:val="TableParagraph"/>
              <w:ind w:left="11"/>
              <w:rPr>
                <w:sz w:val="20"/>
              </w:rPr>
            </w:pPr>
            <w:r>
              <w:rPr>
                <w:spacing w:val="-4"/>
                <w:sz w:val="20"/>
              </w:rPr>
              <w:t>2020</w:t>
            </w:r>
          </w:p>
        </w:tc>
        <w:tc>
          <w:tcPr>
            <w:tcW w:w="1350" w:type="dxa"/>
          </w:tcPr>
          <w:p w14:paraId="7C6FE362" w14:textId="77777777" w:rsidR="00BB58C4" w:rsidRDefault="00000000">
            <w:pPr>
              <w:pStyle w:val="TableParagraph"/>
              <w:ind w:left="8" w:right="3"/>
              <w:rPr>
                <w:sz w:val="20"/>
              </w:rPr>
            </w:pPr>
            <w:r>
              <w:rPr>
                <w:spacing w:val="-2"/>
                <w:sz w:val="20"/>
              </w:rPr>
              <w:t>101,477</w:t>
            </w:r>
          </w:p>
        </w:tc>
        <w:tc>
          <w:tcPr>
            <w:tcW w:w="1239" w:type="dxa"/>
          </w:tcPr>
          <w:p w14:paraId="6B731AAA" w14:textId="77777777" w:rsidR="00BB58C4" w:rsidRDefault="00000000">
            <w:pPr>
              <w:pStyle w:val="TableParagraph"/>
              <w:ind w:left="5" w:right="2"/>
              <w:rPr>
                <w:sz w:val="20"/>
              </w:rPr>
            </w:pPr>
            <w:r>
              <w:rPr>
                <w:spacing w:val="-10"/>
                <w:sz w:val="20"/>
              </w:rPr>
              <w:t>1</w:t>
            </w:r>
          </w:p>
        </w:tc>
        <w:tc>
          <w:tcPr>
            <w:tcW w:w="1443" w:type="dxa"/>
          </w:tcPr>
          <w:p w14:paraId="39D2D389" w14:textId="77777777" w:rsidR="00BB58C4" w:rsidRDefault="00000000">
            <w:pPr>
              <w:pStyle w:val="TableParagraph"/>
              <w:ind w:left="5"/>
              <w:rPr>
                <w:sz w:val="20"/>
              </w:rPr>
            </w:pPr>
            <w:r>
              <w:rPr>
                <w:spacing w:val="-2"/>
                <w:sz w:val="20"/>
              </w:rPr>
              <w:t>6,969</w:t>
            </w:r>
          </w:p>
        </w:tc>
        <w:tc>
          <w:tcPr>
            <w:tcW w:w="1486" w:type="dxa"/>
          </w:tcPr>
          <w:p w14:paraId="6809F846" w14:textId="77777777" w:rsidR="00BB58C4" w:rsidRDefault="00000000">
            <w:pPr>
              <w:pStyle w:val="TableParagraph"/>
              <w:ind w:left="3"/>
              <w:rPr>
                <w:sz w:val="20"/>
              </w:rPr>
            </w:pPr>
            <w:r>
              <w:rPr>
                <w:spacing w:val="-2"/>
                <w:sz w:val="20"/>
              </w:rPr>
              <w:t>2,486</w:t>
            </w:r>
          </w:p>
        </w:tc>
      </w:tr>
      <w:tr w:rsidR="00BB58C4" w14:paraId="608CA120" w14:textId="77777777">
        <w:trPr>
          <w:gridAfter w:val="1"/>
          <w:wAfter w:w="14" w:type="dxa"/>
          <w:trHeight w:val="230"/>
        </w:trPr>
        <w:tc>
          <w:tcPr>
            <w:tcW w:w="1416" w:type="dxa"/>
          </w:tcPr>
          <w:p w14:paraId="7E7E4F31" w14:textId="77777777" w:rsidR="00BB58C4" w:rsidRDefault="00000000">
            <w:pPr>
              <w:pStyle w:val="TableParagraph"/>
              <w:ind w:left="8" w:right="1"/>
              <w:rPr>
                <w:sz w:val="20"/>
              </w:rPr>
            </w:pPr>
            <w:r>
              <w:rPr>
                <w:spacing w:val="-4"/>
                <w:sz w:val="20"/>
              </w:rPr>
              <w:t>ITMA</w:t>
            </w:r>
          </w:p>
        </w:tc>
        <w:tc>
          <w:tcPr>
            <w:tcW w:w="990" w:type="dxa"/>
          </w:tcPr>
          <w:p w14:paraId="4EB0FA72" w14:textId="77777777" w:rsidR="00BB58C4" w:rsidRDefault="00000000">
            <w:pPr>
              <w:pStyle w:val="TableParagraph"/>
              <w:ind w:left="11"/>
              <w:rPr>
                <w:sz w:val="20"/>
              </w:rPr>
            </w:pPr>
            <w:r>
              <w:rPr>
                <w:spacing w:val="-4"/>
                <w:sz w:val="20"/>
              </w:rPr>
              <w:t>2021</w:t>
            </w:r>
          </w:p>
        </w:tc>
        <w:tc>
          <w:tcPr>
            <w:tcW w:w="1350" w:type="dxa"/>
          </w:tcPr>
          <w:p w14:paraId="7684B3C3" w14:textId="77777777" w:rsidR="00BB58C4" w:rsidRDefault="00000000">
            <w:pPr>
              <w:pStyle w:val="TableParagraph"/>
              <w:ind w:left="8" w:right="3"/>
              <w:rPr>
                <w:sz w:val="20"/>
              </w:rPr>
            </w:pPr>
            <w:r>
              <w:rPr>
                <w:spacing w:val="-2"/>
                <w:sz w:val="20"/>
              </w:rPr>
              <w:t>97,874</w:t>
            </w:r>
          </w:p>
        </w:tc>
        <w:tc>
          <w:tcPr>
            <w:tcW w:w="1239" w:type="dxa"/>
          </w:tcPr>
          <w:p w14:paraId="5BF14390" w14:textId="77777777" w:rsidR="00BB58C4" w:rsidRDefault="00000000">
            <w:pPr>
              <w:pStyle w:val="TableParagraph"/>
              <w:ind w:left="5" w:right="2"/>
              <w:rPr>
                <w:sz w:val="20"/>
              </w:rPr>
            </w:pPr>
            <w:r>
              <w:rPr>
                <w:spacing w:val="-10"/>
                <w:sz w:val="20"/>
              </w:rPr>
              <w:t>1</w:t>
            </w:r>
          </w:p>
        </w:tc>
        <w:tc>
          <w:tcPr>
            <w:tcW w:w="1443" w:type="dxa"/>
          </w:tcPr>
          <w:p w14:paraId="51B9D1BD" w14:textId="77777777" w:rsidR="00BB58C4" w:rsidRDefault="00000000">
            <w:pPr>
              <w:pStyle w:val="TableParagraph"/>
              <w:ind w:left="5"/>
              <w:rPr>
                <w:sz w:val="20"/>
              </w:rPr>
            </w:pPr>
            <w:r>
              <w:rPr>
                <w:spacing w:val="-2"/>
                <w:sz w:val="20"/>
              </w:rPr>
              <w:t>6,866</w:t>
            </w:r>
          </w:p>
        </w:tc>
        <w:tc>
          <w:tcPr>
            <w:tcW w:w="1486" w:type="dxa"/>
          </w:tcPr>
          <w:p w14:paraId="60B0251D" w14:textId="77777777" w:rsidR="00BB58C4" w:rsidRDefault="00000000">
            <w:pPr>
              <w:pStyle w:val="TableParagraph"/>
              <w:ind w:left="3"/>
              <w:rPr>
                <w:sz w:val="20"/>
              </w:rPr>
            </w:pPr>
            <w:r>
              <w:rPr>
                <w:spacing w:val="-2"/>
                <w:sz w:val="20"/>
              </w:rPr>
              <w:t>2,542</w:t>
            </w:r>
          </w:p>
        </w:tc>
      </w:tr>
      <w:tr w:rsidR="00BB58C4" w14:paraId="700DF0A9" w14:textId="77777777">
        <w:trPr>
          <w:gridAfter w:val="1"/>
          <w:wAfter w:w="14" w:type="dxa"/>
          <w:trHeight w:val="229"/>
        </w:trPr>
        <w:tc>
          <w:tcPr>
            <w:tcW w:w="1416" w:type="dxa"/>
          </w:tcPr>
          <w:p w14:paraId="0E0E2F6E" w14:textId="77777777" w:rsidR="00BB58C4" w:rsidRDefault="00000000">
            <w:pPr>
              <w:pStyle w:val="TableParagraph"/>
              <w:ind w:left="8" w:right="1"/>
              <w:rPr>
                <w:sz w:val="20"/>
              </w:rPr>
            </w:pPr>
            <w:r>
              <w:rPr>
                <w:spacing w:val="-4"/>
                <w:sz w:val="20"/>
              </w:rPr>
              <w:t>ITMA</w:t>
            </w:r>
          </w:p>
        </w:tc>
        <w:tc>
          <w:tcPr>
            <w:tcW w:w="990" w:type="dxa"/>
          </w:tcPr>
          <w:p w14:paraId="513E4A87" w14:textId="77777777" w:rsidR="00BB58C4" w:rsidRDefault="00000000">
            <w:pPr>
              <w:pStyle w:val="TableParagraph"/>
              <w:ind w:left="11"/>
              <w:rPr>
                <w:sz w:val="20"/>
              </w:rPr>
            </w:pPr>
            <w:r>
              <w:rPr>
                <w:spacing w:val="-4"/>
                <w:sz w:val="20"/>
              </w:rPr>
              <w:t>2022</w:t>
            </w:r>
          </w:p>
        </w:tc>
        <w:tc>
          <w:tcPr>
            <w:tcW w:w="1350" w:type="dxa"/>
          </w:tcPr>
          <w:p w14:paraId="5DBE0664" w14:textId="77777777" w:rsidR="00BB58C4" w:rsidRDefault="00000000">
            <w:pPr>
              <w:pStyle w:val="TableParagraph"/>
              <w:ind w:left="8" w:right="3"/>
              <w:rPr>
                <w:sz w:val="20"/>
              </w:rPr>
            </w:pPr>
            <w:r>
              <w:rPr>
                <w:spacing w:val="-2"/>
                <w:sz w:val="20"/>
              </w:rPr>
              <w:t>94,731</w:t>
            </w:r>
          </w:p>
        </w:tc>
        <w:tc>
          <w:tcPr>
            <w:tcW w:w="1239" w:type="dxa"/>
          </w:tcPr>
          <w:p w14:paraId="5E081300" w14:textId="77777777" w:rsidR="00BB58C4" w:rsidRDefault="00000000">
            <w:pPr>
              <w:pStyle w:val="TableParagraph"/>
              <w:ind w:left="5" w:right="2"/>
              <w:rPr>
                <w:sz w:val="20"/>
              </w:rPr>
            </w:pPr>
            <w:r>
              <w:rPr>
                <w:spacing w:val="-10"/>
                <w:sz w:val="20"/>
              </w:rPr>
              <w:t>1</w:t>
            </w:r>
          </w:p>
        </w:tc>
        <w:tc>
          <w:tcPr>
            <w:tcW w:w="1443" w:type="dxa"/>
          </w:tcPr>
          <w:p w14:paraId="76CDDDAF" w14:textId="77777777" w:rsidR="00BB58C4" w:rsidRDefault="00000000">
            <w:pPr>
              <w:pStyle w:val="TableParagraph"/>
              <w:ind w:left="5"/>
              <w:rPr>
                <w:sz w:val="20"/>
              </w:rPr>
            </w:pPr>
            <w:r>
              <w:rPr>
                <w:spacing w:val="-2"/>
                <w:sz w:val="20"/>
              </w:rPr>
              <w:t>5,830</w:t>
            </w:r>
          </w:p>
        </w:tc>
        <w:tc>
          <w:tcPr>
            <w:tcW w:w="1486" w:type="dxa"/>
          </w:tcPr>
          <w:p w14:paraId="52BE77FC" w14:textId="77777777" w:rsidR="00BB58C4" w:rsidRDefault="00000000">
            <w:pPr>
              <w:pStyle w:val="TableParagraph"/>
              <w:ind w:left="3"/>
              <w:rPr>
                <w:sz w:val="20"/>
              </w:rPr>
            </w:pPr>
            <w:r>
              <w:rPr>
                <w:spacing w:val="-2"/>
                <w:sz w:val="20"/>
              </w:rPr>
              <w:t>2,318</w:t>
            </w:r>
          </w:p>
        </w:tc>
      </w:tr>
      <w:tr w:rsidR="00BB58C4" w14:paraId="780AD3FF" w14:textId="77777777">
        <w:trPr>
          <w:gridAfter w:val="1"/>
          <w:wAfter w:w="14" w:type="dxa"/>
          <w:trHeight w:val="230"/>
        </w:trPr>
        <w:tc>
          <w:tcPr>
            <w:tcW w:w="1416" w:type="dxa"/>
          </w:tcPr>
          <w:p w14:paraId="61D675BC" w14:textId="77777777" w:rsidR="00BB58C4" w:rsidRDefault="00000000">
            <w:pPr>
              <w:pStyle w:val="TableParagraph"/>
              <w:spacing w:before="1"/>
              <w:ind w:left="8" w:right="1"/>
              <w:rPr>
                <w:sz w:val="20"/>
              </w:rPr>
            </w:pPr>
            <w:r>
              <w:rPr>
                <w:spacing w:val="-4"/>
                <w:sz w:val="20"/>
              </w:rPr>
              <w:t>ITMA</w:t>
            </w:r>
          </w:p>
        </w:tc>
        <w:tc>
          <w:tcPr>
            <w:tcW w:w="990" w:type="dxa"/>
          </w:tcPr>
          <w:p w14:paraId="7B6F8E53" w14:textId="77777777" w:rsidR="00BB58C4" w:rsidRDefault="00000000">
            <w:pPr>
              <w:pStyle w:val="TableParagraph"/>
              <w:spacing w:before="1"/>
              <w:ind w:left="11"/>
              <w:rPr>
                <w:sz w:val="20"/>
              </w:rPr>
            </w:pPr>
            <w:r>
              <w:rPr>
                <w:spacing w:val="-4"/>
                <w:sz w:val="20"/>
              </w:rPr>
              <w:t>2023</w:t>
            </w:r>
          </w:p>
        </w:tc>
        <w:tc>
          <w:tcPr>
            <w:tcW w:w="1350" w:type="dxa"/>
          </w:tcPr>
          <w:p w14:paraId="01B40EFA" w14:textId="77777777" w:rsidR="00BB58C4" w:rsidRDefault="00000000">
            <w:pPr>
              <w:pStyle w:val="TableParagraph"/>
              <w:spacing w:before="1"/>
              <w:ind w:left="8" w:right="3"/>
              <w:rPr>
                <w:sz w:val="20"/>
              </w:rPr>
            </w:pPr>
            <w:r>
              <w:rPr>
                <w:spacing w:val="-2"/>
                <w:sz w:val="20"/>
              </w:rPr>
              <w:t>65,790</w:t>
            </w:r>
          </w:p>
        </w:tc>
        <w:tc>
          <w:tcPr>
            <w:tcW w:w="1239" w:type="dxa"/>
          </w:tcPr>
          <w:p w14:paraId="73AF3401" w14:textId="77777777" w:rsidR="00BB58C4" w:rsidRDefault="00000000">
            <w:pPr>
              <w:pStyle w:val="TableParagraph"/>
              <w:spacing w:before="1"/>
              <w:ind w:left="5" w:right="2"/>
              <w:rPr>
                <w:sz w:val="20"/>
              </w:rPr>
            </w:pPr>
            <w:r>
              <w:rPr>
                <w:spacing w:val="-10"/>
                <w:sz w:val="20"/>
              </w:rPr>
              <w:t>1</w:t>
            </w:r>
          </w:p>
        </w:tc>
        <w:tc>
          <w:tcPr>
            <w:tcW w:w="1443" w:type="dxa"/>
          </w:tcPr>
          <w:p w14:paraId="236B0A7F" w14:textId="77777777" w:rsidR="00BB58C4" w:rsidRDefault="00000000">
            <w:pPr>
              <w:pStyle w:val="TableParagraph"/>
              <w:spacing w:before="1"/>
              <w:ind w:left="5"/>
              <w:rPr>
                <w:sz w:val="20"/>
              </w:rPr>
            </w:pPr>
            <w:r>
              <w:rPr>
                <w:spacing w:val="-2"/>
                <w:sz w:val="20"/>
              </w:rPr>
              <w:t>6,556</w:t>
            </w:r>
          </w:p>
        </w:tc>
        <w:tc>
          <w:tcPr>
            <w:tcW w:w="1486" w:type="dxa"/>
          </w:tcPr>
          <w:p w14:paraId="5C7E658E" w14:textId="77777777" w:rsidR="00BB58C4" w:rsidRDefault="00000000">
            <w:pPr>
              <w:pStyle w:val="TableParagraph"/>
              <w:spacing w:before="1"/>
              <w:ind w:left="3"/>
              <w:rPr>
                <w:sz w:val="20"/>
              </w:rPr>
            </w:pPr>
            <w:r>
              <w:rPr>
                <w:spacing w:val="-2"/>
                <w:sz w:val="20"/>
              </w:rPr>
              <w:t>2,472</w:t>
            </w:r>
          </w:p>
        </w:tc>
      </w:tr>
      <w:tr w:rsidR="00BB58C4" w14:paraId="1438EF88" w14:textId="77777777">
        <w:trPr>
          <w:gridAfter w:val="1"/>
          <w:wAfter w:w="14" w:type="dxa"/>
          <w:trHeight w:val="230"/>
        </w:trPr>
        <w:tc>
          <w:tcPr>
            <w:tcW w:w="1416" w:type="dxa"/>
          </w:tcPr>
          <w:p w14:paraId="5273CE8E" w14:textId="77777777" w:rsidR="00BB58C4" w:rsidRDefault="00000000">
            <w:pPr>
              <w:pStyle w:val="TableParagraph"/>
              <w:ind w:left="8" w:right="4"/>
              <w:rPr>
                <w:sz w:val="20"/>
              </w:rPr>
            </w:pPr>
            <w:r>
              <w:rPr>
                <w:spacing w:val="-4"/>
                <w:sz w:val="20"/>
              </w:rPr>
              <w:t>BRMS</w:t>
            </w:r>
          </w:p>
        </w:tc>
        <w:tc>
          <w:tcPr>
            <w:tcW w:w="990" w:type="dxa"/>
          </w:tcPr>
          <w:p w14:paraId="3FC7ED3C" w14:textId="77777777" w:rsidR="00BB58C4" w:rsidRDefault="00000000">
            <w:pPr>
              <w:pStyle w:val="TableParagraph"/>
              <w:ind w:left="11"/>
              <w:rPr>
                <w:sz w:val="20"/>
              </w:rPr>
            </w:pPr>
            <w:r>
              <w:rPr>
                <w:spacing w:val="-4"/>
                <w:sz w:val="20"/>
              </w:rPr>
              <w:t>2019</w:t>
            </w:r>
          </w:p>
        </w:tc>
        <w:tc>
          <w:tcPr>
            <w:tcW w:w="1350" w:type="dxa"/>
          </w:tcPr>
          <w:p w14:paraId="73E4F3DB" w14:textId="77777777" w:rsidR="00BB58C4" w:rsidRDefault="00000000">
            <w:pPr>
              <w:pStyle w:val="TableParagraph"/>
              <w:ind w:left="8" w:right="3"/>
              <w:rPr>
                <w:sz w:val="20"/>
              </w:rPr>
            </w:pPr>
            <w:r>
              <w:rPr>
                <w:spacing w:val="-2"/>
                <w:sz w:val="20"/>
              </w:rPr>
              <w:t>166,731</w:t>
            </w:r>
          </w:p>
        </w:tc>
        <w:tc>
          <w:tcPr>
            <w:tcW w:w="1239" w:type="dxa"/>
          </w:tcPr>
          <w:p w14:paraId="316C0954" w14:textId="77777777" w:rsidR="00BB58C4" w:rsidRDefault="00000000">
            <w:pPr>
              <w:pStyle w:val="TableParagraph"/>
              <w:ind w:left="5" w:right="2"/>
              <w:rPr>
                <w:sz w:val="20"/>
              </w:rPr>
            </w:pPr>
            <w:r>
              <w:rPr>
                <w:spacing w:val="-10"/>
                <w:sz w:val="20"/>
              </w:rPr>
              <w:t>1</w:t>
            </w:r>
          </w:p>
        </w:tc>
        <w:tc>
          <w:tcPr>
            <w:tcW w:w="1443" w:type="dxa"/>
          </w:tcPr>
          <w:p w14:paraId="18AE9D3B" w14:textId="77777777" w:rsidR="00BB58C4" w:rsidRDefault="00000000">
            <w:pPr>
              <w:pStyle w:val="TableParagraph"/>
              <w:ind w:left="5" w:right="3"/>
              <w:rPr>
                <w:sz w:val="20"/>
              </w:rPr>
            </w:pPr>
            <w:r>
              <w:rPr>
                <w:spacing w:val="-2"/>
                <w:sz w:val="20"/>
              </w:rPr>
              <w:t>26,331</w:t>
            </w:r>
          </w:p>
        </w:tc>
        <w:tc>
          <w:tcPr>
            <w:tcW w:w="1486" w:type="dxa"/>
          </w:tcPr>
          <w:p w14:paraId="7DD29F5F" w14:textId="77777777" w:rsidR="00BB58C4" w:rsidRDefault="00000000">
            <w:pPr>
              <w:pStyle w:val="TableParagraph"/>
              <w:ind w:left="3"/>
              <w:rPr>
                <w:sz w:val="20"/>
              </w:rPr>
            </w:pPr>
            <w:r>
              <w:rPr>
                <w:spacing w:val="-2"/>
                <w:sz w:val="20"/>
              </w:rPr>
              <w:t>2,554</w:t>
            </w:r>
          </w:p>
        </w:tc>
      </w:tr>
      <w:tr w:rsidR="00BB58C4" w14:paraId="69E4590D" w14:textId="77777777">
        <w:trPr>
          <w:gridAfter w:val="1"/>
          <w:wAfter w:w="14" w:type="dxa"/>
          <w:trHeight w:val="230"/>
        </w:trPr>
        <w:tc>
          <w:tcPr>
            <w:tcW w:w="1416" w:type="dxa"/>
          </w:tcPr>
          <w:p w14:paraId="6749FD29" w14:textId="77777777" w:rsidR="00BB58C4" w:rsidRDefault="00000000">
            <w:pPr>
              <w:pStyle w:val="TableParagraph"/>
              <w:ind w:left="8" w:right="4"/>
              <w:rPr>
                <w:sz w:val="20"/>
              </w:rPr>
            </w:pPr>
            <w:r>
              <w:rPr>
                <w:spacing w:val="-4"/>
                <w:sz w:val="20"/>
              </w:rPr>
              <w:t>BRMS</w:t>
            </w:r>
          </w:p>
        </w:tc>
        <w:tc>
          <w:tcPr>
            <w:tcW w:w="990" w:type="dxa"/>
          </w:tcPr>
          <w:p w14:paraId="1C81F60C" w14:textId="77777777" w:rsidR="00BB58C4" w:rsidRDefault="00000000">
            <w:pPr>
              <w:pStyle w:val="TableParagraph"/>
              <w:ind w:left="11"/>
              <w:rPr>
                <w:sz w:val="20"/>
              </w:rPr>
            </w:pPr>
            <w:r>
              <w:rPr>
                <w:spacing w:val="-4"/>
                <w:sz w:val="20"/>
              </w:rPr>
              <w:t>2020</w:t>
            </w:r>
          </w:p>
        </w:tc>
        <w:tc>
          <w:tcPr>
            <w:tcW w:w="1350" w:type="dxa"/>
          </w:tcPr>
          <w:p w14:paraId="40C8F045" w14:textId="77777777" w:rsidR="00BB58C4" w:rsidRDefault="00000000">
            <w:pPr>
              <w:pStyle w:val="TableParagraph"/>
              <w:ind w:left="8" w:right="3"/>
              <w:rPr>
                <w:sz w:val="20"/>
              </w:rPr>
            </w:pPr>
            <w:r>
              <w:rPr>
                <w:spacing w:val="-2"/>
                <w:sz w:val="20"/>
              </w:rPr>
              <w:t>92,859</w:t>
            </w:r>
          </w:p>
        </w:tc>
        <w:tc>
          <w:tcPr>
            <w:tcW w:w="1239" w:type="dxa"/>
          </w:tcPr>
          <w:p w14:paraId="77B64C99" w14:textId="77777777" w:rsidR="00BB58C4" w:rsidRDefault="00000000">
            <w:pPr>
              <w:pStyle w:val="TableParagraph"/>
              <w:ind w:left="5" w:right="2"/>
              <w:rPr>
                <w:sz w:val="20"/>
              </w:rPr>
            </w:pPr>
            <w:r>
              <w:rPr>
                <w:spacing w:val="-10"/>
                <w:sz w:val="20"/>
              </w:rPr>
              <w:t>1</w:t>
            </w:r>
          </w:p>
        </w:tc>
        <w:tc>
          <w:tcPr>
            <w:tcW w:w="1443" w:type="dxa"/>
          </w:tcPr>
          <w:p w14:paraId="27A57901" w14:textId="77777777" w:rsidR="00BB58C4" w:rsidRDefault="00000000">
            <w:pPr>
              <w:pStyle w:val="TableParagraph"/>
              <w:ind w:left="5" w:right="3"/>
              <w:rPr>
                <w:sz w:val="20"/>
              </w:rPr>
            </w:pPr>
            <w:r>
              <w:rPr>
                <w:spacing w:val="-2"/>
                <w:sz w:val="20"/>
              </w:rPr>
              <w:t>10,941</w:t>
            </w:r>
          </w:p>
        </w:tc>
        <w:tc>
          <w:tcPr>
            <w:tcW w:w="1486" w:type="dxa"/>
          </w:tcPr>
          <w:p w14:paraId="121FD2BD" w14:textId="77777777" w:rsidR="00BB58C4" w:rsidRDefault="00000000">
            <w:pPr>
              <w:pStyle w:val="TableParagraph"/>
              <w:ind w:left="3"/>
              <w:rPr>
                <w:sz w:val="20"/>
              </w:rPr>
            </w:pPr>
            <w:r>
              <w:rPr>
                <w:spacing w:val="-2"/>
                <w:sz w:val="20"/>
              </w:rPr>
              <w:t>0,218</w:t>
            </w:r>
          </w:p>
        </w:tc>
      </w:tr>
      <w:tr w:rsidR="00BB58C4" w14:paraId="6BBBC2E8" w14:textId="77777777">
        <w:trPr>
          <w:gridAfter w:val="1"/>
          <w:wAfter w:w="14" w:type="dxa"/>
          <w:trHeight w:val="230"/>
        </w:trPr>
        <w:tc>
          <w:tcPr>
            <w:tcW w:w="1416" w:type="dxa"/>
          </w:tcPr>
          <w:p w14:paraId="783930FE" w14:textId="77777777" w:rsidR="00BB58C4" w:rsidRDefault="00000000">
            <w:pPr>
              <w:pStyle w:val="TableParagraph"/>
              <w:ind w:left="8" w:right="4"/>
              <w:rPr>
                <w:sz w:val="20"/>
              </w:rPr>
            </w:pPr>
            <w:r>
              <w:rPr>
                <w:spacing w:val="-4"/>
                <w:sz w:val="20"/>
              </w:rPr>
              <w:t>BRMS</w:t>
            </w:r>
          </w:p>
        </w:tc>
        <w:tc>
          <w:tcPr>
            <w:tcW w:w="990" w:type="dxa"/>
          </w:tcPr>
          <w:p w14:paraId="45198858" w14:textId="77777777" w:rsidR="00BB58C4" w:rsidRDefault="00000000">
            <w:pPr>
              <w:pStyle w:val="TableParagraph"/>
              <w:ind w:left="11"/>
              <w:rPr>
                <w:sz w:val="20"/>
              </w:rPr>
            </w:pPr>
            <w:r>
              <w:rPr>
                <w:spacing w:val="-4"/>
                <w:sz w:val="20"/>
              </w:rPr>
              <w:t>2021</w:t>
            </w:r>
          </w:p>
        </w:tc>
        <w:tc>
          <w:tcPr>
            <w:tcW w:w="1350" w:type="dxa"/>
          </w:tcPr>
          <w:p w14:paraId="7F906C69" w14:textId="77777777" w:rsidR="00BB58C4" w:rsidRDefault="00000000">
            <w:pPr>
              <w:pStyle w:val="TableParagraph"/>
              <w:ind w:left="8" w:right="3"/>
              <w:rPr>
                <w:sz w:val="20"/>
              </w:rPr>
            </w:pPr>
            <w:r>
              <w:rPr>
                <w:spacing w:val="-2"/>
                <w:sz w:val="20"/>
              </w:rPr>
              <w:t>123,143</w:t>
            </w:r>
          </w:p>
        </w:tc>
        <w:tc>
          <w:tcPr>
            <w:tcW w:w="1239" w:type="dxa"/>
          </w:tcPr>
          <w:p w14:paraId="629BED2E" w14:textId="77777777" w:rsidR="00BB58C4" w:rsidRDefault="00000000">
            <w:pPr>
              <w:pStyle w:val="TableParagraph"/>
              <w:ind w:left="5" w:right="2"/>
              <w:rPr>
                <w:sz w:val="20"/>
              </w:rPr>
            </w:pPr>
            <w:r>
              <w:rPr>
                <w:spacing w:val="-10"/>
                <w:sz w:val="20"/>
              </w:rPr>
              <w:t>1</w:t>
            </w:r>
          </w:p>
        </w:tc>
        <w:tc>
          <w:tcPr>
            <w:tcW w:w="1443" w:type="dxa"/>
          </w:tcPr>
          <w:p w14:paraId="12E6F36D" w14:textId="77777777" w:rsidR="00BB58C4" w:rsidRDefault="00000000">
            <w:pPr>
              <w:pStyle w:val="TableParagraph"/>
              <w:ind w:left="5" w:right="3"/>
              <w:rPr>
                <w:sz w:val="20"/>
              </w:rPr>
            </w:pPr>
            <w:r>
              <w:rPr>
                <w:spacing w:val="-2"/>
                <w:sz w:val="20"/>
              </w:rPr>
              <w:t>10,705</w:t>
            </w:r>
          </w:p>
        </w:tc>
        <w:tc>
          <w:tcPr>
            <w:tcW w:w="1486" w:type="dxa"/>
          </w:tcPr>
          <w:p w14:paraId="41155DC9" w14:textId="77777777" w:rsidR="00BB58C4" w:rsidRDefault="00000000">
            <w:pPr>
              <w:pStyle w:val="TableParagraph"/>
              <w:ind w:left="3"/>
              <w:rPr>
                <w:sz w:val="20"/>
              </w:rPr>
            </w:pPr>
            <w:r>
              <w:rPr>
                <w:spacing w:val="-2"/>
                <w:sz w:val="20"/>
              </w:rPr>
              <w:t>2,916</w:t>
            </w:r>
          </w:p>
        </w:tc>
      </w:tr>
      <w:tr w:rsidR="00BB58C4" w14:paraId="4E1AB6A6" w14:textId="77777777">
        <w:trPr>
          <w:gridAfter w:val="1"/>
          <w:wAfter w:w="14" w:type="dxa"/>
          <w:trHeight w:val="230"/>
        </w:trPr>
        <w:tc>
          <w:tcPr>
            <w:tcW w:w="1416" w:type="dxa"/>
          </w:tcPr>
          <w:p w14:paraId="1D3124C9" w14:textId="77777777" w:rsidR="00BB58C4" w:rsidRDefault="00000000">
            <w:pPr>
              <w:pStyle w:val="TableParagraph"/>
              <w:ind w:left="8" w:right="4"/>
              <w:rPr>
                <w:sz w:val="20"/>
              </w:rPr>
            </w:pPr>
            <w:r>
              <w:rPr>
                <w:spacing w:val="-4"/>
                <w:sz w:val="20"/>
              </w:rPr>
              <w:t>BRMS</w:t>
            </w:r>
          </w:p>
        </w:tc>
        <w:tc>
          <w:tcPr>
            <w:tcW w:w="990" w:type="dxa"/>
          </w:tcPr>
          <w:p w14:paraId="015CF915" w14:textId="77777777" w:rsidR="00BB58C4" w:rsidRDefault="00000000">
            <w:pPr>
              <w:pStyle w:val="TableParagraph"/>
              <w:ind w:left="11"/>
              <w:rPr>
                <w:sz w:val="20"/>
              </w:rPr>
            </w:pPr>
            <w:r>
              <w:rPr>
                <w:spacing w:val="-4"/>
                <w:sz w:val="20"/>
              </w:rPr>
              <w:t>2022</w:t>
            </w:r>
          </w:p>
        </w:tc>
        <w:tc>
          <w:tcPr>
            <w:tcW w:w="1350" w:type="dxa"/>
          </w:tcPr>
          <w:p w14:paraId="66CC47BC" w14:textId="77777777" w:rsidR="00BB58C4" w:rsidRDefault="00000000">
            <w:pPr>
              <w:pStyle w:val="TableParagraph"/>
              <w:ind w:left="8" w:right="3"/>
              <w:rPr>
                <w:sz w:val="20"/>
              </w:rPr>
            </w:pPr>
            <w:r>
              <w:rPr>
                <w:spacing w:val="-2"/>
                <w:sz w:val="20"/>
              </w:rPr>
              <w:t>97,171</w:t>
            </w:r>
          </w:p>
        </w:tc>
        <w:tc>
          <w:tcPr>
            <w:tcW w:w="1239" w:type="dxa"/>
          </w:tcPr>
          <w:p w14:paraId="45E8DE79" w14:textId="77777777" w:rsidR="00BB58C4" w:rsidRDefault="00000000">
            <w:pPr>
              <w:pStyle w:val="TableParagraph"/>
              <w:ind w:left="5" w:right="2"/>
              <w:rPr>
                <w:sz w:val="20"/>
              </w:rPr>
            </w:pPr>
            <w:r>
              <w:rPr>
                <w:spacing w:val="-10"/>
                <w:sz w:val="20"/>
              </w:rPr>
              <w:t>1</w:t>
            </w:r>
          </w:p>
        </w:tc>
        <w:tc>
          <w:tcPr>
            <w:tcW w:w="1443" w:type="dxa"/>
          </w:tcPr>
          <w:p w14:paraId="11ABB1D5" w14:textId="77777777" w:rsidR="00BB58C4" w:rsidRDefault="00000000">
            <w:pPr>
              <w:pStyle w:val="TableParagraph"/>
              <w:ind w:left="5" w:right="3"/>
              <w:rPr>
                <w:sz w:val="20"/>
              </w:rPr>
            </w:pPr>
            <w:r>
              <w:rPr>
                <w:spacing w:val="-2"/>
                <w:sz w:val="20"/>
              </w:rPr>
              <w:t>10,272</w:t>
            </w:r>
          </w:p>
        </w:tc>
        <w:tc>
          <w:tcPr>
            <w:tcW w:w="1486" w:type="dxa"/>
          </w:tcPr>
          <w:p w14:paraId="02D2051C" w14:textId="77777777" w:rsidR="00BB58C4" w:rsidRDefault="00000000">
            <w:pPr>
              <w:pStyle w:val="TableParagraph"/>
              <w:ind w:left="3"/>
              <w:rPr>
                <w:sz w:val="20"/>
              </w:rPr>
            </w:pPr>
            <w:r>
              <w:rPr>
                <w:spacing w:val="-2"/>
                <w:sz w:val="20"/>
              </w:rPr>
              <w:t>2,573</w:t>
            </w:r>
          </w:p>
        </w:tc>
      </w:tr>
      <w:tr w:rsidR="00BB58C4" w14:paraId="3C209F4D" w14:textId="77777777">
        <w:trPr>
          <w:gridAfter w:val="1"/>
          <w:wAfter w:w="14" w:type="dxa"/>
          <w:trHeight w:val="230"/>
        </w:trPr>
        <w:tc>
          <w:tcPr>
            <w:tcW w:w="1416" w:type="dxa"/>
          </w:tcPr>
          <w:p w14:paraId="71DDCFFA" w14:textId="77777777" w:rsidR="00BB58C4" w:rsidRDefault="00000000">
            <w:pPr>
              <w:pStyle w:val="TableParagraph"/>
              <w:ind w:left="8" w:right="4"/>
              <w:rPr>
                <w:sz w:val="20"/>
              </w:rPr>
            </w:pPr>
            <w:r>
              <w:rPr>
                <w:spacing w:val="-4"/>
                <w:sz w:val="20"/>
              </w:rPr>
              <w:t>BRMS</w:t>
            </w:r>
          </w:p>
        </w:tc>
        <w:tc>
          <w:tcPr>
            <w:tcW w:w="990" w:type="dxa"/>
          </w:tcPr>
          <w:p w14:paraId="65809A36" w14:textId="77777777" w:rsidR="00BB58C4" w:rsidRDefault="00000000">
            <w:pPr>
              <w:pStyle w:val="TableParagraph"/>
              <w:ind w:left="11"/>
              <w:rPr>
                <w:sz w:val="20"/>
              </w:rPr>
            </w:pPr>
            <w:r>
              <w:rPr>
                <w:spacing w:val="-4"/>
                <w:sz w:val="20"/>
              </w:rPr>
              <w:t>2023</w:t>
            </w:r>
          </w:p>
        </w:tc>
        <w:tc>
          <w:tcPr>
            <w:tcW w:w="1350" w:type="dxa"/>
          </w:tcPr>
          <w:p w14:paraId="11A8F524" w14:textId="77777777" w:rsidR="00BB58C4" w:rsidRDefault="00000000">
            <w:pPr>
              <w:pStyle w:val="TableParagraph"/>
              <w:ind w:left="8"/>
              <w:rPr>
                <w:sz w:val="20"/>
              </w:rPr>
            </w:pPr>
            <w:r>
              <w:rPr>
                <w:spacing w:val="-2"/>
                <w:sz w:val="20"/>
              </w:rPr>
              <w:t>114,692</w:t>
            </w:r>
          </w:p>
        </w:tc>
        <w:tc>
          <w:tcPr>
            <w:tcW w:w="1239" w:type="dxa"/>
          </w:tcPr>
          <w:p w14:paraId="19D132A8" w14:textId="77777777" w:rsidR="00BB58C4" w:rsidRDefault="00000000">
            <w:pPr>
              <w:pStyle w:val="TableParagraph"/>
              <w:ind w:left="5" w:right="2"/>
              <w:rPr>
                <w:sz w:val="20"/>
              </w:rPr>
            </w:pPr>
            <w:r>
              <w:rPr>
                <w:spacing w:val="-10"/>
                <w:sz w:val="20"/>
              </w:rPr>
              <w:t>1</w:t>
            </w:r>
          </w:p>
        </w:tc>
        <w:tc>
          <w:tcPr>
            <w:tcW w:w="1443" w:type="dxa"/>
          </w:tcPr>
          <w:p w14:paraId="099122F0" w14:textId="77777777" w:rsidR="00BB58C4" w:rsidRDefault="00000000">
            <w:pPr>
              <w:pStyle w:val="TableParagraph"/>
              <w:ind w:left="5"/>
              <w:rPr>
                <w:sz w:val="20"/>
              </w:rPr>
            </w:pPr>
            <w:r>
              <w:rPr>
                <w:spacing w:val="-2"/>
                <w:sz w:val="20"/>
              </w:rPr>
              <w:t>7,621</w:t>
            </w:r>
          </w:p>
        </w:tc>
        <w:tc>
          <w:tcPr>
            <w:tcW w:w="1486" w:type="dxa"/>
          </w:tcPr>
          <w:p w14:paraId="1FF604BE" w14:textId="77777777" w:rsidR="00BB58C4" w:rsidRDefault="00000000">
            <w:pPr>
              <w:pStyle w:val="TableParagraph"/>
              <w:ind w:left="3"/>
              <w:rPr>
                <w:sz w:val="20"/>
              </w:rPr>
            </w:pPr>
            <w:r>
              <w:rPr>
                <w:spacing w:val="-2"/>
                <w:sz w:val="20"/>
              </w:rPr>
              <w:t>5,134</w:t>
            </w:r>
          </w:p>
        </w:tc>
      </w:tr>
      <w:tr w:rsidR="00BB58C4" w14:paraId="692A0922" w14:textId="77777777">
        <w:trPr>
          <w:gridAfter w:val="1"/>
          <w:wAfter w:w="14" w:type="dxa"/>
          <w:trHeight w:val="230"/>
        </w:trPr>
        <w:tc>
          <w:tcPr>
            <w:tcW w:w="1416" w:type="dxa"/>
          </w:tcPr>
          <w:p w14:paraId="4A8C223E" w14:textId="77777777" w:rsidR="00BB58C4" w:rsidRDefault="00000000">
            <w:pPr>
              <w:pStyle w:val="TableParagraph"/>
              <w:ind w:left="8"/>
              <w:rPr>
                <w:sz w:val="20"/>
              </w:rPr>
            </w:pPr>
            <w:r>
              <w:rPr>
                <w:spacing w:val="-4"/>
                <w:sz w:val="20"/>
              </w:rPr>
              <w:t>ANTM</w:t>
            </w:r>
          </w:p>
        </w:tc>
        <w:tc>
          <w:tcPr>
            <w:tcW w:w="990" w:type="dxa"/>
          </w:tcPr>
          <w:p w14:paraId="7D0A731F" w14:textId="77777777" w:rsidR="00BB58C4" w:rsidRDefault="00000000">
            <w:pPr>
              <w:pStyle w:val="TableParagraph"/>
              <w:ind w:left="11"/>
              <w:rPr>
                <w:sz w:val="20"/>
              </w:rPr>
            </w:pPr>
            <w:r>
              <w:rPr>
                <w:spacing w:val="-4"/>
                <w:sz w:val="20"/>
              </w:rPr>
              <w:t>2019</w:t>
            </w:r>
          </w:p>
        </w:tc>
        <w:tc>
          <w:tcPr>
            <w:tcW w:w="1350" w:type="dxa"/>
          </w:tcPr>
          <w:p w14:paraId="14EF5ADC" w14:textId="77777777" w:rsidR="00BB58C4" w:rsidRDefault="00000000">
            <w:pPr>
              <w:pStyle w:val="TableParagraph"/>
              <w:ind w:left="8" w:right="3"/>
              <w:rPr>
                <w:sz w:val="20"/>
              </w:rPr>
            </w:pPr>
            <w:r>
              <w:rPr>
                <w:spacing w:val="-2"/>
                <w:sz w:val="20"/>
              </w:rPr>
              <w:t>38,142</w:t>
            </w:r>
          </w:p>
        </w:tc>
        <w:tc>
          <w:tcPr>
            <w:tcW w:w="1239" w:type="dxa"/>
          </w:tcPr>
          <w:p w14:paraId="3D7D614B" w14:textId="77777777" w:rsidR="00BB58C4" w:rsidRDefault="00000000">
            <w:pPr>
              <w:pStyle w:val="TableParagraph"/>
              <w:ind w:left="5" w:right="2"/>
              <w:rPr>
                <w:sz w:val="20"/>
              </w:rPr>
            </w:pPr>
            <w:r>
              <w:rPr>
                <w:spacing w:val="-10"/>
                <w:sz w:val="20"/>
              </w:rPr>
              <w:t>1</w:t>
            </w:r>
          </w:p>
        </w:tc>
        <w:tc>
          <w:tcPr>
            <w:tcW w:w="1443" w:type="dxa"/>
          </w:tcPr>
          <w:p w14:paraId="0E0A5D01" w14:textId="77777777" w:rsidR="00BB58C4" w:rsidRDefault="00000000">
            <w:pPr>
              <w:pStyle w:val="TableParagraph"/>
              <w:ind w:left="5"/>
              <w:rPr>
                <w:sz w:val="20"/>
              </w:rPr>
            </w:pPr>
            <w:r>
              <w:rPr>
                <w:spacing w:val="-2"/>
                <w:sz w:val="20"/>
              </w:rPr>
              <w:t>0,199</w:t>
            </w:r>
          </w:p>
        </w:tc>
        <w:tc>
          <w:tcPr>
            <w:tcW w:w="1486" w:type="dxa"/>
          </w:tcPr>
          <w:p w14:paraId="3E9EB246" w14:textId="77777777" w:rsidR="00BB58C4" w:rsidRDefault="00000000">
            <w:pPr>
              <w:pStyle w:val="TableParagraph"/>
              <w:ind w:left="3"/>
              <w:rPr>
                <w:sz w:val="20"/>
              </w:rPr>
            </w:pPr>
            <w:r>
              <w:rPr>
                <w:spacing w:val="-2"/>
                <w:sz w:val="20"/>
              </w:rPr>
              <w:t>0,101</w:t>
            </w:r>
          </w:p>
        </w:tc>
      </w:tr>
      <w:tr w:rsidR="00BB58C4" w14:paraId="6D00D031" w14:textId="77777777">
        <w:trPr>
          <w:gridAfter w:val="1"/>
          <w:wAfter w:w="14" w:type="dxa"/>
          <w:trHeight w:val="230"/>
        </w:trPr>
        <w:tc>
          <w:tcPr>
            <w:tcW w:w="1416" w:type="dxa"/>
          </w:tcPr>
          <w:p w14:paraId="0CAD582A" w14:textId="77777777" w:rsidR="00BB58C4" w:rsidRDefault="00000000">
            <w:pPr>
              <w:pStyle w:val="TableParagraph"/>
              <w:ind w:left="8"/>
              <w:rPr>
                <w:sz w:val="20"/>
              </w:rPr>
            </w:pPr>
            <w:r>
              <w:rPr>
                <w:spacing w:val="-4"/>
                <w:sz w:val="20"/>
              </w:rPr>
              <w:t>ANTM</w:t>
            </w:r>
          </w:p>
        </w:tc>
        <w:tc>
          <w:tcPr>
            <w:tcW w:w="990" w:type="dxa"/>
          </w:tcPr>
          <w:p w14:paraId="711BEB91" w14:textId="77777777" w:rsidR="00BB58C4" w:rsidRDefault="00000000">
            <w:pPr>
              <w:pStyle w:val="TableParagraph"/>
              <w:ind w:left="11"/>
              <w:rPr>
                <w:sz w:val="20"/>
              </w:rPr>
            </w:pPr>
            <w:r>
              <w:rPr>
                <w:spacing w:val="-4"/>
                <w:sz w:val="20"/>
              </w:rPr>
              <w:t>2020</w:t>
            </w:r>
          </w:p>
        </w:tc>
        <w:tc>
          <w:tcPr>
            <w:tcW w:w="1350" w:type="dxa"/>
          </w:tcPr>
          <w:p w14:paraId="57290F3D" w14:textId="77777777" w:rsidR="00BB58C4" w:rsidRDefault="00000000">
            <w:pPr>
              <w:pStyle w:val="TableParagraph"/>
              <w:ind w:left="8" w:right="3"/>
              <w:rPr>
                <w:sz w:val="20"/>
              </w:rPr>
            </w:pPr>
            <w:r>
              <w:rPr>
                <w:spacing w:val="-2"/>
                <w:sz w:val="20"/>
              </w:rPr>
              <w:t>38,736</w:t>
            </w:r>
          </w:p>
        </w:tc>
        <w:tc>
          <w:tcPr>
            <w:tcW w:w="1239" w:type="dxa"/>
          </w:tcPr>
          <w:p w14:paraId="5D3A70D9" w14:textId="77777777" w:rsidR="00BB58C4" w:rsidRDefault="00000000">
            <w:pPr>
              <w:pStyle w:val="TableParagraph"/>
              <w:ind w:left="5" w:right="2"/>
              <w:rPr>
                <w:sz w:val="20"/>
              </w:rPr>
            </w:pPr>
            <w:r>
              <w:rPr>
                <w:spacing w:val="-10"/>
                <w:sz w:val="20"/>
              </w:rPr>
              <w:t>1</w:t>
            </w:r>
          </w:p>
        </w:tc>
        <w:tc>
          <w:tcPr>
            <w:tcW w:w="1443" w:type="dxa"/>
          </w:tcPr>
          <w:p w14:paraId="26081EEF" w14:textId="77777777" w:rsidR="00BB58C4" w:rsidRDefault="00000000">
            <w:pPr>
              <w:pStyle w:val="TableParagraph"/>
              <w:ind w:left="5"/>
              <w:rPr>
                <w:sz w:val="20"/>
              </w:rPr>
            </w:pPr>
            <w:r>
              <w:rPr>
                <w:spacing w:val="-2"/>
                <w:sz w:val="20"/>
              </w:rPr>
              <w:t>0,176</w:t>
            </w:r>
          </w:p>
        </w:tc>
        <w:tc>
          <w:tcPr>
            <w:tcW w:w="1486" w:type="dxa"/>
          </w:tcPr>
          <w:p w14:paraId="20977218" w14:textId="77777777" w:rsidR="00BB58C4" w:rsidRDefault="00000000">
            <w:pPr>
              <w:pStyle w:val="TableParagraph"/>
              <w:ind w:left="3"/>
              <w:rPr>
                <w:sz w:val="20"/>
              </w:rPr>
            </w:pPr>
            <w:r>
              <w:rPr>
                <w:spacing w:val="-2"/>
                <w:sz w:val="20"/>
              </w:rPr>
              <w:t>0,067</w:t>
            </w:r>
          </w:p>
        </w:tc>
      </w:tr>
      <w:tr w:rsidR="00BB58C4" w14:paraId="26960118" w14:textId="77777777">
        <w:trPr>
          <w:gridAfter w:val="1"/>
          <w:wAfter w:w="14" w:type="dxa"/>
          <w:trHeight w:val="230"/>
        </w:trPr>
        <w:tc>
          <w:tcPr>
            <w:tcW w:w="1416" w:type="dxa"/>
          </w:tcPr>
          <w:p w14:paraId="533FE0F6" w14:textId="77777777" w:rsidR="00BB58C4" w:rsidRDefault="00000000">
            <w:pPr>
              <w:pStyle w:val="TableParagraph"/>
              <w:ind w:left="8"/>
              <w:rPr>
                <w:sz w:val="20"/>
              </w:rPr>
            </w:pPr>
            <w:r>
              <w:rPr>
                <w:spacing w:val="-4"/>
                <w:sz w:val="20"/>
              </w:rPr>
              <w:t>ANTM</w:t>
            </w:r>
          </w:p>
        </w:tc>
        <w:tc>
          <w:tcPr>
            <w:tcW w:w="990" w:type="dxa"/>
          </w:tcPr>
          <w:p w14:paraId="54A60C44" w14:textId="77777777" w:rsidR="00BB58C4" w:rsidRDefault="00000000">
            <w:pPr>
              <w:pStyle w:val="TableParagraph"/>
              <w:ind w:left="11"/>
              <w:rPr>
                <w:sz w:val="20"/>
              </w:rPr>
            </w:pPr>
            <w:r>
              <w:rPr>
                <w:spacing w:val="-4"/>
                <w:sz w:val="20"/>
              </w:rPr>
              <w:t>2021</w:t>
            </w:r>
          </w:p>
        </w:tc>
        <w:tc>
          <w:tcPr>
            <w:tcW w:w="1350" w:type="dxa"/>
          </w:tcPr>
          <w:p w14:paraId="013170D0" w14:textId="77777777" w:rsidR="00BB58C4" w:rsidRDefault="00000000">
            <w:pPr>
              <w:pStyle w:val="TableParagraph"/>
              <w:ind w:left="8" w:right="3"/>
              <w:rPr>
                <w:sz w:val="20"/>
              </w:rPr>
            </w:pPr>
            <w:r>
              <w:rPr>
                <w:spacing w:val="-2"/>
                <w:sz w:val="20"/>
              </w:rPr>
              <w:t>91,108</w:t>
            </w:r>
          </w:p>
        </w:tc>
        <w:tc>
          <w:tcPr>
            <w:tcW w:w="1239" w:type="dxa"/>
          </w:tcPr>
          <w:p w14:paraId="60C18273" w14:textId="77777777" w:rsidR="00BB58C4" w:rsidRDefault="00000000">
            <w:pPr>
              <w:pStyle w:val="TableParagraph"/>
              <w:ind w:left="5" w:right="2"/>
              <w:rPr>
                <w:sz w:val="20"/>
              </w:rPr>
            </w:pPr>
            <w:r>
              <w:rPr>
                <w:spacing w:val="-10"/>
                <w:sz w:val="20"/>
              </w:rPr>
              <w:t>1</w:t>
            </w:r>
          </w:p>
        </w:tc>
        <w:tc>
          <w:tcPr>
            <w:tcW w:w="1443" w:type="dxa"/>
          </w:tcPr>
          <w:p w14:paraId="7AB65A08" w14:textId="77777777" w:rsidR="00BB58C4" w:rsidRDefault="00000000">
            <w:pPr>
              <w:pStyle w:val="TableParagraph"/>
              <w:ind w:left="5"/>
              <w:rPr>
                <w:sz w:val="20"/>
              </w:rPr>
            </w:pPr>
            <w:r>
              <w:rPr>
                <w:spacing w:val="-2"/>
                <w:sz w:val="20"/>
              </w:rPr>
              <w:t>11,571</w:t>
            </w:r>
          </w:p>
        </w:tc>
        <w:tc>
          <w:tcPr>
            <w:tcW w:w="1486" w:type="dxa"/>
          </w:tcPr>
          <w:p w14:paraId="40A8CB8F" w14:textId="77777777" w:rsidR="00BB58C4" w:rsidRDefault="00000000">
            <w:pPr>
              <w:pStyle w:val="TableParagraph"/>
              <w:ind w:left="3"/>
              <w:rPr>
                <w:sz w:val="20"/>
              </w:rPr>
            </w:pPr>
            <w:r>
              <w:rPr>
                <w:spacing w:val="-2"/>
                <w:sz w:val="20"/>
              </w:rPr>
              <w:t>0,949</w:t>
            </w:r>
          </w:p>
        </w:tc>
      </w:tr>
      <w:tr w:rsidR="00BB58C4" w14:paraId="46AFBBD2" w14:textId="77777777">
        <w:trPr>
          <w:gridAfter w:val="1"/>
          <w:wAfter w:w="14" w:type="dxa"/>
          <w:trHeight w:val="230"/>
        </w:trPr>
        <w:tc>
          <w:tcPr>
            <w:tcW w:w="1416" w:type="dxa"/>
          </w:tcPr>
          <w:p w14:paraId="63B4CEE2" w14:textId="77777777" w:rsidR="00BB58C4" w:rsidRDefault="00000000">
            <w:pPr>
              <w:pStyle w:val="TableParagraph"/>
              <w:ind w:left="8"/>
              <w:rPr>
                <w:sz w:val="20"/>
              </w:rPr>
            </w:pPr>
            <w:r>
              <w:rPr>
                <w:spacing w:val="-4"/>
                <w:sz w:val="20"/>
              </w:rPr>
              <w:t>ANTM</w:t>
            </w:r>
          </w:p>
        </w:tc>
        <w:tc>
          <w:tcPr>
            <w:tcW w:w="990" w:type="dxa"/>
          </w:tcPr>
          <w:p w14:paraId="2A7193C9" w14:textId="77777777" w:rsidR="00BB58C4" w:rsidRDefault="00000000">
            <w:pPr>
              <w:pStyle w:val="TableParagraph"/>
              <w:ind w:left="11"/>
              <w:rPr>
                <w:sz w:val="20"/>
              </w:rPr>
            </w:pPr>
            <w:r>
              <w:rPr>
                <w:spacing w:val="-4"/>
                <w:sz w:val="20"/>
              </w:rPr>
              <w:t>2022</w:t>
            </w:r>
          </w:p>
        </w:tc>
        <w:tc>
          <w:tcPr>
            <w:tcW w:w="1350" w:type="dxa"/>
          </w:tcPr>
          <w:p w14:paraId="623F5E22" w14:textId="77777777" w:rsidR="00BB58C4" w:rsidRDefault="00000000">
            <w:pPr>
              <w:pStyle w:val="TableParagraph"/>
              <w:ind w:left="8" w:right="3"/>
              <w:rPr>
                <w:sz w:val="20"/>
              </w:rPr>
            </w:pPr>
            <w:r>
              <w:rPr>
                <w:spacing w:val="-2"/>
                <w:sz w:val="20"/>
              </w:rPr>
              <w:t>89,875</w:t>
            </w:r>
          </w:p>
        </w:tc>
        <w:tc>
          <w:tcPr>
            <w:tcW w:w="1239" w:type="dxa"/>
          </w:tcPr>
          <w:p w14:paraId="340B2F92" w14:textId="77777777" w:rsidR="00BB58C4" w:rsidRDefault="00000000">
            <w:pPr>
              <w:pStyle w:val="TableParagraph"/>
              <w:ind w:left="5" w:right="2"/>
              <w:rPr>
                <w:sz w:val="20"/>
              </w:rPr>
            </w:pPr>
            <w:r>
              <w:rPr>
                <w:spacing w:val="-10"/>
                <w:sz w:val="20"/>
              </w:rPr>
              <w:t>1</w:t>
            </w:r>
          </w:p>
        </w:tc>
        <w:tc>
          <w:tcPr>
            <w:tcW w:w="1443" w:type="dxa"/>
          </w:tcPr>
          <w:p w14:paraId="2C2CB920" w14:textId="77777777" w:rsidR="00BB58C4" w:rsidRDefault="00000000">
            <w:pPr>
              <w:pStyle w:val="TableParagraph"/>
              <w:ind w:left="5"/>
              <w:rPr>
                <w:sz w:val="20"/>
              </w:rPr>
            </w:pPr>
            <w:r>
              <w:rPr>
                <w:spacing w:val="-2"/>
                <w:sz w:val="20"/>
              </w:rPr>
              <w:t>11,779</w:t>
            </w:r>
          </w:p>
        </w:tc>
        <w:tc>
          <w:tcPr>
            <w:tcW w:w="1486" w:type="dxa"/>
          </w:tcPr>
          <w:p w14:paraId="4AC6C63C" w14:textId="77777777" w:rsidR="00BB58C4" w:rsidRDefault="00000000">
            <w:pPr>
              <w:pStyle w:val="TableParagraph"/>
              <w:ind w:left="3"/>
              <w:rPr>
                <w:sz w:val="20"/>
              </w:rPr>
            </w:pPr>
            <w:r>
              <w:rPr>
                <w:spacing w:val="-2"/>
                <w:sz w:val="20"/>
              </w:rPr>
              <w:t>1,477</w:t>
            </w:r>
          </w:p>
        </w:tc>
      </w:tr>
      <w:tr w:rsidR="00BB58C4" w14:paraId="67D613B8" w14:textId="77777777">
        <w:trPr>
          <w:gridAfter w:val="1"/>
          <w:wAfter w:w="14" w:type="dxa"/>
          <w:trHeight w:val="230"/>
        </w:trPr>
        <w:tc>
          <w:tcPr>
            <w:tcW w:w="1416" w:type="dxa"/>
          </w:tcPr>
          <w:p w14:paraId="5EC540D4" w14:textId="77777777" w:rsidR="00BB58C4" w:rsidRDefault="00000000">
            <w:pPr>
              <w:pStyle w:val="TableParagraph"/>
              <w:ind w:left="8"/>
              <w:rPr>
                <w:sz w:val="20"/>
              </w:rPr>
            </w:pPr>
            <w:r>
              <w:rPr>
                <w:spacing w:val="-4"/>
                <w:sz w:val="20"/>
              </w:rPr>
              <w:t>ANTM</w:t>
            </w:r>
          </w:p>
        </w:tc>
        <w:tc>
          <w:tcPr>
            <w:tcW w:w="990" w:type="dxa"/>
          </w:tcPr>
          <w:p w14:paraId="5054E12D" w14:textId="77777777" w:rsidR="00BB58C4" w:rsidRDefault="00000000">
            <w:pPr>
              <w:pStyle w:val="TableParagraph"/>
              <w:ind w:left="11"/>
              <w:rPr>
                <w:sz w:val="20"/>
              </w:rPr>
            </w:pPr>
            <w:r>
              <w:rPr>
                <w:spacing w:val="-4"/>
                <w:sz w:val="20"/>
              </w:rPr>
              <w:t>2023</w:t>
            </w:r>
          </w:p>
        </w:tc>
        <w:tc>
          <w:tcPr>
            <w:tcW w:w="1350" w:type="dxa"/>
          </w:tcPr>
          <w:p w14:paraId="634F6538" w14:textId="77777777" w:rsidR="00BB58C4" w:rsidRDefault="00000000">
            <w:pPr>
              <w:pStyle w:val="TableParagraph"/>
              <w:ind w:left="8" w:right="3"/>
              <w:rPr>
                <w:sz w:val="20"/>
              </w:rPr>
            </w:pPr>
            <w:r>
              <w:rPr>
                <w:spacing w:val="-2"/>
                <w:sz w:val="20"/>
              </w:rPr>
              <w:t>155,297</w:t>
            </w:r>
          </w:p>
        </w:tc>
        <w:tc>
          <w:tcPr>
            <w:tcW w:w="1239" w:type="dxa"/>
          </w:tcPr>
          <w:p w14:paraId="77EB086E" w14:textId="77777777" w:rsidR="00BB58C4" w:rsidRDefault="00000000">
            <w:pPr>
              <w:pStyle w:val="TableParagraph"/>
              <w:ind w:left="5" w:right="2"/>
              <w:rPr>
                <w:sz w:val="20"/>
              </w:rPr>
            </w:pPr>
            <w:r>
              <w:rPr>
                <w:spacing w:val="-10"/>
                <w:sz w:val="20"/>
              </w:rPr>
              <w:t>1</w:t>
            </w:r>
          </w:p>
        </w:tc>
        <w:tc>
          <w:tcPr>
            <w:tcW w:w="1443" w:type="dxa"/>
          </w:tcPr>
          <w:p w14:paraId="0EAF642B" w14:textId="77777777" w:rsidR="00BB58C4" w:rsidRDefault="00000000">
            <w:pPr>
              <w:pStyle w:val="TableParagraph"/>
              <w:ind w:left="5" w:right="3"/>
              <w:rPr>
                <w:sz w:val="20"/>
              </w:rPr>
            </w:pPr>
            <w:r>
              <w:rPr>
                <w:spacing w:val="-2"/>
                <w:sz w:val="20"/>
              </w:rPr>
              <w:t>26,128</w:t>
            </w:r>
          </w:p>
        </w:tc>
        <w:tc>
          <w:tcPr>
            <w:tcW w:w="1486" w:type="dxa"/>
          </w:tcPr>
          <w:p w14:paraId="79A27100" w14:textId="77777777" w:rsidR="00BB58C4" w:rsidRDefault="00000000">
            <w:pPr>
              <w:pStyle w:val="TableParagraph"/>
              <w:ind w:left="3"/>
              <w:rPr>
                <w:sz w:val="20"/>
              </w:rPr>
            </w:pPr>
            <w:r>
              <w:rPr>
                <w:spacing w:val="-2"/>
                <w:sz w:val="20"/>
              </w:rPr>
              <w:t>0,031</w:t>
            </w:r>
          </w:p>
        </w:tc>
      </w:tr>
      <w:tr w:rsidR="00BB58C4" w14:paraId="53127329" w14:textId="77777777">
        <w:trPr>
          <w:gridAfter w:val="1"/>
          <w:wAfter w:w="14" w:type="dxa"/>
          <w:trHeight w:val="230"/>
        </w:trPr>
        <w:tc>
          <w:tcPr>
            <w:tcW w:w="1416" w:type="dxa"/>
          </w:tcPr>
          <w:p w14:paraId="1ABF6A77" w14:textId="77777777" w:rsidR="00BB58C4" w:rsidRDefault="00000000">
            <w:pPr>
              <w:pStyle w:val="TableParagraph"/>
              <w:ind w:left="8" w:right="2"/>
              <w:rPr>
                <w:sz w:val="20"/>
              </w:rPr>
            </w:pPr>
            <w:r>
              <w:rPr>
                <w:spacing w:val="-4"/>
                <w:sz w:val="20"/>
              </w:rPr>
              <w:t>MDKA</w:t>
            </w:r>
          </w:p>
        </w:tc>
        <w:tc>
          <w:tcPr>
            <w:tcW w:w="990" w:type="dxa"/>
          </w:tcPr>
          <w:p w14:paraId="3C640AEE" w14:textId="77777777" w:rsidR="00BB58C4" w:rsidRDefault="00000000">
            <w:pPr>
              <w:pStyle w:val="TableParagraph"/>
              <w:ind w:left="11"/>
              <w:rPr>
                <w:sz w:val="20"/>
              </w:rPr>
            </w:pPr>
            <w:r>
              <w:rPr>
                <w:spacing w:val="-4"/>
                <w:sz w:val="20"/>
              </w:rPr>
              <w:t>2019</w:t>
            </w:r>
          </w:p>
        </w:tc>
        <w:tc>
          <w:tcPr>
            <w:tcW w:w="1350" w:type="dxa"/>
          </w:tcPr>
          <w:p w14:paraId="65043309" w14:textId="77777777" w:rsidR="00BB58C4" w:rsidRDefault="00000000">
            <w:pPr>
              <w:pStyle w:val="TableParagraph"/>
              <w:ind w:left="8" w:right="3"/>
              <w:rPr>
                <w:sz w:val="20"/>
              </w:rPr>
            </w:pPr>
            <w:r>
              <w:rPr>
                <w:spacing w:val="-2"/>
                <w:sz w:val="20"/>
              </w:rPr>
              <w:t>87,617</w:t>
            </w:r>
          </w:p>
        </w:tc>
        <w:tc>
          <w:tcPr>
            <w:tcW w:w="1239" w:type="dxa"/>
          </w:tcPr>
          <w:p w14:paraId="6D26D3A8" w14:textId="77777777" w:rsidR="00BB58C4" w:rsidRDefault="00000000">
            <w:pPr>
              <w:pStyle w:val="TableParagraph"/>
              <w:ind w:left="5" w:right="2"/>
              <w:rPr>
                <w:sz w:val="20"/>
              </w:rPr>
            </w:pPr>
            <w:r>
              <w:rPr>
                <w:spacing w:val="-10"/>
                <w:sz w:val="20"/>
              </w:rPr>
              <w:t>1</w:t>
            </w:r>
          </w:p>
        </w:tc>
        <w:tc>
          <w:tcPr>
            <w:tcW w:w="1443" w:type="dxa"/>
          </w:tcPr>
          <w:p w14:paraId="0592C9BF" w14:textId="77777777" w:rsidR="00BB58C4" w:rsidRDefault="00000000">
            <w:pPr>
              <w:pStyle w:val="TableParagraph"/>
              <w:ind w:left="5"/>
              <w:rPr>
                <w:sz w:val="20"/>
              </w:rPr>
            </w:pPr>
            <w:r>
              <w:rPr>
                <w:spacing w:val="-2"/>
                <w:sz w:val="20"/>
              </w:rPr>
              <w:t>6,595</w:t>
            </w:r>
          </w:p>
        </w:tc>
        <w:tc>
          <w:tcPr>
            <w:tcW w:w="1486" w:type="dxa"/>
          </w:tcPr>
          <w:p w14:paraId="6B5265A6" w14:textId="77777777" w:rsidR="00BB58C4" w:rsidRDefault="00000000">
            <w:pPr>
              <w:pStyle w:val="TableParagraph"/>
              <w:ind w:left="3"/>
              <w:rPr>
                <w:sz w:val="20"/>
              </w:rPr>
            </w:pPr>
            <w:r>
              <w:rPr>
                <w:spacing w:val="-2"/>
                <w:sz w:val="20"/>
              </w:rPr>
              <w:t>2,539</w:t>
            </w:r>
          </w:p>
        </w:tc>
      </w:tr>
      <w:tr w:rsidR="00BB58C4" w14:paraId="2EBA2986" w14:textId="77777777">
        <w:trPr>
          <w:gridAfter w:val="1"/>
          <w:wAfter w:w="14" w:type="dxa"/>
          <w:trHeight w:val="230"/>
        </w:trPr>
        <w:tc>
          <w:tcPr>
            <w:tcW w:w="1416" w:type="dxa"/>
          </w:tcPr>
          <w:p w14:paraId="05D8CE6E" w14:textId="77777777" w:rsidR="00BB58C4" w:rsidRDefault="00000000">
            <w:pPr>
              <w:pStyle w:val="TableParagraph"/>
              <w:ind w:left="8" w:right="2"/>
              <w:rPr>
                <w:sz w:val="20"/>
              </w:rPr>
            </w:pPr>
            <w:r>
              <w:rPr>
                <w:spacing w:val="-4"/>
                <w:sz w:val="20"/>
              </w:rPr>
              <w:t>MDKA</w:t>
            </w:r>
          </w:p>
        </w:tc>
        <w:tc>
          <w:tcPr>
            <w:tcW w:w="990" w:type="dxa"/>
          </w:tcPr>
          <w:p w14:paraId="6973FFF7" w14:textId="77777777" w:rsidR="00BB58C4" w:rsidRDefault="00000000">
            <w:pPr>
              <w:pStyle w:val="TableParagraph"/>
              <w:ind w:left="11"/>
              <w:rPr>
                <w:sz w:val="20"/>
              </w:rPr>
            </w:pPr>
            <w:r>
              <w:rPr>
                <w:spacing w:val="-4"/>
                <w:sz w:val="20"/>
              </w:rPr>
              <w:t>2020</w:t>
            </w:r>
          </w:p>
        </w:tc>
        <w:tc>
          <w:tcPr>
            <w:tcW w:w="1350" w:type="dxa"/>
          </w:tcPr>
          <w:p w14:paraId="222F94CD" w14:textId="77777777" w:rsidR="00BB58C4" w:rsidRDefault="00000000">
            <w:pPr>
              <w:pStyle w:val="TableParagraph"/>
              <w:ind w:left="8" w:right="3"/>
              <w:rPr>
                <w:sz w:val="20"/>
              </w:rPr>
            </w:pPr>
            <w:r>
              <w:rPr>
                <w:spacing w:val="-2"/>
                <w:sz w:val="20"/>
              </w:rPr>
              <w:t>101,108</w:t>
            </w:r>
          </w:p>
        </w:tc>
        <w:tc>
          <w:tcPr>
            <w:tcW w:w="1239" w:type="dxa"/>
          </w:tcPr>
          <w:p w14:paraId="166C4FCC" w14:textId="77777777" w:rsidR="00BB58C4" w:rsidRDefault="00000000">
            <w:pPr>
              <w:pStyle w:val="TableParagraph"/>
              <w:ind w:left="5" w:right="2"/>
              <w:rPr>
                <w:sz w:val="20"/>
              </w:rPr>
            </w:pPr>
            <w:r>
              <w:rPr>
                <w:spacing w:val="-10"/>
                <w:sz w:val="20"/>
              </w:rPr>
              <w:t>1</w:t>
            </w:r>
          </w:p>
        </w:tc>
        <w:tc>
          <w:tcPr>
            <w:tcW w:w="1443" w:type="dxa"/>
          </w:tcPr>
          <w:p w14:paraId="543DF7FC" w14:textId="77777777" w:rsidR="00BB58C4" w:rsidRDefault="00000000">
            <w:pPr>
              <w:pStyle w:val="TableParagraph"/>
              <w:ind w:left="5"/>
              <w:rPr>
                <w:sz w:val="20"/>
              </w:rPr>
            </w:pPr>
            <w:r>
              <w:rPr>
                <w:spacing w:val="-2"/>
                <w:sz w:val="20"/>
              </w:rPr>
              <w:t>4,634</w:t>
            </w:r>
          </w:p>
        </w:tc>
        <w:tc>
          <w:tcPr>
            <w:tcW w:w="1486" w:type="dxa"/>
          </w:tcPr>
          <w:p w14:paraId="685F6532" w14:textId="77777777" w:rsidR="00BB58C4" w:rsidRDefault="00000000">
            <w:pPr>
              <w:pStyle w:val="TableParagraph"/>
              <w:ind w:left="3"/>
              <w:rPr>
                <w:sz w:val="20"/>
              </w:rPr>
            </w:pPr>
            <w:r>
              <w:rPr>
                <w:spacing w:val="-2"/>
                <w:sz w:val="20"/>
              </w:rPr>
              <w:t>2,529</w:t>
            </w:r>
          </w:p>
        </w:tc>
      </w:tr>
      <w:tr w:rsidR="00BB58C4" w14:paraId="020D621E" w14:textId="77777777">
        <w:trPr>
          <w:gridAfter w:val="1"/>
          <w:wAfter w:w="14" w:type="dxa"/>
          <w:trHeight w:val="230"/>
        </w:trPr>
        <w:tc>
          <w:tcPr>
            <w:tcW w:w="1416" w:type="dxa"/>
          </w:tcPr>
          <w:p w14:paraId="36D7C4E9" w14:textId="77777777" w:rsidR="00BB58C4" w:rsidRDefault="00000000">
            <w:pPr>
              <w:pStyle w:val="TableParagraph"/>
              <w:ind w:left="8" w:right="2"/>
              <w:rPr>
                <w:sz w:val="20"/>
              </w:rPr>
            </w:pPr>
            <w:r>
              <w:rPr>
                <w:spacing w:val="-4"/>
                <w:sz w:val="20"/>
              </w:rPr>
              <w:t>MDKA</w:t>
            </w:r>
          </w:p>
        </w:tc>
        <w:tc>
          <w:tcPr>
            <w:tcW w:w="990" w:type="dxa"/>
          </w:tcPr>
          <w:p w14:paraId="0EA9E036" w14:textId="77777777" w:rsidR="00BB58C4" w:rsidRDefault="00000000">
            <w:pPr>
              <w:pStyle w:val="TableParagraph"/>
              <w:ind w:left="11"/>
              <w:rPr>
                <w:sz w:val="20"/>
              </w:rPr>
            </w:pPr>
            <w:r>
              <w:rPr>
                <w:spacing w:val="-4"/>
                <w:sz w:val="20"/>
              </w:rPr>
              <w:t>2021</w:t>
            </w:r>
          </w:p>
        </w:tc>
        <w:tc>
          <w:tcPr>
            <w:tcW w:w="1350" w:type="dxa"/>
          </w:tcPr>
          <w:p w14:paraId="260B289F" w14:textId="77777777" w:rsidR="00BB58C4" w:rsidRDefault="00000000">
            <w:pPr>
              <w:pStyle w:val="TableParagraph"/>
              <w:ind w:left="8" w:right="3"/>
              <w:rPr>
                <w:sz w:val="20"/>
              </w:rPr>
            </w:pPr>
            <w:r>
              <w:rPr>
                <w:spacing w:val="-2"/>
                <w:sz w:val="20"/>
              </w:rPr>
              <w:t>91,539</w:t>
            </w:r>
          </w:p>
        </w:tc>
        <w:tc>
          <w:tcPr>
            <w:tcW w:w="1239" w:type="dxa"/>
          </w:tcPr>
          <w:p w14:paraId="15222DA9" w14:textId="77777777" w:rsidR="00BB58C4" w:rsidRDefault="00000000">
            <w:pPr>
              <w:pStyle w:val="TableParagraph"/>
              <w:ind w:left="5" w:right="2"/>
              <w:rPr>
                <w:sz w:val="20"/>
              </w:rPr>
            </w:pPr>
            <w:r>
              <w:rPr>
                <w:spacing w:val="-10"/>
                <w:sz w:val="20"/>
              </w:rPr>
              <w:t>1</w:t>
            </w:r>
          </w:p>
        </w:tc>
        <w:tc>
          <w:tcPr>
            <w:tcW w:w="1443" w:type="dxa"/>
          </w:tcPr>
          <w:p w14:paraId="5B3E7453" w14:textId="77777777" w:rsidR="00BB58C4" w:rsidRDefault="00000000">
            <w:pPr>
              <w:pStyle w:val="TableParagraph"/>
              <w:ind w:left="5"/>
              <w:rPr>
                <w:sz w:val="20"/>
              </w:rPr>
            </w:pPr>
            <w:r>
              <w:rPr>
                <w:spacing w:val="-2"/>
                <w:sz w:val="20"/>
              </w:rPr>
              <w:t>6,256</w:t>
            </w:r>
          </w:p>
        </w:tc>
        <w:tc>
          <w:tcPr>
            <w:tcW w:w="1486" w:type="dxa"/>
          </w:tcPr>
          <w:p w14:paraId="06017C62" w14:textId="77777777" w:rsidR="00BB58C4" w:rsidRDefault="00000000">
            <w:pPr>
              <w:pStyle w:val="TableParagraph"/>
              <w:ind w:left="3"/>
              <w:rPr>
                <w:sz w:val="20"/>
              </w:rPr>
            </w:pPr>
            <w:r>
              <w:rPr>
                <w:spacing w:val="-2"/>
                <w:sz w:val="20"/>
              </w:rPr>
              <w:t>3,624</w:t>
            </w:r>
          </w:p>
        </w:tc>
      </w:tr>
      <w:tr w:rsidR="00BB58C4" w14:paraId="219BE0A2" w14:textId="77777777">
        <w:trPr>
          <w:gridAfter w:val="1"/>
          <w:wAfter w:w="14" w:type="dxa"/>
          <w:trHeight w:val="230"/>
        </w:trPr>
        <w:tc>
          <w:tcPr>
            <w:tcW w:w="1416" w:type="dxa"/>
          </w:tcPr>
          <w:p w14:paraId="5679DA4F" w14:textId="77777777" w:rsidR="00BB58C4" w:rsidRDefault="00000000">
            <w:pPr>
              <w:pStyle w:val="TableParagraph"/>
              <w:ind w:left="8" w:right="2"/>
              <w:rPr>
                <w:sz w:val="20"/>
              </w:rPr>
            </w:pPr>
            <w:r>
              <w:rPr>
                <w:spacing w:val="-4"/>
                <w:sz w:val="20"/>
              </w:rPr>
              <w:t>MDKA</w:t>
            </w:r>
          </w:p>
        </w:tc>
        <w:tc>
          <w:tcPr>
            <w:tcW w:w="990" w:type="dxa"/>
          </w:tcPr>
          <w:p w14:paraId="1BB8F87F" w14:textId="77777777" w:rsidR="00BB58C4" w:rsidRDefault="00000000">
            <w:pPr>
              <w:pStyle w:val="TableParagraph"/>
              <w:ind w:left="11"/>
              <w:rPr>
                <w:sz w:val="20"/>
              </w:rPr>
            </w:pPr>
            <w:r>
              <w:rPr>
                <w:spacing w:val="-4"/>
                <w:sz w:val="20"/>
              </w:rPr>
              <w:t>2022</w:t>
            </w:r>
          </w:p>
        </w:tc>
        <w:tc>
          <w:tcPr>
            <w:tcW w:w="1350" w:type="dxa"/>
          </w:tcPr>
          <w:p w14:paraId="2221EAEB" w14:textId="77777777" w:rsidR="00BB58C4" w:rsidRDefault="00000000">
            <w:pPr>
              <w:pStyle w:val="TableParagraph"/>
              <w:ind w:left="8" w:right="3"/>
              <w:rPr>
                <w:sz w:val="20"/>
              </w:rPr>
            </w:pPr>
            <w:r>
              <w:rPr>
                <w:spacing w:val="-2"/>
                <w:sz w:val="20"/>
              </w:rPr>
              <w:t>51,940</w:t>
            </w:r>
          </w:p>
        </w:tc>
        <w:tc>
          <w:tcPr>
            <w:tcW w:w="1239" w:type="dxa"/>
          </w:tcPr>
          <w:p w14:paraId="0A3DF77E" w14:textId="77777777" w:rsidR="00BB58C4" w:rsidRDefault="00000000">
            <w:pPr>
              <w:pStyle w:val="TableParagraph"/>
              <w:ind w:left="5" w:right="2"/>
              <w:rPr>
                <w:sz w:val="20"/>
              </w:rPr>
            </w:pPr>
            <w:r>
              <w:rPr>
                <w:spacing w:val="-10"/>
                <w:sz w:val="20"/>
              </w:rPr>
              <w:t>1</w:t>
            </w:r>
          </w:p>
        </w:tc>
        <w:tc>
          <w:tcPr>
            <w:tcW w:w="1443" w:type="dxa"/>
          </w:tcPr>
          <w:p w14:paraId="064C4025" w14:textId="77777777" w:rsidR="00BB58C4" w:rsidRDefault="00000000">
            <w:pPr>
              <w:pStyle w:val="TableParagraph"/>
              <w:ind w:left="5"/>
              <w:rPr>
                <w:sz w:val="20"/>
              </w:rPr>
            </w:pPr>
            <w:r>
              <w:rPr>
                <w:spacing w:val="-2"/>
                <w:sz w:val="20"/>
              </w:rPr>
              <w:t>1,272</w:t>
            </w:r>
          </w:p>
        </w:tc>
        <w:tc>
          <w:tcPr>
            <w:tcW w:w="1486" w:type="dxa"/>
          </w:tcPr>
          <w:p w14:paraId="364574BA" w14:textId="77777777" w:rsidR="00BB58C4" w:rsidRDefault="00000000">
            <w:pPr>
              <w:pStyle w:val="TableParagraph"/>
              <w:ind w:left="3"/>
              <w:rPr>
                <w:sz w:val="20"/>
              </w:rPr>
            </w:pPr>
            <w:r>
              <w:rPr>
                <w:spacing w:val="-2"/>
                <w:sz w:val="20"/>
              </w:rPr>
              <w:t>0,719</w:t>
            </w:r>
          </w:p>
        </w:tc>
      </w:tr>
      <w:tr w:rsidR="00BB58C4" w14:paraId="562EC9B6" w14:textId="77777777">
        <w:trPr>
          <w:gridAfter w:val="1"/>
          <w:wAfter w:w="14" w:type="dxa"/>
          <w:trHeight w:val="230"/>
        </w:trPr>
        <w:tc>
          <w:tcPr>
            <w:tcW w:w="1416" w:type="dxa"/>
          </w:tcPr>
          <w:p w14:paraId="74057141" w14:textId="77777777" w:rsidR="00BB58C4" w:rsidRDefault="00000000">
            <w:pPr>
              <w:pStyle w:val="TableParagraph"/>
              <w:ind w:left="8" w:right="2"/>
              <w:rPr>
                <w:sz w:val="20"/>
              </w:rPr>
            </w:pPr>
            <w:r>
              <w:rPr>
                <w:spacing w:val="-4"/>
                <w:sz w:val="20"/>
              </w:rPr>
              <w:t>MDKA</w:t>
            </w:r>
          </w:p>
        </w:tc>
        <w:tc>
          <w:tcPr>
            <w:tcW w:w="990" w:type="dxa"/>
          </w:tcPr>
          <w:p w14:paraId="0FD6B29E" w14:textId="77777777" w:rsidR="00BB58C4" w:rsidRDefault="00000000">
            <w:pPr>
              <w:pStyle w:val="TableParagraph"/>
              <w:ind w:left="11"/>
              <w:rPr>
                <w:sz w:val="20"/>
              </w:rPr>
            </w:pPr>
            <w:r>
              <w:rPr>
                <w:spacing w:val="-4"/>
                <w:sz w:val="20"/>
              </w:rPr>
              <w:t>2023</w:t>
            </w:r>
          </w:p>
        </w:tc>
        <w:tc>
          <w:tcPr>
            <w:tcW w:w="1350" w:type="dxa"/>
          </w:tcPr>
          <w:p w14:paraId="3A8F0F5F" w14:textId="77777777" w:rsidR="00BB58C4" w:rsidRDefault="00000000">
            <w:pPr>
              <w:pStyle w:val="TableParagraph"/>
              <w:ind w:left="8" w:right="3"/>
              <w:rPr>
                <w:sz w:val="20"/>
              </w:rPr>
            </w:pPr>
            <w:r>
              <w:rPr>
                <w:spacing w:val="-2"/>
                <w:sz w:val="20"/>
              </w:rPr>
              <w:t>52,724</w:t>
            </w:r>
          </w:p>
        </w:tc>
        <w:tc>
          <w:tcPr>
            <w:tcW w:w="1239" w:type="dxa"/>
          </w:tcPr>
          <w:p w14:paraId="1D4D7D4A" w14:textId="77777777" w:rsidR="00BB58C4" w:rsidRDefault="00000000">
            <w:pPr>
              <w:pStyle w:val="TableParagraph"/>
              <w:ind w:left="5" w:right="2"/>
              <w:rPr>
                <w:sz w:val="20"/>
              </w:rPr>
            </w:pPr>
            <w:r>
              <w:rPr>
                <w:spacing w:val="-10"/>
                <w:sz w:val="20"/>
              </w:rPr>
              <w:t>1</w:t>
            </w:r>
          </w:p>
        </w:tc>
        <w:tc>
          <w:tcPr>
            <w:tcW w:w="1443" w:type="dxa"/>
          </w:tcPr>
          <w:p w14:paraId="40CC4830" w14:textId="77777777" w:rsidR="00BB58C4" w:rsidRDefault="00000000">
            <w:pPr>
              <w:pStyle w:val="TableParagraph"/>
              <w:ind w:left="5"/>
              <w:rPr>
                <w:sz w:val="20"/>
              </w:rPr>
            </w:pPr>
            <w:r>
              <w:rPr>
                <w:spacing w:val="-2"/>
                <w:sz w:val="20"/>
              </w:rPr>
              <w:t>0,305</w:t>
            </w:r>
          </w:p>
        </w:tc>
        <w:tc>
          <w:tcPr>
            <w:tcW w:w="1486" w:type="dxa"/>
          </w:tcPr>
          <w:p w14:paraId="77FA3E23" w14:textId="77777777" w:rsidR="00BB58C4" w:rsidRDefault="00000000">
            <w:pPr>
              <w:pStyle w:val="TableParagraph"/>
              <w:ind w:left="3"/>
              <w:rPr>
                <w:sz w:val="20"/>
              </w:rPr>
            </w:pPr>
            <w:r>
              <w:rPr>
                <w:spacing w:val="-2"/>
                <w:sz w:val="20"/>
              </w:rPr>
              <w:t>1,163</w:t>
            </w:r>
          </w:p>
        </w:tc>
      </w:tr>
      <w:tr w:rsidR="00BB58C4" w14:paraId="320AD4EB" w14:textId="77777777">
        <w:trPr>
          <w:gridAfter w:val="1"/>
          <w:wAfter w:w="14" w:type="dxa"/>
          <w:trHeight w:val="230"/>
        </w:trPr>
        <w:tc>
          <w:tcPr>
            <w:tcW w:w="1416" w:type="dxa"/>
          </w:tcPr>
          <w:p w14:paraId="5BFD34D7" w14:textId="77777777" w:rsidR="00BB58C4" w:rsidRDefault="00000000">
            <w:pPr>
              <w:pStyle w:val="TableParagraph"/>
              <w:ind w:left="8" w:right="4"/>
              <w:rPr>
                <w:sz w:val="20"/>
              </w:rPr>
            </w:pPr>
            <w:r>
              <w:rPr>
                <w:spacing w:val="-4"/>
                <w:sz w:val="20"/>
              </w:rPr>
              <w:t>INCO</w:t>
            </w:r>
          </w:p>
        </w:tc>
        <w:tc>
          <w:tcPr>
            <w:tcW w:w="990" w:type="dxa"/>
          </w:tcPr>
          <w:p w14:paraId="1BE10143" w14:textId="77777777" w:rsidR="00BB58C4" w:rsidRDefault="00000000">
            <w:pPr>
              <w:pStyle w:val="TableParagraph"/>
              <w:ind w:left="11"/>
              <w:rPr>
                <w:sz w:val="20"/>
              </w:rPr>
            </w:pPr>
            <w:r>
              <w:rPr>
                <w:spacing w:val="-4"/>
                <w:sz w:val="20"/>
              </w:rPr>
              <w:t>2019</w:t>
            </w:r>
          </w:p>
        </w:tc>
        <w:tc>
          <w:tcPr>
            <w:tcW w:w="1350" w:type="dxa"/>
          </w:tcPr>
          <w:p w14:paraId="21FA230F" w14:textId="77777777" w:rsidR="00BB58C4" w:rsidRDefault="00000000">
            <w:pPr>
              <w:pStyle w:val="TableParagraph"/>
              <w:ind w:left="8" w:right="3"/>
              <w:rPr>
                <w:sz w:val="20"/>
              </w:rPr>
            </w:pPr>
            <w:r>
              <w:rPr>
                <w:spacing w:val="-2"/>
                <w:sz w:val="20"/>
              </w:rPr>
              <w:t>73,214</w:t>
            </w:r>
          </w:p>
        </w:tc>
        <w:tc>
          <w:tcPr>
            <w:tcW w:w="1239" w:type="dxa"/>
          </w:tcPr>
          <w:p w14:paraId="141FC760" w14:textId="77777777" w:rsidR="00BB58C4" w:rsidRDefault="00000000">
            <w:pPr>
              <w:pStyle w:val="TableParagraph"/>
              <w:ind w:left="5" w:right="2"/>
              <w:rPr>
                <w:sz w:val="20"/>
              </w:rPr>
            </w:pPr>
            <w:r>
              <w:rPr>
                <w:spacing w:val="-10"/>
                <w:sz w:val="20"/>
              </w:rPr>
              <w:t>1</w:t>
            </w:r>
          </w:p>
        </w:tc>
        <w:tc>
          <w:tcPr>
            <w:tcW w:w="1443" w:type="dxa"/>
          </w:tcPr>
          <w:p w14:paraId="223067F2" w14:textId="77777777" w:rsidR="00BB58C4" w:rsidRDefault="00000000">
            <w:pPr>
              <w:pStyle w:val="TableParagraph"/>
              <w:ind w:left="5"/>
              <w:rPr>
                <w:sz w:val="20"/>
              </w:rPr>
            </w:pPr>
            <w:r>
              <w:rPr>
                <w:spacing w:val="-2"/>
                <w:sz w:val="20"/>
              </w:rPr>
              <w:t>6,804</w:t>
            </w:r>
          </w:p>
        </w:tc>
        <w:tc>
          <w:tcPr>
            <w:tcW w:w="1486" w:type="dxa"/>
          </w:tcPr>
          <w:p w14:paraId="36107FFD" w14:textId="77777777" w:rsidR="00BB58C4" w:rsidRDefault="00000000">
            <w:pPr>
              <w:pStyle w:val="TableParagraph"/>
              <w:ind w:left="3"/>
              <w:rPr>
                <w:sz w:val="20"/>
              </w:rPr>
            </w:pPr>
            <w:r>
              <w:rPr>
                <w:spacing w:val="-2"/>
                <w:sz w:val="20"/>
              </w:rPr>
              <w:t>2,566</w:t>
            </w:r>
          </w:p>
        </w:tc>
      </w:tr>
      <w:tr w:rsidR="00BB58C4" w14:paraId="17C0E14C" w14:textId="77777777">
        <w:trPr>
          <w:gridAfter w:val="1"/>
          <w:wAfter w:w="14" w:type="dxa"/>
          <w:trHeight w:val="230"/>
        </w:trPr>
        <w:tc>
          <w:tcPr>
            <w:tcW w:w="1416" w:type="dxa"/>
          </w:tcPr>
          <w:p w14:paraId="64970433" w14:textId="77777777" w:rsidR="00BB58C4" w:rsidRDefault="00000000">
            <w:pPr>
              <w:pStyle w:val="TableParagraph"/>
              <w:ind w:left="8" w:right="4"/>
              <w:rPr>
                <w:sz w:val="20"/>
              </w:rPr>
            </w:pPr>
            <w:r>
              <w:rPr>
                <w:spacing w:val="-4"/>
                <w:sz w:val="20"/>
              </w:rPr>
              <w:t>INCO</w:t>
            </w:r>
          </w:p>
        </w:tc>
        <w:tc>
          <w:tcPr>
            <w:tcW w:w="990" w:type="dxa"/>
          </w:tcPr>
          <w:p w14:paraId="108907A6" w14:textId="77777777" w:rsidR="00BB58C4" w:rsidRDefault="00000000">
            <w:pPr>
              <w:pStyle w:val="TableParagraph"/>
              <w:ind w:left="11"/>
              <w:rPr>
                <w:sz w:val="20"/>
              </w:rPr>
            </w:pPr>
            <w:r>
              <w:rPr>
                <w:spacing w:val="-4"/>
                <w:sz w:val="20"/>
              </w:rPr>
              <w:t>2020</w:t>
            </w:r>
          </w:p>
        </w:tc>
        <w:tc>
          <w:tcPr>
            <w:tcW w:w="1350" w:type="dxa"/>
          </w:tcPr>
          <w:p w14:paraId="73F72D17" w14:textId="77777777" w:rsidR="00BB58C4" w:rsidRDefault="00000000">
            <w:pPr>
              <w:pStyle w:val="TableParagraph"/>
              <w:ind w:left="8" w:right="3"/>
              <w:rPr>
                <w:sz w:val="20"/>
              </w:rPr>
            </w:pPr>
            <w:r>
              <w:rPr>
                <w:spacing w:val="-2"/>
                <w:sz w:val="20"/>
              </w:rPr>
              <w:t>104,491</w:t>
            </w:r>
          </w:p>
        </w:tc>
        <w:tc>
          <w:tcPr>
            <w:tcW w:w="1239" w:type="dxa"/>
          </w:tcPr>
          <w:p w14:paraId="6C89B7A0" w14:textId="77777777" w:rsidR="00BB58C4" w:rsidRDefault="00000000">
            <w:pPr>
              <w:pStyle w:val="TableParagraph"/>
              <w:ind w:left="5" w:right="2"/>
              <w:rPr>
                <w:sz w:val="20"/>
              </w:rPr>
            </w:pPr>
            <w:r>
              <w:rPr>
                <w:spacing w:val="-10"/>
                <w:sz w:val="20"/>
              </w:rPr>
              <w:t>1</w:t>
            </w:r>
          </w:p>
        </w:tc>
        <w:tc>
          <w:tcPr>
            <w:tcW w:w="1443" w:type="dxa"/>
          </w:tcPr>
          <w:p w14:paraId="7A566118" w14:textId="77777777" w:rsidR="00BB58C4" w:rsidRDefault="00000000">
            <w:pPr>
              <w:pStyle w:val="TableParagraph"/>
              <w:ind w:left="5"/>
              <w:rPr>
                <w:sz w:val="20"/>
              </w:rPr>
            </w:pPr>
            <w:r>
              <w:rPr>
                <w:spacing w:val="-2"/>
                <w:sz w:val="20"/>
              </w:rPr>
              <w:t>6,804</w:t>
            </w:r>
          </w:p>
        </w:tc>
        <w:tc>
          <w:tcPr>
            <w:tcW w:w="1486" w:type="dxa"/>
          </w:tcPr>
          <w:p w14:paraId="5ED7CC2E" w14:textId="77777777" w:rsidR="00BB58C4" w:rsidRDefault="00000000">
            <w:pPr>
              <w:pStyle w:val="TableParagraph"/>
              <w:ind w:left="3"/>
              <w:rPr>
                <w:sz w:val="20"/>
              </w:rPr>
            </w:pPr>
            <w:r>
              <w:rPr>
                <w:spacing w:val="-2"/>
                <w:sz w:val="20"/>
              </w:rPr>
              <w:t>2,617</w:t>
            </w:r>
          </w:p>
        </w:tc>
      </w:tr>
      <w:tr w:rsidR="00BB58C4" w14:paraId="15CF0976" w14:textId="77777777">
        <w:trPr>
          <w:gridAfter w:val="1"/>
          <w:wAfter w:w="14" w:type="dxa"/>
          <w:trHeight w:val="230"/>
        </w:trPr>
        <w:tc>
          <w:tcPr>
            <w:tcW w:w="1416" w:type="dxa"/>
          </w:tcPr>
          <w:p w14:paraId="5D8FD941" w14:textId="77777777" w:rsidR="00BB58C4" w:rsidRDefault="00000000">
            <w:pPr>
              <w:pStyle w:val="TableParagraph"/>
              <w:ind w:left="8" w:right="4"/>
              <w:rPr>
                <w:sz w:val="20"/>
              </w:rPr>
            </w:pPr>
            <w:r>
              <w:rPr>
                <w:spacing w:val="-4"/>
                <w:sz w:val="20"/>
              </w:rPr>
              <w:t>INCO</w:t>
            </w:r>
          </w:p>
        </w:tc>
        <w:tc>
          <w:tcPr>
            <w:tcW w:w="990" w:type="dxa"/>
          </w:tcPr>
          <w:p w14:paraId="728E78BD" w14:textId="77777777" w:rsidR="00BB58C4" w:rsidRDefault="00000000">
            <w:pPr>
              <w:pStyle w:val="TableParagraph"/>
              <w:ind w:left="11"/>
              <w:rPr>
                <w:sz w:val="20"/>
              </w:rPr>
            </w:pPr>
            <w:r>
              <w:rPr>
                <w:spacing w:val="-4"/>
                <w:sz w:val="20"/>
              </w:rPr>
              <w:t>2021</w:t>
            </w:r>
          </w:p>
        </w:tc>
        <w:tc>
          <w:tcPr>
            <w:tcW w:w="1350" w:type="dxa"/>
          </w:tcPr>
          <w:p w14:paraId="5EBADA9A" w14:textId="77777777" w:rsidR="00BB58C4" w:rsidRDefault="00000000">
            <w:pPr>
              <w:pStyle w:val="TableParagraph"/>
              <w:ind w:left="8" w:right="3"/>
              <w:rPr>
                <w:sz w:val="20"/>
              </w:rPr>
            </w:pPr>
            <w:r>
              <w:rPr>
                <w:spacing w:val="-2"/>
                <w:sz w:val="20"/>
              </w:rPr>
              <w:t>90,526</w:t>
            </w:r>
          </w:p>
        </w:tc>
        <w:tc>
          <w:tcPr>
            <w:tcW w:w="1239" w:type="dxa"/>
          </w:tcPr>
          <w:p w14:paraId="41612E2C" w14:textId="77777777" w:rsidR="00BB58C4" w:rsidRDefault="00000000">
            <w:pPr>
              <w:pStyle w:val="TableParagraph"/>
              <w:ind w:left="5" w:right="2"/>
              <w:rPr>
                <w:sz w:val="20"/>
              </w:rPr>
            </w:pPr>
            <w:r>
              <w:rPr>
                <w:spacing w:val="-10"/>
                <w:sz w:val="20"/>
              </w:rPr>
              <w:t>1</w:t>
            </w:r>
          </w:p>
        </w:tc>
        <w:tc>
          <w:tcPr>
            <w:tcW w:w="1443" w:type="dxa"/>
          </w:tcPr>
          <w:p w14:paraId="48351ADC" w14:textId="77777777" w:rsidR="00BB58C4" w:rsidRDefault="00000000">
            <w:pPr>
              <w:pStyle w:val="TableParagraph"/>
              <w:ind w:left="5"/>
              <w:rPr>
                <w:sz w:val="20"/>
              </w:rPr>
            </w:pPr>
            <w:r>
              <w:rPr>
                <w:spacing w:val="-2"/>
                <w:sz w:val="20"/>
              </w:rPr>
              <w:t>6,803</w:t>
            </w:r>
          </w:p>
        </w:tc>
        <w:tc>
          <w:tcPr>
            <w:tcW w:w="1486" w:type="dxa"/>
          </w:tcPr>
          <w:p w14:paraId="385451B3" w14:textId="77777777" w:rsidR="00BB58C4" w:rsidRDefault="00000000">
            <w:pPr>
              <w:pStyle w:val="TableParagraph"/>
              <w:ind w:left="3"/>
              <w:rPr>
                <w:sz w:val="20"/>
              </w:rPr>
            </w:pPr>
            <w:r>
              <w:rPr>
                <w:spacing w:val="-2"/>
                <w:sz w:val="20"/>
              </w:rPr>
              <w:t>2,572</w:t>
            </w:r>
          </w:p>
        </w:tc>
      </w:tr>
      <w:tr w:rsidR="00BB58C4" w14:paraId="537FE075" w14:textId="77777777">
        <w:trPr>
          <w:gridAfter w:val="1"/>
          <w:wAfter w:w="14" w:type="dxa"/>
          <w:trHeight w:val="230"/>
        </w:trPr>
        <w:tc>
          <w:tcPr>
            <w:tcW w:w="1416" w:type="dxa"/>
          </w:tcPr>
          <w:p w14:paraId="42AAA7A5" w14:textId="77777777" w:rsidR="00BB58C4" w:rsidRDefault="00000000">
            <w:pPr>
              <w:pStyle w:val="TableParagraph"/>
              <w:ind w:left="8" w:right="4"/>
              <w:rPr>
                <w:sz w:val="20"/>
              </w:rPr>
            </w:pPr>
            <w:r>
              <w:rPr>
                <w:spacing w:val="-4"/>
                <w:sz w:val="20"/>
              </w:rPr>
              <w:t>INCO</w:t>
            </w:r>
          </w:p>
        </w:tc>
        <w:tc>
          <w:tcPr>
            <w:tcW w:w="990" w:type="dxa"/>
          </w:tcPr>
          <w:p w14:paraId="27EE2C20" w14:textId="77777777" w:rsidR="00BB58C4" w:rsidRDefault="00000000">
            <w:pPr>
              <w:pStyle w:val="TableParagraph"/>
              <w:ind w:left="11"/>
              <w:rPr>
                <w:sz w:val="20"/>
              </w:rPr>
            </w:pPr>
            <w:r>
              <w:rPr>
                <w:spacing w:val="-4"/>
                <w:sz w:val="20"/>
              </w:rPr>
              <w:t>2022</w:t>
            </w:r>
          </w:p>
        </w:tc>
        <w:tc>
          <w:tcPr>
            <w:tcW w:w="1350" w:type="dxa"/>
          </w:tcPr>
          <w:p w14:paraId="771F9087" w14:textId="77777777" w:rsidR="00BB58C4" w:rsidRDefault="00000000">
            <w:pPr>
              <w:pStyle w:val="TableParagraph"/>
              <w:ind w:left="8" w:right="3"/>
              <w:rPr>
                <w:sz w:val="20"/>
              </w:rPr>
            </w:pPr>
            <w:r>
              <w:rPr>
                <w:spacing w:val="-2"/>
                <w:sz w:val="20"/>
              </w:rPr>
              <w:t>87,766</w:t>
            </w:r>
          </w:p>
        </w:tc>
        <w:tc>
          <w:tcPr>
            <w:tcW w:w="1239" w:type="dxa"/>
          </w:tcPr>
          <w:p w14:paraId="10F88122" w14:textId="77777777" w:rsidR="00BB58C4" w:rsidRDefault="00000000">
            <w:pPr>
              <w:pStyle w:val="TableParagraph"/>
              <w:ind w:left="5" w:right="2"/>
              <w:rPr>
                <w:sz w:val="20"/>
              </w:rPr>
            </w:pPr>
            <w:r>
              <w:rPr>
                <w:spacing w:val="-10"/>
                <w:sz w:val="20"/>
              </w:rPr>
              <w:t>1</w:t>
            </w:r>
          </w:p>
        </w:tc>
        <w:tc>
          <w:tcPr>
            <w:tcW w:w="1443" w:type="dxa"/>
          </w:tcPr>
          <w:p w14:paraId="287EB305" w14:textId="77777777" w:rsidR="00BB58C4" w:rsidRDefault="00000000">
            <w:pPr>
              <w:pStyle w:val="TableParagraph"/>
              <w:ind w:left="5"/>
              <w:rPr>
                <w:sz w:val="20"/>
              </w:rPr>
            </w:pPr>
            <w:r>
              <w:rPr>
                <w:spacing w:val="-2"/>
                <w:sz w:val="20"/>
              </w:rPr>
              <w:t>6,802</w:t>
            </w:r>
          </w:p>
        </w:tc>
        <w:tc>
          <w:tcPr>
            <w:tcW w:w="1486" w:type="dxa"/>
          </w:tcPr>
          <w:p w14:paraId="1FA68D1A" w14:textId="77777777" w:rsidR="00BB58C4" w:rsidRDefault="00000000">
            <w:pPr>
              <w:pStyle w:val="TableParagraph"/>
              <w:ind w:left="3"/>
              <w:rPr>
                <w:sz w:val="20"/>
              </w:rPr>
            </w:pPr>
            <w:r>
              <w:rPr>
                <w:spacing w:val="-2"/>
                <w:sz w:val="20"/>
              </w:rPr>
              <w:t>2,556</w:t>
            </w:r>
          </w:p>
        </w:tc>
      </w:tr>
      <w:tr w:rsidR="00BB58C4" w14:paraId="4FB61C37" w14:textId="77777777">
        <w:trPr>
          <w:gridAfter w:val="1"/>
          <w:wAfter w:w="14" w:type="dxa"/>
          <w:trHeight w:val="230"/>
        </w:trPr>
        <w:tc>
          <w:tcPr>
            <w:tcW w:w="1416" w:type="dxa"/>
          </w:tcPr>
          <w:p w14:paraId="6BD2C351" w14:textId="77777777" w:rsidR="00BB58C4" w:rsidRDefault="00000000">
            <w:pPr>
              <w:pStyle w:val="TableParagraph"/>
              <w:ind w:left="8" w:right="4"/>
              <w:rPr>
                <w:sz w:val="20"/>
              </w:rPr>
            </w:pPr>
            <w:r>
              <w:rPr>
                <w:spacing w:val="-4"/>
                <w:sz w:val="20"/>
              </w:rPr>
              <w:t>INCO</w:t>
            </w:r>
          </w:p>
        </w:tc>
        <w:tc>
          <w:tcPr>
            <w:tcW w:w="990" w:type="dxa"/>
          </w:tcPr>
          <w:p w14:paraId="0F9BD9F6" w14:textId="77777777" w:rsidR="00BB58C4" w:rsidRDefault="00000000">
            <w:pPr>
              <w:pStyle w:val="TableParagraph"/>
              <w:ind w:left="11"/>
              <w:rPr>
                <w:sz w:val="20"/>
              </w:rPr>
            </w:pPr>
            <w:r>
              <w:rPr>
                <w:spacing w:val="-4"/>
                <w:sz w:val="20"/>
              </w:rPr>
              <w:t>2023</w:t>
            </w:r>
          </w:p>
        </w:tc>
        <w:tc>
          <w:tcPr>
            <w:tcW w:w="1350" w:type="dxa"/>
          </w:tcPr>
          <w:p w14:paraId="69057C9E" w14:textId="77777777" w:rsidR="00BB58C4" w:rsidRDefault="00000000">
            <w:pPr>
              <w:pStyle w:val="TableParagraph"/>
              <w:ind w:left="8" w:right="3"/>
              <w:rPr>
                <w:sz w:val="20"/>
              </w:rPr>
            </w:pPr>
            <w:r>
              <w:rPr>
                <w:spacing w:val="-2"/>
                <w:sz w:val="20"/>
              </w:rPr>
              <w:t>85,547</w:t>
            </w:r>
          </w:p>
        </w:tc>
        <w:tc>
          <w:tcPr>
            <w:tcW w:w="1239" w:type="dxa"/>
          </w:tcPr>
          <w:p w14:paraId="128AB9D4" w14:textId="77777777" w:rsidR="00BB58C4" w:rsidRDefault="00000000">
            <w:pPr>
              <w:pStyle w:val="TableParagraph"/>
              <w:ind w:left="5" w:right="2"/>
              <w:rPr>
                <w:sz w:val="20"/>
              </w:rPr>
            </w:pPr>
            <w:r>
              <w:rPr>
                <w:spacing w:val="-10"/>
                <w:sz w:val="20"/>
              </w:rPr>
              <w:t>1</w:t>
            </w:r>
          </w:p>
        </w:tc>
        <w:tc>
          <w:tcPr>
            <w:tcW w:w="1443" w:type="dxa"/>
          </w:tcPr>
          <w:p w14:paraId="6F07BA3A" w14:textId="77777777" w:rsidR="00BB58C4" w:rsidRDefault="00000000">
            <w:pPr>
              <w:pStyle w:val="TableParagraph"/>
              <w:ind w:left="5"/>
              <w:rPr>
                <w:sz w:val="20"/>
              </w:rPr>
            </w:pPr>
            <w:r>
              <w:rPr>
                <w:spacing w:val="-2"/>
                <w:sz w:val="20"/>
              </w:rPr>
              <w:t>6,802</w:t>
            </w:r>
          </w:p>
        </w:tc>
        <w:tc>
          <w:tcPr>
            <w:tcW w:w="1486" w:type="dxa"/>
          </w:tcPr>
          <w:p w14:paraId="16803676" w14:textId="77777777" w:rsidR="00BB58C4" w:rsidRDefault="00000000">
            <w:pPr>
              <w:pStyle w:val="TableParagraph"/>
              <w:ind w:left="3"/>
              <w:rPr>
                <w:sz w:val="20"/>
              </w:rPr>
            </w:pPr>
            <w:r>
              <w:rPr>
                <w:spacing w:val="-2"/>
                <w:sz w:val="20"/>
              </w:rPr>
              <w:t>2,570</w:t>
            </w:r>
          </w:p>
        </w:tc>
      </w:tr>
      <w:tr w:rsidR="00BB58C4" w14:paraId="2331A074" w14:textId="77777777">
        <w:trPr>
          <w:gridAfter w:val="1"/>
          <w:wAfter w:w="14" w:type="dxa"/>
          <w:trHeight w:val="230"/>
        </w:trPr>
        <w:tc>
          <w:tcPr>
            <w:tcW w:w="1416" w:type="dxa"/>
          </w:tcPr>
          <w:p w14:paraId="18655189" w14:textId="77777777" w:rsidR="00BB58C4" w:rsidRDefault="00000000">
            <w:pPr>
              <w:pStyle w:val="TableParagraph"/>
              <w:ind w:left="8" w:right="4"/>
              <w:rPr>
                <w:sz w:val="20"/>
              </w:rPr>
            </w:pPr>
            <w:r>
              <w:rPr>
                <w:spacing w:val="-4"/>
                <w:sz w:val="20"/>
              </w:rPr>
              <w:t>CITA</w:t>
            </w:r>
          </w:p>
        </w:tc>
        <w:tc>
          <w:tcPr>
            <w:tcW w:w="990" w:type="dxa"/>
          </w:tcPr>
          <w:p w14:paraId="01F5A94C" w14:textId="77777777" w:rsidR="00BB58C4" w:rsidRDefault="00000000">
            <w:pPr>
              <w:pStyle w:val="TableParagraph"/>
              <w:ind w:left="11"/>
              <w:rPr>
                <w:sz w:val="20"/>
              </w:rPr>
            </w:pPr>
            <w:r>
              <w:rPr>
                <w:spacing w:val="-4"/>
                <w:sz w:val="20"/>
              </w:rPr>
              <w:t>2019</w:t>
            </w:r>
          </w:p>
        </w:tc>
        <w:tc>
          <w:tcPr>
            <w:tcW w:w="1350" w:type="dxa"/>
          </w:tcPr>
          <w:p w14:paraId="486C88BF" w14:textId="77777777" w:rsidR="00BB58C4" w:rsidRDefault="00000000">
            <w:pPr>
              <w:pStyle w:val="TableParagraph"/>
              <w:ind w:left="8" w:right="3"/>
              <w:rPr>
                <w:sz w:val="20"/>
              </w:rPr>
            </w:pPr>
            <w:r>
              <w:rPr>
                <w:spacing w:val="-2"/>
                <w:sz w:val="20"/>
              </w:rPr>
              <w:t>27,144</w:t>
            </w:r>
          </w:p>
        </w:tc>
        <w:tc>
          <w:tcPr>
            <w:tcW w:w="1239" w:type="dxa"/>
          </w:tcPr>
          <w:p w14:paraId="06C6F3D0" w14:textId="77777777" w:rsidR="00BB58C4" w:rsidRDefault="00000000">
            <w:pPr>
              <w:pStyle w:val="TableParagraph"/>
              <w:ind w:left="5" w:right="2"/>
              <w:rPr>
                <w:sz w:val="20"/>
              </w:rPr>
            </w:pPr>
            <w:r>
              <w:rPr>
                <w:spacing w:val="-10"/>
                <w:sz w:val="20"/>
              </w:rPr>
              <w:t>1</w:t>
            </w:r>
          </w:p>
        </w:tc>
        <w:tc>
          <w:tcPr>
            <w:tcW w:w="1443" w:type="dxa"/>
          </w:tcPr>
          <w:p w14:paraId="198436AD" w14:textId="77777777" w:rsidR="00BB58C4" w:rsidRDefault="00000000">
            <w:pPr>
              <w:pStyle w:val="TableParagraph"/>
              <w:ind w:left="5"/>
              <w:rPr>
                <w:sz w:val="20"/>
              </w:rPr>
            </w:pPr>
            <w:r>
              <w:rPr>
                <w:spacing w:val="-2"/>
                <w:sz w:val="20"/>
              </w:rPr>
              <w:t>1,493</w:t>
            </w:r>
          </w:p>
        </w:tc>
        <w:tc>
          <w:tcPr>
            <w:tcW w:w="1486" w:type="dxa"/>
          </w:tcPr>
          <w:p w14:paraId="00324299" w14:textId="77777777" w:rsidR="00BB58C4" w:rsidRDefault="00000000">
            <w:pPr>
              <w:pStyle w:val="TableParagraph"/>
              <w:ind w:left="3"/>
              <w:rPr>
                <w:sz w:val="20"/>
              </w:rPr>
            </w:pPr>
            <w:r>
              <w:rPr>
                <w:spacing w:val="-2"/>
                <w:sz w:val="20"/>
              </w:rPr>
              <w:t>0,575</w:t>
            </w:r>
          </w:p>
        </w:tc>
      </w:tr>
      <w:tr w:rsidR="00BB58C4" w14:paraId="63765722" w14:textId="77777777">
        <w:trPr>
          <w:gridAfter w:val="1"/>
          <w:wAfter w:w="14" w:type="dxa"/>
          <w:trHeight w:val="230"/>
        </w:trPr>
        <w:tc>
          <w:tcPr>
            <w:tcW w:w="1416" w:type="dxa"/>
          </w:tcPr>
          <w:p w14:paraId="41E556D0" w14:textId="77777777" w:rsidR="00BB58C4" w:rsidRDefault="00000000">
            <w:pPr>
              <w:pStyle w:val="TableParagraph"/>
              <w:ind w:left="8" w:right="4"/>
              <w:rPr>
                <w:sz w:val="20"/>
              </w:rPr>
            </w:pPr>
            <w:r>
              <w:rPr>
                <w:spacing w:val="-4"/>
                <w:sz w:val="20"/>
              </w:rPr>
              <w:t>CITA</w:t>
            </w:r>
          </w:p>
        </w:tc>
        <w:tc>
          <w:tcPr>
            <w:tcW w:w="990" w:type="dxa"/>
          </w:tcPr>
          <w:p w14:paraId="1640352B" w14:textId="77777777" w:rsidR="00BB58C4" w:rsidRDefault="00000000">
            <w:pPr>
              <w:pStyle w:val="TableParagraph"/>
              <w:ind w:left="11"/>
              <w:rPr>
                <w:sz w:val="20"/>
              </w:rPr>
            </w:pPr>
            <w:r>
              <w:rPr>
                <w:spacing w:val="-4"/>
                <w:sz w:val="20"/>
              </w:rPr>
              <w:t>2020</w:t>
            </w:r>
          </w:p>
        </w:tc>
        <w:tc>
          <w:tcPr>
            <w:tcW w:w="1350" w:type="dxa"/>
          </w:tcPr>
          <w:p w14:paraId="384470AA" w14:textId="77777777" w:rsidR="00BB58C4" w:rsidRDefault="00000000">
            <w:pPr>
              <w:pStyle w:val="TableParagraph"/>
              <w:ind w:left="8" w:right="3"/>
              <w:rPr>
                <w:sz w:val="20"/>
              </w:rPr>
            </w:pPr>
            <w:r>
              <w:rPr>
                <w:spacing w:val="-2"/>
                <w:sz w:val="20"/>
              </w:rPr>
              <w:t>52,394</w:t>
            </w:r>
          </w:p>
        </w:tc>
        <w:tc>
          <w:tcPr>
            <w:tcW w:w="1239" w:type="dxa"/>
          </w:tcPr>
          <w:p w14:paraId="34A2EC85" w14:textId="77777777" w:rsidR="00BB58C4" w:rsidRDefault="00000000">
            <w:pPr>
              <w:pStyle w:val="TableParagraph"/>
              <w:ind w:left="5" w:right="2"/>
              <w:rPr>
                <w:sz w:val="20"/>
              </w:rPr>
            </w:pPr>
            <w:r>
              <w:rPr>
                <w:spacing w:val="-10"/>
                <w:sz w:val="20"/>
              </w:rPr>
              <w:t>1</w:t>
            </w:r>
          </w:p>
        </w:tc>
        <w:tc>
          <w:tcPr>
            <w:tcW w:w="1443" w:type="dxa"/>
          </w:tcPr>
          <w:p w14:paraId="69587E16" w14:textId="77777777" w:rsidR="00BB58C4" w:rsidRDefault="00000000">
            <w:pPr>
              <w:pStyle w:val="TableParagraph"/>
              <w:ind w:left="5"/>
              <w:rPr>
                <w:sz w:val="20"/>
              </w:rPr>
            </w:pPr>
            <w:r>
              <w:rPr>
                <w:spacing w:val="-2"/>
                <w:sz w:val="20"/>
              </w:rPr>
              <w:t>1,782</w:t>
            </w:r>
          </w:p>
        </w:tc>
        <w:tc>
          <w:tcPr>
            <w:tcW w:w="1486" w:type="dxa"/>
          </w:tcPr>
          <w:p w14:paraId="02E9EEAF" w14:textId="77777777" w:rsidR="00BB58C4" w:rsidRDefault="00000000">
            <w:pPr>
              <w:pStyle w:val="TableParagraph"/>
              <w:ind w:left="3"/>
              <w:rPr>
                <w:sz w:val="20"/>
              </w:rPr>
            </w:pPr>
            <w:r>
              <w:rPr>
                <w:spacing w:val="-2"/>
                <w:sz w:val="20"/>
              </w:rPr>
              <w:t>0,659</w:t>
            </w:r>
          </w:p>
        </w:tc>
      </w:tr>
      <w:tr w:rsidR="00BB58C4" w14:paraId="48E39004" w14:textId="77777777">
        <w:trPr>
          <w:gridAfter w:val="1"/>
          <w:wAfter w:w="14" w:type="dxa"/>
          <w:trHeight w:val="230"/>
        </w:trPr>
        <w:tc>
          <w:tcPr>
            <w:tcW w:w="1416" w:type="dxa"/>
          </w:tcPr>
          <w:p w14:paraId="4DF9AFF6" w14:textId="77777777" w:rsidR="00BB58C4" w:rsidRDefault="00000000">
            <w:pPr>
              <w:pStyle w:val="TableParagraph"/>
              <w:ind w:left="8" w:right="4"/>
              <w:rPr>
                <w:sz w:val="20"/>
              </w:rPr>
            </w:pPr>
            <w:r>
              <w:rPr>
                <w:spacing w:val="-4"/>
                <w:sz w:val="20"/>
              </w:rPr>
              <w:t>CITA</w:t>
            </w:r>
          </w:p>
        </w:tc>
        <w:tc>
          <w:tcPr>
            <w:tcW w:w="990" w:type="dxa"/>
          </w:tcPr>
          <w:p w14:paraId="7EE03D77" w14:textId="77777777" w:rsidR="00BB58C4" w:rsidRDefault="00000000">
            <w:pPr>
              <w:pStyle w:val="TableParagraph"/>
              <w:ind w:left="11"/>
              <w:rPr>
                <w:sz w:val="20"/>
              </w:rPr>
            </w:pPr>
            <w:r>
              <w:rPr>
                <w:spacing w:val="-4"/>
                <w:sz w:val="20"/>
              </w:rPr>
              <w:t>2021</w:t>
            </w:r>
          </w:p>
        </w:tc>
        <w:tc>
          <w:tcPr>
            <w:tcW w:w="1350" w:type="dxa"/>
          </w:tcPr>
          <w:p w14:paraId="7BA2FAE8" w14:textId="77777777" w:rsidR="00BB58C4" w:rsidRDefault="00000000">
            <w:pPr>
              <w:pStyle w:val="TableParagraph"/>
              <w:ind w:left="8" w:right="3"/>
              <w:rPr>
                <w:sz w:val="20"/>
              </w:rPr>
            </w:pPr>
            <w:r>
              <w:rPr>
                <w:spacing w:val="-2"/>
                <w:sz w:val="20"/>
              </w:rPr>
              <w:t>56,281</w:t>
            </w:r>
          </w:p>
        </w:tc>
        <w:tc>
          <w:tcPr>
            <w:tcW w:w="1239" w:type="dxa"/>
          </w:tcPr>
          <w:p w14:paraId="3680A013" w14:textId="77777777" w:rsidR="00BB58C4" w:rsidRDefault="00000000">
            <w:pPr>
              <w:pStyle w:val="TableParagraph"/>
              <w:ind w:left="5" w:right="2"/>
              <w:rPr>
                <w:sz w:val="20"/>
              </w:rPr>
            </w:pPr>
            <w:r>
              <w:rPr>
                <w:spacing w:val="-10"/>
                <w:sz w:val="20"/>
              </w:rPr>
              <w:t>1</w:t>
            </w:r>
          </w:p>
        </w:tc>
        <w:tc>
          <w:tcPr>
            <w:tcW w:w="1443" w:type="dxa"/>
          </w:tcPr>
          <w:p w14:paraId="7F89D43D" w14:textId="77777777" w:rsidR="00BB58C4" w:rsidRDefault="00000000">
            <w:pPr>
              <w:pStyle w:val="TableParagraph"/>
              <w:ind w:left="5"/>
              <w:rPr>
                <w:sz w:val="20"/>
              </w:rPr>
            </w:pPr>
            <w:r>
              <w:rPr>
                <w:spacing w:val="-2"/>
                <w:sz w:val="20"/>
              </w:rPr>
              <w:t>3,626</w:t>
            </w:r>
          </w:p>
        </w:tc>
        <w:tc>
          <w:tcPr>
            <w:tcW w:w="1486" w:type="dxa"/>
          </w:tcPr>
          <w:p w14:paraId="65A0121B" w14:textId="77777777" w:rsidR="00BB58C4" w:rsidRDefault="00000000">
            <w:pPr>
              <w:pStyle w:val="TableParagraph"/>
              <w:ind w:left="3"/>
              <w:rPr>
                <w:sz w:val="20"/>
              </w:rPr>
            </w:pPr>
            <w:r>
              <w:rPr>
                <w:spacing w:val="-2"/>
                <w:sz w:val="20"/>
              </w:rPr>
              <w:t>1,351</w:t>
            </w:r>
          </w:p>
        </w:tc>
      </w:tr>
      <w:tr w:rsidR="00BB58C4" w14:paraId="17805ECE" w14:textId="77777777">
        <w:trPr>
          <w:gridAfter w:val="1"/>
          <w:wAfter w:w="14" w:type="dxa"/>
          <w:trHeight w:val="230"/>
        </w:trPr>
        <w:tc>
          <w:tcPr>
            <w:tcW w:w="1416" w:type="dxa"/>
          </w:tcPr>
          <w:p w14:paraId="5D18CD1B" w14:textId="77777777" w:rsidR="00BB58C4" w:rsidRDefault="00000000">
            <w:pPr>
              <w:pStyle w:val="TableParagraph"/>
              <w:ind w:left="8" w:right="4"/>
              <w:rPr>
                <w:sz w:val="20"/>
              </w:rPr>
            </w:pPr>
            <w:r>
              <w:rPr>
                <w:spacing w:val="-4"/>
                <w:sz w:val="20"/>
              </w:rPr>
              <w:t>CITA</w:t>
            </w:r>
          </w:p>
        </w:tc>
        <w:tc>
          <w:tcPr>
            <w:tcW w:w="990" w:type="dxa"/>
          </w:tcPr>
          <w:p w14:paraId="1B8174FB" w14:textId="77777777" w:rsidR="00BB58C4" w:rsidRDefault="00000000">
            <w:pPr>
              <w:pStyle w:val="TableParagraph"/>
              <w:ind w:left="11"/>
              <w:rPr>
                <w:sz w:val="20"/>
              </w:rPr>
            </w:pPr>
            <w:r>
              <w:rPr>
                <w:spacing w:val="-4"/>
                <w:sz w:val="20"/>
              </w:rPr>
              <w:t>2022</w:t>
            </w:r>
          </w:p>
        </w:tc>
        <w:tc>
          <w:tcPr>
            <w:tcW w:w="1350" w:type="dxa"/>
          </w:tcPr>
          <w:p w14:paraId="50717170" w14:textId="77777777" w:rsidR="00BB58C4" w:rsidRDefault="00000000">
            <w:pPr>
              <w:pStyle w:val="TableParagraph"/>
              <w:ind w:left="8" w:right="3"/>
              <w:rPr>
                <w:sz w:val="20"/>
              </w:rPr>
            </w:pPr>
            <w:r>
              <w:rPr>
                <w:spacing w:val="-2"/>
                <w:sz w:val="20"/>
              </w:rPr>
              <w:t>144,266</w:t>
            </w:r>
          </w:p>
        </w:tc>
        <w:tc>
          <w:tcPr>
            <w:tcW w:w="1239" w:type="dxa"/>
          </w:tcPr>
          <w:p w14:paraId="2B19AEA1" w14:textId="77777777" w:rsidR="00BB58C4" w:rsidRDefault="00000000">
            <w:pPr>
              <w:pStyle w:val="TableParagraph"/>
              <w:ind w:left="5" w:right="2"/>
              <w:rPr>
                <w:sz w:val="20"/>
              </w:rPr>
            </w:pPr>
            <w:r>
              <w:rPr>
                <w:spacing w:val="-10"/>
                <w:sz w:val="20"/>
              </w:rPr>
              <w:t>1</w:t>
            </w:r>
          </w:p>
        </w:tc>
        <w:tc>
          <w:tcPr>
            <w:tcW w:w="1443" w:type="dxa"/>
          </w:tcPr>
          <w:p w14:paraId="134D2145" w14:textId="77777777" w:rsidR="00BB58C4" w:rsidRDefault="00000000">
            <w:pPr>
              <w:pStyle w:val="TableParagraph"/>
              <w:ind w:left="5" w:right="3"/>
              <w:rPr>
                <w:sz w:val="20"/>
              </w:rPr>
            </w:pPr>
            <w:r>
              <w:rPr>
                <w:spacing w:val="-2"/>
                <w:sz w:val="20"/>
              </w:rPr>
              <w:t>19,356</w:t>
            </w:r>
          </w:p>
        </w:tc>
        <w:tc>
          <w:tcPr>
            <w:tcW w:w="1486" w:type="dxa"/>
          </w:tcPr>
          <w:p w14:paraId="1102122F" w14:textId="77777777" w:rsidR="00BB58C4" w:rsidRDefault="00000000">
            <w:pPr>
              <w:pStyle w:val="TableParagraph"/>
              <w:ind w:left="3"/>
              <w:rPr>
                <w:sz w:val="20"/>
              </w:rPr>
            </w:pPr>
            <w:r>
              <w:rPr>
                <w:spacing w:val="-2"/>
                <w:sz w:val="20"/>
              </w:rPr>
              <w:t>3,562</w:t>
            </w:r>
          </w:p>
        </w:tc>
      </w:tr>
      <w:tr w:rsidR="00BB58C4" w14:paraId="4E894249" w14:textId="77777777">
        <w:trPr>
          <w:gridAfter w:val="1"/>
          <w:wAfter w:w="14" w:type="dxa"/>
          <w:trHeight w:val="230"/>
        </w:trPr>
        <w:tc>
          <w:tcPr>
            <w:tcW w:w="1416" w:type="dxa"/>
          </w:tcPr>
          <w:p w14:paraId="32C1D47C" w14:textId="77777777" w:rsidR="00BB58C4" w:rsidRDefault="00000000">
            <w:pPr>
              <w:pStyle w:val="TableParagraph"/>
              <w:ind w:left="8" w:right="4"/>
              <w:rPr>
                <w:sz w:val="20"/>
              </w:rPr>
            </w:pPr>
            <w:r>
              <w:rPr>
                <w:spacing w:val="-4"/>
                <w:sz w:val="20"/>
              </w:rPr>
              <w:t>CITA</w:t>
            </w:r>
          </w:p>
        </w:tc>
        <w:tc>
          <w:tcPr>
            <w:tcW w:w="990" w:type="dxa"/>
          </w:tcPr>
          <w:p w14:paraId="5101761B" w14:textId="77777777" w:rsidR="00BB58C4" w:rsidRDefault="00000000">
            <w:pPr>
              <w:pStyle w:val="TableParagraph"/>
              <w:ind w:left="11"/>
              <w:rPr>
                <w:sz w:val="20"/>
              </w:rPr>
            </w:pPr>
            <w:r>
              <w:rPr>
                <w:spacing w:val="-4"/>
                <w:sz w:val="20"/>
              </w:rPr>
              <w:t>2023</w:t>
            </w:r>
          </w:p>
        </w:tc>
        <w:tc>
          <w:tcPr>
            <w:tcW w:w="1350" w:type="dxa"/>
          </w:tcPr>
          <w:p w14:paraId="401CDA93" w14:textId="77777777" w:rsidR="00BB58C4" w:rsidRDefault="00000000">
            <w:pPr>
              <w:pStyle w:val="TableParagraph"/>
              <w:ind w:left="8" w:right="3"/>
              <w:rPr>
                <w:sz w:val="20"/>
              </w:rPr>
            </w:pPr>
            <w:r>
              <w:rPr>
                <w:spacing w:val="-2"/>
                <w:sz w:val="20"/>
              </w:rPr>
              <w:t>86,346</w:t>
            </w:r>
          </w:p>
        </w:tc>
        <w:tc>
          <w:tcPr>
            <w:tcW w:w="1239" w:type="dxa"/>
          </w:tcPr>
          <w:p w14:paraId="2DFA2167" w14:textId="77777777" w:rsidR="00BB58C4" w:rsidRDefault="00000000">
            <w:pPr>
              <w:pStyle w:val="TableParagraph"/>
              <w:ind w:left="5" w:right="2"/>
              <w:rPr>
                <w:sz w:val="20"/>
              </w:rPr>
            </w:pPr>
            <w:r>
              <w:rPr>
                <w:spacing w:val="-10"/>
                <w:sz w:val="20"/>
              </w:rPr>
              <w:t>1</w:t>
            </w:r>
          </w:p>
        </w:tc>
        <w:tc>
          <w:tcPr>
            <w:tcW w:w="1443" w:type="dxa"/>
          </w:tcPr>
          <w:p w14:paraId="6FE04AC0" w14:textId="77777777" w:rsidR="00BB58C4" w:rsidRDefault="00000000">
            <w:pPr>
              <w:pStyle w:val="TableParagraph"/>
              <w:ind w:left="5"/>
              <w:rPr>
                <w:sz w:val="20"/>
              </w:rPr>
            </w:pPr>
            <w:r>
              <w:rPr>
                <w:spacing w:val="-2"/>
                <w:sz w:val="20"/>
              </w:rPr>
              <w:t>6,801</w:t>
            </w:r>
          </w:p>
        </w:tc>
        <w:tc>
          <w:tcPr>
            <w:tcW w:w="1486" w:type="dxa"/>
          </w:tcPr>
          <w:p w14:paraId="0AA09BE4" w14:textId="77777777" w:rsidR="00BB58C4" w:rsidRDefault="00000000">
            <w:pPr>
              <w:pStyle w:val="TableParagraph"/>
              <w:ind w:left="3"/>
              <w:rPr>
                <w:sz w:val="20"/>
              </w:rPr>
            </w:pPr>
            <w:r>
              <w:rPr>
                <w:spacing w:val="-2"/>
                <w:sz w:val="20"/>
              </w:rPr>
              <w:t>2,576</w:t>
            </w:r>
          </w:p>
        </w:tc>
      </w:tr>
      <w:tr w:rsidR="00BB58C4" w14:paraId="52D54786" w14:textId="77777777">
        <w:trPr>
          <w:gridAfter w:val="1"/>
          <w:wAfter w:w="14" w:type="dxa"/>
          <w:trHeight w:val="230"/>
        </w:trPr>
        <w:tc>
          <w:tcPr>
            <w:tcW w:w="1416" w:type="dxa"/>
          </w:tcPr>
          <w:p w14:paraId="02C0B6CD" w14:textId="77777777" w:rsidR="00BB58C4" w:rsidRDefault="00000000">
            <w:pPr>
              <w:pStyle w:val="TableParagraph"/>
              <w:ind w:left="8" w:right="2"/>
              <w:rPr>
                <w:sz w:val="20"/>
              </w:rPr>
            </w:pPr>
            <w:r>
              <w:rPr>
                <w:spacing w:val="-4"/>
                <w:sz w:val="20"/>
              </w:rPr>
              <w:t>IFSH</w:t>
            </w:r>
          </w:p>
        </w:tc>
        <w:tc>
          <w:tcPr>
            <w:tcW w:w="990" w:type="dxa"/>
          </w:tcPr>
          <w:p w14:paraId="36318681" w14:textId="77777777" w:rsidR="00BB58C4" w:rsidRDefault="00000000">
            <w:pPr>
              <w:pStyle w:val="TableParagraph"/>
              <w:ind w:left="11"/>
              <w:rPr>
                <w:sz w:val="20"/>
              </w:rPr>
            </w:pPr>
            <w:r>
              <w:rPr>
                <w:spacing w:val="-4"/>
                <w:sz w:val="20"/>
              </w:rPr>
              <w:t>2019</w:t>
            </w:r>
          </w:p>
        </w:tc>
        <w:tc>
          <w:tcPr>
            <w:tcW w:w="1350" w:type="dxa"/>
          </w:tcPr>
          <w:p w14:paraId="2501C6E7" w14:textId="77777777" w:rsidR="00BB58C4" w:rsidRDefault="00000000">
            <w:pPr>
              <w:pStyle w:val="TableParagraph"/>
              <w:ind w:left="8" w:right="3"/>
              <w:rPr>
                <w:sz w:val="20"/>
              </w:rPr>
            </w:pPr>
            <w:r>
              <w:rPr>
                <w:spacing w:val="-2"/>
                <w:sz w:val="20"/>
              </w:rPr>
              <w:t>40,750</w:t>
            </w:r>
          </w:p>
        </w:tc>
        <w:tc>
          <w:tcPr>
            <w:tcW w:w="1239" w:type="dxa"/>
          </w:tcPr>
          <w:p w14:paraId="503853B3" w14:textId="77777777" w:rsidR="00BB58C4" w:rsidRDefault="00000000">
            <w:pPr>
              <w:pStyle w:val="TableParagraph"/>
              <w:ind w:left="5" w:right="2"/>
              <w:rPr>
                <w:sz w:val="20"/>
              </w:rPr>
            </w:pPr>
            <w:r>
              <w:rPr>
                <w:spacing w:val="-10"/>
                <w:sz w:val="20"/>
              </w:rPr>
              <w:t>1</w:t>
            </w:r>
          </w:p>
        </w:tc>
        <w:tc>
          <w:tcPr>
            <w:tcW w:w="1443" w:type="dxa"/>
          </w:tcPr>
          <w:p w14:paraId="1BEFD452" w14:textId="77777777" w:rsidR="00BB58C4" w:rsidRDefault="00000000">
            <w:pPr>
              <w:pStyle w:val="TableParagraph"/>
              <w:ind w:left="5"/>
              <w:rPr>
                <w:sz w:val="20"/>
              </w:rPr>
            </w:pPr>
            <w:r>
              <w:rPr>
                <w:spacing w:val="-2"/>
                <w:sz w:val="20"/>
              </w:rPr>
              <w:t>0,925</w:t>
            </w:r>
          </w:p>
        </w:tc>
        <w:tc>
          <w:tcPr>
            <w:tcW w:w="1486" w:type="dxa"/>
          </w:tcPr>
          <w:p w14:paraId="5AB0FC8B" w14:textId="77777777" w:rsidR="00BB58C4" w:rsidRDefault="00000000">
            <w:pPr>
              <w:pStyle w:val="TableParagraph"/>
              <w:ind w:left="3"/>
              <w:rPr>
                <w:sz w:val="20"/>
              </w:rPr>
            </w:pPr>
            <w:r>
              <w:rPr>
                <w:spacing w:val="-2"/>
                <w:sz w:val="20"/>
              </w:rPr>
              <w:t>0,393</w:t>
            </w:r>
          </w:p>
        </w:tc>
      </w:tr>
      <w:tr w:rsidR="00BB58C4" w14:paraId="6C7BCCD1" w14:textId="77777777">
        <w:trPr>
          <w:gridAfter w:val="1"/>
          <w:wAfter w:w="14" w:type="dxa"/>
          <w:trHeight w:val="229"/>
        </w:trPr>
        <w:tc>
          <w:tcPr>
            <w:tcW w:w="1416" w:type="dxa"/>
          </w:tcPr>
          <w:p w14:paraId="5B25B027" w14:textId="77777777" w:rsidR="00BB58C4" w:rsidRDefault="00000000">
            <w:pPr>
              <w:pStyle w:val="TableParagraph"/>
              <w:ind w:left="8" w:right="2"/>
              <w:rPr>
                <w:sz w:val="20"/>
              </w:rPr>
            </w:pPr>
            <w:r>
              <w:rPr>
                <w:spacing w:val="-4"/>
                <w:sz w:val="20"/>
              </w:rPr>
              <w:t>IFSH</w:t>
            </w:r>
          </w:p>
        </w:tc>
        <w:tc>
          <w:tcPr>
            <w:tcW w:w="990" w:type="dxa"/>
          </w:tcPr>
          <w:p w14:paraId="4FE3A527" w14:textId="77777777" w:rsidR="00BB58C4" w:rsidRDefault="00000000">
            <w:pPr>
              <w:pStyle w:val="TableParagraph"/>
              <w:ind w:left="11"/>
              <w:rPr>
                <w:sz w:val="20"/>
              </w:rPr>
            </w:pPr>
            <w:r>
              <w:rPr>
                <w:spacing w:val="-4"/>
                <w:sz w:val="20"/>
              </w:rPr>
              <w:t>2020</w:t>
            </w:r>
          </w:p>
        </w:tc>
        <w:tc>
          <w:tcPr>
            <w:tcW w:w="1350" w:type="dxa"/>
          </w:tcPr>
          <w:p w14:paraId="6B43B2F7" w14:textId="77777777" w:rsidR="00BB58C4" w:rsidRDefault="00000000">
            <w:pPr>
              <w:pStyle w:val="TableParagraph"/>
              <w:ind w:left="8" w:right="3"/>
              <w:rPr>
                <w:sz w:val="20"/>
              </w:rPr>
            </w:pPr>
            <w:r>
              <w:rPr>
                <w:spacing w:val="-2"/>
                <w:sz w:val="20"/>
              </w:rPr>
              <w:t>48,277</w:t>
            </w:r>
          </w:p>
        </w:tc>
        <w:tc>
          <w:tcPr>
            <w:tcW w:w="1239" w:type="dxa"/>
          </w:tcPr>
          <w:p w14:paraId="1F3599DB" w14:textId="77777777" w:rsidR="00BB58C4" w:rsidRDefault="00000000">
            <w:pPr>
              <w:pStyle w:val="TableParagraph"/>
              <w:ind w:left="5" w:right="2"/>
              <w:rPr>
                <w:sz w:val="20"/>
              </w:rPr>
            </w:pPr>
            <w:r>
              <w:rPr>
                <w:spacing w:val="-10"/>
                <w:sz w:val="20"/>
              </w:rPr>
              <w:t>1</w:t>
            </w:r>
          </w:p>
        </w:tc>
        <w:tc>
          <w:tcPr>
            <w:tcW w:w="1443" w:type="dxa"/>
          </w:tcPr>
          <w:p w14:paraId="665C1E3A" w14:textId="77777777" w:rsidR="00BB58C4" w:rsidRDefault="00000000">
            <w:pPr>
              <w:pStyle w:val="TableParagraph"/>
              <w:ind w:left="5"/>
              <w:rPr>
                <w:sz w:val="20"/>
              </w:rPr>
            </w:pPr>
            <w:r>
              <w:rPr>
                <w:spacing w:val="-2"/>
                <w:sz w:val="20"/>
              </w:rPr>
              <w:t>0,119</w:t>
            </w:r>
          </w:p>
        </w:tc>
        <w:tc>
          <w:tcPr>
            <w:tcW w:w="1486" w:type="dxa"/>
          </w:tcPr>
          <w:p w14:paraId="770095B2" w14:textId="77777777" w:rsidR="00BB58C4" w:rsidRDefault="00000000">
            <w:pPr>
              <w:pStyle w:val="TableParagraph"/>
              <w:ind w:left="3"/>
              <w:rPr>
                <w:sz w:val="20"/>
              </w:rPr>
            </w:pPr>
            <w:r>
              <w:rPr>
                <w:spacing w:val="-2"/>
                <w:sz w:val="20"/>
              </w:rPr>
              <w:t>0,073</w:t>
            </w:r>
          </w:p>
        </w:tc>
      </w:tr>
      <w:tr w:rsidR="00BB58C4" w14:paraId="1A3F20C2" w14:textId="77777777">
        <w:trPr>
          <w:gridAfter w:val="1"/>
          <w:wAfter w:w="14" w:type="dxa"/>
          <w:trHeight w:val="227"/>
        </w:trPr>
        <w:tc>
          <w:tcPr>
            <w:tcW w:w="1416" w:type="dxa"/>
          </w:tcPr>
          <w:p w14:paraId="646D5134" w14:textId="77777777" w:rsidR="00BB58C4" w:rsidRDefault="00000000">
            <w:pPr>
              <w:pStyle w:val="TableParagraph"/>
              <w:spacing w:line="208" w:lineRule="exact"/>
              <w:ind w:left="8" w:right="2"/>
              <w:rPr>
                <w:sz w:val="20"/>
              </w:rPr>
            </w:pPr>
            <w:r>
              <w:rPr>
                <w:spacing w:val="-4"/>
                <w:sz w:val="20"/>
              </w:rPr>
              <w:t>IFSH</w:t>
            </w:r>
          </w:p>
        </w:tc>
        <w:tc>
          <w:tcPr>
            <w:tcW w:w="990" w:type="dxa"/>
          </w:tcPr>
          <w:p w14:paraId="50D12BA7" w14:textId="77777777" w:rsidR="00BB58C4" w:rsidRDefault="00000000">
            <w:pPr>
              <w:pStyle w:val="TableParagraph"/>
              <w:spacing w:line="208" w:lineRule="exact"/>
              <w:ind w:left="11"/>
              <w:rPr>
                <w:sz w:val="20"/>
              </w:rPr>
            </w:pPr>
            <w:r>
              <w:rPr>
                <w:spacing w:val="-4"/>
                <w:sz w:val="20"/>
              </w:rPr>
              <w:t>2021</w:t>
            </w:r>
          </w:p>
        </w:tc>
        <w:tc>
          <w:tcPr>
            <w:tcW w:w="1350" w:type="dxa"/>
          </w:tcPr>
          <w:p w14:paraId="038497DD" w14:textId="77777777" w:rsidR="00BB58C4" w:rsidRDefault="00000000">
            <w:pPr>
              <w:pStyle w:val="TableParagraph"/>
              <w:spacing w:line="208" w:lineRule="exact"/>
              <w:ind w:left="8" w:right="3"/>
              <w:rPr>
                <w:sz w:val="20"/>
              </w:rPr>
            </w:pPr>
            <w:r>
              <w:rPr>
                <w:spacing w:val="-2"/>
                <w:sz w:val="20"/>
              </w:rPr>
              <w:t>32,384</w:t>
            </w:r>
          </w:p>
        </w:tc>
        <w:tc>
          <w:tcPr>
            <w:tcW w:w="1239" w:type="dxa"/>
          </w:tcPr>
          <w:p w14:paraId="10C2A5DF" w14:textId="77777777" w:rsidR="00BB58C4" w:rsidRDefault="00000000">
            <w:pPr>
              <w:pStyle w:val="TableParagraph"/>
              <w:spacing w:line="208" w:lineRule="exact"/>
              <w:ind w:left="5" w:right="2"/>
              <w:rPr>
                <w:sz w:val="20"/>
              </w:rPr>
            </w:pPr>
            <w:r>
              <w:rPr>
                <w:spacing w:val="-10"/>
                <w:sz w:val="20"/>
              </w:rPr>
              <w:t>1</w:t>
            </w:r>
          </w:p>
        </w:tc>
        <w:tc>
          <w:tcPr>
            <w:tcW w:w="1443" w:type="dxa"/>
          </w:tcPr>
          <w:p w14:paraId="1662126A" w14:textId="77777777" w:rsidR="00BB58C4" w:rsidRDefault="00000000">
            <w:pPr>
              <w:pStyle w:val="TableParagraph"/>
              <w:spacing w:line="208" w:lineRule="exact"/>
              <w:ind w:left="5"/>
              <w:rPr>
                <w:sz w:val="20"/>
              </w:rPr>
            </w:pPr>
            <w:r>
              <w:rPr>
                <w:spacing w:val="-2"/>
                <w:sz w:val="20"/>
              </w:rPr>
              <w:t>0,241</w:t>
            </w:r>
          </w:p>
        </w:tc>
        <w:tc>
          <w:tcPr>
            <w:tcW w:w="1486" w:type="dxa"/>
          </w:tcPr>
          <w:p w14:paraId="4B691B0A" w14:textId="77777777" w:rsidR="00BB58C4" w:rsidRDefault="00000000">
            <w:pPr>
              <w:pStyle w:val="TableParagraph"/>
              <w:spacing w:line="208" w:lineRule="exact"/>
              <w:ind w:left="3"/>
              <w:rPr>
                <w:sz w:val="20"/>
              </w:rPr>
            </w:pPr>
            <w:r>
              <w:rPr>
                <w:spacing w:val="-2"/>
                <w:sz w:val="20"/>
              </w:rPr>
              <w:t>0,131</w:t>
            </w:r>
          </w:p>
        </w:tc>
      </w:tr>
      <w:tr w:rsidR="00BB58C4" w14:paraId="5D57313E" w14:textId="77777777">
        <w:trPr>
          <w:gridAfter w:val="1"/>
          <w:wAfter w:w="14" w:type="dxa"/>
          <w:trHeight w:val="230"/>
        </w:trPr>
        <w:tc>
          <w:tcPr>
            <w:tcW w:w="1416" w:type="dxa"/>
          </w:tcPr>
          <w:p w14:paraId="02D868F4" w14:textId="77777777" w:rsidR="00BB58C4" w:rsidRDefault="00000000">
            <w:pPr>
              <w:pStyle w:val="TableParagraph"/>
              <w:ind w:left="8" w:right="2"/>
              <w:rPr>
                <w:sz w:val="20"/>
              </w:rPr>
            </w:pPr>
            <w:r>
              <w:rPr>
                <w:spacing w:val="-4"/>
                <w:sz w:val="20"/>
              </w:rPr>
              <w:t>IFSH</w:t>
            </w:r>
          </w:p>
        </w:tc>
        <w:tc>
          <w:tcPr>
            <w:tcW w:w="990" w:type="dxa"/>
          </w:tcPr>
          <w:p w14:paraId="433F0E24" w14:textId="77777777" w:rsidR="00BB58C4" w:rsidRDefault="00000000">
            <w:pPr>
              <w:pStyle w:val="TableParagraph"/>
              <w:ind w:left="11"/>
              <w:rPr>
                <w:sz w:val="20"/>
              </w:rPr>
            </w:pPr>
            <w:r>
              <w:rPr>
                <w:spacing w:val="-4"/>
                <w:sz w:val="20"/>
              </w:rPr>
              <w:t>2022</w:t>
            </w:r>
          </w:p>
        </w:tc>
        <w:tc>
          <w:tcPr>
            <w:tcW w:w="1350" w:type="dxa"/>
          </w:tcPr>
          <w:p w14:paraId="650E4914" w14:textId="77777777" w:rsidR="00BB58C4" w:rsidRDefault="00000000">
            <w:pPr>
              <w:pStyle w:val="TableParagraph"/>
              <w:ind w:left="8" w:right="3"/>
              <w:rPr>
                <w:sz w:val="20"/>
              </w:rPr>
            </w:pPr>
            <w:r>
              <w:rPr>
                <w:spacing w:val="-2"/>
                <w:sz w:val="20"/>
              </w:rPr>
              <w:t>47,194</w:t>
            </w:r>
          </w:p>
        </w:tc>
        <w:tc>
          <w:tcPr>
            <w:tcW w:w="1239" w:type="dxa"/>
          </w:tcPr>
          <w:p w14:paraId="7016787A" w14:textId="77777777" w:rsidR="00BB58C4" w:rsidRDefault="00000000">
            <w:pPr>
              <w:pStyle w:val="TableParagraph"/>
              <w:ind w:left="5" w:right="2"/>
              <w:rPr>
                <w:sz w:val="20"/>
              </w:rPr>
            </w:pPr>
            <w:r>
              <w:rPr>
                <w:spacing w:val="-10"/>
                <w:sz w:val="20"/>
              </w:rPr>
              <w:t>1</w:t>
            </w:r>
          </w:p>
        </w:tc>
        <w:tc>
          <w:tcPr>
            <w:tcW w:w="1443" w:type="dxa"/>
          </w:tcPr>
          <w:p w14:paraId="2918D5F6" w14:textId="77777777" w:rsidR="00BB58C4" w:rsidRDefault="00000000">
            <w:pPr>
              <w:pStyle w:val="TableParagraph"/>
              <w:ind w:left="5"/>
              <w:rPr>
                <w:sz w:val="20"/>
              </w:rPr>
            </w:pPr>
            <w:r>
              <w:rPr>
                <w:spacing w:val="-2"/>
                <w:sz w:val="20"/>
              </w:rPr>
              <w:t>0,354</w:t>
            </w:r>
          </w:p>
        </w:tc>
        <w:tc>
          <w:tcPr>
            <w:tcW w:w="1486" w:type="dxa"/>
          </w:tcPr>
          <w:p w14:paraId="38D4F8BD" w14:textId="77777777" w:rsidR="00BB58C4" w:rsidRDefault="00000000">
            <w:pPr>
              <w:pStyle w:val="TableParagraph"/>
              <w:ind w:left="3"/>
              <w:rPr>
                <w:sz w:val="20"/>
              </w:rPr>
            </w:pPr>
            <w:r>
              <w:rPr>
                <w:spacing w:val="-2"/>
                <w:sz w:val="20"/>
              </w:rPr>
              <w:t>0,168</w:t>
            </w:r>
          </w:p>
        </w:tc>
      </w:tr>
      <w:tr w:rsidR="00BB58C4" w14:paraId="47126CC3" w14:textId="77777777">
        <w:trPr>
          <w:gridAfter w:val="1"/>
          <w:wAfter w:w="14" w:type="dxa"/>
          <w:trHeight w:val="230"/>
        </w:trPr>
        <w:tc>
          <w:tcPr>
            <w:tcW w:w="1416" w:type="dxa"/>
          </w:tcPr>
          <w:p w14:paraId="7508F568" w14:textId="77777777" w:rsidR="00BB58C4" w:rsidRDefault="00000000">
            <w:pPr>
              <w:pStyle w:val="TableParagraph"/>
              <w:spacing w:before="1"/>
              <w:ind w:left="8" w:right="2"/>
              <w:rPr>
                <w:sz w:val="20"/>
              </w:rPr>
            </w:pPr>
            <w:r>
              <w:rPr>
                <w:spacing w:val="-4"/>
                <w:sz w:val="20"/>
              </w:rPr>
              <w:t>IFSH</w:t>
            </w:r>
          </w:p>
        </w:tc>
        <w:tc>
          <w:tcPr>
            <w:tcW w:w="990" w:type="dxa"/>
          </w:tcPr>
          <w:p w14:paraId="73BB8778" w14:textId="77777777" w:rsidR="00BB58C4" w:rsidRDefault="00000000">
            <w:pPr>
              <w:pStyle w:val="TableParagraph"/>
              <w:spacing w:before="1"/>
              <w:ind w:left="11"/>
              <w:rPr>
                <w:sz w:val="20"/>
              </w:rPr>
            </w:pPr>
            <w:r>
              <w:rPr>
                <w:spacing w:val="-4"/>
                <w:sz w:val="20"/>
              </w:rPr>
              <w:t>2023</w:t>
            </w:r>
          </w:p>
        </w:tc>
        <w:tc>
          <w:tcPr>
            <w:tcW w:w="1350" w:type="dxa"/>
          </w:tcPr>
          <w:p w14:paraId="7C490DFC" w14:textId="77777777" w:rsidR="00BB58C4" w:rsidRDefault="00000000">
            <w:pPr>
              <w:pStyle w:val="TableParagraph"/>
              <w:spacing w:before="1"/>
              <w:ind w:left="8" w:right="3"/>
              <w:rPr>
                <w:sz w:val="20"/>
              </w:rPr>
            </w:pPr>
            <w:r>
              <w:rPr>
                <w:spacing w:val="-2"/>
                <w:sz w:val="20"/>
              </w:rPr>
              <w:t>75,471</w:t>
            </w:r>
          </w:p>
        </w:tc>
        <w:tc>
          <w:tcPr>
            <w:tcW w:w="1239" w:type="dxa"/>
          </w:tcPr>
          <w:p w14:paraId="19AA8572" w14:textId="77777777" w:rsidR="00BB58C4" w:rsidRDefault="00000000">
            <w:pPr>
              <w:pStyle w:val="TableParagraph"/>
              <w:spacing w:before="1"/>
              <w:ind w:left="5" w:right="2"/>
              <w:rPr>
                <w:sz w:val="20"/>
              </w:rPr>
            </w:pPr>
            <w:r>
              <w:rPr>
                <w:spacing w:val="-10"/>
                <w:sz w:val="20"/>
              </w:rPr>
              <w:t>1</w:t>
            </w:r>
          </w:p>
        </w:tc>
        <w:tc>
          <w:tcPr>
            <w:tcW w:w="1443" w:type="dxa"/>
          </w:tcPr>
          <w:p w14:paraId="3DCE147F" w14:textId="77777777" w:rsidR="00BB58C4" w:rsidRDefault="00000000">
            <w:pPr>
              <w:pStyle w:val="TableParagraph"/>
              <w:spacing w:before="1"/>
              <w:ind w:left="5"/>
              <w:rPr>
                <w:sz w:val="20"/>
              </w:rPr>
            </w:pPr>
            <w:r>
              <w:rPr>
                <w:spacing w:val="-2"/>
                <w:sz w:val="20"/>
              </w:rPr>
              <w:t>5,476</w:t>
            </w:r>
          </w:p>
        </w:tc>
        <w:tc>
          <w:tcPr>
            <w:tcW w:w="1486" w:type="dxa"/>
          </w:tcPr>
          <w:p w14:paraId="25F51AD0" w14:textId="77777777" w:rsidR="00BB58C4" w:rsidRDefault="00000000">
            <w:pPr>
              <w:pStyle w:val="TableParagraph"/>
              <w:spacing w:before="1"/>
              <w:ind w:left="3"/>
              <w:rPr>
                <w:sz w:val="20"/>
              </w:rPr>
            </w:pPr>
            <w:r>
              <w:rPr>
                <w:spacing w:val="-2"/>
                <w:sz w:val="20"/>
              </w:rPr>
              <w:t>2,069</w:t>
            </w:r>
          </w:p>
        </w:tc>
      </w:tr>
      <w:tr w:rsidR="00BB58C4" w14:paraId="711AD6C6" w14:textId="77777777">
        <w:trPr>
          <w:gridAfter w:val="1"/>
          <w:wAfter w:w="14" w:type="dxa"/>
          <w:trHeight w:val="230"/>
        </w:trPr>
        <w:tc>
          <w:tcPr>
            <w:tcW w:w="1416" w:type="dxa"/>
          </w:tcPr>
          <w:p w14:paraId="28E34E75" w14:textId="77777777" w:rsidR="00BB58C4" w:rsidRDefault="00000000">
            <w:pPr>
              <w:pStyle w:val="TableParagraph"/>
              <w:ind w:left="8" w:right="1"/>
              <w:rPr>
                <w:sz w:val="20"/>
              </w:rPr>
            </w:pPr>
            <w:r>
              <w:rPr>
                <w:spacing w:val="-4"/>
                <w:sz w:val="20"/>
              </w:rPr>
              <w:t>UNTR</w:t>
            </w:r>
          </w:p>
        </w:tc>
        <w:tc>
          <w:tcPr>
            <w:tcW w:w="990" w:type="dxa"/>
          </w:tcPr>
          <w:p w14:paraId="33459B46" w14:textId="77777777" w:rsidR="00BB58C4" w:rsidRDefault="00000000">
            <w:pPr>
              <w:pStyle w:val="TableParagraph"/>
              <w:ind w:left="11"/>
              <w:rPr>
                <w:sz w:val="20"/>
              </w:rPr>
            </w:pPr>
            <w:r>
              <w:rPr>
                <w:spacing w:val="-4"/>
                <w:sz w:val="20"/>
              </w:rPr>
              <w:t>2019</w:t>
            </w:r>
          </w:p>
        </w:tc>
        <w:tc>
          <w:tcPr>
            <w:tcW w:w="1350" w:type="dxa"/>
          </w:tcPr>
          <w:p w14:paraId="10628BD2" w14:textId="77777777" w:rsidR="00BB58C4" w:rsidRDefault="00000000">
            <w:pPr>
              <w:pStyle w:val="TableParagraph"/>
              <w:ind w:left="8" w:right="3"/>
              <w:rPr>
                <w:sz w:val="20"/>
              </w:rPr>
            </w:pPr>
            <w:r>
              <w:rPr>
                <w:spacing w:val="-2"/>
                <w:sz w:val="20"/>
              </w:rPr>
              <w:t>14,212</w:t>
            </w:r>
          </w:p>
        </w:tc>
        <w:tc>
          <w:tcPr>
            <w:tcW w:w="1239" w:type="dxa"/>
          </w:tcPr>
          <w:p w14:paraId="2F9AC464" w14:textId="77777777" w:rsidR="00BB58C4" w:rsidRDefault="00000000">
            <w:pPr>
              <w:pStyle w:val="TableParagraph"/>
              <w:ind w:left="5" w:right="2"/>
              <w:rPr>
                <w:sz w:val="20"/>
              </w:rPr>
            </w:pPr>
            <w:r>
              <w:rPr>
                <w:spacing w:val="-10"/>
                <w:sz w:val="20"/>
              </w:rPr>
              <w:t>1</w:t>
            </w:r>
          </w:p>
        </w:tc>
        <w:tc>
          <w:tcPr>
            <w:tcW w:w="1443" w:type="dxa"/>
          </w:tcPr>
          <w:p w14:paraId="5F6D06A5" w14:textId="77777777" w:rsidR="00BB58C4" w:rsidRDefault="00000000">
            <w:pPr>
              <w:pStyle w:val="TableParagraph"/>
              <w:ind w:left="5"/>
              <w:rPr>
                <w:sz w:val="20"/>
              </w:rPr>
            </w:pPr>
            <w:r>
              <w:rPr>
                <w:spacing w:val="-2"/>
                <w:sz w:val="20"/>
              </w:rPr>
              <w:t>0,443</w:t>
            </w:r>
          </w:p>
        </w:tc>
        <w:tc>
          <w:tcPr>
            <w:tcW w:w="1486" w:type="dxa"/>
          </w:tcPr>
          <w:p w14:paraId="74A4CB5E" w14:textId="77777777" w:rsidR="00BB58C4" w:rsidRDefault="00000000">
            <w:pPr>
              <w:pStyle w:val="TableParagraph"/>
              <w:ind w:left="3"/>
              <w:rPr>
                <w:sz w:val="20"/>
              </w:rPr>
            </w:pPr>
            <w:r>
              <w:rPr>
                <w:spacing w:val="-2"/>
                <w:sz w:val="20"/>
              </w:rPr>
              <w:t>0,287</w:t>
            </w:r>
          </w:p>
        </w:tc>
      </w:tr>
      <w:tr w:rsidR="00BB58C4" w14:paraId="50B40C8B" w14:textId="77777777">
        <w:trPr>
          <w:gridAfter w:val="1"/>
          <w:wAfter w:w="14" w:type="dxa"/>
          <w:trHeight w:val="230"/>
        </w:trPr>
        <w:tc>
          <w:tcPr>
            <w:tcW w:w="1416" w:type="dxa"/>
          </w:tcPr>
          <w:p w14:paraId="2DAE4D10" w14:textId="77777777" w:rsidR="00BB58C4" w:rsidRDefault="00000000">
            <w:pPr>
              <w:pStyle w:val="TableParagraph"/>
              <w:ind w:left="8" w:right="1"/>
              <w:rPr>
                <w:sz w:val="20"/>
              </w:rPr>
            </w:pPr>
            <w:r>
              <w:rPr>
                <w:spacing w:val="-4"/>
                <w:sz w:val="20"/>
              </w:rPr>
              <w:t>UNTR</w:t>
            </w:r>
          </w:p>
        </w:tc>
        <w:tc>
          <w:tcPr>
            <w:tcW w:w="990" w:type="dxa"/>
          </w:tcPr>
          <w:p w14:paraId="12CF1E48" w14:textId="77777777" w:rsidR="00BB58C4" w:rsidRDefault="00000000">
            <w:pPr>
              <w:pStyle w:val="TableParagraph"/>
              <w:ind w:left="11"/>
              <w:rPr>
                <w:sz w:val="20"/>
              </w:rPr>
            </w:pPr>
            <w:r>
              <w:rPr>
                <w:spacing w:val="-4"/>
                <w:sz w:val="20"/>
              </w:rPr>
              <w:t>2020</w:t>
            </w:r>
          </w:p>
        </w:tc>
        <w:tc>
          <w:tcPr>
            <w:tcW w:w="1350" w:type="dxa"/>
          </w:tcPr>
          <w:p w14:paraId="2EC95DDD" w14:textId="77777777" w:rsidR="00BB58C4" w:rsidRDefault="00000000">
            <w:pPr>
              <w:pStyle w:val="TableParagraph"/>
              <w:ind w:left="8" w:right="3"/>
              <w:rPr>
                <w:sz w:val="20"/>
              </w:rPr>
            </w:pPr>
            <w:r>
              <w:rPr>
                <w:spacing w:val="-2"/>
                <w:sz w:val="20"/>
              </w:rPr>
              <w:t>49,725</w:t>
            </w:r>
          </w:p>
        </w:tc>
        <w:tc>
          <w:tcPr>
            <w:tcW w:w="1239" w:type="dxa"/>
          </w:tcPr>
          <w:p w14:paraId="7E22B97A" w14:textId="77777777" w:rsidR="00BB58C4" w:rsidRDefault="00000000">
            <w:pPr>
              <w:pStyle w:val="TableParagraph"/>
              <w:ind w:left="5" w:right="2"/>
              <w:rPr>
                <w:sz w:val="20"/>
              </w:rPr>
            </w:pPr>
            <w:r>
              <w:rPr>
                <w:spacing w:val="-10"/>
                <w:sz w:val="20"/>
              </w:rPr>
              <w:t>1</w:t>
            </w:r>
          </w:p>
        </w:tc>
        <w:tc>
          <w:tcPr>
            <w:tcW w:w="1443" w:type="dxa"/>
          </w:tcPr>
          <w:p w14:paraId="1532877E" w14:textId="77777777" w:rsidR="00BB58C4" w:rsidRDefault="00000000">
            <w:pPr>
              <w:pStyle w:val="TableParagraph"/>
              <w:ind w:left="5"/>
              <w:rPr>
                <w:sz w:val="20"/>
              </w:rPr>
            </w:pPr>
            <w:r>
              <w:rPr>
                <w:spacing w:val="-2"/>
                <w:sz w:val="20"/>
              </w:rPr>
              <w:t>0,916</w:t>
            </w:r>
          </w:p>
        </w:tc>
        <w:tc>
          <w:tcPr>
            <w:tcW w:w="1486" w:type="dxa"/>
          </w:tcPr>
          <w:p w14:paraId="4E849E27" w14:textId="77777777" w:rsidR="00BB58C4" w:rsidRDefault="00000000">
            <w:pPr>
              <w:pStyle w:val="TableParagraph"/>
              <w:ind w:left="3"/>
              <w:rPr>
                <w:sz w:val="20"/>
              </w:rPr>
            </w:pPr>
            <w:r>
              <w:rPr>
                <w:spacing w:val="-2"/>
                <w:sz w:val="20"/>
              </w:rPr>
              <w:t>1,478</w:t>
            </w:r>
          </w:p>
        </w:tc>
      </w:tr>
      <w:tr w:rsidR="00BB58C4" w14:paraId="02C06A57" w14:textId="77777777">
        <w:trPr>
          <w:gridAfter w:val="1"/>
          <w:wAfter w:w="14" w:type="dxa"/>
          <w:trHeight w:val="230"/>
        </w:trPr>
        <w:tc>
          <w:tcPr>
            <w:tcW w:w="1416" w:type="dxa"/>
          </w:tcPr>
          <w:p w14:paraId="26520A30" w14:textId="77777777" w:rsidR="00BB58C4" w:rsidRDefault="00000000">
            <w:pPr>
              <w:pStyle w:val="TableParagraph"/>
              <w:ind w:left="8" w:right="1"/>
              <w:rPr>
                <w:sz w:val="20"/>
              </w:rPr>
            </w:pPr>
            <w:r>
              <w:rPr>
                <w:spacing w:val="-4"/>
                <w:sz w:val="20"/>
              </w:rPr>
              <w:t>UNTR</w:t>
            </w:r>
          </w:p>
        </w:tc>
        <w:tc>
          <w:tcPr>
            <w:tcW w:w="990" w:type="dxa"/>
          </w:tcPr>
          <w:p w14:paraId="345D972C" w14:textId="77777777" w:rsidR="00BB58C4" w:rsidRDefault="00000000">
            <w:pPr>
              <w:pStyle w:val="TableParagraph"/>
              <w:ind w:left="11"/>
              <w:rPr>
                <w:sz w:val="20"/>
              </w:rPr>
            </w:pPr>
            <w:r>
              <w:rPr>
                <w:spacing w:val="-4"/>
                <w:sz w:val="20"/>
              </w:rPr>
              <w:t>2021</w:t>
            </w:r>
          </w:p>
        </w:tc>
        <w:tc>
          <w:tcPr>
            <w:tcW w:w="1350" w:type="dxa"/>
          </w:tcPr>
          <w:p w14:paraId="057D549F" w14:textId="77777777" w:rsidR="00BB58C4" w:rsidRDefault="00000000">
            <w:pPr>
              <w:pStyle w:val="TableParagraph"/>
              <w:ind w:left="8" w:right="3"/>
              <w:rPr>
                <w:sz w:val="20"/>
              </w:rPr>
            </w:pPr>
            <w:r>
              <w:rPr>
                <w:spacing w:val="-2"/>
                <w:sz w:val="20"/>
              </w:rPr>
              <w:t>50,463</w:t>
            </w:r>
          </w:p>
        </w:tc>
        <w:tc>
          <w:tcPr>
            <w:tcW w:w="1239" w:type="dxa"/>
          </w:tcPr>
          <w:p w14:paraId="3423FEE0" w14:textId="77777777" w:rsidR="00BB58C4" w:rsidRDefault="00000000">
            <w:pPr>
              <w:pStyle w:val="TableParagraph"/>
              <w:ind w:left="5" w:right="2"/>
              <w:rPr>
                <w:sz w:val="20"/>
              </w:rPr>
            </w:pPr>
            <w:r>
              <w:rPr>
                <w:spacing w:val="-10"/>
                <w:sz w:val="20"/>
              </w:rPr>
              <w:t>1</w:t>
            </w:r>
          </w:p>
        </w:tc>
        <w:tc>
          <w:tcPr>
            <w:tcW w:w="1443" w:type="dxa"/>
          </w:tcPr>
          <w:p w14:paraId="63F5AA2B" w14:textId="77777777" w:rsidR="00BB58C4" w:rsidRDefault="00000000">
            <w:pPr>
              <w:pStyle w:val="TableParagraph"/>
              <w:ind w:left="5"/>
              <w:rPr>
                <w:sz w:val="20"/>
              </w:rPr>
            </w:pPr>
            <w:r>
              <w:rPr>
                <w:spacing w:val="-2"/>
                <w:sz w:val="20"/>
              </w:rPr>
              <w:t>0,779</w:t>
            </w:r>
          </w:p>
        </w:tc>
        <w:tc>
          <w:tcPr>
            <w:tcW w:w="1486" w:type="dxa"/>
          </w:tcPr>
          <w:p w14:paraId="628E28CF" w14:textId="77777777" w:rsidR="00BB58C4" w:rsidRDefault="00000000">
            <w:pPr>
              <w:pStyle w:val="TableParagraph"/>
              <w:ind w:left="3"/>
              <w:rPr>
                <w:sz w:val="20"/>
              </w:rPr>
            </w:pPr>
            <w:r>
              <w:rPr>
                <w:spacing w:val="-2"/>
                <w:sz w:val="20"/>
              </w:rPr>
              <w:t>0,450</w:t>
            </w:r>
          </w:p>
        </w:tc>
      </w:tr>
      <w:tr w:rsidR="00BB58C4" w14:paraId="6C18B61F" w14:textId="77777777">
        <w:trPr>
          <w:gridAfter w:val="1"/>
          <w:wAfter w:w="14" w:type="dxa"/>
          <w:trHeight w:val="230"/>
        </w:trPr>
        <w:tc>
          <w:tcPr>
            <w:tcW w:w="1416" w:type="dxa"/>
          </w:tcPr>
          <w:p w14:paraId="2ABC369E" w14:textId="77777777" w:rsidR="00BB58C4" w:rsidRDefault="00000000">
            <w:pPr>
              <w:pStyle w:val="TableParagraph"/>
              <w:ind w:left="8" w:right="1"/>
              <w:rPr>
                <w:sz w:val="20"/>
              </w:rPr>
            </w:pPr>
            <w:r>
              <w:rPr>
                <w:spacing w:val="-4"/>
                <w:sz w:val="20"/>
              </w:rPr>
              <w:t>UNTR</w:t>
            </w:r>
          </w:p>
        </w:tc>
        <w:tc>
          <w:tcPr>
            <w:tcW w:w="990" w:type="dxa"/>
          </w:tcPr>
          <w:p w14:paraId="118808EC" w14:textId="77777777" w:rsidR="00BB58C4" w:rsidRDefault="00000000">
            <w:pPr>
              <w:pStyle w:val="TableParagraph"/>
              <w:ind w:left="11"/>
              <w:rPr>
                <w:sz w:val="20"/>
              </w:rPr>
            </w:pPr>
            <w:r>
              <w:rPr>
                <w:spacing w:val="-4"/>
                <w:sz w:val="20"/>
              </w:rPr>
              <w:t>2022</w:t>
            </w:r>
          </w:p>
        </w:tc>
        <w:tc>
          <w:tcPr>
            <w:tcW w:w="1350" w:type="dxa"/>
          </w:tcPr>
          <w:p w14:paraId="2ACAEEB9" w14:textId="77777777" w:rsidR="00BB58C4" w:rsidRDefault="00000000">
            <w:pPr>
              <w:pStyle w:val="TableParagraph"/>
              <w:ind w:left="8" w:right="3"/>
              <w:rPr>
                <w:sz w:val="20"/>
              </w:rPr>
            </w:pPr>
            <w:r>
              <w:rPr>
                <w:spacing w:val="-2"/>
                <w:sz w:val="20"/>
              </w:rPr>
              <w:t>59,009</w:t>
            </w:r>
          </w:p>
        </w:tc>
        <w:tc>
          <w:tcPr>
            <w:tcW w:w="1239" w:type="dxa"/>
          </w:tcPr>
          <w:p w14:paraId="4634F065" w14:textId="77777777" w:rsidR="00BB58C4" w:rsidRDefault="00000000">
            <w:pPr>
              <w:pStyle w:val="TableParagraph"/>
              <w:ind w:left="5" w:right="2"/>
              <w:rPr>
                <w:sz w:val="20"/>
              </w:rPr>
            </w:pPr>
            <w:r>
              <w:rPr>
                <w:spacing w:val="-10"/>
                <w:sz w:val="20"/>
              </w:rPr>
              <w:t>1</w:t>
            </w:r>
          </w:p>
        </w:tc>
        <w:tc>
          <w:tcPr>
            <w:tcW w:w="1443" w:type="dxa"/>
          </w:tcPr>
          <w:p w14:paraId="77F72D94" w14:textId="77777777" w:rsidR="00BB58C4" w:rsidRDefault="00000000">
            <w:pPr>
              <w:pStyle w:val="TableParagraph"/>
              <w:ind w:left="5"/>
              <w:rPr>
                <w:sz w:val="20"/>
              </w:rPr>
            </w:pPr>
            <w:r>
              <w:rPr>
                <w:spacing w:val="-2"/>
                <w:sz w:val="20"/>
              </w:rPr>
              <w:t>0,552</w:t>
            </w:r>
          </w:p>
        </w:tc>
        <w:tc>
          <w:tcPr>
            <w:tcW w:w="1486" w:type="dxa"/>
          </w:tcPr>
          <w:p w14:paraId="609C6D44" w14:textId="77777777" w:rsidR="00BB58C4" w:rsidRDefault="00000000">
            <w:pPr>
              <w:pStyle w:val="TableParagraph"/>
              <w:ind w:left="3"/>
              <w:rPr>
                <w:sz w:val="20"/>
              </w:rPr>
            </w:pPr>
            <w:r>
              <w:rPr>
                <w:spacing w:val="-2"/>
                <w:sz w:val="20"/>
              </w:rPr>
              <w:t>0,330</w:t>
            </w:r>
          </w:p>
        </w:tc>
      </w:tr>
      <w:tr w:rsidR="00BB58C4" w14:paraId="298227F5" w14:textId="77777777">
        <w:trPr>
          <w:gridAfter w:val="1"/>
          <w:wAfter w:w="14" w:type="dxa"/>
          <w:trHeight w:val="230"/>
        </w:trPr>
        <w:tc>
          <w:tcPr>
            <w:tcW w:w="1416" w:type="dxa"/>
          </w:tcPr>
          <w:p w14:paraId="0B0FBD19" w14:textId="77777777" w:rsidR="00BB58C4" w:rsidRDefault="00000000">
            <w:pPr>
              <w:pStyle w:val="TableParagraph"/>
              <w:ind w:left="8" w:right="1"/>
              <w:rPr>
                <w:sz w:val="20"/>
              </w:rPr>
            </w:pPr>
            <w:r>
              <w:rPr>
                <w:spacing w:val="-4"/>
                <w:sz w:val="20"/>
              </w:rPr>
              <w:t>UNTR</w:t>
            </w:r>
          </w:p>
        </w:tc>
        <w:tc>
          <w:tcPr>
            <w:tcW w:w="990" w:type="dxa"/>
          </w:tcPr>
          <w:p w14:paraId="75D6290B" w14:textId="77777777" w:rsidR="00BB58C4" w:rsidRDefault="00000000">
            <w:pPr>
              <w:pStyle w:val="TableParagraph"/>
              <w:ind w:left="11"/>
              <w:rPr>
                <w:sz w:val="20"/>
              </w:rPr>
            </w:pPr>
            <w:r>
              <w:rPr>
                <w:spacing w:val="-4"/>
                <w:sz w:val="20"/>
              </w:rPr>
              <w:t>2023</w:t>
            </w:r>
          </w:p>
        </w:tc>
        <w:tc>
          <w:tcPr>
            <w:tcW w:w="1350" w:type="dxa"/>
          </w:tcPr>
          <w:p w14:paraId="33F17758" w14:textId="77777777" w:rsidR="00BB58C4" w:rsidRDefault="00000000">
            <w:pPr>
              <w:pStyle w:val="TableParagraph"/>
              <w:ind w:left="8" w:right="3"/>
              <w:rPr>
                <w:sz w:val="20"/>
              </w:rPr>
            </w:pPr>
            <w:r>
              <w:rPr>
                <w:spacing w:val="-2"/>
                <w:sz w:val="20"/>
              </w:rPr>
              <w:t>47,393</w:t>
            </w:r>
          </w:p>
        </w:tc>
        <w:tc>
          <w:tcPr>
            <w:tcW w:w="1239" w:type="dxa"/>
          </w:tcPr>
          <w:p w14:paraId="517C379F" w14:textId="77777777" w:rsidR="00BB58C4" w:rsidRDefault="00000000">
            <w:pPr>
              <w:pStyle w:val="TableParagraph"/>
              <w:ind w:left="5" w:right="2"/>
              <w:rPr>
                <w:sz w:val="20"/>
              </w:rPr>
            </w:pPr>
            <w:r>
              <w:rPr>
                <w:spacing w:val="-10"/>
                <w:sz w:val="20"/>
              </w:rPr>
              <w:t>1</w:t>
            </w:r>
          </w:p>
        </w:tc>
        <w:tc>
          <w:tcPr>
            <w:tcW w:w="1443" w:type="dxa"/>
          </w:tcPr>
          <w:p w14:paraId="256EA1A2" w14:textId="77777777" w:rsidR="00BB58C4" w:rsidRDefault="00000000">
            <w:pPr>
              <w:pStyle w:val="TableParagraph"/>
              <w:ind w:left="5"/>
              <w:rPr>
                <w:sz w:val="20"/>
              </w:rPr>
            </w:pPr>
            <w:r>
              <w:rPr>
                <w:spacing w:val="-2"/>
                <w:sz w:val="20"/>
              </w:rPr>
              <w:t>0,806</w:t>
            </w:r>
          </w:p>
        </w:tc>
        <w:tc>
          <w:tcPr>
            <w:tcW w:w="1486" w:type="dxa"/>
          </w:tcPr>
          <w:p w14:paraId="203B99A6" w14:textId="77777777" w:rsidR="00BB58C4" w:rsidRDefault="00000000">
            <w:pPr>
              <w:pStyle w:val="TableParagraph"/>
              <w:ind w:left="3"/>
              <w:rPr>
                <w:sz w:val="20"/>
              </w:rPr>
            </w:pPr>
            <w:r>
              <w:rPr>
                <w:spacing w:val="-2"/>
                <w:sz w:val="20"/>
              </w:rPr>
              <w:t>0,397</w:t>
            </w:r>
          </w:p>
        </w:tc>
      </w:tr>
      <w:tr w:rsidR="00BB58C4" w14:paraId="58CA56B7" w14:textId="77777777">
        <w:trPr>
          <w:gridAfter w:val="1"/>
          <w:wAfter w:w="14" w:type="dxa"/>
          <w:trHeight w:val="230"/>
        </w:trPr>
        <w:tc>
          <w:tcPr>
            <w:tcW w:w="1416" w:type="dxa"/>
          </w:tcPr>
          <w:p w14:paraId="0143B3C1" w14:textId="77777777" w:rsidR="00BB58C4" w:rsidRDefault="00000000">
            <w:pPr>
              <w:pStyle w:val="TableParagraph"/>
              <w:ind w:left="8" w:right="2"/>
              <w:rPr>
                <w:sz w:val="20"/>
              </w:rPr>
            </w:pPr>
            <w:r>
              <w:rPr>
                <w:spacing w:val="-4"/>
                <w:sz w:val="20"/>
              </w:rPr>
              <w:t>ENRG</w:t>
            </w:r>
          </w:p>
        </w:tc>
        <w:tc>
          <w:tcPr>
            <w:tcW w:w="990" w:type="dxa"/>
          </w:tcPr>
          <w:p w14:paraId="1D53AD1C" w14:textId="77777777" w:rsidR="00BB58C4" w:rsidRDefault="00000000">
            <w:pPr>
              <w:pStyle w:val="TableParagraph"/>
              <w:ind w:left="11"/>
              <w:rPr>
                <w:sz w:val="20"/>
              </w:rPr>
            </w:pPr>
            <w:r>
              <w:rPr>
                <w:spacing w:val="-4"/>
                <w:sz w:val="20"/>
              </w:rPr>
              <w:t>2019</w:t>
            </w:r>
          </w:p>
        </w:tc>
        <w:tc>
          <w:tcPr>
            <w:tcW w:w="1350" w:type="dxa"/>
          </w:tcPr>
          <w:p w14:paraId="2E24D547" w14:textId="77777777" w:rsidR="00BB58C4" w:rsidRDefault="00000000">
            <w:pPr>
              <w:pStyle w:val="TableParagraph"/>
              <w:ind w:left="8" w:right="3"/>
              <w:rPr>
                <w:sz w:val="20"/>
              </w:rPr>
            </w:pPr>
            <w:r>
              <w:rPr>
                <w:spacing w:val="-2"/>
                <w:sz w:val="20"/>
              </w:rPr>
              <w:t>80,739</w:t>
            </w:r>
          </w:p>
        </w:tc>
        <w:tc>
          <w:tcPr>
            <w:tcW w:w="1239" w:type="dxa"/>
          </w:tcPr>
          <w:p w14:paraId="5616DC6C" w14:textId="77777777" w:rsidR="00BB58C4" w:rsidRDefault="00000000">
            <w:pPr>
              <w:pStyle w:val="TableParagraph"/>
              <w:ind w:left="5" w:right="2"/>
              <w:rPr>
                <w:sz w:val="20"/>
              </w:rPr>
            </w:pPr>
            <w:r>
              <w:rPr>
                <w:spacing w:val="-10"/>
                <w:sz w:val="20"/>
              </w:rPr>
              <w:t>1</w:t>
            </w:r>
          </w:p>
        </w:tc>
        <w:tc>
          <w:tcPr>
            <w:tcW w:w="1443" w:type="dxa"/>
          </w:tcPr>
          <w:p w14:paraId="4612F257" w14:textId="77777777" w:rsidR="00BB58C4" w:rsidRDefault="00000000">
            <w:pPr>
              <w:pStyle w:val="TableParagraph"/>
              <w:ind w:left="5"/>
              <w:rPr>
                <w:sz w:val="20"/>
              </w:rPr>
            </w:pPr>
            <w:r>
              <w:rPr>
                <w:spacing w:val="-2"/>
                <w:sz w:val="20"/>
              </w:rPr>
              <w:t>5,636</w:t>
            </w:r>
          </w:p>
        </w:tc>
        <w:tc>
          <w:tcPr>
            <w:tcW w:w="1486" w:type="dxa"/>
          </w:tcPr>
          <w:p w14:paraId="5FE7C055" w14:textId="77777777" w:rsidR="00BB58C4" w:rsidRDefault="00000000">
            <w:pPr>
              <w:pStyle w:val="TableParagraph"/>
              <w:ind w:left="3"/>
              <w:rPr>
                <w:sz w:val="20"/>
              </w:rPr>
            </w:pPr>
            <w:r>
              <w:rPr>
                <w:spacing w:val="-2"/>
                <w:sz w:val="20"/>
              </w:rPr>
              <w:t>2,137</w:t>
            </w:r>
          </w:p>
        </w:tc>
      </w:tr>
      <w:tr w:rsidR="00BB58C4" w14:paraId="6751D23D" w14:textId="77777777">
        <w:trPr>
          <w:gridAfter w:val="1"/>
          <w:wAfter w:w="14" w:type="dxa"/>
          <w:trHeight w:val="230"/>
        </w:trPr>
        <w:tc>
          <w:tcPr>
            <w:tcW w:w="1416" w:type="dxa"/>
          </w:tcPr>
          <w:p w14:paraId="656DA283" w14:textId="77777777" w:rsidR="00BB58C4" w:rsidRDefault="00000000">
            <w:pPr>
              <w:pStyle w:val="TableParagraph"/>
              <w:ind w:left="8" w:right="2"/>
              <w:rPr>
                <w:sz w:val="20"/>
              </w:rPr>
            </w:pPr>
            <w:r>
              <w:rPr>
                <w:spacing w:val="-4"/>
                <w:sz w:val="20"/>
              </w:rPr>
              <w:t>ENRG</w:t>
            </w:r>
          </w:p>
        </w:tc>
        <w:tc>
          <w:tcPr>
            <w:tcW w:w="990" w:type="dxa"/>
          </w:tcPr>
          <w:p w14:paraId="3A007B58" w14:textId="77777777" w:rsidR="00BB58C4" w:rsidRDefault="00000000">
            <w:pPr>
              <w:pStyle w:val="TableParagraph"/>
              <w:ind w:left="11"/>
              <w:rPr>
                <w:sz w:val="20"/>
              </w:rPr>
            </w:pPr>
            <w:r>
              <w:rPr>
                <w:spacing w:val="-4"/>
                <w:sz w:val="20"/>
              </w:rPr>
              <w:t>2020</w:t>
            </w:r>
          </w:p>
        </w:tc>
        <w:tc>
          <w:tcPr>
            <w:tcW w:w="1350" w:type="dxa"/>
          </w:tcPr>
          <w:p w14:paraId="3F88AD32" w14:textId="77777777" w:rsidR="00BB58C4" w:rsidRDefault="00000000">
            <w:pPr>
              <w:pStyle w:val="TableParagraph"/>
              <w:ind w:left="8" w:right="3"/>
              <w:rPr>
                <w:sz w:val="20"/>
              </w:rPr>
            </w:pPr>
            <w:r>
              <w:rPr>
                <w:spacing w:val="-2"/>
                <w:sz w:val="20"/>
              </w:rPr>
              <w:t>92,192</w:t>
            </w:r>
          </w:p>
        </w:tc>
        <w:tc>
          <w:tcPr>
            <w:tcW w:w="1239" w:type="dxa"/>
          </w:tcPr>
          <w:p w14:paraId="796922EA" w14:textId="77777777" w:rsidR="00BB58C4" w:rsidRDefault="00000000">
            <w:pPr>
              <w:pStyle w:val="TableParagraph"/>
              <w:ind w:left="5" w:right="2"/>
              <w:rPr>
                <w:sz w:val="20"/>
              </w:rPr>
            </w:pPr>
            <w:r>
              <w:rPr>
                <w:spacing w:val="-10"/>
                <w:sz w:val="20"/>
              </w:rPr>
              <w:t>1</w:t>
            </w:r>
          </w:p>
        </w:tc>
        <w:tc>
          <w:tcPr>
            <w:tcW w:w="1443" w:type="dxa"/>
          </w:tcPr>
          <w:p w14:paraId="516D5D59" w14:textId="77777777" w:rsidR="00BB58C4" w:rsidRDefault="00000000">
            <w:pPr>
              <w:pStyle w:val="TableParagraph"/>
              <w:ind w:left="5"/>
              <w:rPr>
                <w:sz w:val="20"/>
              </w:rPr>
            </w:pPr>
            <w:r>
              <w:rPr>
                <w:spacing w:val="-2"/>
                <w:sz w:val="20"/>
              </w:rPr>
              <w:t>5,866</w:t>
            </w:r>
          </w:p>
        </w:tc>
        <w:tc>
          <w:tcPr>
            <w:tcW w:w="1486" w:type="dxa"/>
          </w:tcPr>
          <w:p w14:paraId="6BA3005D" w14:textId="77777777" w:rsidR="00BB58C4" w:rsidRDefault="00000000">
            <w:pPr>
              <w:pStyle w:val="TableParagraph"/>
              <w:ind w:left="3"/>
              <w:rPr>
                <w:sz w:val="20"/>
              </w:rPr>
            </w:pPr>
            <w:r>
              <w:rPr>
                <w:spacing w:val="-2"/>
                <w:sz w:val="20"/>
              </w:rPr>
              <w:t>2,203</w:t>
            </w:r>
          </w:p>
        </w:tc>
      </w:tr>
      <w:tr w:rsidR="00BB58C4" w14:paraId="325E9633" w14:textId="77777777">
        <w:trPr>
          <w:gridAfter w:val="1"/>
          <w:wAfter w:w="14" w:type="dxa"/>
          <w:trHeight w:val="230"/>
        </w:trPr>
        <w:tc>
          <w:tcPr>
            <w:tcW w:w="1416" w:type="dxa"/>
          </w:tcPr>
          <w:p w14:paraId="48FB6213" w14:textId="77777777" w:rsidR="00BB58C4" w:rsidRDefault="00000000">
            <w:pPr>
              <w:pStyle w:val="TableParagraph"/>
              <w:ind w:left="8" w:right="2"/>
              <w:rPr>
                <w:sz w:val="20"/>
              </w:rPr>
            </w:pPr>
            <w:r>
              <w:rPr>
                <w:spacing w:val="-4"/>
                <w:sz w:val="20"/>
              </w:rPr>
              <w:t>ENRG</w:t>
            </w:r>
          </w:p>
        </w:tc>
        <w:tc>
          <w:tcPr>
            <w:tcW w:w="990" w:type="dxa"/>
          </w:tcPr>
          <w:p w14:paraId="6EEE4CAA" w14:textId="77777777" w:rsidR="00BB58C4" w:rsidRDefault="00000000">
            <w:pPr>
              <w:pStyle w:val="TableParagraph"/>
              <w:ind w:left="11"/>
              <w:rPr>
                <w:sz w:val="20"/>
              </w:rPr>
            </w:pPr>
            <w:r>
              <w:rPr>
                <w:spacing w:val="-4"/>
                <w:sz w:val="20"/>
              </w:rPr>
              <w:t>2021</w:t>
            </w:r>
          </w:p>
        </w:tc>
        <w:tc>
          <w:tcPr>
            <w:tcW w:w="1350" w:type="dxa"/>
          </w:tcPr>
          <w:p w14:paraId="470006D3" w14:textId="77777777" w:rsidR="00BB58C4" w:rsidRDefault="00000000">
            <w:pPr>
              <w:pStyle w:val="TableParagraph"/>
              <w:ind w:left="8" w:right="3"/>
              <w:rPr>
                <w:sz w:val="20"/>
              </w:rPr>
            </w:pPr>
            <w:r>
              <w:rPr>
                <w:spacing w:val="-2"/>
                <w:sz w:val="20"/>
              </w:rPr>
              <w:t>72,745</w:t>
            </w:r>
          </w:p>
        </w:tc>
        <w:tc>
          <w:tcPr>
            <w:tcW w:w="1239" w:type="dxa"/>
          </w:tcPr>
          <w:p w14:paraId="6712AA3C" w14:textId="77777777" w:rsidR="00BB58C4" w:rsidRDefault="00000000">
            <w:pPr>
              <w:pStyle w:val="TableParagraph"/>
              <w:ind w:left="5" w:right="2"/>
              <w:rPr>
                <w:sz w:val="20"/>
              </w:rPr>
            </w:pPr>
            <w:r>
              <w:rPr>
                <w:spacing w:val="-10"/>
                <w:sz w:val="20"/>
              </w:rPr>
              <w:t>1</w:t>
            </w:r>
          </w:p>
        </w:tc>
        <w:tc>
          <w:tcPr>
            <w:tcW w:w="1443" w:type="dxa"/>
          </w:tcPr>
          <w:p w14:paraId="5219BAFA" w14:textId="77777777" w:rsidR="00BB58C4" w:rsidRDefault="00000000">
            <w:pPr>
              <w:pStyle w:val="TableParagraph"/>
              <w:ind w:left="5"/>
              <w:rPr>
                <w:sz w:val="20"/>
              </w:rPr>
            </w:pPr>
            <w:r>
              <w:rPr>
                <w:spacing w:val="-2"/>
                <w:sz w:val="20"/>
              </w:rPr>
              <w:t>6,020</w:t>
            </w:r>
          </w:p>
        </w:tc>
        <w:tc>
          <w:tcPr>
            <w:tcW w:w="1486" w:type="dxa"/>
          </w:tcPr>
          <w:p w14:paraId="4026FA56" w14:textId="77777777" w:rsidR="00BB58C4" w:rsidRDefault="00000000">
            <w:pPr>
              <w:pStyle w:val="TableParagraph"/>
              <w:ind w:left="3"/>
              <w:rPr>
                <w:sz w:val="20"/>
              </w:rPr>
            </w:pPr>
            <w:r>
              <w:rPr>
                <w:spacing w:val="-2"/>
                <w:sz w:val="20"/>
              </w:rPr>
              <w:t>2,554</w:t>
            </w:r>
          </w:p>
        </w:tc>
      </w:tr>
      <w:tr w:rsidR="00BB58C4" w14:paraId="6C2A90D2" w14:textId="77777777">
        <w:trPr>
          <w:gridAfter w:val="1"/>
          <w:wAfter w:w="14" w:type="dxa"/>
          <w:trHeight w:val="230"/>
        </w:trPr>
        <w:tc>
          <w:tcPr>
            <w:tcW w:w="1416" w:type="dxa"/>
          </w:tcPr>
          <w:p w14:paraId="71B4FE03" w14:textId="77777777" w:rsidR="00BB58C4" w:rsidRDefault="00000000">
            <w:pPr>
              <w:pStyle w:val="TableParagraph"/>
              <w:ind w:left="8" w:right="2"/>
              <w:rPr>
                <w:sz w:val="20"/>
              </w:rPr>
            </w:pPr>
            <w:r>
              <w:rPr>
                <w:spacing w:val="-4"/>
                <w:sz w:val="20"/>
              </w:rPr>
              <w:t>ENRG</w:t>
            </w:r>
          </w:p>
        </w:tc>
        <w:tc>
          <w:tcPr>
            <w:tcW w:w="990" w:type="dxa"/>
          </w:tcPr>
          <w:p w14:paraId="4781B0FA" w14:textId="77777777" w:rsidR="00BB58C4" w:rsidRDefault="00000000">
            <w:pPr>
              <w:pStyle w:val="TableParagraph"/>
              <w:ind w:left="11"/>
              <w:rPr>
                <w:sz w:val="20"/>
              </w:rPr>
            </w:pPr>
            <w:r>
              <w:rPr>
                <w:spacing w:val="-4"/>
                <w:sz w:val="20"/>
              </w:rPr>
              <w:t>2022</w:t>
            </w:r>
          </w:p>
        </w:tc>
        <w:tc>
          <w:tcPr>
            <w:tcW w:w="1350" w:type="dxa"/>
          </w:tcPr>
          <w:p w14:paraId="556F3246" w14:textId="77777777" w:rsidR="00BB58C4" w:rsidRDefault="00000000">
            <w:pPr>
              <w:pStyle w:val="TableParagraph"/>
              <w:ind w:left="8" w:right="3"/>
              <w:rPr>
                <w:sz w:val="20"/>
              </w:rPr>
            </w:pPr>
            <w:r>
              <w:rPr>
                <w:spacing w:val="-2"/>
                <w:sz w:val="20"/>
              </w:rPr>
              <w:t>90,654</w:t>
            </w:r>
          </w:p>
        </w:tc>
        <w:tc>
          <w:tcPr>
            <w:tcW w:w="1239" w:type="dxa"/>
          </w:tcPr>
          <w:p w14:paraId="25E87DE6" w14:textId="77777777" w:rsidR="00BB58C4" w:rsidRDefault="00000000">
            <w:pPr>
              <w:pStyle w:val="TableParagraph"/>
              <w:ind w:left="5" w:right="2"/>
              <w:rPr>
                <w:sz w:val="20"/>
              </w:rPr>
            </w:pPr>
            <w:r>
              <w:rPr>
                <w:spacing w:val="-10"/>
                <w:sz w:val="20"/>
              </w:rPr>
              <w:t>1</w:t>
            </w:r>
          </w:p>
        </w:tc>
        <w:tc>
          <w:tcPr>
            <w:tcW w:w="1443" w:type="dxa"/>
          </w:tcPr>
          <w:p w14:paraId="6332AB8E" w14:textId="77777777" w:rsidR="00BB58C4" w:rsidRDefault="00000000">
            <w:pPr>
              <w:pStyle w:val="TableParagraph"/>
              <w:ind w:left="5"/>
              <w:rPr>
                <w:sz w:val="20"/>
              </w:rPr>
            </w:pPr>
            <w:r>
              <w:rPr>
                <w:spacing w:val="-2"/>
                <w:sz w:val="20"/>
              </w:rPr>
              <w:t>5,810</w:t>
            </w:r>
          </w:p>
        </w:tc>
        <w:tc>
          <w:tcPr>
            <w:tcW w:w="1486" w:type="dxa"/>
          </w:tcPr>
          <w:p w14:paraId="29EC5FF9" w14:textId="77777777" w:rsidR="00BB58C4" w:rsidRDefault="00000000">
            <w:pPr>
              <w:pStyle w:val="TableParagraph"/>
              <w:ind w:left="3"/>
              <w:rPr>
                <w:sz w:val="20"/>
              </w:rPr>
            </w:pPr>
            <w:r>
              <w:rPr>
                <w:spacing w:val="-2"/>
                <w:sz w:val="20"/>
              </w:rPr>
              <w:t>2,201</w:t>
            </w:r>
          </w:p>
        </w:tc>
      </w:tr>
      <w:tr w:rsidR="00BB58C4" w14:paraId="5C72AFBF" w14:textId="77777777">
        <w:trPr>
          <w:gridAfter w:val="1"/>
          <w:wAfter w:w="14" w:type="dxa"/>
          <w:trHeight w:val="232"/>
        </w:trPr>
        <w:tc>
          <w:tcPr>
            <w:tcW w:w="1416" w:type="dxa"/>
          </w:tcPr>
          <w:p w14:paraId="3802BF6D" w14:textId="77777777" w:rsidR="00BB58C4" w:rsidRDefault="00000000">
            <w:pPr>
              <w:pStyle w:val="TableParagraph"/>
              <w:spacing w:line="212" w:lineRule="exact"/>
              <w:ind w:left="8" w:right="2"/>
              <w:rPr>
                <w:sz w:val="20"/>
              </w:rPr>
            </w:pPr>
            <w:r>
              <w:rPr>
                <w:spacing w:val="-4"/>
                <w:sz w:val="20"/>
              </w:rPr>
              <w:t>ENRG</w:t>
            </w:r>
          </w:p>
        </w:tc>
        <w:tc>
          <w:tcPr>
            <w:tcW w:w="990" w:type="dxa"/>
          </w:tcPr>
          <w:p w14:paraId="5C768B3E" w14:textId="77777777" w:rsidR="00BB58C4" w:rsidRDefault="00000000">
            <w:pPr>
              <w:pStyle w:val="TableParagraph"/>
              <w:spacing w:line="212" w:lineRule="exact"/>
              <w:ind w:left="11"/>
              <w:rPr>
                <w:sz w:val="20"/>
              </w:rPr>
            </w:pPr>
            <w:r>
              <w:rPr>
                <w:spacing w:val="-4"/>
                <w:sz w:val="20"/>
              </w:rPr>
              <w:t>2023</w:t>
            </w:r>
          </w:p>
        </w:tc>
        <w:tc>
          <w:tcPr>
            <w:tcW w:w="1350" w:type="dxa"/>
          </w:tcPr>
          <w:p w14:paraId="4AC8B0C6" w14:textId="77777777" w:rsidR="00BB58C4" w:rsidRDefault="00000000">
            <w:pPr>
              <w:pStyle w:val="TableParagraph"/>
              <w:spacing w:line="212" w:lineRule="exact"/>
              <w:ind w:left="8" w:right="3"/>
              <w:rPr>
                <w:sz w:val="20"/>
              </w:rPr>
            </w:pPr>
            <w:r>
              <w:rPr>
                <w:spacing w:val="-2"/>
                <w:sz w:val="20"/>
              </w:rPr>
              <w:t>95,435</w:t>
            </w:r>
          </w:p>
        </w:tc>
        <w:tc>
          <w:tcPr>
            <w:tcW w:w="1239" w:type="dxa"/>
          </w:tcPr>
          <w:p w14:paraId="10328150" w14:textId="77777777" w:rsidR="00BB58C4" w:rsidRDefault="00000000">
            <w:pPr>
              <w:pStyle w:val="TableParagraph"/>
              <w:spacing w:line="212" w:lineRule="exact"/>
              <w:ind w:left="5" w:right="2"/>
              <w:rPr>
                <w:sz w:val="20"/>
              </w:rPr>
            </w:pPr>
            <w:r>
              <w:rPr>
                <w:spacing w:val="-10"/>
                <w:sz w:val="20"/>
              </w:rPr>
              <w:t>1</w:t>
            </w:r>
          </w:p>
        </w:tc>
        <w:tc>
          <w:tcPr>
            <w:tcW w:w="1443" w:type="dxa"/>
          </w:tcPr>
          <w:p w14:paraId="7C978452" w14:textId="77777777" w:rsidR="00BB58C4" w:rsidRDefault="00000000">
            <w:pPr>
              <w:pStyle w:val="TableParagraph"/>
              <w:spacing w:line="212" w:lineRule="exact"/>
              <w:ind w:left="5"/>
              <w:rPr>
                <w:sz w:val="20"/>
              </w:rPr>
            </w:pPr>
            <w:r>
              <w:rPr>
                <w:spacing w:val="-2"/>
                <w:sz w:val="20"/>
              </w:rPr>
              <w:t>5,450</w:t>
            </w:r>
          </w:p>
        </w:tc>
        <w:tc>
          <w:tcPr>
            <w:tcW w:w="1486" w:type="dxa"/>
          </w:tcPr>
          <w:p w14:paraId="5BBC28B6" w14:textId="77777777" w:rsidR="00BB58C4" w:rsidRDefault="00000000">
            <w:pPr>
              <w:pStyle w:val="TableParagraph"/>
              <w:spacing w:line="212" w:lineRule="exact"/>
              <w:ind w:left="3"/>
              <w:rPr>
                <w:sz w:val="20"/>
              </w:rPr>
            </w:pPr>
            <w:r>
              <w:rPr>
                <w:spacing w:val="-2"/>
                <w:sz w:val="20"/>
              </w:rPr>
              <w:t>1,967</w:t>
            </w:r>
          </w:p>
        </w:tc>
      </w:tr>
      <w:tr w:rsidR="00BB58C4" w14:paraId="16938C0D" w14:textId="77777777">
        <w:trPr>
          <w:trHeight w:val="460"/>
        </w:trPr>
        <w:tc>
          <w:tcPr>
            <w:tcW w:w="1416" w:type="dxa"/>
          </w:tcPr>
          <w:p w14:paraId="36CD263A" w14:textId="77777777" w:rsidR="00BB58C4" w:rsidRDefault="00000000">
            <w:pPr>
              <w:pStyle w:val="TableParagraph"/>
              <w:spacing w:line="240" w:lineRule="auto"/>
              <w:ind w:left="8" w:right="2"/>
              <w:rPr>
                <w:b/>
                <w:sz w:val="20"/>
              </w:rPr>
            </w:pPr>
            <w:r>
              <w:rPr>
                <w:b/>
                <w:spacing w:val="-4"/>
                <w:sz w:val="20"/>
              </w:rPr>
              <w:lastRenderedPageBreak/>
              <w:t>Kode</w:t>
            </w:r>
          </w:p>
          <w:p w14:paraId="774051DD" w14:textId="77777777" w:rsidR="00BB58C4" w:rsidRDefault="00000000">
            <w:pPr>
              <w:pStyle w:val="TableParagraph"/>
              <w:ind w:left="8" w:right="2"/>
              <w:rPr>
                <w:b/>
                <w:sz w:val="20"/>
              </w:rPr>
            </w:pPr>
            <w:r>
              <w:rPr>
                <w:b/>
                <w:spacing w:val="-2"/>
                <w:sz w:val="20"/>
              </w:rPr>
              <w:t>Perusahaan</w:t>
            </w:r>
          </w:p>
        </w:tc>
        <w:tc>
          <w:tcPr>
            <w:tcW w:w="990" w:type="dxa"/>
          </w:tcPr>
          <w:p w14:paraId="79918078" w14:textId="77777777" w:rsidR="00BB58C4" w:rsidRDefault="00000000">
            <w:pPr>
              <w:pStyle w:val="TableParagraph"/>
              <w:spacing w:before="115" w:line="240" w:lineRule="auto"/>
              <w:ind w:left="11" w:right="2"/>
              <w:rPr>
                <w:b/>
                <w:sz w:val="20"/>
              </w:rPr>
            </w:pPr>
            <w:r>
              <w:rPr>
                <w:b/>
                <w:spacing w:val="-2"/>
                <w:sz w:val="20"/>
              </w:rPr>
              <w:t>Periode</w:t>
            </w:r>
          </w:p>
        </w:tc>
        <w:tc>
          <w:tcPr>
            <w:tcW w:w="1350" w:type="dxa"/>
          </w:tcPr>
          <w:p w14:paraId="5DFA7F17" w14:textId="77777777" w:rsidR="00BB58C4" w:rsidRDefault="00000000">
            <w:pPr>
              <w:pStyle w:val="TableParagraph"/>
              <w:spacing w:line="230" w:lineRule="atLeast"/>
              <w:ind w:left="368" w:right="2" w:hanging="51"/>
              <w:jc w:val="left"/>
              <w:rPr>
                <w:b/>
                <w:i/>
                <w:sz w:val="20"/>
              </w:rPr>
            </w:pPr>
            <w:r>
              <w:rPr>
                <w:b/>
                <w:i/>
                <w:spacing w:val="-2"/>
                <w:sz w:val="20"/>
              </w:rPr>
              <w:t>Transfer Pricing</w:t>
            </w:r>
          </w:p>
        </w:tc>
        <w:tc>
          <w:tcPr>
            <w:tcW w:w="1239" w:type="dxa"/>
          </w:tcPr>
          <w:p w14:paraId="6DEA8D2A" w14:textId="77777777" w:rsidR="00BB58C4" w:rsidRDefault="00000000">
            <w:pPr>
              <w:pStyle w:val="TableParagraph"/>
              <w:spacing w:before="115" w:line="240" w:lineRule="auto"/>
              <w:ind w:left="5" w:right="2"/>
              <w:rPr>
                <w:b/>
                <w:i/>
                <w:sz w:val="20"/>
              </w:rPr>
            </w:pPr>
            <w:r>
              <w:rPr>
                <w:b/>
                <w:i/>
                <w:spacing w:val="-4"/>
                <w:sz w:val="20"/>
              </w:rPr>
              <w:t>Tax</w:t>
            </w:r>
            <w:r>
              <w:rPr>
                <w:b/>
                <w:i/>
                <w:spacing w:val="-9"/>
                <w:sz w:val="20"/>
              </w:rPr>
              <w:t xml:space="preserve"> </w:t>
            </w:r>
            <w:r>
              <w:rPr>
                <w:b/>
                <w:i/>
                <w:spacing w:val="-4"/>
                <w:sz w:val="20"/>
              </w:rPr>
              <w:t>Haven</w:t>
            </w:r>
          </w:p>
        </w:tc>
        <w:tc>
          <w:tcPr>
            <w:tcW w:w="1443" w:type="dxa"/>
          </w:tcPr>
          <w:p w14:paraId="5A366F1B" w14:textId="77777777" w:rsidR="00BB58C4" w:rsidRDefault="00000000">
            <w:pPr>
              <w:pStyle w:val="TableParagraph"/>
              <w:spacing w:line="230" w:lineRule="atLeast"/>
              <w:ind w:left="501" w:right="2" w:hanging="209"/>
              <w:jc w:val="left"/>
              <w:rPr>
                <w:b/>
                <w:i/>
                <w:sz w:val="20"/>
              </w:rPr>
            </w:pPr>
            <w:r>
              <w:rPr>
                <w:b/>
                <w:i/>
                <w:spacing w:val="-2"/>
                <w:sz w:val="20"/>
              </w:rPr>
              <w:t>Intangible Asset</w:t>
            </w:r>
          </w:p>
        </w:tc>
        <w:tc>
          <w:tcPr>
            <w:tcW w:w="1500" w:type="dxa"/>
            <w:gridSpan w:val="2"/>
          </w:tcPr>
          <w:p w14:paraId="7551398B" w14:textId="77777777" w:rsidR="00BB58C4" w:rsidRDefault="00000000">
            <w:pPr>
              <w:pStyle w:val="TableParagraph"/>
              <w:spacing w:line="240" w:lineRule="auto"/>
              <w:ind w:left="3" w:right="2"/>
              <w:rPr>
                <w:b/>
                <w:i/>
                <w:sz w:val="20"/>
              </w:rPr>
            </w:pPr>
            <w:r>
              <w:rPr>
                <w:b/>
                <w:i/>
                <w:spacing w:val="-5"/>
                <w:sz w:val="20"/>
              </w:rPr>
              <w:t>Tax</w:t>
            </w:r>
          </w:p>
          <w:p w14:paraId="4819886D" w14:textId="77777777" w:rsidR="00BB58C4" w:rsidRDefault="00000000">
            <w:pPr>
              <w:pStyle w:val="TableParagraph"/>
              <w:ind w:left="3" w:right="2"/>
              <w:rPr>
                <w:b/>
                <w:i/>
                <w:sz w:val="20"/>
              </w:rPr>
            </w:pPr>
            <w:r>
              <w:rPr>
                <w:b/>
                <w:i/>
                <w:spacing w:val="-2"/>
                <w:sz w:val="20"/>
              </w:rPr>
              <w:t>Minimization</w:t>
            </w:r>
          </w:p>
        </w:tc>
      </w:tr>
      <w:tr w:rsidR="00BB58C4" w14:paraId="56787D48" w14:textId="77777777">
        <w:trPr>
          <w:trHeight w:val="230"/>
        </w:trPr>
        <w:tc>
          <w:tcPr>
            <w:tcW w:w="1416" w:type="dxa"/>
          </w:tcPr>
          <w:p w14:paraId="35708905" w14:textId="77777777" w:rsidR="00BB58C4" w:rsidRDefault="00000000">
            <w:pPr>
              <w:pStyle w:val="TableParagraph"/>
              <w:ind w:left="8" w:right="2"/>
              <w:rPr>
                <w:sz w:val="20"/>
              </w:rPr>
            </w:pPr>
            <w:r>
              <w:rPr>
                <w:spacing w:val="-4"/>
                <w:sz w:val="20"/>
              </w:rPr>
              <w:t>SGER</w:t>
            </w:r>
          </w:p>
        </w:tc>
        <w:tc>
          <w:tcPr>
            <w:tcW w:w="990" w:type="dxa"/>
          </w:tcPr>
          <w:p w14:paraId="3945446E" w14:textId="77777777" w:rsidR="00BB58C4" w:rsidRDefault="00000000">
            <w:pPr>
              <w:pStyle w:val="TableParagraph"/>
              <w:ind w:left="11" w:right="2"/>
              <w:rPr>
                <w:sz w:val="20"/>
              </w:rPr>
            </w:pPr>
            <w:r>
              <w:rPr>
                <w:spacing w:val="-4"/>
                <w:sz w:val="20"/>
              </w:rPr>
              <w:t>2019</w:t>
            </w:r>
          </w:p>
        </w:tc>
        <w:tc>
          <w:tcPr>
            <w:tcW w:w="1350" w:type="dxa"/>
          </w:tcPr>
          <w:p w14:paraId="315F11F8" w14:textId="77777777" w:rsidR="00BB58C4" w:rsidRDefault="00000000">
            <w:pPr>
              <w:pStyle w:val="TableParagraph"/>
              <w:ind w:left="8" w:right="2"/>
              <w:rPr>
                <w:sz w:val="20"/>
              </w:rPr>
            </w:pPr>
            <w:r>
              <w:rPr>
                <w:spacing w:val="-2"/>
                <w:sz w:val="20"/>
              </w:rPr>
              <w:t>38,292</w:t>
            </w:r>
          </w:p>
        </w:tc>
        <w:tc>
          <w:tcPr>
            <w:tcW w:w="1239" w:type="dxa"/>
          </w:tcPr>
          <w:p w14:paraId="2741210D" w14:textId="77777777" w:rsidR="00BB58C4" w:rsidRDefault="00000000">
            <w:pPr>
              <w:pStyle w:val="TableParagraph"/>
              <w:ind w:left="5" w:right="2"/>
              <w:rPr>
                <w:sz w:val="20"/>
              </w:rPr>
            </w:pPr>
            <w:r>
              <w:rPr>
                <w:spacing w:val="-10"/>
                <w:sz w:val="20"/>
              </w:rPr>
              <w:t>1</w:t>
            </w:r>
          </w:p>
        </w:tc>
        <w:tc>
          <w:tcPr>
            <w:tcW w:w="1443" w:type="dxa"/>
          </w:tcPr>
          <w:p w14:paraId="089DADEB" w14:textId="77777777" w:rsidR="00BB58C4" w:rsidRDefault="00000000">
            <w:pPr>
              <w:pStyle w:val="TableParagraph"/>
              <w:ind w:left="5" w:right="2"/>
              <w:rPr>
                <w:sz w:val="20"/>
              </w:rPr>
            </w:pPr>
            <w:r>
              <w:rPr>
                <w:spacing w:val="-2"/>
                <w:sz w:val="20"/>
              </w:rPr>
              <w:t>0,250</w:t>
            </w:r>
          </w:p>
        </w:tc>
        <w:tc>
          <w:tcPr>
            <w:tcW w:w="1500" w:type="dxa"/>
            <w:gridSpan w:val="2"/>
          </w:tcPr>
          <w:p w14:paraId="2425BAB5" w14:textId="77777777" w:rsidR="00BB58C4" w:rsidRDefault="00000000">
            <w:pPr>
              <w:pStyle w:val="TableParagraph"/>
              <w:ind w:left="3" w:right="2"/>
              <w:rPr>
                <w:sz w:val="20"/>
              </w:rPr>
            </w:pPr>
            <w:r>
              <w:rPr>
                <w:spacing w:val="-2"/>
                <w:sz w:val="20"/>
              </w:rPr>
              <w:t>0,107</w:t>
            </w:r>
          </w:p>
        </w:tc>
      </w:tr>
      <w:tr w:rsidR="00BB58C4" w14:paraId="48358490" w14:textId="77777777">
        <w:trPr>
          <w:trHeight w:val="230"/>
        </w:trPr>
        <w:tc>
          <w:tcPr>
            <w:tcW w:w="1416" w:type="dxa"/>
          </w:tcPr>
          <w:p w14:paraId="676B1097" w14:textId="77777777" w:rsidR="00BB58C4" w:rsidRDefault="00000000">
            <w:pPr>
              <w:pStyle w:val="TableParagraph"/>
              <w:ind w:left="8" w:right="2"/>
              <w:rPr>
                <w:sz w:val="20"/>
              </w:rPr>
            </w:pPr>
            <w:r>
              <w:rPr>
                <w:spacing w:val="-4"/>
                <w:sz w:val="20"/>
              </w:rPr>
              <w:t>SGER</w:t>
            </w:r>
          </w:p>
        </w:tc>
        <w:tc>
          <w:tcPr>
            <w:tcW w:w="990" w:type="dxa"/>
          </w:tcPr>
          <w:p w14:paraId="11685E1B" w14:textId="77777777" w:rsidR="00BB58C4" w:rsidRDefault="00000000">
            <w:pPr>
              <w:pStyle w:val="TableParagraph"/>
              <w:ind w:left="11" w:right="2"/>
              <w:rPr>
                <w:sz w:val="20"/>
              </w:rPr>
            </w:pPr>
            <w:r>
              <w:rPr>
                <w:spacing w:val="-4"/>
                <w:sz w:val="20"/>
              </w:rPr>
              <w:t>2020</w:t>
            </w:r>
          </w:p>
        </w:tc>
        <w:tc>
          <w:tcPr>
            <w:tcW w:w="1350" w:type="dxa"/>
          </w:tcPr>
          <w:p w14:paraId="6BEEDED7" w14:textId="77777777" w:rsidR="00BB58C4" w:rsidRDefault="00000000">
            <w:pPr>
              <w:pStyle w:val="TableParagraph"/>
              <w:ind w:left="8" w:right="2"/>
              <w:rPr>
                <w:sz w:val="20"/>
              </w:rPr>
            </w:pPr>
            <w:r>
              <w:rPr>
                <w:spacing w:val="-2"/>
                <w:sz w:val="20"/>
              </w:rPr>
              <w:t>19,066</w:t>
            </w:r>
          </w:p>
        </w:tc>
        <w:tc>
          <w:tcPr>
            <w:tcW w:w="1239" w:type="dxa"/>
          </w:tcPr>
          <w:p w14:paraId="45E7BE50" w14:textId="77777777" w:rsidR="00BB58C4" w:rsidRDefault="00000000">
            <w:pPr>
              <w:pStyle w:val="TableParagraph"/>
              <w:ind w:left="5" w:right="2"/>
              <w:rPr>
                <w:sz w:val="20"/>
              </w:rPr>
            </w:pPr>
            <w:r>
              <w:rPr>
                <w:spacing w:val="-10"/>
                <w:sz w:val="20"/>
              </w:rPr>
              <w:t>1</w:t>
            </w:r>
          </w:p>
        </w:tc>
        <w:tc>
          <w:tcPr>
            <w:tcW w:w="1443" w:type="dxa"/>
          </w:tcPr>
          <w:p w14:paraId="667CE597" w14:textId="77777777" w:rsidR="00BB58C4" w:rsidRDefault="00000000">
            <w:pPr>
              <w:pStyle w:val="TableParagraph"/>
              <w:ind w:left="5" w:right="2"/>
              <w:rPr>
                <w:sz w:val="20"/>
              </w:rPr>
            </w:pPr>
            <w:r>
              <w:rPr>
                <w:spacing w:val="-2"/>
                <w:sz w:val="20"/>
              </w:rPr>
              <w:t>0,007</w:t>
            </w:r>
          </w:p>
        </w:tc>
        <w:tc>
          <w:tcPr>
            <w:tcW w:w="1500" w:type="dxa"/>
            <w:gridSpan w:val="2"/>
          </w:tcPr>
          <w:p w14:paraId="6080CC96" w14:textId="77777777" w:rsidR="00BB58C4" w:rsidRDefault="00000000">
            <w:pPr>
              <w:pStyle w:val="TableParagraph"/>
              <w:ind w:left="3" w:right="2"/>
              <w:rPr>
                <w:sz w:val="20"/>
              </w:rPr>
            </w:pPr>
            <w:r>
              <w:rPr>
                <w:spacing w:val="-2"/>
                <w:sz w:val="20"/>
              </w:rPr>
              <w:t>0,008</w:t>
            </w:r>
          </w:p>
        </w:tc>
      </w:tr>
      <w:tr w:rsidR="00BB58C4" w14:paraId="3605009E" w14:textId="77777777">
        <w:trPr>
          <w:trHeight w:val="230"/>
        </w:trPr>
        <w:tc>
          <w:tcPr>
            <w:tcW w:w="1416" w:type="dxa"/>
          </w:tcPr>
          <w:p w14:paraId="482B5BA2" w14:textId="77777777" w:rsidR="00BB58C4" w:rsidRDefault="00000000">
            <w:pPr>
              <w:pStyle w:val="TableParagraph"/>
              <w:ind w:left="8" w:right="2"/>
              <w:rPr>
                <w:sz w:val="20"/>
              </w:rPr>
            </w:pPr>
            <w:r>
              <w:rPr>
                <w:spacing w:val="-4"/>
                <w:sz w:val="20"/>
              </w:rPr>
              <w:t>SGER</w:t>
            </w:r>
          </w:p>
        </w:tc>
        <w:tc>
          <w:tcPr>
            <w:tcW w:w="990" w:type="dxa"/>
          </w:tcPr>
          <w:p w14:paraId="42672F17" w14:textId="77777777" w:rsidR="00BB58C4" w:rsidRDefault="00000000">
            <w:pPr>
              <w:pStyle w:val="TableParagraph"/>
              <w:ind w:left="11" w:right="2"/>
              <w:rPr>
                <w:sz w:val="20"/>
              </w:rPr>
            </w:pPr>
            <w:r>
              <w:rPr>
                <w:spacing w:val="-4"/>
                <w:sz w:val="20"/>
              </w:rPr>
              <w:t>2021</w:t>
            </w:r>
          </w:p>
        </w:tc>
        <w:tc>
          <w:tcPr>
            <w:tcW w:w="1350" w:type="dxa"/>
          </w:tcPr>
          <w:p w14:paraId="0B866C03" w14:textId="77777777" w:rsidR="00BB58C4" w:rsidRDefault="00000000">
            <w:pPr>
              <w:pStyle w:val="TableParagraph"/>
              <w:ind w:left="8" w:right="2"/>
              <w:rPr>
                <w:sz w:val="20"/>
              </w:rPr>
            </w:pPr>
            <w:r>
              <w:rPr>
                <w:spacing w:val="-2"/>
                <w:sz w:val="20"/>
              </w:rPr>
              <w:t>64,642</w:t>
            </w:r>
          </w:p>
        </w:tc>
        <w:tc>
          <w:tcPr>
            <w:tcW w:w="1239" w:type="dxa"/>
          </w:tcPr>
          <w:p w14:paraId="3EEA5CB9" w14:textId="77777777" w:rsidR="00BB58C4" w:rsidRDefault="00000000">
            <w:pPr>
              <w:pStyle w:val="TableParagraph"/>
              <w:ind w:left="5" w:right="2"/>
              <w:rPr>
                <w:sz w:val="20"/>
              </w:rPr>
            </w:pPr>
            <w:r>
              <w:rPr>
                <w:spacing w:val="-10"/>
                <w:sz w:val="20"/>
              </w:rPr>
              <w:t>1</w:t>
            </w:r>
          </w:p>
        </w:tc>
        <w:tc>
          <w:tcPr>
            <w:tcW w:w="1443" w:type="dxa"/>
          </w:tcPr>
          <w:p w14:paraId="3FF3F06F" w14:textId="77777777" w:rsidR="00BB58C4" w:rsidRDefault="00000000">
            <w:pPr>
              <w:pStyle w:val="TableParagraph"/>
              <w:ind w:left="5" w:right="2"/>
              <w:rPr>
                <w:sz w:val="20"/>
              </w:rPr>
            </w:pPr>
            <w:r>
              <w:rPr>
                <w:spacing w:val="-2"/>
                <w:sz w:val="20"/>
              </w:rPr>
              <w:t>1,061</w:t>
            </w:r>
          </w:p>
        </w:tc>
        <w:tc>
          <w:tcPr>
            <w:tcW w:w="1500" w:type="dxa"/>
            <w:gridSpan w:val="2"/>
          </w:tcPr>
          <w:p w14:paraId="0C5BBA41" w14:textId="77777777" w:rsidR="00BB58C4" w:rsidRDefault="00000000">
            <w:pPr>
              <w:pStyle w:val="TableParagraph"/>
              <w:ind w:left="3" w:right="2"/>
              <w:rPr>
                <w:sz w:val="20"/>
              </w:rPr>
            </w:pPr>
            <w:r>
              <w:rPr>
                <w:spacing w:val="-2"/>
                <w:sz w:val="20"/>
              </w:rPr>
              <w:t>0,416</w:t>
            </w:r>
          </w:p>
        </w:tc>
      </w:tr>
      <w:tr w:rsidR="00BB58C4" w14:paraId="6889E533" w14:textId="77777777">
        <w:trPr>
          <w:trHeight w:val="230"/>
        </w:trPr>
        <w:tc>
          <w:tcPr>
            <w:tcW w:w="1416" w:type="dxa"/>
          </w:tcPr>
          <w:p w14:paraId="78F57F4B" w14:textId="77777777" w:rsidR="00BB58C4" w:rsidRDefault="00000000">
            <w:pPr>
              <w:pStyle w:val="TableParagraph"/>
              <w:ind w:left="8" w:right="2"/>
              <w:rPr>
                <w:sz w:val="20"/>
              </w:rPr>
            </w:pPr>
            <w:r>
              <w:rPr>
                <w:spacing w:val="-4"/>
                <w:sz w:val="20"/>
              </w:rPr>
              <w:t>SGER</w:t>
            </w:r>
          </w:p>
        </w:tc>
        <w:tc>
          <w:tcPr>
            <w:tcW w:w="990" w:type="dxa"/>
          </w:tcPr>
          <w:p w14:paraId="7D214E8A" w14:textId="77777777" w:rsidR="00BB58C4" w:rsidRDefault="00000000">
            <w:pPr>
              <w:pStyle w:val="TableParagraph"/>
              <w:ind w:left="11" w:right="2"/>
              <w:rPr>
                <w:sz w:val="20"/>
              </w:rPr>
            </w:pPr>
            <w:r>
              <w:rPr>
                <w:spacing w:val="-4"/>
                <w:sz w:val="20"/>
              </w:rPr>
              <w:t>2022</w:t>
            </w:r>
          </w:p>
        </w:tc>
        <w:tc>
          <w:tcPr>
            <w:tcW w:w="1350" w:type="dxa"/>
          </w:tcPr>
          <w:p w14:paraId="01CEEC5D" w14:textId="77777777" w:rsidR="00BB58C4" w:rsidRDefault="00000000">
            <w:pPr>
              <w:pStyle w:val="TableParagraph"/>
              <w:ind w:left="8" w:right="2"/>
              <w:rPr>
                <w:sz w:val="20"/>
              </w:rPr>
            </w:pPr>
            <w:r>
              <w:rPr>
                <w:spacing w:val="-2"/>
                <w:sz w:val="20"/>
              </w:rPr>
              <w:t>32,126</w:t>
            </w:r>
          </w:p>
        </w:tc>
        <w:tc>
          <w:tcPr>
            <w:tcW w:w="1239" w:type="dxa"/>
          </w:tcPr>
          <w:p w14:paraId="7A4E525F" w14:textId="77777777" w:rsidR="00BB58C4" w:rsidRDefault="00000000">
            <w:pPr>
              <w:pStyle w:val="TableParagraph"/>
              <w:ind w:left="5" w:right="2"/>
              <w:rPr>
                <w:sz w:val="20"/>
              </w:rPr>
            </w:pPr>
            <w:r>
              <w:rPr>
                <w:spacing w:val="-10"/>
                <w:sz w:val="20"/>
              </w:rPr>
              <w:t>1</w:t>
            </w:r>
          </w:p>
        </w:tc>
        <w:tc>
          <w:tcPr>
            <w:tcW w:w="1443" w:type="dxa"/>
          </w:tcPr>
          <w:p w14:paraId="29BAF543" w14:textId="77777777" w:rsidR="00BB58C4" w:rsidRDefault="00000000">
            <w:pPr>
              <w:pStyle w:val="TableParagraph"/>
              <w:ind w:left="5" w:right="2"/>
              <w:rPr>
                <w:sz w:val="20"/>
              </w:rPr>
            </w:pPr>
            <w:r>
              <w:rPr>
                <w:spacing w:val="-2"/>
                <w:sz w:val="20"/>
              </w:rPr>
              <w:t>0,503</w:t>
            </w:r>
          </w:p>
        </w:tc>
        <w:tc>
          <w:tcPr>
            <w:tcW w:w="1500" w:type="dxa"/>
            <w:gridSpan w:val="2"/>
          </w:tcPr>
          <w:p w14:paraId="045FC15E" w14:textId="77777777" w:rsidR="00BB58C4" w:rsidRDefault="00000000">
            <w:pPr>
              <w:pStyle w:val="TableParagraph"/>
              <w:ind w:left="3" w:right="2"/>
              <w:rPr>
                <w:sz w:val="20"/>
              </w:rPr>
            </w:pPr>
            <w:r>
              <w:rPr>
                <w:spacing w:val="-2"/>
                <w:sz w:val="20"/>
              </w:rPr>
              <w:t>0,241</w:t>
            </w:r>
          </w:p>
        </w:tc>
      </w:tr>
      <w:tr w:rsidR="00BB58C4" w14:paraId="5941A324" w14:textId="77777777">
        <w:trPr>
          <w:trHeight w:val="230"/>
        </w:trPr>
        <w:tc>
          <w:tcPr>
            <w:tcW w:w="1416" w:type="dxa"/>
          </w:tcPr>
          <w:p w14:paraId="0D2ABC42" w14:textId="77777777" w:rsidR="00BB58C4" w:rsidRDefault="00000000">
            <w:pPr>
              <w:pStyle w:val="TableParagraph"/>
              <w:ind w:left="8" w:right="2"/>
              <w:rPr>
                <w:sz w:val="20"/>
              </w:rPr>
            </w:pPr>
            <w:r>
              <w:rPr>
                <w:spacing w:val="-4"/>
                <w:sz w:val="20"/>
              </w:rPr>
              <w:t>SGER</w:t>
            </w:r>
          </w:p>
        </w:tc>
        <w:tc>
          <w:tcPr>
            <w:tcW w:w="990" w:type="dxa"/>
          </w:tcPr>
          <w:p w14:paraId="3B84E494" w14:textId="77777777" w:rsidR="00BB58C4" w:rsidRDefault="00000000">
            <w:pPr>
              <w:pStyle w:val="TableParagraph"/>
              <w:ind w:left="11" w:right="2"/>
              <w:rPr>
                <w:sz w:val="20"/>
              </w:rPr>
            </w:pPr>
            <w:r>
              <w:rPr>
                <w:spacing w:val="-4"/>
                <w:sz w:val="20"/>
              </w:rPr>
              <w:t>2023</w:t>
            </w:r>
          </w:p>
        </w:tc>
        <w:tc>
          <w:tcPr>
            <w:tcW w:w="1350" w:type="dxa"/>
          </w:tcPr>
          <w:p w14:paraId="7441C8DF" w14:textId="77777777" w:rsidR="00BB58C4" w:rsidRDefault="00000000">
            <w:pPr>
              <w:pStyle w:val="TableParagraph"/>
              <w:ind w:left="8" w:right="2"/>
              <w:rPr>
                <w:sz w:val="20"/>
              </w:rPr>
            </w:pPr>
            <w:r>
              <w:rPr>
                <w:spacing w:val="-2"/>
                <w:sz w:val="20"/>
              </w:rPr>
              <w:t>35,545</w:t>
            </w:r>
          </w:p>
        </w:tc>
        <w:tc>
          <w:tcPr>
            <w:tcW w:w="1239" w:type="dxa"/>
          </w:tcPr>
          <w:p w14:paraId="1AC3FB51" w14:textId="77777777" w:rsidR="00BB58C4" w:rsidRDefault="00000000">
            <w:pPr>
              <w:pStyle w:val="TableParagraph"/>
              <w:ind w:left="5" w:right="2"/>
              <w:rPr>
                <w:sz w:val="20"/>
              </w:rPr>
            </w:pPr>
            <w:r>
              <w:rPr>
                <w:spacing w:val="-10"/>
                <w:sz w:val="20"/>
              </w:rPr>
              <w:t>1</w:t>
            </w:r>
          </w:p>
        </w:tc>
        <w:tc>
          <w:tcPr>
            <w:tcW w:w="1443" w:type="dxa"/>
          </w:tcPr>
          <w:p w14:paraId="6B8CFFE8" w14:textId="77777777" w:rsidR="00BB58C4" w:rsidRDefault="00000000">
            <w:pPr>
              <w:pStyle w:val="TableParagraph"/>
              <w:ind w:left="5" w:right="2"/>
              <w:rPr>
                <w:sz w:val="20"/>
              </w:rPr>
            </w:pPr>
            <w:r>
              <w:rPr>
                <w:spacing w:val="-2"/>
                <w:sz w:val="20"/>
              </w:rPr>
              <w:t>0,037</w:t>
            </w:r>
          </w:p>
        </w:tc>
        <w:tc>
          <w:tcPr>
            <w:tcW w:w="1500" w:type="dxa"/>
            <w:gridSpan w:val="2"/>
          </w:tcPr>
          <w:p w14:paraId="1B424AF0" w14:textId="77777777" w:rsidR="00BB58C4" w:rsidRDefault="00000000">
            <w:pPr>
              <w:pStyle w:val="TableParagraph"/>
              <w:ind w:left="3" w:right="2"/>
              <w:rPr>
                <w:sz w:val="20"/>
              </w:rPr>
            </w:pPr>
            <w:r>
              <w:rPr>
                <w:spacing w:val="-2"/>
                <w:sz w:val="20"/>
              </w:rPr>
              <w:t>0,122</w:t>
            </w:r>
          </w:p>
        </w:tc>
      </w:tr>
    </w:tbl>
    <w:p w14:paraId="461C80A2" w14:textId="77777777" w:rsidR="00BB58C4" w:rsidRDefault="00BB58C4">
      <w:pPr>
        <w:spacing w:after="0" w:line="276" w:lineRule="auto"/>
        <w:jc w:val="both"/>
        <w:rPr>
          <w:rFonts w:ascii="Times New Roman" w:hAnsi="Times New Roman" w:cs="Times New Roman"/>
          <w:b/>
          <w:bCs/>
          <w:sz w:val="24"/>
          <w:szCs w:val="24"/>
        </w:rPr>
      </w:pPr>
    </w:p>
    <w:p w14:paraId="4E7F978C" w14:textId="77777777" w:rsidR="00BB58C4" w:rsidRDefault="00BB58C4">
      <w:pPr>
        <w:spacing w:after="0" w:line="276" w:lineRule="auto"/>
        <w:jc w:val="both"/>
        <w:rPr>
          <w:rFonts w:ascii="Times New Roman" w:hAnsi="Times New Roman" w:cs="Times New Roman"/>
          <w:b/>
          <w:bCs/>
          <w:sz w:val="24"/>
          <w:szCs w:val="24"/>
        </w:rPr>
      </w:pPr>
    </w:p>
    <w:p w14:paraId="0FE5C7C1" w14:textId="67CDEC08" w:rsidR="00BB58C4" w:rsidRDefault="00000000">
      <w:pPr>
        <w:pStyle w:val="Caption"/>
        <w:rPr>
          <w:rFonts w:cs="Times New Roman"/>
          <w:sz w:val="22"/>
          <w:szCs w:val="22"/>
        </w:rPr>
      </w:pPr>
      <w:bookmarkStart w:id="202" w:name="_Toc210632776"/>
      <w:r>
        <w:rPr>
          <w:sz w:val="22"/>
          <w:szCs w:val="22"/>
        </w:rPr>
        <w:t xml:space="preserve">Lampiran </w:t>
      </w:r>
      <w:r>
        <w:rPr>
          <w:sz w:val="22"/>
          <w:szCs w:val="22"/>
        </w:rPr>
        <w:fldChar w:fldCharType="begin"/>
      </w:r>
      <w:r>
        <w:rPr>
          <w:sz w:val="22"/>
          <w:szCs w:val="22"/>
        </w:rPr>
        <w:instrText xml:space="preserve"> SEQ Lampiran \* ARABIC </w:instrText>
      </w:r>
      <w:r>
        <w:rPr>
          <w:sz w:val="22"/>
          <w:szCs w:val="22"/>
        </w:rPr>
        <w:fldChar w:fldCharType="separate"/>
      </w:r>
      <w:r w:rsidR="00DB7568">
        <w:rPr>
          <w:noProof/>
          <w:sz w:val="22"/>
          <w:szCs w:val="22"/>
        </w:rPr>
        <w:t>3</w:t>
      </w:r>
      <w:r>
        <w:rPr>
          <w:sz w:val="22"/>
          <w:szCs w:val="22"/>
        </w:rPr>
        <w:fldChar w:fldCharType="end"/>
      </w:r>
      <w:r>
        <w:rPr>
          <w:rFonts w:cs="Times New Roman"/>
          <w:sz w:val="22"/>
          <w:szCs w:val="22"/>
        </w:rPr>
        <w:t>: Hasil Olah Data Menggunakan STATA 17</w:t>
      </w:r>
      <w:bookmarkEnd w:id="202"/>
    </w:p>
    <w:p w14:paraId="7D2CEE2F" w14:textId="77777777" w:rsidR="00BB58C4" w:rsidRDefault="00000000">
      <w:pPr>
        <w:spacing w:after="0" w:line="480" w:lineRule="auto"/>
        <w:jc w:val="both"/>
        <w:rPr>
          <w:rFonts w:ascii="Times New Roman" w:hAnsi="Times New Roman" w:cs="Times New Roman"/>
          <w:b/>
          <w:bCs/>
        </w:rPr>
      </w:pPr>
      <w:r>
        <w:rPr>
          <w:rFonts w:ascii="Times New Roman" w:hAnsi="Times New Roman" w:cs="Times New Roman"/>
          <w:b/>
          <w:bCs/>
        </w:rPr>
        <w:t>Hasil Uji Analisis Statistik Deskriptif</w:t>
      </w:r>
    </w:p>
    <w:p w14:paraId="3FBA6E52" w14:textId="77777777" w:rsidR="00BB58C4" w:rsidRDefault="00000000">
      <w:pPr>
        <w:spacing w:after="0" w:line="240" w:lineRule="auto"/>
        <w:jc w:val="both"/>
        <w:rPr>
          <w:rFonts w:ascii="Times New Roman" w:hAnsi="Times New Roman" w:cs="Times New Roman"/>
          <w:b/>
          <w:bCs/>
          <w:sz w:val="24"/>
          <w:szCs w:val="24"/>
        </w:rPr>
      </w:pPr>
      <w:r>
        <w:rPr>
          <w:noProof/>
          <w:sz w:val="20"/>
        </w:rPr>
        <mc:AlternateContent>
          <mc:Choice Requires="wpg">
            <w:drawing>
              <wp:inline distT="0" distB="0" distL="0" distR="0" wp14:anchorId="4529FE16" wp14:editId="770572DF">
                <wp:extent cx="4799330" cy="970915"/>
                <wp:effectExtent l="0" t="0" r="0" b="634"/>
                <wp:docPr id="61" name="Group 61"/>
                <wp:cNvGraphicFramePr/>
                <a:graphic xmlns:a="http://schemas.openxmlformats.org/drawingml/2006/main">
                  <a:graphicData uri="http://schemas.microsoft.com/office/word/2010/wordprocessingGroup">
                    <wpg:wgp>
                      <wpg:cNvGrpSpPr/>
                      <wpg:grpSpPr>
                        <a:xfrm>
                          <a:off x="0" y="0"/>
                          <a:ext cx="4799330" cy="970915"/>
                          <a:chOff x="0" y="0"/>
                          <a:chExt cx="4799330" cy="970915"/>
                        </a:xfrm>
                      </wpg:grpSpPr>
                      <pic:pic xmlns:pic="http://schemas.openxmlformats.org/drawingml/2006/picture">
                        <pic:nvPicPr>
                          <pic:cNvPr id="62" name="Image 62"/>
                          <pic:cNvPicPr/>
                        </pic:nvPicPr>
                        <pic:blipFill>
                          <a:blip r:embed="rId22" cstate="print"/>
                          <a:stretch>
                            <a:fillRect/>
                          </a:stretch>
                        </pic:blipFill>
                        <pic:spPr>
                          <a:xfrm>
                            <a:off x="12527" y="3238"/>
                            <a:ext cx="4625783" cy="946015"/>
                          </a:xfrm>
                          <a:prstGeom prst="rect">
                            <a:avLst/>
                          </a:prstGeom>
                        </pic:spPr>
                      </pic:pic>
                      <wps:wsp>
                        <wps:cNvPr id="63" name="Graphic 63"/>
                        <wps:cNvSpPr/>
                        <wps:spPr>
                          <a:xfrm>
                            <a:off x="1587" y="1587"/>
                            <a:ext cx="4796155" cy="967740"/>
                          </a:xfrm>
                          <a:custGeom>
                            <a:avLst/>
                            <a:gdLst/>
                            <a:ahLst/>
                            <a:cxnLst/>
                            <a:rect l="l" t="t" r="r" b="b"/>
                            <a:pathLst>
                              <a:path w="4796155" h="967740">
                                <a:moveTo>
                                  <a:pt x="0" y="967740"/>
                                </a:moveTo>
                                <a:lnTo>
                                  <a:pt x="4796155" y="967740"/>
                                </a:lnTo>
                                <a:lnTo>
                                  <a:pt x="4796155" y="0"/>
                                </a:lnTo>
                                <a:lnTo>
                                  <a:pt x="0" y="0"/>
                                </a:lnTo>
                                <a:lnTo>
                                  <a:pt x="0" y="967740"/>
                                </a:lnTo>
                                <a:close/>
                              </a:path>
                            </a:pathLst>
                          </a:custGeom>
                          <a:ln w="3175">
                            <a:solidFill>
                              <a:srgbClr val="000000"/>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76.45pt;width:377.9pt;" coordsize="4799330,970915" o:gfxdata="UEsDBAoAAAAAAIdO4kAAAAAAAAAAAAAAAAAEAAAAZHJzL1BLAwQUAAAACACHTuJAvG+GMNYAAAAF&#10;AQAADwAAAGRycy9kb3ducmV2LnhtbE2PT0vDQBDF74LfYRnBm92kEv/EbIoU9VSEtoJ4m2anSWh2&#10;NmS3SfvtHb3oZeDxHm9+r1icXKdGGkLr2UA6S0ARV962XBv42L7ePIAKEdli55kMnCnAory8KDC3&#10;fuI1jZtYKynhkKOBJsY+1zpUDTkMM98Ti7f3g8Mocqi1HXCSctfpeZLcaYcty4cGe1o2VB02R2fg&#10;bcLp+TZ9GVeH/fL8tc3eP1cpGXN9lSZPoCKd4l8YfvAFHUph2vkj26A6AzIk/l7x7rNMZuwklM0f&#10;QZeF/k9ffgNQSwMEFAAAAAgAh07iQMaq8g9CAwAANwgAAA4AAABkcnMvZTJvRG9jLnhtbK1V627T&#10;MBT+j8Q7WPnP0rTrLVo7oQ2mSQgqNh7AdZyL5NjGdi97e86x4zSsAwaiUpPj+Pj4O9+5XV0fW0H2&#10;3NhGyVWSXYwSwiVTRSOrVfLt8eO7RUKso7KgQkm+Sp64Ta7Xb99cHXTOx6pWouCGgBFp84NeJbVz&#10;Ok9Ty2reUnuhNJewWSrTUgdLU6WFoQew3op0PBrN0oMyhTaKcWvh623YTDqL5jUGVVk2jN8qtmu5&#10;dMGq4YI6cMnWjbbJ2qMtS87cl7K03BGxSsBT559wCchbfKbrK5pXhuq6YR0E+hoIz3xqaSPh0t7U&#10;LXWU7ExzZqptmFFWle6CqTYNjnhGwIts9IybO6N22vtS5YdK96RDoJ6x/s9m2ef9xpCmWCWzLCGS&#10;thBxfy2BNZBz0FUOOndGP+iN6T5UYYX+HkvT4hs8IUdP61NPKz86wuDj5Xy5nEyAcQZ7y/lomU0D&#10;76yG4JwdY/WH3x9M47UpouvB6Ibl8O9YAumMpT/nJpxyO8OBc7Qm95uGbUxYDJgaR6buW1pxMhuj&#10;O3gAdfAELNMzA1vR6I+NEEgXyv8344nJebvlEEhzX0AoGdSwg2Bq00gX6LbOcMdqvL8EHF+hOBAo&#10;zfsND/qEE12wEPYXAp2Np+N5QiCgk/FkEez38Z6Np/PFpIv35WwU4t2HjebaWHfHVUtQAMSABCin&#10;Od1/sh2mqNIxGWB4fIAK8xK6j40cwuos2H9VEg811Rh1NDsINPgQSyJ0iNkEXe20+oqwv2Rpuggk&#10;ZSjASZr3JM2Xs2w67UiazeeXvhkNSGK7QNKQGGgwRaAIyKqjxI4yikgl9jrhe51LCPQ643vdNtyv&#10;qcNzaBRFcvD1GaDUUJ4BCW63as8flVd0pyLtFELinFSEHKpCxQeLWPBD36JafGtveageWYga8R00&#10;oYnE/gJMxb34Huq8eC0TyvIAHZ33yd8TAgaHlAuJ3Eyy+dSnplWiKWL5WlNtb4Qhe4pjxf+QXbDw&#10;kxrm8C21ddDzW52akKCNaRTyGqWtKp6gFR9gFq0S+31HoQ0RcS8hs3FwRcFEYRsF48SN8uMNYyXV&#10;+51TZePL6GS3uw5Kxkt+nnjA3ezDgTVce63TvF//AFBLAwQKAAAAAACHTuJAAAAAAAAAAAAAAAAA&#10;CgAAAGRycy9tZWRpYS9QSwMEFAAAAAgAh07iQMPbqHZxFAAAbBQAABQAAABkcnMvbWVkaWEvaW1h&#10;Z2UxLnBuZwFsFJPriVBORw0KGgoAAAANSUhEUgAAAfIAAABmCAIAAAC/c4RmAAAABmJLR0QA/wD/&#10;AP+gvaeTAAAACXBIWXMAAA7EAAAOxAGVKw4bAAAUDElEQVR4nO2drXrqzhbGh/+1QEWfXkEQRwOm&#10;CrtdkMVsdSq3qwmyuFpUTRNzzBHlCngQTcy5khyRkMzHWpMJkEBmvz/VhpnMx1pZmUxgvaM8zwVg&#10;GI1GmB8AwLD459YdAAAAcE0Q1gEAwCvuO6xnm+lotErshZIVVSRZjQqaqv8l0LME7pRsM73EXhdW&#10;HyhO4eKvoKOwbrhVshpNN1k3jZHM3vM8T6Ogxybvh2wzHfl+V0tWo8ql7vx6lswh9fLvDL0XMyC7&#10;X8Jlw+worI8Xy2D7WXck+dwGy8W49WlevvP8fXbVrvlPspqsn+I8z/M8jQ7zfm+nfZH9HIJA7L4y&#10;IUT2dXwKg8PPXY4z20wnu2Wal8CbL8Nmd4/CxYXu3dUmjBrX66he7Y3IC5dkNVptqhVNeZjcRSGr&#10;yx80xLC/YBmbbf5sw7h07vHLa7gvnEMIapakCRle+F++Lo9fmci+xPPvx9NBysSU2yhO1/PYs810&#10;NJqs92I7V9uvOj9Z7889r17dmJBsM5UH3PuD9MVQdqfCxS1NfAWsw9QCpeTVo+km62xvXY7r0lp9&#10;9n5atqTRYV6bYLsTH3me53kclrXIXRSm+nb++VwcFOtfvPmS1eT4WtaPhafL2PS4Dx4n1b+Tx2B/&#10;TIUQ5Cwlb6d1fZ5/v7R+mrotTw+zxePxa/N2fKhWaLSJObdZF2XjcL9+6+ouP375iMR6osSV8ct3&#10;4dthLM+98pjVfvuQrE5MiHqvTz634eugTE/Zndt07cXE3cAPU/Xk2Xseh9v5KhEiWc0PUfr9Mu7u&#10;lWkd15UdmOp2o65HKs+avVsfo+jqp9XpeLGsgphJ9nOolkej+fb8oQ0UYpYmj8F2Psgnl/S4F0KM&#10;F4+7tXiuHIYzsd1tJo+dvoIZv3zneZ4udxP7ojH53AbR77P3EMjq9ITMnk9xPdv82YbPA9q3oO3O&#10;0pOJrw47TNKTZ+9pdJiPRnMRFwuEDr8Jc4rrclQvbicXrEcuqZ4e90FUbXIOcHnqhLQ8F8JYvGsU&#10;ESd//hzqttT45Tt/nwkxfnjaH1PGxBd63fV62v+ikfH52e9I7L4ykX3txAV3ktuh2d1X9GHaPDkI&#10;6gNdfsGxiOsrKapnP4fTh8lb+93DxurJ23rPrz1mz8N7EmvPeLEMtn+qvdo/5rtqc5Zm73kaKe+4&#10;Bwpp4gu97opkPwdR3WTHD09CeQ82eQyqNfQvtZ/K/ikDWZ3z+fFiKXZfyddOqN7h0hC4FZwnJ6vJ&#10;bvnx/VF/QSLvkuKOctpAzPM8j8OyJ0EUhadP4lApQ96MigJU9eqYEKJamdDVlcPKKoam6/npinpK&#10;qkE2z5JhgntG3pjO81zyIcrEjNucTmCc7JrIE69Nct3VsqPVgTBWrgnzOiKhq3M+H4fmOR0buh2c&#10;3cnrvS8TXx/WvQlPjsParmkUCBFEKXKe2BghJwwAYGjc969MAQAAtARhHQAAvAJhHQAAvAJhHQAA&#10;vAJhHQAAvAJhHQAAvAJhHQAAvAJhHQAAvAJhHQAAvAJhHQAAvAJhHQAA/AI5TwAAwCeQysoGUn0B&#10;AAYHNmEAAMArENYBAMArENYBAMArENYBAMArENYBAMArENYBAMArENYBAMArENYBAMArENYBAMAr&#10;ENYBAMArENYBAMArENYBAMAr2LCebaaj0Soh/ss209FI+oyvrjDdZOVnyUr+l24oWUkVss1Uak6p&#10;rn5UfDrdZGWpilXSWNEzivFLI5Qsos49YaGBY4yd5zQDt3EFvXXKRkIIakSyf5NWlh2dNvBtx94X&#10;LZxhqBAmznniUIgwzvM8jQIRRGl5LIjSNAqKTxqJQ6NgHAZRHAXlCZmGinbKz5XmtOpaV6p6ZMMi&#10;CE4VnYZgn5+7JQ5PBq9GWA83jYLqgzQKhKMhhwIxdp40CoQIghtNgt56HAriT86aysdmrRL+09uO&#10;vR9aOcNQoS5t2ybM7D0Ot/PVZvNrLaKPl3FxLP8u/jqX5POwXMwWS7H7Oq0dqIZcq48Xy2D7mVSf&#10;boPlwnKC5ety9+bznVuIbPNnG8aSSwshxPjlO3+fCVFMmBCHH09W5irk2PnCv9b7MP5Ydt0rt9aT&#10;z60Q4fNMCCFmz6EQ28/ENiLJhMHjpCgpguj3TCpDn5Nq3UNaOcNwoS5t+9767HcUbNfNsbYFyedh&#10;uRiLsRLXyYb260n5ZDFZ7/nqclxXo/p2Tjx9ThbLw6fXcb02M0n2tdsL+d53miYfnlMbxi5TBjbH&#10;0teGaH3yGFRhN/s5lEfJEY1fPqKgvD7m2zD+fhkLkR73Qjwd3+SdGfqcNx57X7RwBj+oL22nV6b7&#10;Y3qthjd/tk8PYyH0uE40pG7C8NXruK6t1esHL/kBY/zyKv74sovcmmQ1We+D091z/PJdzlAciu3c&#10;m811B5K39V5b2t649fHLRxSUN9lfu4YTpMdqpSO28/qOvBXPsjnpc9527KAblEu7adcmiGJzA/bc&#10;vfUqPpfIG+RqQ+Teuq168bRV12H21qt998jjvfU8z/mNVumdRkPx4dI4GN2TBD8xHdDcerHxLR1S&#10;R2RsvQdRmsehVEX5Rz3nbcfeP155Nod2aVtW61m51T17+YiC7TUWuNnXbq8E+WLB7doQU/20Xl81&#10;7atXzH5Hh13Tesg3ss10vhXlA7uBvAnrJeU3R8p1bf2YUr9/vPCd0RVbzza/1nsRvrp36OlhLGbP&#10;odiXV0TyuS0OEufse+yga4hL2xb+lbVvccfT3z803QXlRbOxxo9DIcKQbIhYrdPV49o9lU/VjoZx&#10;rj4BuN3CLfNzvxirsSBKzYOnGXG25CAgx57neTVUYpR9fB3IqXWp88QGpPqRbDmysPSFL6MY2bp/&#10;8M7gFdSlDQlmG5CoBgAMDvzKFAAAvOLysK7+nNO3HywCAMDAwCaDDWzCAAAGBzZhAADAKxDWAQDA&#10;KxDWAQDAKxDWAQDAKxDWAQDAK/4RFsUMMyc/jfYdR1azwl1bg5e8UM5Rt0RqCqjYWveP+5LRMK3W&#10;pvPGd2inm4w9JyMbwfhyb1IS7g0ZJRnFDHdtDaNkS3NcAmkOZxvRBRtcmXbvaw2TkyVxC5Zkl67g&#10;yfrB4geolGJGGgXST/Obf3irJteyaVY4aGvQ1S2/dSbO6dRPK2KIyQPuWkbDyGFlYJc+oOrLx2jZ&#10;CC5VRG9SEu4N6SVtihmmid1K6q1195t60gbONmosWP1Ju3cHw2Qaap9OjOzSmZ5sHiw3YSghi/HL&#10;d5mtePzwdFZyXnfNCkJbg6ievP0FWaIvZtAyGg3SB8mbNQeWrCRRpBfffiakvkRRuicpCfeGmJKU&#10;Yoa7tsbNpCRIc7jbiNQAoav35t5kQ5yDXUALT6YOVnvrNsWM7OdwXnY/V80KWltDr151o3ri4B+s&#10;VMHVZOWFSIQb9ymjURpkst5zSSSFEA2d1x3YOGehJPEwFtlmOjkuo+K6o/QlepSScG+IKkkqZrhr&#10;a3Dz6WiOyyDN8V9nG5EaILSJpYEp7t3hMKWGaAfj6lFdusSTqYP6K1NiUZ6sJuunM93fSbOC19Zg&#10;qo9fvumk1XWf39ZPcZ7HYj7dZCL7OQSPk3P67x03k9E4NZVGh/mZu/jGUp05589mOjm+5u8LubKm&#10;L9GflIR7Q0xJTjHDxL3kNczhCmkOFxtZdEXI6kJ37w6HqTdkOhgH2aVLPJk6eArrRc7zOApUd8g2&#10;09FcxBdoR82en9ZvX7YS2dduf1oyTtb7vaKZJFcfPzw5Pl2d4vjsPV3uJqPJ+qlF7mp/SVaj+TaI&#10;UmLdMnsOr6mCxTN+eDqvoWzzh0sJX52zWN+tj6/5+0xa8QhRrfFnz6EQQvxv82d7klWcrPdCbDsK&#10;bplzQ0zJZDXfyju4vB6Be0mJs83hAmmOf7naSMjLjo+lKLaVeBPb3Pu6w6QaMjvfANml9p7MtF5t&#10;1Rc79fLb0ZYv1MxXptULzyDgX5lqr1PT4r0pXV1OAt/8Gtapn1bEMF+Z5nluvkch3yWxpfvqFpOI&#10;3OyOm7KT9M5J+lNyG2Kcvb031htySsJuCCHpJ+Alk9iSEte1uz4i0hxn2Mh4zW9U78+9qYbYzvMm&#10;bnr52WKWiINCPSx9QgsvkGgvZBo1K5q1NWK2uqkfQLVuw/ewfocyGkrrZrTWA4HeefJa4s4pjUld&#10;Oygn1E90t2GdVMxw19ZodoZrjpwYEWkORxtxVjOrk+7dxTC5qMh01erep6OXe7JxEBkKbYyQwREA&#10;MDTwK1MAAPCKVmEdihkAAHDvYJPBBjZhAACDA5swAADgFQjrAADgFQjrAADgFQjrAADgFQjrAADg&#10;FTYZDen7jM6Z4bXSqjgG3VCy0tLms+IYtLaGq4wGL83hI/clo0F3iYSTKXAaES24MZixKx1TChMH&#10;deWEVmIjbEPX5iIZDdZGtGaFk893MqDLhs7ayM3E1Dnr36nqMhrqL2bbymiUh1RxDKqhIufL6Tfi&#10;YRhqxc+X5iA6yFanEUNMHnCXMhp2cYwam0yBWr1JW0BNQjKEsedVt3TBDfOgPclJk9gI29C1uUxG&#10;g7ERn02lnYdcbUDuJdvIfbiamDpnFbbiUIgwouO3UwgkAmsclhko9DQJckNpFARRHIVRmqdRFKf6&#10;XUBPHxaXok3nhXWuOs0gw3o5MtYr9CRCPYS2pi6xlRTHNXMDWYIc3da9j73slNo382CD2k/DbY5t&#10;6NqYqbhOTeoHmRFR3WNlhdp6yDm4n7OxZMOt9xwT15XsMhrlon+yW6ZnpOalxTGIhp4eZovH49fm&#10;7fjQ3IqbNAcro+Gq7DFc7lBGo6FLJFI/qeqkxkJdmdarufOxk4Ib1EGrbkOj2EhvEiIXymiUaDYi&#10;S7b3kPNwP2dTySa5j1YmNs5pl9GYvRd3gdfjpLXn8+IYakNF7v/x4nG3Fk4KTC7SHBYZDSdlD2+5&#10;mYxGS0yZAg2LxgKnjXfvYydlNHgVDka3wUFspDcJESHEBTIaFhu5aFZYPeRM3M9pL+ko9+FqYvOc&#10;0vI9iGLumUzOk8uhboPoGSzlNOlKQ/ruifI/k8M9Dot9HG4Tpt7JqR/z7NVpxBA3YUq4jYnGnOW9&#10;dokvZ/bTZVup+tfcELzzsVNqX8Hrv4mDUaqk0lb+saUdL7tANtSJSrV88enNqwdzfkRq53NrSVcP&#10;ud7onM6plXRyxZYm1s5pk9FQKrV8ZUqLY1ANnRPWm6Q52A6y1Wl8Cut3IKPB3Wkc+8n0Ua9AXDVD&#10;GfsJcstbPihd5+Ymboub15X31sn04leQ0TBeQDIlHT3kGhjnZK2plnR2xRYmNs/Jy2hI75bd7klx&#10;ozhGSDRkrJrL00itV7MVk9oaVEmug6yyB80gw/q9y2goDkUGAr2fTSOS3bNJcOOOx67VsYV1Wk6h&#10;aexMyOkurOfKNGt3Xv0gMSLGRmbJNh5yEfw5LZ5M6l3Uo+JsdI6Jy1MgQ6GNETI4AgCGBn5lCgAA&#10;XgEZDQAA8ApsMtjAJgwAYHBgEwYAALwCYR0AALwCYR0AALwCYR0AALwCYR0AALzinyJ7mJ7MnvnW&#10;IqOYIX/xkZA+YFQ1JCEL+bynlGLqtynrVIzGQb71phFARqNXKQkKQg/BUaeAkRRoGmeD4EanQxzp&#10;IjIuLTM2kvtvXgf6eXXFjA70JZx9qaXch6O2Rq8mpkRRSGUPWu7jsgkxWqcm5PTzUzUVV6usXmqy&#10;FTX1jiqjEVNCFkyLZJIX6iDbukHrn0qLISYPkH9zTWRzuI2UBN9Pe/IPp95pqUX06k2n7CIPVEM3&#10;G+QUjFqWVC4Oubx1xYwWrbccXcszNeQcd89j06OJiYuLafSMXENuE6K1TkzIP0IUSSTF+i0RQiRv&#10;Wsr1dowXy6DO7Zt8HpaLmZaWd/m63L11s0xWWzdI3vpIMn1zss2fbZkTr6ZOSD1eLIsU17fpXQ2V&#10;NFo+VmSp3jYnx6/zlJLVk8+tEGGR83n2HBqnpNOcdss1zCHVqdNOCyH0EZXJ1T+WV239GjTNPJNW&#10;nDhRbyYmLy6yn86db9FPsnUS+dbilq02t6zW41C6bxTiSHKa3KJgWggU6WsG7S6l9J3K/SOUk2qt&#10;G+k/i4ygYVx/5muqrxJurUCo0zjORicdDEO5+arTaRQU7ti4xpLHQ1b/j/54ooy0j6V6Pc1Msq3G&#10;R0zDRvJR61K9Wsrx6cOuM/rWvqS3bc4S5SFkQ8YTaNcmVi8usp905200TwjZOjUhgi3cMComS5v6&#10;5FcbonpELpPxFtHdnH0lgjtvwhit12kga9k9tT0jxySFf2Gdy9xqy+jaEYXdpGugTCRery5crkcz&#10;aalZvfb7IKDSqfZ1QzPH02ra5cLqgs24GJWIw4r8dWR0t9OyM1/PEuUhTEM9m5gI63o/mzrfcE4J&#10;w23YklU7Qj3oOHpmtc4uBEVtpwYhi3rB3XpvXd26tMlonD7428K6zbt6jW9Vi7pQgPGQ1dAnbWnW&#10;WJ3adO5x1EQ0aBNVqbcF2lmo5N4qyoNvNzdyB1+yzbwyTDdtDf3MXZuYu3dK/zR2XsVpQpj/zZJX&#10;DevaI59UpIyzcZOQhfTS88xXprYhyJP714V1u3/3H9UVcyi7J6bGQlVE66MRmvjq1afSGfp+RJEn&#10;mTMHNUyjuhHWlccVekTKxdHp/UzzJSfD0dUpD+EbyvPeTEwM0egn2/kLJoQ5YHxw5bB+GkysB81i&#10;Fa4XrJceFfLgWadXypqtW4won6DZ2oMM602SAtLcybPR99a61lUjfut9Mi8GOjaZ1Rnpg56W6uSe&#10;M20OqftGVLQctWksaP2Qt5+p1i+A9SUnw7WQkqAa6s3E5MXFdYDp1fkTQrdOTAgyFNoYIYMjAGBo&#10;4FemAADgFVxYh2IGAAAMEmwy2MAmDABgcGATBgAAvOL/PC1pCstNy4s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Eb&#10;AABbQ29udGVudF9UeXBlc10ueG1sUEsBAhQACgAAAAAAh07iQAAAAAAAAAAAAAAAAAYAAAAAAAAA&#10;AAAQAAAAXhkAAF9yZWxzL1BLAQIUABQAAAAIAIdO4kCKFGY80QAAAJQBAAALAAAAAAAAAAEAIAAA&#10;AIIZAABfcmVscy8ucmVsc1BLAQIUAAoAAAAAAIdO4kAAAAAAAAAAAAAAAAAEAAAAAAAAAAAAEAAA&#10;AAAAAABkcnMvUEsBAhQACgAAAAAAh07iQAAAAAAAAAAAAAAAAAoAAAAAAAAAAAAQAAAAfBoAAGRy&#10;cy9fcmVscy9QSwECFAAUAAAACACHTuJAqiYOvrYAAAAhAQAAGQAAAAAAAAABACAAAACkGgAAZHJz&#10;L19yZWxzL2Uyb0RvYy54bWwucmVsc1BLAQIUABQAAAAIAIdO4kC8b4Yw1gAAAAUBAAAPAAAAAAAA&#10;AAEAIAAAACIAAABkcnMvZG93bnJldi54bWxQSwECFAAUAAAACACHTuJAxqryD0IDAAA3CAAADgAA&#10;AAAAAAABACAAAAAlAQAAZHJzL2Uyb0RvYy54bWxQSwECFAAKAAAAAACHTuJAAAAAAAAAAAAAAAAA&#10;CgAAAAAAAAAAABAAAACTBAAAZHJzL21lZGlhL1BLAQIUABQAAAAIAIdO4kDD26h2cRQAAGwUAAAU&#10;AAAAAAAAAAEAIAAAALsEAABkcnMvbWVkaWEvaW1hZ2UxLnBuZ1BLBQYAAAAACgAKAFICAADGHAAA&#10;AAA=&#10;">
                <o:lock v:ext="edit" aspectratio="f"/>
                <v:shape id="Image 62" o:spid="_x0000_s1026" o:spt="75" type="#_x0000_t75" style="position:absolute;left:12527;top:3238;height:946015;width:4625783;" filled="f" o:preferrelative="t" stroked="f" coordsize="21600,21600" o:gfxdata="UEsDBAoAAAAAAIdO4kAAAAAAAAAAAAAAAAAEAAAAZHJzL1BLAwQUAAAACACHTuJAtqfB670AAADb&#10;AAAADwAAAGRycy9kb3ducmV2LnhtbEWPS2vDMBCE74X8B7GB3BrJObjFjZJDIQ/wKQ8CvS3Wxja1&#10;VsZS/OivrwKFHoeZ+YZZb0fbiJ46XzvWkCwVCOLCmZpLDdfL7vUdhA/IBhvHpGEiD9vN7GWNmXED&#10;n6g/h1JECPsMNVQhtJmUvqjIol+6ljh6d9dZDFF2pTQdDhFuG7lSKpUWa44LFbb0WVHxfX5YDbTf&#10;h6ku1cHfv/K3Id81t5820XoxT9QHiEBj+A//tY9GQ7qC5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p8HrvQAA&#10;ANsAAAAPAAAAAAAAAAEAIAAAACIAAABkcnMvZG93bnJldi54bWxQSwECFAAUAAAACACHTuJAMy8F&#10;njsAAAA5AAAAEAAAAAAAAAABACAAAAAMAQAAZHJzL3NoYXBleG1sLnhtbFBLBQYAAAAABgAGAFsB&#10;AAC2AwAAAAA=&#10;">
                  <v:fill on="f" focussize="0,0"/>
                  <v:stroke on="f"/>
                  <v:imagedata r:id="rId23" o:title=""/>
                  <o:lock v:ext="edit" aspectratio="f"/>
                </v:shape>
                <v:shape id="Graphic 63" o:spid="_x0000_s1026" o:spt="100" style="position:absolute;left:1587;top:1587;height:967740;width:4796155;" filled="f" stroked="t" coordsize="4796155,967740" o:gfxdata="UEsDBAoAAAAAAIdO4kAAAAAAAAAAAAAAAAAEAAAAZHJzL1BLAwQUAAAACACHTuJAfPj2rr4AAADb&#10;AAAADwAAAGRycy9kb3ducmV2LnhtbEWPT2vCQBTE70K/w/IKvenGRkSiq9CUgidbUwWPj+wziWbf&#10;huw2f759tyD0OMzMb5jNbjC16Kh1lWUF81kEgji3uuJCwen7Y7oC4TyyxtoyKRjJwW77NNlgom3P&#10;R+oyX4gAYZeggtL7JpHS5SUZdDPbEAfvaluDPsi2kLrFPsBNLV+jaCkNVhwWSmwoLSm/Zz9GwVf6&#10;Fn+eFuM19odDl90u+/dzt1Dq5XkerUF4Gvx/+NHeawXLGP6+h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j2rr4A&#10;AADbAAAADwAAAAAAAAABACAAAAAiAAAAZHJzL2Rvd25yZXYueG1sUEsBAhQAFAAAAAgAh07iQDMv&#10;BZ47AAAAOQAAABAAAAAAAAAAAQAgAAAADQEAAGRycy9zaGFwZXhtbC54bWxQSwUGAAAAAAYABgBb&#10;AQAAtwMAAAAA&#10;" path="m0,967740l4796155,967740,4796155,0,0,0,0,967740xe">
                  <v:fill on="f" focussize="0,0"/>
                  <v:stroke weight="0.25pt" color="#000000" joinstyle="round"/>
                  <v:imagedata o:title=""/>
                  <o:lock v:ext="edit" aspectratio="f"/>
                  <v:textbox inset="0mm,0mm,0mm,0mm"/>
                </v:shape>
                <w10:wrap type="none"/>
                <w10:anchorlock/>
              </v:group>
            </w:pict>
          </mc:Fallback>
        </mc:AlternateContent>
      </w:r>
    </w:p>
    <w:p w14:paraId="6E271355" w14:textId="77777777" w:rsidR="00BB58C4" w:rsidRDefault="00BB58C4">
      <w:pPr>
        <w:spacing w:after="0" w:line="480" w:lineRule="auto"/>
        <w:jc w:val="both"/>
        <w:rPr>
          <w:rFonts w:ascii="Times New Roman" w:hAnsi="Times New Roman" w:cs="Times New Roman"/>
          <w:b/>
          <w:bCs/>
          <w:sz w:val="24"/>
          <w:szCs w:val="24"/>
        </w:rPr>
      </w:pPr>
    </w:p>
    <w:p w14:paraId="6C1D9205" w14:textId="77777777" w:rsidR="00BB58C4" w:rsidRDefault="00000000">
      <w:pPr>
        <w:spacing w:after="0" w:line="240" w:lineRule="auto"/>
        <w:jc w:val="both"/>
        <w:rPr>
          <w:rFonts w:ascii="Times New Roman" w:hAnsi="Times New Roman" w:cs="Times New Roman"/>
          <w:b/>
          <w:bCs/>
        </w:rPr>
      </w:pPr>
      <w:r>
        <w:rPr>
          <w:b/>
          <w:noProof/>
          <w:sz w:val="4"/>
        </w:rPr>
        <w:drawing>
          <wp:anchor distT="0" distB="0" distL="0" distR="0" simplePos="0" relativeHeight="251667456" behindDoc="1" locked="0" layoutInCell="1" allowOverlap="1" wp14:anchorId="2714CFE5" wp14:editId="647859D5">
            <wp:simplePos x="0" y="0"/>
            <wp:positionH relativeFrom="page">
              <wp:posOffset>1438910</wp:posOffset>
            </wp:positionH>
            <wp:positionV relativeFrom="paragraph">
              <wp:posOffset>334645</wp:posOffset>
            </wp:positionV>
            <wp:extent cx="4317365" cy="2599690"/>
            <wp:effectExtent l="0" t="0" r="6985" b="0"/>
            <wp:wrapTopAndBottom/>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4" cstate="print"/>
                    <a:stretch>
                      <a:fillRect/>
                    </a:stretch>
                  </pic:blipFill>
                  <pic:spPr>
                    <a:xfrm>
                      <a:off x="0" y="0"/>
                      <a:ext cx="4317365" cy="2599690"/>
                    </a:xfrm>
                    <a:prstGeom prst="rect">
                      <a:avLst/>
                    </a:prstGeom>
                  </pic:spPr>
                </pic:pic>
              </a:graphicData>
            </a:graphic>
          </wp:anchor>
        </w:drawing>
      </w:r>
      <w:r>
        <w:rPr>
          <w:rFonts w:ascii="Times New Roman" w:hAnsi="Times New Roman" w:cs="Times New Roman"/>
          <w:b/>
          <w:bCs/>
        </w:rPr>
        <w:t>Hasil Uji Common Effect Model</w:t>
      </w:r>
    </w:p>
    <w:p w14:paraId="4577CA9E" w14:textId="77777777" w:rsidR="00BB58C4" w:rsidRDefault="00000000">
      <w:pPr>
        <w:spacing w:after="0" w:line="240" w:lineRule="auto"/>
        <w:jc w:val="both"/>
        <w:rPr>
          <w:rFonts w:ascii="Times New Roman" w:hAnsi="Times New Roman" w:cs="Times New Roman"/>
          <w:b/>
          <w:bCs/>
          <w:sz w:val="24"/>
          <w:szCs w:val="24"/>
        </w:rPr>
      </w:pPr>
      <w:r>
        <w:rPr>
          <w:rFonts w:ascii="Times New Roman" w:hAnsi="Times New Roman" w:cs="Times New Roman"/>
          <w:b/>
          <w:noProof/>
          <w:color w:val="000000" w:themeColor="text1"/>
          <w:sz w:val="24"/>
          <w:szCs w:val="24"/>
        </w:rPr>
        <w:drawing>
          <wp:anchor distT="0" distB="0" distL="114300" distR="114300" simplePos="0" relativeHeight="251676672" behindDoc="0" locked="0" layoutInCell="1" allowOverlap="1" wp14:anchorId="781B31D1" wp14:editId="46531F47">
            <wp:simplePos x="0" y="0"/>
            <wp:positionH relativeFrom="column">
              <wp:posOffset>9525</wp:posOffset>
            </wp:positionH>
            <wp:positionV relativeFrom="paragraph">
              <wp:posOffset>2845435</wp:posOffset>
            </wp:positionV>
            <wp:extent cx="3026410" cy="1637665"/>
            <wp:effectExtent l="0" t="0" r="3175"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25"/>
                    <a:srcRect/>
                    <a:stretch>
                      <a:fillRect/>
                    </a:stretch>
                  </pic:blipFill>
                  <pic:spPr>
                    <a:xfrm>
                      <a:off x="0" y="0"/>
                      <a:ext cx="3029493" cy="1639083"/>
                    </a:xfrm>
                    <a:prstGeom prst="rect">
                      <a:avLst/>
                    </a:prstGeom>
                    <a:noFill/>
                    <a:ln w="9525">
                      <a:noFill/>
                      <a:miter lim="800000"/>
                      <a:headEnd/>
                      <a:tailEnd/>
                    </a:ln>
                  </pic:spPr>
                </pic:pic>
              </a:graphicData>
            </a:graphic>
          </wp:anchor>
        </w:drawing>
      </w:r>
    </w:p>
    <w:p w14:paraId="1FA4F288" w14:textId="77777777" w:rsidR="00BB58C4" w:rsidRDefault="00BB58C4">
      <w:pPr>
        <w:jc w:val="right"/>
        <w:rPr>
          <w:rFonts w:ascii="Times New Roman" w:hAnsi="Times New Roman" w:cs="Times New Roman"/>
          <w:sz w:val="24"/>
          <w:szCs w:val="24"/>
        </w:rPr>
      </w:pPr>
    </w:p>
    <w:p w14:paraId="15F90ACC" w14:textId="77777777" w:rsidR="00BB58C4" w:rsidRDefault="00BB58C4">
      <w:pPr>
        <w:rPr>
          <w:rFonts w:ascii="Times New Roman" w:hAnsi="Times New Roman" w:cs="Times New Roman"/>
          <w:sz w:val="24"/>
          <w:szCs w:val="24"/>
        </w:rPr>
      </w:pPr>
    </w:p>
    <w:p w14:paraId="0E200137" w14:textId="77777777" w:rsidR="00BB58C4" w:rsidRDefault="00BB58C4">
      <w:pPr>
        <w:rPr>
          <w:rFonts w:ascii="Times New Roman" w:hAnsi="Times New Roman" w:cs="Times New Roman"/>
          <w:sz w:val="24"/>
          <w:szCs w:val="24"/>
        </w:rPr>
      </w:pPr>
    </w:p>
    <w:p w14:paraId="7CDB4AEE" w14:textId="77777777" w:rsidR="00BB58C4" w:rsidRDefault="00BB58C4">
      <w:pPr>
        <w:rPr>
          <w:rFonts w:ascii="Times New Roman" w:hAnsi="Times New Roman" w:cs="Times New Roman"/>
          <w:sz w:val="24"/>
          <w:szCs w:val="24"/>
        </w:rPr>
      </w:pPr>
    </w:p>
    <w:p w14:paraId="03D69642" w14:textId="77777777" w:rsidR="00BB58C4" w:rsidRDefault="00000000">
      <w:pPr>
        <w:rPr>
          <w:rFonts w:ascii="Times New Roman" w:hAnsi="Times New Roman" w:cs="Times New Roman"/>
          <w:b/>
          <w:bCs/>
        </w:rPr>
      </w:pPr>
      <w:r>
        <w:rPr>
          <w:rFonts w:ascii="Times New Roman" w:hAnsi="Times New Roman" w:cs="Times New Roman"/>
          <w:b/>
          <w:bCs/>
        </w:rPr>
        <w:lastRenderedPageBreak/>
        <w:t>Hasil Uji Fixed Effect Model</w:t>
      </w:r>
      <w:r>
        <w:rPr>
          <w:b/>
          <w:noProof/>
          <w:sz w:val="20"/>
        </w:rPr>
        <w:drawing>
          <wp:anchor distT="0" distB="0" distL="0" distR="0" simplePos="0" relativeHeight="251668480" behindDoc="1" locked="0" layoutInCell="1" allowOverlap="1" wp14:anchorId="7DE3C679" wp14:editId="26420E70">
            <wp:simplePos x="0" y="0"/>
            <wp:positionH relativeFrom="page">
              <wp:posOffset>1440815</wp:posOffset>
            </wp:positionH>
            <wp:positionV relativeFrom="paragraph">
              <wp:posOffset>286385</wp:posOffset>
            </wp:positionV>
            <wp:extent cx="4763770" cy="3061335"/>
            <wp:effectExtent l="0" t="0" r="0" b="5715"/>
            <wp:wrapTopAndBottom/>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6" cstate="print"/>
                    <a:stretch>
                      <a:fillRect/>
                    </a:stretch>
                  </pic:blipFill>
                  <pic:spPr>
                    <a:xfrm>
                      <a:off x="0" y="0"/>
                      <a:ext cx="4763770" cy="3061335"/>
                    </a:xfrm>
                    <a:prstGeom prst="rect">
                      <a:avLst/>
                    </a:prstGeom>
                  </pic:spPr>
                </pic:pic>
              </a:graphicData>
            </a:graphic>
          </wp:anchor>
        </w:drawing>
      </w:r>
    </w:p>
    <w:p w14:paraId="5A4F16F3" w14:textId="77777777" w:rsidR="00BB58C4" w:rsidRDefault="00BB58C4">
      <w:pPr>
        <w:spacing w:before="240"/>
        <w:rPr>
          <w:rFonts w:ascii="Times New Roman" w:hAnsi="Times New Roman" w:cs="Times New Roman"/>
          <w:b/>
          <w:bCs/>
        </w:rPr>
      </w:pPr>
    </w:p>
    <w:p w14:paraId="2730523A" w14:textId="77777777" w:rsidR="00BB58C4" w:rsidRDefault="00000000">
      <w:pPr>
        <w:spacing w:before="240"/>
        <w:rPr>
          <w:rFonts w:ascii="Times New Roman" w:hAnsi="Times New Roman" w:cs="Times New Roman"/>
          <w:b/>
          <w:bCs/>
        </w:rPr>
      </w:pPr>
      <w:r>
        <w:rPr>
          <w:b/>
          <w:noProof/>
          <w:sz w:val="17"/>
        </w:rPr>
        <w:drawing>
          <wp:anchor distT="0" distB="0" distL="0" distR="0" simplePos="0" relativeHeight="251669504" behindDoc="1" locked="0" layoutInCell="1" allowOverlap="1" wp14:anchorId="4F30A98A" wp14:editId="18E4FE95">
            <wp:simplePos x="0" y="0"/>
            <wp:positionH relativeFrom="page">
              <wp:posOffset>1440180</wp:posOffset>
            </wp:positionH>
            <wp:positionV relativeFrom="paragraph">
              <wp:posOffset>341630</wp:posOffset>
            </wp:positionV>
            <wp:extent cx="4820285" cy="3104515"/>
            <wp:effectExtent l="0" t="0" r="0" b="635"/>
            <wp:wrapTopAndBottom/>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7" cstate="print"/>
                    <a:stretch>
                      <a:fillRect/>
                    </a:stretch>
                  </pic:blipFill>
                  <pic:spPr>
                    <a:xfrm>
                      <a:off x="0" y="0"/>
                      <a:ext cx="4820285" cy="3104515"/>
                    </a:xfrm>
                    <a:prstGeom prst="rect">
                      <a:avLst/>
                    </a:prstGeom>
                  </pic:spPr>
                </pic:pic>
              </a:graphicData>
            </a:graphic>
          </wp:anchor>
        </w:drawing>
      </w:r>
      <w:r>
        <w:rPr>
          <w:rFonts w:ascii="Times New Roman" w:hAnsi="Times New Roman" w:cs="Times New Roman"/>
          <w:b/>
          <w:bCs/>
        </w:rPr>
        <w:t>Hasil Uji Random Effect</w:t>
      </w:r>
    </w:p>
    <w:p w14:paraId="03CF4EC5" w14:textId="77777777" w:rsidR="00BB58C4" w:rsidRDefault="00BB58C4">
      <w:pPr>
        <w:rPr>
          <w:rFonts w:ascii="Times New Roman" w:hAnsi="Times New Roman" w:cs="Times New Roman"/>
          <w:sz w:val="24"/>
          <w:szCs w:val="24"/>
        </w:rPr>
      </w:pPr>
    </w:p>
    <w:p w14:paraId="430D8AEC" w14:textId="77777777" w:rsidR="00BB58C4" w:rsidRDefault="00BB58C4">
      <w:pPr>
        <w:rPr>
          <w:rFonts w:ascii="Times New Roman" w:hAnsi="Times New Roman" w:cs="Times New Roman"/>
          <w:sz w:val="24"/>
          <w:szCs w:val="24"/>
        </w:rPr>
      </w:pPr>
    </w:p>
    <w:p w14:paraId="799751C7" w14:textId="77777777" w:rsidR="00BB58C4" w:rsidRDefault="00BB58C4">
      <w:pPr>
        <w:rPr>
          <w:rFonts w:ascii="Times New Roman" w:hAnsi="Times New Roman" w:cs="Times New Roman"/>
          <w:sz w:val="24"/>
          <w:szCs w:val="24"/>
        </w:rPr>
      </w:pPr>
    </w:p>
    <w:p w14:paraId="3D293B86" w14:textId="77777777" w:rsidR="00BB58C4" w:rsidRDefault="00000000">
      <w:pPr>
        <w:rPr>
          <w:rFonts w:ascii="Times New Roman" w:hAnsi="Times New Roman" w:cs="Times New Roman"/>
          <w:b/>
          <w:bCs/>
          <w:sz w:val="24"/>
          <w:szCs w:val="24"/>
        </w:rPr>
      </w:pPr>
      <w:r>
        <w:rPr>
          <w:rFonts w:ascii="Times New Roman" w:hAnsi="Times New Roman" w:cs="Times New Roman"/>
          <w:b/>
          <w:bCs/>
          <w:sz w:val="24"/>
          <w:szCs w:val="24"/>
        </w:rPr>
        <w:lastRenderedPageBreak/>
        <w:t>Hasil Uji Normalitas</w:t>
      </w:r>
    </w:p>
    <w:p w14:paraId="71DD63CF" w14:textId="77777777" w:rsidR="00BB58C4" w:rsidRDefault="00000000">
      <w:pPr>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24075FBD" wp14:editId="49F0A5AF">
            <wp:simplePos x="0" y="0"/>
            <wp:positionH relativeFrom="column">
              <wp:posOffset>0</wp:posOffset>
            </wp:positionH>
            <wp:positionV relativeFrom="paragraph">
              <wp:posOffset>-635</wp:posOffset>
            </wp:positionV>
            <wp:extent cx="4775200" cy="621030"/>
            <wp:effectExtent l="0" t="0" r="0" b="0"/>
            <wp:wrapNone/>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8" cstate="print"/>
                    <a:stretch>
                      <a:fillRect/>
                    </a:stretch>
                  </pic:blipFill>
                  <pic:spPr>
                    <a:xfrm>
                      <a:off x="0" y="0"/>
                      <a:ext cx="4775217" cy="620919"/>
                    </a:xfrm>
                    <a:prstGeom prst="rect">
                      <a:avLst/>
                    </a:prstGeom>
                  </pic:spPr>
                </pic:pic>
              </a:graphicData>
            </a:graphic>
          </wp:anchor>
        </w:drawing>
      </w:r>
    </w:p>
    <w:p w14:paraId="554AFE20" w14:textId="77777777" w:rsidR="00BB58C4" w:rsidRDefault="00BB58C4">
      <w:pPr>
        <w:rPr>
          <w:rFonts w:ascii="Times New Roman" w:hAnsi="Times New Roman" w:cs="Times New Roman"/>
          <w:sz w:val="24"/>
          <w:szCs w:val="24"/>
        </w:rPr>
      </w:pPr>
    </w:p>
    <w:p w14:paraId="3903EA44" w14:textId="77777777" w:rsidR="00BB58C4" w:rsidRDefault="00BB58C4">
      <w:pPr>
        <w:rPr>
          <w:rFonts w:ascii="Times New Roman" w:hAnsi="Times New Roman" w:cs="Times New Roman"/>
          <w:sz w:val="24"/>
          <w:szCs w:val="24"/>
        </w:rPr>
      </w:pPr>
    </w:p>
    <w:p w14:paraId="663F07F8" w14:textId="77777777" w:rsidR="00BB58C4" w:rsidRDefault="00BB58C4">
      <w:pPr>
        <w:rPr>
          <w:rFonts w:ascii="Times New Roman" w:hAnsi="Times New Roman" w:cs="Times New Roman"/>
          <w:sz w:val="24"/>
          <w:szCs w:val="24"/>
        </w:rPr>
      </w:pPr>
    </w:p>
    <w:p w14:paraId="1B21AA0F" w14:textId="77777777" w:rsidR="00BB58C4" w:rsidRDefault="00000000">
      <w:pPr>
        <w:spacing w:after="0" w:line="360" w:lineRule="auto"/>
        <w:rPr>
          <w:rFonts w:ascii="Times New Roman" w:hAnsi="Times New Roman" w:cs="Times New Roman"/>
          <w:b/>
          <w:bCs/>
          <w:sz w:val="24"/>
          <w:szCs w:val="24"/>
        </w:rPr>
      </w:pPr>
      <w:r>
        <w:rPr>
          <w:b/>
          <w:noProof/>
          <w:sz w:val="20"/>
        </w:rPr>
        <mc:AlternateContent>
          <mc:Choice Requires="wpg">
            <w:drawing>
              <wp:anchor distT="0" distB="0" distL="0" distR="0" simplePos="0" relativeHeight="251671552" behindDoc="1" locked="0" layoutInCell="1" allowOverlap="1" wp14:anchorId="3011041D" wp14:editId="17D7A8B3">
                <wp:simplePos x="0" y="0"/>
                <wp:positionH relativeFrom="page">
                  <wp:posOffset>1440180</wp:posOffset>
                </wp:positionH>
                <wp:positionV relativeFrom="paragraph">
                  <wp:posOffset>317500</wp:posOffset>
                </wp:positionV>
                <wp:extent cx="3021965" cy="1372235"/>
                <wp:effectExtent l="0" t="0" r="26035" b="18415"/>
                <wp:wrapTopAndBottom/>
                <wp:docPr id="70" name="Group 70"/>
                <wp:cNvGraphicFramePr/>
                <a:graphic xmlns:a="http://schemas.openxmlformats.org/drawingml/2006/main">
                  <a:graphicData uri="http://schemas.microsoft.com/office/word/2010/wordprocessingGroup">
                    <wpg:wgp>
                      <wpg:cNvGrpSpPr/>
                      <wpg:grpSpPr>
                        <a:xfrm>
                          <a:off x="0" y="0"/>
                          <a:ext cx="3021965" cy="1372235"/>
                          <a:chOff x="3175" y="3175"/>
                          <a:chExt cx="3015615" cy="1365885"/>
                        </a:xfrm>
                      </wpg:grpSpPr>
                      <pic:pic xmlns:pic="http://schemas.openxmlformats.org/drawingml/2006/picture">
                        <pic:nvPicPr>
                          <pic:cNvPr id="71" name="Image 71"/>
                          <pic:cNvPicPr/>
                        </pic:nvPicPr>
                        <pic:blipFill>
                          <a:blip r:embed="rId29" cstate="print"/>
                          <a:stretch>
                            <a:fillRect/>
                          </a:stretch>
                        </pic:blipFill>
                        <pic:spPr>
                          <a:xfrm>
                            <a:off x="37915" y="59045"/>
                            <a:ext cx="2662042" cy="1254144"/>
                          </a:xfrm>
                          <a:prstGeom prst="rect">
                            <a:avLst/>
                          </a:prstGeom>
                        </pic:spPr>
                      </pic:pic>
                      <wps:wsp>
                        <wps:cNvPr id="72" name="Graphic 72"/>
                        <wps:cNvSpPr/>
                        <wps:spPr>
                          <a:xfrm>
                            <a:off x="3175" y="3175"/>
                            <a:ext cx="3015615" cy="1365885"/>
                          </a:xfrm>
                          <a:custGeom>
                            <a:avLst/>
                            <a:gdLst/>
                            <a:ahLst/>
                            <a:cxnLst/>
                            <a:rect l="l" t="t" r="r" b="b"/>
                            <a:pathLst>
                              <a:path w="3015615" h="1365885">
                                <a:moveTo>
                                  <a:pt x="0" y="1365884"/>
                                </a:moveTo>
                                <a:lnTo>
                                  <a:pt x="3015615" y="1365884"/>
                                </a:lnTo>
                                <a:lnTo>
                                  <a:pt x="3015615" y="0"/>
                                </a:lnTo>
                                <a:lnTo>
                                  <a:pt x="0" y="0"/>
                                </a:lnTo>
                                <a:lnTo>
                                  <a:pt x="0" y="1365884"/>
                                </a:lnTo>
                                <a:close/>
                              </a:path>
                            </a:pathLst>
                          </a:custGeom>
                          <a:ln w="6349">
                            <a:solidFill>
                              <a:srgbClr val="00000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113.4pt;margin-top:25pt;height:108.05pt;width:237.95pt;mso-position-horizontal-relative:page;mso-wrap-distance-bottom:0pt;mso-wrap-distance-top:0pt;z-index:-251644928;mso-width-relative:page;mso-height-relative:page;" coordorigin="3175,3175" coordsize="3015615,1365885" o:gfxdata="UEsDBAoAAAAAAIdO4kAAAAAAAAAAAAAAAAAEAAAAZHJzL1BLAwQUAAAACACHTuJAEvUBjtkAAAAK&#10;AQAADwAAAGRycy9kb3ducmV2LnhtbE2PQUvDQBSE74L/YXkFb3Y3kaaSZlOkqKci2Ari7TX7moRm&#10;d0N2m7T/3ufJHocZZr4p1hfbiZGG0HqnIZkrEOQqb1pXa/javz0+gwgRncHOO9JwpQDr8v6uwNz4&#10;yX3SuIu14BIXctTQxNjnUoaqIYth7nty7B39YDGyHGppBpy43HYyVSqTFlvHCw32tGmoOu3OVsP7&#10;hNPLU/I6bk/HzfVnv/j43iak9cMsUSsQkS7xPwx/+IwOJTMd/NmZIDoNaZoxetSwUPyJA0uVLkEc&#10;2MmyBGRZyNsL5S9QSwMEFAAAAAgAh07iQO0f8LVGAwAARggAAA4AAABkcnMvZTJvRG9jLnhtbK1V&#10;227bMAx9H7B/EPy+OnZujdGkGNqtKDBswdp9gCLLF0CWNEm59O9HSpaTNhvaDQsQm7JIijyHpK6u&#10;D50gO25sq+QyyS5GCeGSqbKV9TL58fj5w2VCrKOypEJJvkyeuE2uV+/fXe11wXPVKFFyQ8CJtMVe&#10;L5PGOV2kqWUN76i9UJpL2KyU6aiDpanT0tA9eO9Emo9Gs3SvTKmNYtxa+HobNpPeo3mLQ1VVLeO3&#10;im07Ll3warigDlKyTattsvLRVhVn7ltVWe6IWCaQqfNPOATkDT7T1RUtakN107I+BPqWEF7k1NFW&#10;wqGDq1vqKNma9sxV1zKjrKrcBVNdGhLxiEAW2egFNndGbbXPpS72tR5AB6JeoP7PbtnX3dqQtlwm&#10;c4BE0g4Y98cSWAM4e10XoHNn9INem/5DHVaY76EyHb4hE3LwsD4NsPKDIww+jkd5tphNE8JgLxvP&#10;83w8DcCzBthBu3E2h33Y9oInhTWfBvtsOssG+9n08tLbp/H4FKMcgtItK+DfowXSGVqv1yhYua3h&#10;gD16k7t1y9YmLE4QyyJi9x2tOZlnmBUaoA5awDI9c7ARrf7cCoGwofx/K5+YgncbDoSa+xICZNDL&#10;DkjVppUuoG6d4Y41eH4FcXyHJsFAaTFs+KCPcWIKFuj/DeHj+QKZAeami9GkpzUSn89m+WiS98Tn&#10;00k2mWAIA3G00Ma6O646ggLEDLEA6LSguy+2jyqq9FiGQHyEEBdWKMwhG1GE1Rndf9UcDw3VyDu6&#10;PaEakojNEWbFPMdMeq2hN+wfcTov8IjSePRKedOCbQNKp8jArCkDRoBWEyV2kFFELHHsCT/2XEJg&#10;7Bk/9jahDjR1aIdOUSR7bNU+lgY7NXQa7ndqxx+V13THPg8akdKjjpCnuoNP3/3oM1pEvfjW3vep&#10;vp9BUC5RI76DJkws8PkWneeRRi9MKMtDPSIAvjAHUODUU9iFRHxm48nC16dVoi1jF1tTb26EITuK&#10;t4z/9WX+TA0L+ZbaJuj5rV5NSDgbaykUN0obVT7BZN7D1bRM7M8thWlExL2E8sZ7LAomCpsoGCdu&#10;lL/tkC6pPm6dqlrfS0e//XHQN17y14tPv78K8f46XXut4/W/+gVQSwMECgAAAAAAh07iQAAAAAAA&#10;AAAAAAAAAAoAAABkcnMvbWVkaWEvUEsDBBQAAAAIAIdO4kAR6ftOawwAAGYMAAAUAAAAZHJzL21l&#10;ZGlhL2ltYWdlMS5wbmcBZgyZ84lQTkcNChoKAAAADUlIRFIAAAD9AAAAdwgCAAAAR3zRFQAAAAZi&#10;S0dEAP8A/wD/oL2nkwAAAAlwSFlzAAAOxAAADsQBlSsOGwAADAZJREFUeJztna16s0wQhjc9FojI&#10;lSMgR0BiomLrQAZTV1kXA7K42qiagP5EOYJcEYVzySeWnwVmliWEvgk7tyvdYX94WBayMzO7Xq+M&#10;gJjNZjQ4U+XlXzeAIP4BpHtCRx5Y91mwms3cWF4odqEisTvjdJkTT0UWrO50ScfQfat1sTtbBdkI&#10;NWHYn9frNfWtP6zyr8EGubzlazd+/egjzwZZsEKbmJ2OzH+z79L36wikvsWcqPwzcpjlp2NUdL1G&#10;jliTrBW9GWlw7oV0kJvDIhmmR4J3ArtwVReH932UdY6x2Vnhd3FDxt+htdsYjTuvvF9jd+YG/CYH&#10;7lHxtgbNxX90PFSyspaHnvEUwQb5mbE/rz97rBPxd+i88/8O7/s463uxXUKr7M/idkv987rSXnhk&#10;X/mtmVuBCxXEPFx/b/lB5r3iyo9d8/JeTAFs/bcLrzFABhkjXBc3/VN2PQs+zv6bnf81uO8jvddW&#10;7aq1qpyxTS8RShe3MbM/r59262QlsLkTcRtjs7OSS4rYZr/nqvvr8PauPQ7IICNUz3p8Sn1c4oPH&#10;xB4O7ftY33OKdomtit31OV+G3fLOOcw8vSS1l4xnvPhNoEGeJsIaJ2dg30f7jsnb5Qqtyn7PxT/j&#10;Q22+V6LTPD54ibPFHhf21km8w/Mv62u0B3mS1Nc4OQP7Lnm7HgiflMVX6cjJK7V8v3zJhl63m/M5&#10;LwCZl8cYq97pYfPaYYUPTKMOzr1oDbI4INV/nud7Dnzdwcs1pO+0BQWF9uc8BFmwMi/v0ve+G6BL&#10;i0K6nzAPvE+BIEaDdE/oCOme0BHSPaEjpHtCR0j3hI6Q7gkdId0TOkK6J3SEdE8QBKEBtC9NBu3P&#10;mTC0ziF0hHRP6AjpntAR0j2hI6R7QkdI94SOkO4JHSHdEzpCuid0hHRP6AjpntAR0j2hIy/1bDrV&#10;X0KweVncaCGmfKt07Ip/whXFblUErLyMVl87W5nxAk5xAQCbPxW8r13tFq5IfeyVrudgoOphwHQG&#10;gHmt8UDeg+oQXBJuUR5W0InygIOtSITgQSiyYTMIYeRYfuRb9UwUjYpS37KsvEjqO45joYkrIoeV&#10;RYGEF13hH2XmMOyR4mNWoR/l7a56JkaPTH2ry/COzRQil6J1ii2qSsrNU9+qAptKB0QoiZzyhTFm&#10;f0ZOuHaD4NVj/hcUH3s57x9xNv4+7zb2ZseOp+Imgyvave8up4xlJ7Z9W8jPuXvfHQfENB5o/u/I&#10;go/QiVphUwGM/c+1SgfA2Pn3D3M8ZMFHyCweuZiHr66SkkAIjbMWZh9z5QGJv0PG8ijZ9tYpT8nX&#10;9/abb4VeQ/X5c8g87tIbgnLG3+fdxmBGTfhQRcu5vVlcTsHhMu+uxdzsztKhZIw1c4MJKQ/VzB+P&#10;Ss3qZKdjwsQY2UXWi/EWeOkl4XNkFqzMy86X3HfG/su3Es/kWTic6Gdv4Ob59TS9hBfEB6RV0lxY&#10;pdaFSPL199p6tpAirc77xew9VlnwEfKHREP4jYrSS8IYMzaLo8fQ0PUixv6dfXSsT+ODt4zKZD7Z&#10;79lamD3MJ0Hsml5iFdOLsf+pFiLhyDmOfvMAxht5MX7pOaGQ9AkwL5qf+ue1/K2hVdLYf/lWfsu/&#10;HquCL4wxlgWvHvMj3xLrL7G3Tt/HZXY6JsX8YnpJUggfq6i4fY35Es/UUzZn6R1Osspzoduf6e5o&#10;zkxvKWbK6DSfALE7W4eWnwI5Xeyt05zf7gefXL08anc5fcNNXIfi+j78CLJOc2O+VGy8ULK65792&#10;jC+oGGMvhRi/9vb+y7fC9mzYP5NKdjomwttG6vMZv6siRew3/3w84v839j8/tWmu/kDsMn8u8sWo&#10;MItkwWodsmJB0CovrHfvDn+l4MoSF+tgOxss54bEvG/jgZJZ8OolVSq1yBGTf5SvvMIbg1LuWfGL&#10;SutrSeQw5jhART5QslE7Y9W7fmne+ALQKIk1EDCXwR7ne04rn1e9K6w+9uDYKQzRXRCqAlLdIMlJ&#10;Grqomdd6VNiDA9JVUhQyuU6jzMivfLrQ77WEjqjrvvHL6B/89EcQY0GPchRa50wYWucQOkK6J3SE&#10;dE/oCOme0BHSPaEjqN+JsF1f/rFS1UdE3UMF9xFpOxao+p3Ian8Wbvc76eENMpRhfiewNXbO1oCg&#10;lbeH7gr7naS+JfxO3NfvpKePSNNDBTaXOE8o+J30LvlI+xQG+p3AziijNfNmvxO4nfA5gQFBKgeH&#10;DvM7MfY/+XYuY768aQOfupMH4KECmMcHL3GiGzwBJsBAv5O/ckYZ6HcCthM+JzQgsIsJMnQSv5Oi&#10;M7/n2zbwqTp5wB4qTfOyGeWzDH/go34nz8pd/E7Qg3djoN8J2E74nNCAwC4myNBJ/E4YY9x/YXnj&#10;LKvk5IF7qCDmxv4H2I9XazPud6INdb8T2cG7M9DvhEHtVDkn5mICIvM7yYLVbM2i3jNNRbeTB+ah&#10;0jI35kvF57Pc70QHQL8TiTPKvRjodwK2s8c5ERcTENTvJAtWprccInrGup08EA8VyNzeOon3qvAx&#10;osPvZFoo+p3InVHuxUC/E7Cdnc4oAA0XExDY7wR2X8Bf4RsFZU4e3R4qEWre9lVQ9jsBau+APc73&#10;nIF+Jz2u5mCG+J1g7exwRinOALqYIENHWw5RZrQfc7rQ77WEjpDfCaEj9ChHoXXOhKF1DqEjpHtC&#10;R0j3hI6Q7gkdId0TOgLrHnVGaWx1RLhDEpS6y0RVnTxtSWFY/+YqSZfyVKj5nfRLGXJ3lP1OgIKt&#10;T+X5P8BzqqZLQQ7Kfm9uOqPw/QNKyUKKc9ySBKW2zaG+l6Fh3nZpKU/QrliLfCd9UoaM1UwVv5Ou&#10;gh0ZS3qkS4FrklzayMkjtzbGaYjuIyffSCGes1URqvuWeeOmEG5QSPd+lHuRPZvu8/Z2x7MVdZ3v&#10;TKmVH1f3XbVXtHdd1QtWh+BzikeLHWZgSaxJkvW9zBnlRpSToLDcJYHvTsbNjc3OKnx66vHKi+we&#10;tcft5POd9EgZMgLqfidYGhKOuO8S8ztRTJfyH9Kk7vfa+yUJUE2Cwhi4oQ40r4TfCNNfzR/iZdYj&#10;38mglCFj1N5C6iMSH1q7iNvn7JEuBTwofWhZftR25r51ndPcESquVeoVgescmTlfA9S2U4PrnGLt&#10;34q7DyEbnH+D4joHWPn2OcftdNeOWjXnuebG6sY5W37j+XtnqyTWJOzSVi+ZrXgKN+q+YVYs0qGK&#10;IN0j5kUBRzSR6j7PHToR3YP776vxbK3lx5S9rPb2/nvRRDheqFh+zpbuy5mxWRJpEnxpu5OgIL1o&#10;nabDxQRKghJBukc8VMChaza00xUG5oF0r+53cq11HvLSGNHnBK4dbCeShgSOcwKdUzVdCnKQthyi&#10;0H7MCUO/1xI6MlD35IxCPCX0KEehdc6EoXUOoSOke0JHSPeEjpDuCR0h3RM6QrondIR0T+gI6Z4g&#10;CEIDaF+aDPq9dsLQOofQEdI9oSOke0JHSPeEjpDuCR0h3RM6QrondIR0T+gI6Z7QEdI9oSOke0JH&#10;SPeEjoyj+9ht5NoYJ8cGlu+kEdUnLwIkQXkuFPOdICWrrB8U32gk3We/Z8vKI3Vnp8vSsZAw6AMR&#10;o98zVoUCtz/zsIg8HGIVOV4IvKgUTv5xiN3ZbB3eXDJ2Z6a3zHs/Wvz7J2K0dc7ufXc5ZSw7se3b&#10;ojgoZBoqJyMoT1HsztygKCuZnurCb0TAnxBZ8BEW0a9vKCnmUSAYY+Ppfjm3N4vLKThc5uVox655&#10;eS9i1LJ1rmc+OfNguOcqgH/o8bKRk3gH9NGO5zsBAZOgPAHK+U7gkjwTyOXwvEu8uzOK7nkuCmOz&#10;OHpsW16E7PdcCU94EpcTvpDRhzEn4pfPXDRCYNdB852AwElQ9CBk23z1F66f664fgzG/5xRzjzFf&#10;JpeUpZekloWASy9212chgUP/SnLhT3eRcx+KZY697V4sacAffse0t8CSRUjqFR/E+V4ZLnxXU9nn&#10;D0v50sXeOizJE4LF3yFPdKY5SNqKIUC5Sfjf4owuJO0sDvhFOSFRikJWoVaSjMb7X5UPpleuj3EG&#10;5ybU851gJZH8ItpCrtMo5Fc+Yej3WkJHSPeEjpDuCR0h3RM68j80+6own/v1a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khMAAFtDb250ZW50X1R5cGVzXS54bWxQSwECFAAKAAAAAACHTuJAAAAAAAAAAAAAAAAABgAA&#10;AAAAAAAAABAAAABfEQAAX3JlbHMvUEsBAhQAFAAAAAgAh07iQIoUZjzRAAAAlAEAAAsAAAAAAAAA&#10;AQAgAAAAgxEAAF9yZWxzLy5yZWxzUEsBAhQACgAAAAAAh07iQAAAAAAAAAAAAAAAAAQAAAAAAAAA&#10;AAAQAAAAAAAAAGRycy9QSwECFAAKAAAAAACHTuJAAAAAAAAAAAAAAAAACgAAAAAAAAAAABAAAAB9&#10;EgAAZHJzL19yZWxzL1BLAQIUABQAAAAIAIdO4kCqJg6+tgAAACEBAAAZAAAAAAAAAAEAIAAAAKUS&#10;AABkcnMvX3JlbHMvZTJvRG9jLnhtbC5yZWxzUEsBAhQAFAAAAAgAh07iQBL1AY7ZAAAACgEAAA8A&#10;AAAAAAAAAQAgAAAAIgAAAGRycy9kb3ducmV2LnhtbFBLAQIUABQAAAAIAIdO4kDtH/C1RgMAAEYI&#10;AAAOAAAAAAAAAAEAIAAAACgBAABkcnMvZTJvRG9jLnhtbFBLAQIUAAoAAAAAAIdO4kAAAAAAAAAA&#10;AAAAAAAKAAAAAAAAAAAAEAAAAJoEAABkcnMvbWVkaWEvUEsBAhQAFAAAAAgAh07iQBHp+05rDAAA&#10;ZgwAABQAAAAAAAAAAQAgAAAAwgQAAGRycy9tZWRpYS9pbWFnZTEucG5nUEsFBgAAAAAKAAoAUgIA&#10;AMcUAAAAAA==&#10;">
                <o:lock v:ext="edit" aspectratio="f"/>
                <v:shape id="Image 71" o:spid="_x0000_s1026" o:spt="75" type="#_x0000_t75" style="position:absolute;left:37915;top:59045;height:1254144;width:2662042;" filled="f" o:preferrelative="t" stroked="f" coordsize="21600,21600" o:gfxdata="UEsDBAoAAAAAAIdO4kAAAAAAAAAAAAAAAAAEAAAAZHJzL1BLAwQUAAAACACHTuJAsjWdUr0AAADb&#10;AAAADwAAAGRycy9kb3ducmV2LnhtbEWPQYvCMBSE74L/ITzBm6YVdaWa9iCIsocFrbB4ezTPtti8&#10;1CZW999vhIU9DjPzDbPJXqYRPXWutqwgnkYgiAuray4VnPPdZAXCeWSNjWVS8EMOsnQ42GCi7ZOP&#10;1J98KQKEXYIKKu/bREpXVGTQTW1LHLyr7Qz6ILtS6g6fAW4aOYuipTRYc1iosKVtRcXt9DAK5L3+&#10;Ws78dXfM7Xnfu+/F/nN+UWo8iqM1CE8v/x/+ax+0go8Y3l/CD5D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NZ1SvQAA&#10;ANsAAAAPAAAAAAAAAAEAIAAAACIAAABkcnMvZG93bnJldi54bWxQSwECFAAUAAAACACHTuJAMy8F&#10;njsAAAA5AAAAEAAAAAAAAAABACAAAAAMAQAAZHJzL3NoYXBleG1sLnhtbFBLBQYAAAAABgAGAFsB&#10;AAC2AwAAAAA=&#10;">
                  <v:fill on="f" focussize="0,0"/>
                  <v:stroke on="f"/>
                  <v:imagedata r:id="rId30" o:title=""/>
                  <o:lock v:ext="edit" aspectratio="f"/>
                </v:shape>
                <v:shape id="Graphic 72" o:spid="_x0000_s1026" o:spt="100" style="position:absolute;left:3175;top:3175;height:1365885;width:3015615;" filled="f" stroked="t" coordsize="3015615,1365885" o:gfxdata="UEsDBAoAAAAAAIdO4kAAAAAAAAAAAAAAAAAEAAAAZHJzL1BLAwQUAAAACACHTuJAHyH6VbsAAADb&#10;AAAADwAAAGRycy9kb3ducmV2LnhtbEWPT2sCMRTE7wW/Q3hCbzWrlFpWo6ho6cGLqXh+bJ7J4uZl&#10;2cQ/++2bQsHjMDO/YebLh2/EjbpYB1YwHhUgiKtgarYKjj+7t08QMSEbbAKTgp4iLBeDlzmWJtz5&#10;QDedrMgQjiUqcCm1pZSxcuQxjkJLnL1z6DymLDsrTYf3DPeNnBTFh/RYc15w2NLGUXXRV6/gMF27&#10;vteoze7dfgXSdn/arpR6HY6LGYhEj/QM/7e/jYLpBP6+5B8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H6VbsAAADb&#10;AAAADwAAAAAAAAABACAAAAAiAAAAZHJzL2Rvd25yZXYueG1sUEsBAhQAFAAAAAgAh07iQDMvBZ47&#10;AAAAOQAAABAAAAAAAAAAAQAgAAAACgEAAGRycy9zaGFwZXhtbC54bWxQSwUGAAAAAAYABgBbAQAA&#10;tAMAAAAA&#10;" path="m0,1365884l3015615,1365884,3015615,0,0,0,0,1365884xe">
                  <v:fill on="f" focussize="0,0"/>
                  <v:stroke weight="0.49992125984252pt" color="#000000" joinstyle="round"/>
                  <v:imagedata o:title=""/>
                  <o:lock v:ext="edit" aspectratio="f"/>
                  <v:textbox inset="0mm,0mm,0mm,0mm"/>
                </v:shape>
                <w10:wrap type="topAndBottom"/>
              </v:group>
            </w:pict>
          </mc:Fallback>
        </mc:AlternateContent>
      </w:r>
      <w:r>
        <w:rPr>
          <w:rFonts w:ascii="Times New Roman" w:hAnsi="Times New Roman" w:cs="Times New Roman"/>
          <w:b/>
          <w:bCs/>
          <w:sz w:val="24"/>
          <w:szCs w:val="24"/>
        </w:rPr>
        <w:t>Hasil Uji Multikolinearitas</w:t>
      </w:r>
    </w:p>
    <w:p w14:paraId="7585C9AD" w14:textId="77777777" w:rsidR="00BB58C4" w:rsidRDefault="00BB58C4">
      <w:pPr>
        <w:spacing w:after="0" w:line="360" w:lineRule="auto"/>
        <w:rPr>
          <w:rFonts w:ascii="Times New Roman" w:hAnsi="Times New Roman" w:cs="Times New Roman"/>
          <w:b/>
          <w:bCs/>
          <w:sz w:val="24"/>
          <w:szCs w:val="24"/>
        </w:rPr>
      </w:pPr>
    </w:p>
    <w:p w14:paraId="2896F5F3" w14:textId="77777777" w:rsidR="00BB58C4" w:rsidRDefault="00000000">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Hasil Uji Autokorelasi</w:t>
      </w:r>
    </w:p>
    <w:tbl>
      <w:tblPr>
        <w:tblStyle w:val="TableGrid"/>
        <w:tblW w:w="0" w:type="auto"/>
        <w:tblLook w:val="04A0" w:firstRow="1" w:lastRow="0" w:firstColumn="1" w:lastColumn="0" w:noHBand="0" w:noVBand="1"/>
      </w:tblPr>
      <w:tblGrid>
        <w:gridCol w:w="7225"/>
      </w:tblGrid>
      <w:tr w:rsidR="00BB58C4" w14:paraId="640F9444" w14:textId="77777777">
        <w:trPr>
          <w:trHeight w:val="565"/>
        </w:trPr>
        <w:tc>
          <w:tcPr>
            <w:tcW w:w="7225" w:type="dxa"/>
          </w:tcPr>
          <w:p w14:paraId="426627BF" w14:textId="77777777" w:rsidR="00BB58C4" w:rsidRDefault="00000000">
            <w:pPr>
              <w:spacing w:after="0" w:line="360" w:lineRule="auto"/>
              <w:rPr>
                <w:rFonts w:ascii="Times New Roman" w:hAnsi="Times New Roman" w:cs="Times New Roman"/>
                <w:b/>
                <w:bCs/>
                <w:sz w:val="24"/>
                <w:szCs w:val="24"/>
              </w:rPr>
            </w:pPr>
            <w:r>
              <w:rPr>
                <w:b/>
                <w:noProof/>
                <w:sz w:val="24"/>
              </w:rPr>
              <w:drawing>
                <wp:anchor distT="0" distB="0" distL="0" distR="0" simplePos="0" relativeHeight="251672576" behindDoc="1" locked="0" layoutInCell="1" allowOverlap="1" wp14:anchorId="476F9E8A" wp14:editId="2021E0DD">
                  <wp:simplePos x="0" y="0"/>
                  <wp:positionH relativeFrom="page">
                    <wp:posOffset>32385</wp:posOffset>
                  </wp:positionH>
                  <wp:positionV relativeFrom="paragraph">
                    <wp:posOffset>85090</wp:posOffset>
                  </wp:positionV>
                  <wp:extent cx="4417695" cy="149225"/>
                  <wp:effectExtent l="0" t="0" r="1905" b="3175"/>
                  <wp:wrapNone/>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1" cstate="print"/>
                          <a:stretch>
                            <a:fillRect/>
                          </a:stretch>
                        </pic:blipFill>
                        <pic:spPr>
                          <a:xfrm>
                            <a:off x="0" y="0"/>
                            <a:ext cx="4449961" cy="150308"/>
                          </a:xfrm>
                          <a:prstGeom prst="rect">
                            <a:avLst/>
                          </a:prstGeom>
                        </pic:spPr>
                      </pic:pic>
                    </a:graphicData>
                  </a:graphic>
                </wp:anchor>
              </w:drawing>
            </w:r>
          </w:p>
        </w:tc>
      </w:tr>
    </w:tbl>
    <w:p w14:paraId="44B7D24A" w14:textId="77777777" w:rsidR="00BB58C4" w:rsidRDefault="00BB58C4">
      <w:pPr>
        <w:spacing w:after="0" w:line="360" w:lineRule="auto"/>
        <w:rPr>
          <w:rFonts w:ascii="Times New Roman" w:hAnsi="Times New Roman" w:cs="Times New Roman"/>
          <w:b/>
          <w:bCs/>
          <w:sz w:val="24"/>
          <w:szCs w:val="24"/>
        </w:rPr>
      </w:pPr>
    </w:p>
    <w:p w14:paraId="5B0B35B3" w14:textId="77777777" w:rsidR="00BB58C4" w:rsidRDefault="00000000">
      <w:pPr>
        <w:spacing w:line="360" w:lineRule="auto"/>
        <w:rPr>
          <w:rFonts w:ascii="Times New Roman" w:hAnsi="Times New Roman" w:cs="Times New Roman"/>
          <w:b/>
          <w:bCs/>
          <w:sz w:val="24"/>
          <w:szCs w:val="24"/>
        </w:rPr>
      </w:pPr>
      <w:r>
        <w:rPr>
          <w:b/>
          <w:noProof/>
          <w:sz w:val="20"/>
        </w:rPr>
        <mc:AlternateContent>
          <mc:Choice Requires="wpg">
            <w:drawing>
              <wp:anchor distT="0" distB="0" distL="0" distR="0" simplePos="0" relativeHeight="251673600" behindDoc="1" locked="0" layoutInCell="1" allowOverlap="1" wp14:anchorId="4EBC31C3" wp14:editId="24CDD783">
                <wp:simplePos x="0" y="0"/>
                <wp:positionH relativeFrom="page">
                  <wp:posOffset>1440180</wp:posOffset>
                </wp:positionH>
                <wp:positionV relativeFrom="paragraph">
                  <wp:posOffset>313690</wp:posOffset>
                </wp:positionV>
                <wp:extent cx="2884170" cy="1184275"/>
                <wp:effectExtent l="0" t="0" r="0" b="0"/>
                <wp:wrapTopAndBottom/>
                <wp:docPr id="75" name="Group 75"/>
                <wp:cNvGraphicFramePr/>
                <a:graphic xmlns:a="http://schemas.openxmlformats.org/drawingml/2006/main">
                  <a:graphicData uri="http://schemas.microsoft.com/office/word/2010/wordprocessingGroup">
                    <wpg:wgp>
                      <wpg:cNvGrpSpPr/>
                      <wpg:grpSpPr>
                        <a:xfrm>
                          <a:off x="0" y="0"/>
                          <a:ext cx="2884170" cy="1184275"/>
                          <a:chOff x="0" y="0"/>
                          <a:chExt cx="2884170" cy="1184275"/>
                        </a:xfrm>
                      </wpg:grpSpPr>
                      <wps:wsp>
                        <wps:cNvPr id="76" name="Graphic 76"/>
                        <wps:cNvSpPr/>
                        <wps:spPr>
                          <a:xfrm>
                            <a:off x="0" y="12"/>
                            <a:ext cx="2884170" cy="1184275"/>
                          </a:xfrm>
                          <a:custGeom>
                            <a:avLst/>
                            <a:gdLst/>
                            <a:ahLst/>
                            <a:cxnLst/>
                            <a:rect l="l" t="t" r="r" b="b"/>
                            <a:pathLst>
                              <a:path w="2884170" h="1184275">
                                <a:moveTo>
                                  <a:pt x="2884030" y="1178052"/>
                                </a:moveTo>
                                <a:lnTo>
                                  <a:pt x="2877947" y="1178052"/>
                                </a:lnTo>
                                <a:lnTo>
                                  <a:pt x="6096" y="1178052"/>
                                </a:lnTo>
                                <a:lnTo>
                                  <a:pt x="0" y="1178052"/>
                                </a:lnTo>
                                <a:lnTo>
                                  <a:pt x="0" y="1184135"/>
                                </a:lnTo>
                                <a:lnTo>
                                  <a:pt x="6096" y="1184135"/>
                                </a:lnTo>
                                <a:lnTo>
                                  <a:pt x="2877947" y="1184135"/>
                                </a:lnTo>
                                <a:lnTo>
                                  <a:pt x="2884030" y="1184135"/>
                                </a:lnTo>
                                <a:lnTo>
                                  <a:pt x="2884030" y="1178052"/>
                                </a:lnTo>
                                <a:close/>
                              </a:path>
                              <a:path w="2884170" h="1184275">
                                <a:moveTo>
                                  <a:pt x="2884030" y="0"/>
                                </a:moveTo>
                                <a:lnTo>
                                  <a:pt x="2877947" y="0"/>
                                </a:lnTo>
                                <a:lnTo>
                                  <a:pt x="6096" y="0"/>
                                </a:lnTo>
                                <a:lnTo>
                                  <a:pt x="0" y="0"/>
                                </a:lnTo>
                                <a:lnTo>
                                  <a:pt x="0" y="6083"/>
                                </a:lnTo>
                                <a:lnTo>
                                  <a:pt x="0" y="1178039"/>
                                </a:lnTo>
                                <a:lnTo>
                                  <a:pt x="6096" y="1178039"/>
                                </a:lnTo>
                                <a:lnTo>
                                  <a:pt x="6096" y="6083"/>
                                </a:lnTo>
                                <a:lnTo>
                                  <a:pt x="2877947" y="6083"/>
                                </a:lnTo>
                                <a:lnTo>
                                  <a:pt x="2877947" y="1178039"/>
                                </a:lnTo>
                                <a:lnTo>
                                  <a:pt x="2884030" y="1178039"/>
                                </a:lnTo>
                                <a:lnTo>
                                  <a:pt x="2884030" y="6083"/>
                                </a:lnTo>
                                <a:lnTo>
                                  <a:pt x="2884030" y="0"/>
                                </a:lnTo>
                                <a:close/>
                              </a:path>
                            </a:pathLst>
                          </a:custGeom>
                          <a:solidFill>
                            <a:srgbClr val="000000"/>
                          </a:solidFill>
                        </wps:spPr>
                        <wps:bodyPr wrap="square" lIns="0" tIns="0" rIns="0" bIns="0" rtlCol="0">
                          <a:noAutofit/>
                        </wps:bodyPr>
                      </wps:wsp>
                      <pic:pic xmlns:pic="http://schemas.openxmlformats.org/drawingml/2006/picture">
                        <pic:nvPicPr>
                          <pic:cNvPr id="77" name="Image 77"/>
                          <pic:cNvPicPr/>
                        </pic:nvPicPr>
                        <pic:blipFill>
                          <a:blip r:embed="rId32" cstate="print"/>
                          <a:stretch>
                            <a:fillRect/>
                          </a:stretch>
                        </pic:blipFill>
                        <pic:spPr>
                          <a:xfrm>
                            <a:off x="93141" y="92901"/>
                            <a:ext cx="2650924" cy="1014030"/>
                          </a:xfrm>
                          <a:prstGeom prst="rect">
                            <a:avLst/>
                          </a:prstGeom>
                        </pic:spPr>
                      </pic:pic>
                    </wpg:wgp>
                  </a:graphicData>
                </a:graphic>
              </wp:anchor>
            </w:drawing>
          </mc:Choice>
          <mc:Fallback xmlns:wpsCustomData="http://www.wps.cn/officeDocument/2013/wpsCustomData">
            <w:pict>
              <v:group id="_x0000_s1026" o:spid="_x0000_s1026" o:spt="203" style="position:absolute;left:0pt;margin-left:113.4pt;margin-top:24.7pt;height:93.25pt;width:227.1pt;mso-position-horizontal-relative:page;mso-wrap-distance-bottom:0pt;mso-wrap-distance-top:0pt;z-index:-251642880;mso-width-relative:page;mso-height-relative:page;" coordsize="2884170,1184275" o:gfxdata="UEsDBAoAAAAAAIdO4kAAAAAAAAAAAAAAAAAEAAAAZHJzL1BLAwQUAAAACACHTuJA9RaJKNoAAAAK&#10;AQAADwAAAGRycy9kb3ducmV2LnhtbE2PQWvCQBSE74X+h+UJvdVNogaN2UiRticpVAultzX7TILZ&#10;tyG7Jvrv+3qqx2GGmW/yzdW2YsDeN44UxNMIBFLpTEOVgq/D2/MShA+ajG4doYIbetgUjw+5zowb&#10;6ROHfagEl5DPtII6hC6T0pc1Wu2nrkNi7+R6qwPLvpKm1yOX21YmUZRKqxvihVp3uK2xPO8vVsH7&#10;qMeXWfw67M6n7e3nsPj43sWo1NMkjtYgAl7Dfxj+8BkdCmY6ugsZL1oFSZIyelAwX81BcCBdxnzu&#10;yM5ssQJZ5PL+QvELUEsDBBQAAAAIAIdO4kAkDX61iwMAADoLAAAOAAAAZHJzL2Uyb0RvYy54bWyt&#10;Vm1v2jAQ/j5p/8HK9zUJUAIRUE3tWlWatmrtfoBxnBcpsT3bEPrvd7ZjCNAWug4JfE4en5977vB5&#10;drVparSmUlWczYP4IgoQZYRnFSvmwe+n2y+TACmNWYZrzug8eKYquFp8/jRrRUoHvOR1RiUCJ0yl&#10;rZgHpdYiDUNFStpgdcEFZfAy57LBGqayCDOJW/De1OEgisZhy2UmJCdUKXh6414GnUd5jkOe5xWh&#10;N5ysGsq08yppjTWEpMpKqGBh2eY5JfpnniuqUT0PIFJtf2ETsJfmN1zMcFpILMqKdBTwORQOYmpw&#10;xWDTrasbrDFayerIVVMRyRXP9QXhTegCsYpAFHF0oM2d5CthYynSthBb0SFRB6r/s1vyY/0gUZXN&#10;g+QyQAw3kHG7LYI5iNOKIgXMnRSP4kF2Dwo3M/FuctmYESJBGyvr81ZWutGIwMPBZDKKE1CcwLs4&#10;nowGzjdOSQnZOVpHym8nVoZ+49Dw29JpBZSk2umkPqbTY4kFtfIro4HXabzTyZVNMnZKWdRWJpUq&#10;UOxVjeKBq71TIm1DBbVWSt9RbvXG6+9Ku+LNvIVLb5EN86aEv4Ap/toWvw4QFL+0xb90BATWZp0h&#10;akzU9hJW7vJl3jd8TZ+4RWqTNZPYaAiJtXlNJtGlDQoo75A121+RJNNR8sIKj/OjsDuMoynIfeTe&#10;g/zowC8R8Qg/7iOhLoe2zIGyR/jxiMBp8GDSj+4cfF+/9+L7envSpOaKQllAPCaZH02qPR/PTKfH&#10;eip+PNDxbZhL4TmYcTQZmgJ+NXO9ahhO30TuF9m54JME+tXwLnAcQ2pP0Dj6670DfwaZXV0e5uKo&#10;wrpSs0cI2P1DSvG6ym6rujZ1qGSxvK4lWmPTiu2ny0oPBue5PzeNteTZMxy7LfTneaD+rLCkAarv&#10;GRzskF7tDemNpTekrq+5bflma8a/rjTPK3Ng2h2c324CHWMxExVJ4du1WLCOWsfpiw2s0itg6Lyx&#10;9UNFTAOAx/32AYefa7P3DS4oShKjgseYFYakme85WNaV8Eoa+/9el5BMabOkcAuQ91kMjRougBpu&#10;AkJWTBt+kD4tqSb2RMkho7+grRiivReW9I6nCeGVDjgdxiPYBY716WAaxW6DbSMcX0bTwai7LUSx&#10;7TBuK3/ZENI1QmQM4AxcQHSc+qZoSrKDdFo6IpYh8LKJt1cqG0F3/TN3tv7conZX3sVfUEsDBAoA&#10;AAAAAIdO4kAAAAAAAAAAAAAAAAAKAAAAZHJzL21lZGlhL1BLAwQUAAAACACHTuJA5hhsVs0JAADI&#10;CQAAFAAAAGRycy9tZWRpYS9pbWFnZTEucG5nAcgJN/aJUE5HDQoaCgAAAA1JSERSAAAA9QAAAF4I&#10;AgAAAHQIxR8AAAAGYktHRAD/AP8A/6C9p5MAAAAJcEhZcwAADsQAAA7EAZUrDhsAAAloSURBVHic&#10;7Z07eqs8EIYHP/9SsAs/XgFeAU7jKu3poLSb06VMlwbK0J3WlZvACuIV+EkR2At/gQAJJBAX5yJ/&#10;b5NE6ALOeDyY+UZWnuckIfGt8z5/ddtHsnC7PG5i6TENJg4HYAiLxLf8hGto/q1DFm61B9mrzcDZ&#10;Ry40/3Dw+1gQ0fUzGzDCPrznE72vs15OGQ6ANmngOEGaV8QeeTH7EXtFn6pD2UBezLqngSPOV/bl&#10;DlSd5XA9hTNR9tJYqDWncjgwmsq+mV3nsVf+WdpL7IkmmgZOw2TbLeVs7PcuY+K79qG7kGLO9nBg&#10;OAt7tbl8pJScyaNzQtnntfaGRRSyXDdcXz/Z55WinVWwizr7LtdOtLNGxsWKhSbNCQxiUfzIPmn9&#10;d0/nmQwi/bgILvv9YCv72of3PM/z/dmyhlukYqFJcwKDWBARXc8vH+sH293T+Y1os1Iboxx7tRFv&#10;Ut29dzm+DLIr9zVPAyfqfocNXKg5Z2s4MJ7izou/CWNheBWp1lFr8yZNdj8nue3rDL+FOfuDY62F&#10;1HO2hwOjsXL58x0ATGDx3ScAwA2BfQOTgX0Dk4F9A5OBfQOTgX0Dk4F9A5P57fY9KqV73jzwLNxq&#10;JgHo9wQzsaDEt7Zh+cya+89n4ZblLdWHdVHN+bu5xYUY8+L8UFT+O/GXx03xZDt9PC3xL1CjL/iY&#10;QRoChqGw7+QcOcFfl4goeztdiMt7SvzxOXn1ZwKbIQu32zD0LctiP9qfHtxaXGP7M6U4qDV8ebwI&#10;V9O/UBZui2FlMi5bvxreeEG4admRdk/pnFm4bXz0Df/0BBy1JqfEi+uUqtgjcoKAVyhwygclsjnz&#10;NHCEpCgnSIt8Jy9m66RMbCHrmctVC+xM2fh6+bbogZNpSHUOXONAeUSzvSkI6ZpBqtjgrx16jEks&#10;iHjLEDLvEt/aUZy/H1a8qbqvuc6HbGvO7O108Z5YIrh9ePIuH2lh+3uXiMh5fGB5uaqeKtVCtGPn&#10;WY6XiR64TySByq9yTn2aPEK1kibu3ruc3jIiyt5ONGEiQKr4xF5tKNo9r9P81S3sZXhS+PyoVAte&#10;HHvRrm4YoK5I/N21nWf7vfII929Ap7eMkpfj5qlDGAI0UMTf7t6rHGrycrwwH0s0Pv62Hx6d6JkF&#10;k1n4HClV9D09JUoI9zUNrrvyrKSih+XaKd1i+Kd01ZwaL3mp/bdiIU15xHLt6Is7ZHPah6fN6S08&#10;R9yrDkYiyn+5iE8lBdCMv6Vz1nE5p0Rgcn0WeNexdnN1qWqhOblE4dASQnhxHWBX6zhB4MlkHJ3y&#10;CJXgg28fLg3RfJGBBtA3/EgS33pep12yVaAF7PsHwm7s8U35dH7783nTSHzLsnbXIIVxzwL8NzAZ&#10;+G9gMrBvYDKwb2AysG9gMndm37dTGPQkco/ZNuDG3IU0RK1vmMKX6hvMkx2YJ3r4tv/Rf/Ou+dOx&#10;D+/54btPApTo/zvG/uOU8Yk88Z+m6BsS3/LDUjlQ+XehtZpYT9/QITtoz6mpRVDNqa+Z6HoBxGuX&#10;Cj70V5/y0vGYLA2RaxF4Gln24/Or5HtC8NKEehOJabsyyOaUd1ZoETQ3iujTTIjrtK5dtcvFgG0q&#10;mpcJaYgoDVHrG2SJ/0Ta+gY58j0hKjGD+1olnE/dlaE5pxxtLcIgzYTijJrXrr/Lhbpn4zIhDWlI&#10;Q9T6Ylni/xfxA3dlGLIjxfxzTl79bqUhCvvuSPzXib9rMQFTmw1L1P+6XRlUWgS9jSKkmgl9lJc5&#10;fj8MSEOa0hCVFkGW+F+FSP2p97JN/6R7Qigitmm7MqjCTR61FkE+p75mQob82pW7XOitLl8S0hCu&#10;D/IHgVmI0hDYNzCJpjTkzp7PA3ORSkPgv4HJwH8Dk4F9A5OBfQOTgX0Dk4F9A5OBfQOTgX0Dk4F9&#10;A5OBfQOTgX0Dk4F9A5OBfQOTgX0Dk4F9A5OBfQOTgX0Dk4F9A5OBfQOTgX0Dk4F9A5OBfQOT+Ur7&#10;Vu9hMLA6f/9mCFm4bZcBBvfHT/XfdRnppp1m4XZHcV3jQlqG2j48bY7Lr6nvWJyAtIp13wmoqnKr&#10;rx4MRFkxb366K/TxpIHD1ZtuFuZrVgnk6+GJhRKFWqi3oK7116zQ2GxUDeaqPSquA0zghv67XYif&#10;b+X3b2h1sg/vzEHbqw2xGtZERMnLkVoForkiony5VPdvQNrFSEeRhc8RqxDf0ygjOUdErM6pu/eI&#10;onNSDKcpRbCBwI3eN7JC/PL9G/I879j9QDwgccmK8q/ds8oGS2fQQupw+71wsThfI9WLy3GeN+WE&#10;QMWN/LeqEL98/wb1NP7yuImF7Rc2K7HievpR157mK7UTaVSdZtXYa8buSzEG+/AvcNhuCX9OwqGI&#10;9nme57FH0Q4R+BR+6v1lcY8llAKVkfi7iI9bq9ru+msIfO2OA/Xb698jccFV6RrcfW+QA7q5kX0P&#10;KsQvIQu3y+NGZtw9uwAI7j37vLb8vcDX+m92p9F+DxXbIhT75rh7j8q9L5Jz1P7AAoO4WeTTDoyl&#10;exjIqvOrw+J2AM7fxzUO9Ybfc15idQLSRv5Uq1OS7XHR1Q6G89vqI2fhdvnxpOVnxUL+4C75bfat&#10;beHNQv7gLvl99k1EiW+d952m298D3AW/0r4B0OTnfj8IwHRg38BkYN/AZGDfwGSm23e/2GAmZpNH&#10;gPthIQoETLGSWwgEVGIEKU19g5jpwsYLjVXfQeuAHlqPzYc+EtZXLeRp4Ex44DyHPGI8CjGCsiuR&#10;0IkXYkhPuHwW38xcQILsJMT4xH54dJiaIPEtP6w8SelcON8iePqWakGKfXh/+lhqeqVbyCNGw6sO&#10;ss8rMTGCqquWvkGOfXhnz6Xsh0enN58M9CD4xdirUnq4X8sevDOsf+e8mZ637HZl9YnML4+QnwqP&#10;qm+1dho45AW1u+28gqb/bq9SN7dXTjVWAT2QKgOvHQ00bKXswHfUztjj3z3yw+2j0vTDznVl75Jx&#10;FNYasGV0LE8ZxMQetQe3Z5R2A0NZiM7jK7LtSuHCbdfSkkdo6xuWa4coOrK8rvTjMj4v29171IqZ&#10;7NWGb0x8axc5AZIfJzPg+0H74dGp9DFZ+BzxYl4iIkpejhcmmFWR+Nby9Jj2pD7dTh4hoq1vKGLh&#10;4oIbCmClakEBLyuWNmbhdheRF8O450D1vYSyldHM2hcb5Qz5/uQm8ohJcBfKT9ihWuBeFP5V4q+i&#10;u3G+k79X/gcaHbXgJTpnF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OhEAAFtDb250ZW50X1R5cGVzXS54bWxQSwEC&#10;FAAKAAAAAACHTuJAAAAAAAAAAAAAAAAABgAAAAAAAAAAABAAAAAHDwAAX3JlbHMvUEsBAhQAFAAA&#10;AAgAh07iQIoUZjzRAAAAlAEAAAsAAAAAAAAAAQAgAAAAKw8AAF9yZWxzLy5yZWxzUEsBAhQACgAA&#10;AAAAh07iQAAAAAAAAAAAAAAAAAQAAAAAAAAAAAAQAAAAAAAAAGRycy9QSwECFAAKAAAAAACHTuJA&#10;AAAAAAAAAAAAAAAACgAAAAAAAAAAABAAAAAlEAAAZHJzL19yZWxzL1BLAQIUABQAAAAIAIdO4kCq&#10;Jg6+tgAAACEBAAAZAAAAAAAAAAEAIAAAAE0QAABkcnMvX3JlbHMvZTJvRG9jLnhtbC5yZWxzUEsB&#10;AhQAFAAAAAgAh07iQPUWiSjaAAAACgEAAA8AAAAAAAAAAQAgAAAAIgAAAGRycy9kb3ducmV2Lnht&#10;bFBLAQIUABQAAAAIAIdO4kAkDX61iwMAADoLAAAOAAAAAAAAAAEAIAAAACkBAABkcnMvZTJvRG9j&#10;LnhtbFBLAQIUAAoAAAAAAIdO4kAAAAAAAAAAAAAAAAAKAAAAAAAAAAAAEAAAAOAEAABkcnMvbWVk&#10;aWEvUEsBAhQAFAAAAAgAh07iQOYYbFbNCQAAyAkAABQAAAAAAAAAAQAgAAAACAUAAGRycy9tZWRp&#10;YS9pbWFnZTEucG5nUEsFBgAAAAAKAAoAUgIAAG8SAAAAAA==&#10;">
                <o:lock v:ext="edit" aspectratio="f"/>
                <v:shape id="Graphic 76" o:spid="_x0000_s1026" o:spt="100" style="position:absolute;left:0;top:12;height:1184275;width:2884170;" fillcolor="#000000" filled="t" stroked="f" coordsize="2884170,1184275" o:gfxdata="UEsDBAoAAAAAAIdO4kAAAAAAAAAAAAAAAAAEAAAAZHJzL1BLAwQUAAAACACHTuJA7YAv1rsAAADb&#10;AAAADwAAAGRycy9kb3ducmV2LnhtbEWPzWrCQBSF9wXfYbgFd3UmLmxJMxEVFFdCExGXl8xtEpq5&#10;EzJjjG/vFApdHs4fX7aebCdGGnzrWEOyUCCIK2darjWcy/3bBwgfkA12jknDgzys89lLhqlxd/6i&#10;sQi1iCPsU9TQhNCnUvqqIYt+4Xri6H27wWKIcqilGfAex20nl0qtpMWW40ODPe0aqn6Km42/0/U8&#10;JpcYdrLcbA7bSZ32W63nr4n6BBFoCv/hv/bRaHhfwS9L5ACZ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Av1rsAAADb&#10;AAAADwAAAAAAAAABACAAAAAiAAAAZHJzL2Rvd25yZXYueG1sUEsBAhQAFAAAAAgAh07iQDMvBZ47&#10;AAAAOQAAABAAAAAAAAAAAQAgAAAACgEAAGRycy9zaGFwZXhtbC54bWxQSwUGAAAAAAYABgBbAQAA&#10;tAMAAAAA&#10;" path="m2884030,1178052l2877947,1178052,6096,1178052,0,1178052,0,1184135,6096,1184135,2877947,1184135,2884030,1184135,2884030,1178052xem2884030,0l2877947,0,6096,0,0,0,0,6083,0,1178039,6096,1178039,6096,6083,2877947,6083,2877947,1178039,2884030,1178039,2884030,6083,2884030,0xe">
                  <v:fill on="t" focussize="0,0"/>
                  <v:stroke on="f"/>
                  <v:imagedata o:title=""/>
                  <o:lock v:ext="edit" aspectratio="f"/>
                  <v:textbox inset="0mm,0mm,0mm,0mm"/>
                </v:shape>
                <v:shape id="Image 77" o:spid="_x0000_s1026" o:spt="75" type="#_x0000_t75" style="position:absolute;left:93141;top:92901;height:1014030;width:2650924;" filled="f" o:preferrelative="t" stroked="f" coordsize="21600,21600" o:gfxdata="UEsDBAoAAAAAAIdO4kAAAAAAAAAAAAAAAAAEAAAAZHJzL1BLAwQUAAAACACHTuJABiTExr0AAADb&#10;AAAADwAAAGRycy9kb3ducmV2LnhtbEWPQWvCQBSE74L/YXmCF6mbeKgSXQMtiB5CpWrvj+wzCc2+&#10;DdltTPLruwWhx2FmvmF2aW9q0VHrKssK4mUEgji3uuJCwe16eNmAcB5ZY22ZFAzkIN1PJztMtH3w&#10;J3UXX4gAYZeggtL7JpHS5SUZdEvbEAfvbluDPsi2kLrFR4CbWq6i6FUarDgslNjQe0n59+XHKBht&#10;l/W4eOs/5Fc2DOcDy5GOSs1ncbQF4an3/+Fn+6QVrNfw9yX8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MTGvQAA&#10;ANsAAAAPAAAAAAAAAAEAIAAAACIAAABkcnMvZG93bnJldi54bWxQSwECFAAUAAAACACHTuJAMy8F&#10;njsAAAA5AAAAEAAAAAAAAAABACAAAAAMAQAAZHJzL3NoYXBleG1sLnhtbFBLBQYAAAAABgAGAFsB&#10;AAC2AwAAAAA=&#10;">
                  <v:fill on="f" focussize="0,0"/>
                  <v:stroke on="f"/>
                  <v:imagedata r:id="rId33" o:title=""/>
                  <o:lock v:ext="edit" aspectratio="f"/>
                </v:shape>
                <w10:wrap type="topAndBottom"/>
              </v:group>
            </w:pict>
          </mc:Fallback>
        </mc:AlternateContent>
      </w:r>
      <w:r>
        <w:rPr>
          <w:rFonts w:ascii="Times New Roman" w:hAnsi="Times New Roman" w:cs="Times New Roman"/>
          <w:b/>
          <w:bCs/>
          <w:sz w:val="24"/>
          <w:szCs w:val="24"/>
        </w:rPr>
        <w:t>Hasil Uji Heterokedastisitas</w:t>
      </w:r>
    </w:p>
    <w:p w14:paraId="5818058B" w14:textId="77777777" w:rsidR="00BB58C4" w:rsidRDefault="00BB58C4">
      <w:pPr>
        <w:spacing w:line="360" w:lineRule="auto"/>
        <w:rPr>
          <w:rFonts w:ascii="Times New Roman" w:hAnsi="Times New Roman" w:cs="Times New Roman"/>
          <w:b/>
          <w:bCs/>
          <w:sz w:val="24"/>
          <w:szCs w:val="24"/>
        </w:rPr>
      </w:pPr>
    </w:p>
    <w:p w14:paraId="2C998674" w14:textId="77777777" w:rsidR="00BB58C4" w:rsidRDefault="00000000">
      <w:pPr>
        <w:spacing w:line="360" w:lineRule="auto"/>
        <w:rPr>
          <w:rFonts w:ascii="Times New Roman" w:hAnsi="Times New Roman" w:cs="Times New Roman"/>
          <w:b/>
          <w:bCs/>
          <w:sz w:val="24"/>
          <w:szCs w:val="24"/>
        </w:rPr>
      </w:pPr>
      <w:r>
        <w:rPr>
          <w:b/>
          <w:noProof/>
          <w:sz w:val="9"/>
        </w:rPr>
        <mc:AlternateContent>
          <mc:Choice Requires="wpg">
            <w:drawing>
              <wp:anchor distT="0" distB="0" distL="0" distR="0" simplePos="0" relativeHeight="251674624" behindDoc="1" locked="0" layoutInCell="1" allowOverlap="1" wp14:anchorId="07D195FC" wp14:editId="0E738C69">
                <wp:simplePos x="0" y="0"/>
                <wp:positionH relativeFrom="page">
                  <wp:posOffset>1431290</wp:posOffset>
                </wp:positionH>
                <wp:positionV relativeFrom="paragraph">
                  <wp:posOffset>318135</wp:posOffset>
                </wp:positionV>
                <wp:extent cx="2884170" cy="456565"/>
                <wp:effectExtent l="0" t="0" r="0" b="635"/>
                <wp:wrapTopAndBottom/>
                <wp:docPr id="78" name="Group 78"/>
                <wp:cNvGraphicFramePr/>
                <a:graphic xmlns:a="http://schemas.openxmlformats.org/drawingml/2006/main">
                  <a:graphicData uri="http://schemas.microsoft.com/office/word/2010/wordprocessingGroup">
                    <wpg:wgp>
                      <wpg:cNvGrpSpPr/>
                      <wpg:grpSpPr>
                        <a:xfrm>
                          <a:off x="0" y="0"/>
                          <a:ext cx="2884170" cy="456565"/>
                          <a:chOff x="0" y="0"/>
                          <a:chExt cx="2884170" cy="456565"/>
                        </a:xfrm>
                      </wpg:grpSpPr>
                      <wps:wsp>
                        <wps:cNvPr id="79" name="Graphic 79"/>
                        <wps:cNvSpPr/>
                        <wps:spPr>
                          <a:xfrm>
                            <a:off x="0" y="12"/>
                            <a:ext cx="2884170" cy="456565"/>
                          </a:xfrm>
                          <a:custGeom>
                            <a:avLst/>
                            <a:gdLst/>
                            <a:ahLst/>
                            <a:cxnLst/>
                            <a:rect l="l" t="t" r="r" b="b"/>
                            <a:pathLst>
                              <a:path w="2884170" h="456565">
                                <a:moveTo>
                                  <a:pt x="6096" y="6159"/>
                                </a:moveTo>
                                <a:lnTo>
                                  <a:pt x="0" y="6159"/>
                                </a:lnTo>
                                <a:lnTo>
                                  <a:pt x="0" y="449948"/>
                                </a:lnTo>
                                <a:lnTo>
                                  <a:pt x="6096" y="449948"/>
                                </a:lnTo>
                                <a:lnTo>
                                  <a:pt x="6096" y="6159"/>
                                </a:lnTo>
                                <a:close/>
                              </a:path>
                              <a:path w="2884170" h="456565">
                                <a:moveTo>
                                  <a:pt x="2884030" y="449961"/>
                                </a:moveTo>
                                <a:lnTo>
                                  <a:pt x="2877947" y="449961"/>
                                </a:lnTo>
                                <a:lnTo>
                                  <a:pt x="6096" y="449961"/>
                                </a:lnTo>
                                <a:lnTo>
                                  <a:pt x="0" y="449961"/>
                                </a:lnTo>
                                <a:lnTo>
                                  <a:pt x="0" y="456044"/>
                                </a:lnTo>
                                <a:lnTo>
                                  <a:pt x="6096" y="456044"/>
                                </a:lnTo>
                                <a:lnTo>
                                  <a:pt x="2877947" y="456044"/>
                                </a:lnTo>
                                <a:lnTo>
                                  <a:pt x="2884030" y="456044"/>
                                </a:lnTo>
                                <a:lnTo>
                                  <a:pt x="2884030" y="449961"/>
                                </a:lnTo>
                                <a:close/>
                              </a:path>
                              <a:path w="2884170" h="456565">
                                <a:moveTo>
                                  <a:pt x="2884030" y="6159"/>
                                </a:moveTo>
                                <a:lnTo>
                                  <a:pt x="2877947" y="6159"/>
                                </a:lnTo>
                                <a:lnTo>
                                  <a:pt x="2877947" y="449948"/>
                                </a:lnTo>
                                <a:lnTo>
                                  <a:pt x="2884030" y="449948"/>
                                </a:lnTo>
                                <a:lnTo>
                                  <a:pt x="2884030" y="6159"/>
                                </a:lnTo>
                                <a:close/>
                              </a:path>
                              <a:path w="2884170" h="456565">
                                <a:moveTo>
                                  <a:pt x="2884030" y="0"/>
                                </a:moveTo>
                                <a:lnTo>
                                  <a:pt x="2877947" y="0"/>
                                </a:lnTo>
                                <a:lnTo>
                                  <a:pt x="6096" y="0"/>
                                </a:lnTo>
                                <a:lnTo>
                                  <a:pt x="0" y="0"/>
                                </a:lnTo>
                                <a:lnTo>
                                  <a:pt x="0" y="6083"/>
                                </a:lnTo>
                                <a:lnTo>
                                  <a:pt x="6096" y="6083"/>
                                </a:lnTo>
                                <a:lnTo>
                                  <a:pt x="2877947" y="6083"/>
                                </a:lnTo>
                                <a:lnTo>
                                  <a:pt x="2884030" y="6083"/>
                                </a:lnTo>
                                <a:lnTo>
                                  <a:pt x="2884030" y="0"/>
                                </a:lnTo>
                                <a:close/>
                              </a:path>
                            </a:pathLst>
                          </a:custGeom>
                          <a:solidFill>
                            <a:srgbClr val="000000"/>
                          </a:solidFill>
                        </wps:spPr>
                        <wps:bodyPr wrap="square" lIns="0" tIns="0" rIns="0" bIns="0" rtlCol="0">
                          <a:noAutofit/>
                        </wps:bodyPr>
                      </wps:wsp>
                      <pic:pic xmlns:pic="http://schemas.openxmlformats.org/drawingml/2006/picture">
                        <pic:nvPicPr>
                          <pic:cNvPr id="80" name="Image 80"/>
                          <pic:cNvPicPr/>
                        </pic:nvPicPr>
                        <pic:blipFill>
                          <a:blip r:embed="rId34" cstate="print"/>
                          <a:stretch>
                            <a:fillRect/>
                          </a:stretch>
                        </pic:blipFill>
                        <pic:spPr>
                          <a:xfrm>
                            <a:off x="94965" y="87915"/>
                            <a:ext cx="2222880" cy="258631"/>
                          </a:xfrm>
                          <a:prstGeom prst="rect">
                            <a:avLst/>
                          </a:prstGeom>
                        </pic:spPr>
                      </pic:pic>
                    </wpg:wgp>
                  </a:graphicData>
                </a:graphic>
              </wp:anchor>
            </w:drawing>
          </mc:Choice>
          <mc:Fallback xmlns:wpsCustomData="http://www.wps.cn/officeDocument/2013/wpsCustomData">
            <w:pict>
              <v:group id="_x0000_s1026" o:spid="_x0000_s1026" o:spt="203" style="position:absolute;left:0pt;margin-left:112.7pt;margin-top:25.05pt;height:35.95pt;width:227.1pt;mso-position-horizontal-relative:page;mso-wrap-distance-bottom:0pt;mso-wrap-distance-top:0pt;z-index:-251641856;mso-width-relative:page;mso-height-relative:page;" coordsize="2884170,456565" o:gfxdata="UEsDBAoAAAAAAIdO4kAAAAAAAAAAAAAAAAAEAAAAZHJzL1BLAwQUAAAACACHTuJALGSsctoAAAAK&#10;AQAADwAAAGRycy9kb3ducmV2LnhtbE2Py07DMBBF90j8gzVI7KgfkAAhToUqYFUh0SIhdm48TaLG&#10;4yh2k/bvMStYju7RvWfK5cn1bMIxdJ40yIUAhlR721Gj4XP7evMALERD1vSeUMMZAyyry4vSFNbP&#10;9IHTJjYslVAojIY2xqHgPNQtOhMWfkBK2d6PzsR0jg23o5lTueu5EiLnznSUFloz4KrF+rA5Og1v&#10;s5mfb+XLtD7sV+fvbfb+tZao9fWVFE/AIp7iHwy/+kkdquS080eygfUalMruEqohExJYAvL7xxzY&#10;LpFKCeBVyf+/UP0AUEsDBBQAAAAIAIdO4kDbgJ16uAMAAJUMAAAOAAAAZHJzL2Uyb0RvYy54bWyt&#10;V9tu2zAMfR+wfxD8vjpJXSc2mgzDuhUFhq1Ytw9QZPkC2JYmKXH69yMly3HTS9KtLRpR9jF1eMiY&#10;7OXHXVOTLVe6Eu0ymJ5NAsJbJrKqLZbB719fPywCog1tM1qLli+De66Dj6v37y47mfKZKEWdcUXA&#10;SavTTi6D0hiZhqFmJW+oPhOSt3AzF6qhBraqCDNFO/De1OFsMonDTqhMKsG41nD1yt0Meo/qFIci&#10;zyvGrwTbNLw1zqviNTUQki4rqYOVZZvnnJkfea65IfUygEiN/YRDwF7jZ7i6pGmhqCwr1lOgp1A4&#10;iKmhVQuHDq6uqKFko6pHrpqKKaFFbs6YaEIXiFUEophODrS5VmIjbSxF2hVyEB0SdaD6P7tl37e3&#10;ilTZMphD3lvaQMbtsQT2IE4nixQw10reyVvVXyjcDuPd5arBFSIhOyvr/SAr3xnC4OJssYimc1Cc&#10;wb3oIoZfpzsrITmPHmPll5cfDP2xIbIbyHQSClLvVdL/p9JdSSW34mtUwKuU7FVyRTNPnE4WNYik&#10;Uw16PavQdOYUOCLREClN2Uabay6s2HT7TRtXuZm3aOkttmu9qaD+sfJrW/kmIFD5ylb+2p0vqcHn&#10;kCeapBtlqxyShbcbseW/hAUaTFk8SeKAQELj6YVVALjuMXU7xkLqHwL9bb9K69LBoihJIlt74NED&#10;/OqAw9mvwY54em+sFpqDjnAQRv8PKmBpT873xOMp6vqCFLPFfJ5EcysIsh8e8Jz8+kSkR7BPsPDO&#10;/PpA54t4EkU9XQ/w6+Hpx7EPAjsFPhLulfCnZHvbVI5q5bmaHsc7gnsB/eqEHINPqNnDqjrydRjD&#10;n6DyttLYlnligXusF8OvB9X1MsyV9SmYeLI4P62ejyLHCTsBvK/lV4EPg3qUqf7FZN/QYI97gBZ1&#10;lX2t6hrfWloV68+1IluKY4796YUYwaBb+q6E1lpk99DUOph9loH+s6GKB6S+aaFtguTGG8oba28o&#10;U38WdpzCo1vxaWNEXmE/sic4v/0G+vHqUlYshb9+fAHrUWM+PjTCU2YDDJ23dntbMWyvcHnUnBdA&#10;3I0wNw0tOIE9sPIYfAJJ4v6Bg3VdSa8k2m87ihKV8mbNYcJSN9kUhiAYrg1MWVJVrUF+kD6juGG2&#10;/+SQ0Z/QtZHo6IYlveeJITwzXyRRAuMV9tvFPJn2g9YwZsxm8LIAlXASm10s4nPfr/wcJ5UbMwga&#10;QBmogOY09SMHVmQP6aV0PCxBoGXzbqdVG0A/WeM4PN5b1P6/idVfUEsDBAoAAAAAAIdO4kAAAAAA&#10;AAAAAAAAAAAKAAAAZHJzL21lZGlhL1BLAwQUAAAACACHTuJAzM10dhQEAAAPBAAAFAAAAGRycy9t&#10;ZWRpYS9pbWFnZTEucG5nAQ8E8PuJUE5HDQoaCgAAAA1JSERSAAAA0wAAABoIAgAAAKKC/vIAAAAG&#10;YktHRAD/AP8A/6C9p5MAAAAJcEhZcwAADsQAAA7EAZUrDhsAAAOvSURBVHic7Zsve7MwEMCPfZYy&#10;sWefAMSrYaaqti7IYuYm52pAFldbVfMm+hXjE/SpGHyXvCL8SUISWHkYbM1P0eMa0t5xF3KHQykF&#10;IyRyzmt6CMxaIyhTfwvHj91qsitYlgilFCNegDBtKRKPExSJp9HrwKl6SUFp5zLcCYpR33CWiWBG&#10;4f983kxdudlMehO3HlGPUHmeekDR76QT/KjKGbBvcoeG72NkGs4yCa2fNPYpEq/5JBtxQLzhkEzM&#10;Pnrt6PTBEA7JPobk9YY0S84ZAFoHAADBGgFkZyINnAN64/Jr8JpAvCdg+TbK9D1DuBumAC6fZX3o&#10;PbkmTT2iict0G+cIHze8CpViZOumqjjUJlGT8zMtpsEfK+8GTnpnGVdYvPT9p1Mh5yR+UuJ8lNlL&#10;jWjiJpDyEdWUbbVJuDO05jzzZE/yPN0PsAl3FmRz6Bf9wz1P1MSodhXB80zZ1sDq8Rkgvxba87uP&#10;6rrHDVRBGwBY5G4y8Z1Tpr4jEM2+3CBRmPHrvOw9Lfu/JSKamH3KY9dxHDfOAbLQ8dMSwOx5XMaX&#10;ZngW/YdE6j+uTLfCko7s4xw81eKx/LzA8+Nd7ay0t2fFhFtXt2I2CYm6d4xkYv5H1jGP7aBRfVqV&#10;859hU0VazSn2VBRa8gB3tsybmc4qk1mKz7aV7TSarXJnmaixpJBtHWrYSS5T372+DboVSeSEgG++&#10;a0nkvD8Vdjf5nui/MfpCEXPzMU8Hdif5DjHGPAD4hurZ5BewLJF+z7NYpuDGXRWLZSTW8yzzYD3P&#10;Mg/W8yzzMN7zSLSAqo/lx/HQlECWUjoEAGlOS5nUr4MrHPvm+qxSc6RQKJ4VifflLWFTS4tEkXgD&#10;R//CoJYb6Wvf7dEcKaSi53E1C4wAJZ1uPK6EV4swAoTral+vY7UtM31q1vMmhe9zq6xqqrbKmiOF&#10;VO6SIvs4bzuashMcKaWUYpSdCSvjnjZFNZ1L2ATOLDyvmRDirTlsBwdabE7ugASahQMzwY9l1i6p&#10;4pqzTpQy9d3rJvG0nUlKzX/jhE2XVG3l8JJwZfumuSk40EMA5d9T3ohWuzfU9OchzGpfq5eNZ2ja&#10;q1jtPiiGsM+h2jvwtzYSLKBL6rPqCXm5TXOMkHleY+XvMHKZ+k4I+Nc61GBmjXnukweQxVUrUhPX&#10;hmr+GSdk/XnqNZVCyj9/tMec4oCeE7vOWwrc+kt6t0HuulNqjhR2njBatNIKuTtQFGp/rH22XRCc&#10;6RRv3Gpewm3F44T/AWGFNFA9M7ES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uCwAAW0NvbnRlbnRfVHlwZXNdLnht&#10;bFBLAQIUAAoAAAAAAIdO4kAAAAAAAAAAAAAAAAAGAAAAAAAAAAAAEAAAAHsJAABfcmVscy9QSwEC&#10;FAAUAAAACACHTuJAihRmPNEAAACUAQAACwAAAAAAAAABACAAAACfCQAAX3JlbHMvLnJlbHNQSwEC&#10;FAAKAAAAAACHTuJAAAAAAAAAAAAAAAAABAAAAAAAAAAAABAAAAAAAAAAZHJzL1BLAQIUAAoAAAAA&#10;AIdO4kAAAAAAAAAAAAAAAAAKAAAAAAAAAAAAEAAAAJkKAABkcnMvX3JlbHMvUEsBAhQAFAAAAAgA&#10;h07iQKomDr62AAAAIQEAABkAAAAAAAAAAQAgAAAAwQoAAGRycy9fcmVscy9lMm9Eb2MueG1sLnJl&#10;bHNQSwECFAAUAAAACACHTuJALGSsctoAAAAKAQAADwAAAAAAAAABACAAAAAiAAAAZHJzL2Rvd25y&#10;ZXYueG1sUEsBAhQAFAAAAAgAh07iQNuAnXq4AwAAlQwAAA4AAAAAAAAAAQAgAAAAKQEAAGRycy9l&#10;Mm9Eb2MueG1sUEsBAhQACgAAAAAAh07iQAAAAAAAAAAAAAAAAAoAAAAAAAAAAAAQAAAADQUAAGRy&#10;cy9tZWRpYS9QSwECFAAUAAAACACHTuJAzM10dhQEAAAPBAAAFAAAAAAAAAABACAAAAA1BQAAZHJz&#10;L21lZGlhL2ltYWdlMS5wbmdQSwUGAAAAAAoACgBSAgAA4wwAAAAA&#10;">
                <o:lock v:ext="edit" aspectratio="f"/>
                <v:shape id="Graphic 79" o:spid="_x0000_s1026" o:spt="100" style="position:absolute;left:0;top:12;height:456565;width:2884170;" fillcolor="#000000" filled="t" stroked="f" coordsize="2884170,456565" o:gfxdata="UEsDBAoAAAAAAIdO4kAAAAAAAAAAAAAAAAAEAAAAZHJzL1BLAwQUAAAACACHTuJAqK9eGbwAAADb&#10;AAAADwAAAGRycy9kb3ducmV2LnhtbEWPQYvCMBSE74L/ITxhb5rqYdVq9KAowi7KVr0/mmdbbF5q&#10;Eqv+e7OwsMdhZr5h5sunqUVLzleWFQwHCQji3OqKCwWn46Y/AeEDssbaMil4kYflotuZY6rtg3+o&#10;zUIhIoR9igrKEJpUSp+XZNAPbEMcvYt1BkOUrpDa4SPCTS1HSfIpDVYcF0psaFVSfs3uRsHUffv9&#10;tr2dL6/9YbvG6mt0lk6pj94wmYEI9Az/4b/2TisYT+H3S/wB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vXhm8AAAA&#10;2wAAAA8AAAAAAAAAAQAgAAAAIgAAAGRycy9kb3ducmV2LnhtbFBLAQIUABQAAAAIAIdO4kAzLwWe&#10;OwAAADkAAAAQAAAAAAAAAAEAIAAAAAsBAABkcnMvc2hhcGV4bWwueG1sUEsFBgAAAAAGAAYAWwEA&#10;ALUDAAAAAA==&#10;" path="m6096,6159l0,6159,0,449948,6096,449948,6096,6159xem2884030,449961l2877947,449961,6096,449961,0,449961,0,456044,6096,456044,2877947,456044,2884030,456044,2884030,449961xem2884030,6159l2877947,6159,2877947,449948,2884030,449948,2884030,6159xem2884030,0l2877947,0,6096,0,0,0,0,6083,6096,6083,2877947,6083,2884030,6083,2884030,0xe">
                  <v:fill on="t" focussize="0,0"/>
                  <v:stroke on="f"/>
                  <v:imagedata o:title=""/>
                  <o:lock v:ext="edit" aspectratio="f"/>
                  <v:textbox inset="0mm,0mm,0mm,0mm"/>
                </v:shape>
                <v:shape id="Image 80" o:spid="_x0000_s1026" o:spt="75" type="#_x0000_t75" style="position:absolute;left:94965;top:87915;height:258631;width:2222880;" filled="f" o:preferrelative="t" stroked="f" coordsize="21600,21600" o:gfxdata="UEsDBAoAAAAAAIdO4kAAAAAAAAAAAAAAAAAEAAAAZHJzL1BLAwQUAAAACACHTuJAUXkUQLoAAADb&#10;AAAADwAAAGRycy9kb3ducmV2LnhtbEVPTYvCMBC9C/6HMMJeiqauoLUaPSy7sHgQbQteh2Zsi82k&#10;NNmq/35zEDw+3vd2/zCtGKh3jWUF81kMgri0uuFKQZH/TBMQziNrbC2Tgic52O/Goy2m2t75TEPm&#10;KxFC2KWooPa+S6V0ZU0G3cx2xIG72t6gD7CvpO7xHsJNKz/jeCkNNhwaauzoq6bylv0ZBdli9Z37&#10;Z3HJDicadFQck3UUKfUxmccbEJ4e/i1+uX+1giSsD1/CD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eRRAugAAANsA&#10;AAAPAAAAAAAAAAEAIAAAACIAAABkcnMvZG93bnJldi54bWxQSwECFAAUAAAACACHTuJAMy8FnjsA&#10;AAA5AAAAEAAAAAAAAAABACAAAAAJAQAAZHJzL3NoYXBleG1sLnhtbFBLBQYAAAAABgAGAFsBAACz&#10;AwAAAAA=&#10;">
                  <v:fill on="f" focussize="0,0"/>
                  <v:stroke on="f"/>
                  <v:imagedata r:id="rId35" o:title=""/>
                  <o:lock v:ext="edit" aspectratio="f"/>
                </v:shape>
                <w10:wrap type="topAndBottom"/>
              </v:group>
            </w:pict>
          </mc:Fallback>
        </mc:AlternateContent>
      </w:r>
      <w:r>
        <w:rPr>
          <w:rFonts w:ascii="Times New Roman" w:hAnsi="Times New Roman" w:cs="Times New Roman"/>
          <w:b/>
          <w:bCs/>
          <w:sz w:val="24"/>
          <w:szCs w:val="24"/>
        </w:rPr>
        <w:t>Hasil Uji F</w:t>
      </w:r>
    </w:p>
    <w:p w14:paraId="18C7EBA1" w14:textId="77777777" w:rsidR="00BB58C4" w:rsidRDefault="00BB58C4">
      <w:pPr>
        <w:spacing w:line="360" w:lineRule="auto"/>
        <w:rPr>
          <w:rFonts w:ascii="Times New Roman" w:hAnsi="Times New Roman" w:cs="Times New Roman"/>
          <w:b/>
          <w:bCs/>
          <w:sz w:val="24"/>
          <w:szCs w:val="24"/>
        </w:rPr>
      </w:pPr>
    </w:p>
    <w:p w14:paraId="48A75103" w14:textId="77777777" w:rsidR="00BB58C4" w:rsidRDefault="00BB58C4">
      <w:pPr>
        <w:spacing w:line="360" w:lineRule="auto"/>
        <w:rPr>
          <w:rFonts w:ascii="Times New Roman" w:hAnsi="Times New Roman" w:cs="Times New Roman"/>
          <w:b/>
          <w:bCs/>
          <w:sz w:val="24"/>
          <w:szCs w:val="24"/>
        </w:rPr>
      </w:pPr>
    </w:p>
    <w:p w14:paraId="55DBAB8B" w14:textId="77777777" w:rsidR="00BB58C4" w:rsidRDefault="00BB58C4">
      <w:pPr>
        <w:spacing w:line="360" w:lineRule="auto"/>
        <w:rPr>
          <w:rFonts w:ascii="Times New Roman" w:hAnsi="Times New Roman" w:cs="Times New Roman"/>
          <w:b/>
          <w:bCs/>
          <w:sz w:val="24"/>
          <w:szCs w:val="24"/>
        </w:rPr>
      </w:pPr>
    </w:p>
    <w:p w14:paraId="39200C0D" w14:textId="77777777" w:rsidR="00180FE6" w:rsidRDefault="0000000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rPr>
        <w:lastRenderedPageBreak/>
        <w:t>Hasil Uji Koefisien Determinasi</w:t>
      </w:r>
    </w:p>
    <w:p w14:paraId="6D7E9FFA" w14:textId="6E7A5C61" w:rsidR="00180FE6" w:rsidRPr="00180FE6" w:rsidRDefault="00180FE6">
      <w:pPr>
        <w:spacing w:line="360" w:lineRule="auto"/>
        <w:rPr>
          <w:rFonts w:ascii="Times New Roman" w:hAnsi="Times New Roman" w:cs="Times New Roman"/>
          <w:b/>
          <w:bCs/>
          <w:sz w:val="24"/>
          <w:szCs w:val="24"/>
          <w:lang w:val="en-US"/>
        </w:rPr>
        <w:sectPr w:rsidR="00180FE6" w:rsidRPr="00180FE6">
          <w:pgSz w:w="11906" w:h="16838"/>
          <w:pgMar w:top="2268" w:right="1701" w:bottom="1701" w:left="2268" w:header="709" w:footer="709" w:gutter="0"/>
          <w:cols w:space="708"/>
          <w:docGrid w:linePitch="360"/>
        </w:sectPr>
      </w:pPr>
      <w:r>
        <w:rPr>
          <w:b/>
          <w:noProof/>
          <w:sz w:val="20"/>
        </w:rPr>
        <mc:AlternateContent>
          <mc:Choice Requires="wpg">
            <w:drawing>
              <wp:anchor distT="0" distB="0" distL="0" distR="0" simplePos="0" relativeHeight="251697152" behindDoc="1" locked="0" layoutInCell="1" allowOverlap="1" wp14:anchorId="6736F07E" wp14:editId="41B50A55">
                <wp:simplePos x="0" y="0"/>
                <wp:positionH relativeFrom="page">
                  <wp:posOffset>1440180</wp:posOffset>
                </wp:positionH>
                <wp:positionV relativeFrom="paragraph">
                  <wp:posOffset>635</wp:posOffset>
                </wp:positionV>
                <wp:extent cx="2524760" cy="928370"/>
                <wp:effectExtent l="0" t="0" r="0" b="0"/>
                <wp:wrapTopAndBottom/>
                <wp:docPr id="81" name="Group 81"/>
                <wp:cNvGraphicFramePr/>
                <a:graphic xmlns:a="http://schemas.openxmlformats.org/drawingml/2006/main">
                  <a:graphicData uri="http://schemas.microsoft.com/office/word/2010/wordprocessingGroup">
                    <wpg:wgp>
                      <wpg:cNvGrpSpPr/>
                      <wpg:grpSpPr>
                        <a:xfrm>
                          <a:off x="0" y="0"/>
                          <a:ext cx="2524760" cy="928369"/>
                          <a:chOff x="0" y="0"/>
                          <a:chExt cx="2524760" cy="928369"/>
                        </a:xfrm>
                      </wpg:grpSpPr>
                      <wps:wsp>
                        <wps:cNvPr id="82" name="Graphic 82"/>
                        <wps:cNvSpPr/>
                        <wps:spPr>
                          <a:xfrm>
                            <a:off x="0" y="0"/>
                            <a:ext cx="2524760" cy="928369"/>
                          </a:xfrm>
                          <a:custGeom>
                            <a:avLst/>
                            <a:gdLst/>
                            <a:ahLst/>
                            <a:cxnLst/>
                            <a:rect l="l" t="t" r="r" b="b"/>
                            <a:pathLst>
                              <a:path w="2524760" h="928369">
                                <a:moveTo>
                                  <a:pt x="2524379" y="0"/>
                                </a:moveTo>
                                <a:lnTo>
                                  <a:pt x="2518283" y="0"/>
                                </a:lnTo>
                                <a:lnTo>
                                  <a:pt x="2518283" y="6096"/>
                                </a:lnTo>
                                <a:lnTo>
                                  <a:pt x="2518283" y="922020"/>
                                </a:lnTo>
                                <a:lnTo>
                                  <a:pt x="6096" y="922020"/>
                                </a:lnTo>
                                <a:lnTo>
                                  <a:pt x="6096" y="6096"/>
                                </a:lnTo>
                                <a:lnTo>
                                  <a:pt x="2518283" y="6096"/>
                                </a:lnTo>
                                <a:lnTo>
                                  <a:pt x="2518283" y="0"/>
                                </a:lnTo>
                                <a:lnTo>
                                  <a:pt x="6096" y="0"/>
                                </a:lnTo>
                                <a:lnTo>
                                  <a:pt x="0" y="0"/>
                                </a:lnTo>
                                <a:lnTo>
                                  <a:pt x="0" y="6096"/>
                                </a:lnTo>
                                <a:lnTo>
                                  <a:pt x="0" y="922020"/>
                                </a:lnTo>
                                <a:lnTo>
                                  <a:pt x="0" y="928116"/>
                                </a:lnTo>
                                <a:lnTo>
                                  <a:pt x="6096" y="928116"/>
                                </a:lnTo>
                                <a:lnTo>
                                  <a:pt x="2518283" y="928116"/>
                                </a:lnTo>
                                <a:lnTo>
                                  <a:pt x="2524379" y="928116"/>
                                </a:lnTo>
                                <a:lnTo>
                                  <a:pt x="2524379" y="922020"/>
                                </a:lnTo>
                                <a:lnTo>
                                  <a:pt x="2524379" y="6096"/>
                                </a:lnTo>
                                <a:lnTo>
                                  <a:pt x="2524379" y="0"/>
                                </a:lnTo>
                                <a:close/>
                              </a:path>
                            </a:pathLst>
                          </a:custGeom>
                          <a:solidFill>
                            <a:srgbClr val="000000"/>
                          </a:solidFill>
                        </wps:spPr>
                        <wps:bodyPr wrap="square" lIns="0" tIns="0" rIns="0" bIns="0" rtlCol="0">
                          <a:noAutofit/>
                        </wps:bodyPr>
                      </wps:wsp>
                      <pic:pic xmlns:pic="http://schemas.openxmlformats.org/drawingml/2006/picture">
                        <pic:nvPicPr>
                          <pic:cNvPr id="83" name="Image 83"/>
                          <pic:cNvPicPr/>
                        </pic:nvPicPr>
                        <pic:blipFill>
                          <a:blip r:embed="rId36" cstate="print"/>
                          <a:stretch>
                            <a:fillRect/>
                          </a:stretch>
                        </pic:blipFill>
                        <pic:spPr>
                          <a:xfrm>
                            <a:off x="65938" y="100908"/>
                            <a:ext cx="1702917" cy="694266"/>
                          </a:xfrm>
                          <a:prstGeom prst="rect">
                            <a:avLst/>
                          </a:prstGeom>
                        </pic:spPr>
                      </pic:pic>
                    </wpg:wgp>
                  </a:graphicData>
                </a:graphic>
              </wp:anchor>
            </w:drawing>
          </mc:Choice>
          <mc:Fallback>
            <w:pict>
              <v:group w14:anchorId="3ECDAB87" id="Group 81" o:spid="_x0000_s1026" style="position:absolute;margin-left:113.4pt;margin-top:.05pt;width:198.8pt;height:73.1pt;z-index:-251619328;mso-wrap-distance-left:0;mso-wrap-distance-right:0;mso-position-horizontal-relative:page" coordsize="25247,9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P/BewMAADsKAAAOAAAAZHJzL2Uyb0RvYy54bWykVm1P2zAQ/j5p/8HK&#10;d8gLUJqIFk2wIaRpQ2P7Aa7jNNYc27Pdpvz7ne24DXSjvFRqckmeXJ577nzni8tNx9GaasOkmCX5&#10;cZYgKoismVjOkl8/vxxNE2QsFjXmUtBZ8kBNcjn/+OGiVxUtZCt5TTUCJ8JUvZolrbWqSlNDWtph&#10;cywVFfCwkbrDFi71Mq017sF7x9MiyyZpL3WttCTUGLh7HR4mc++/aSix35vGUIv4LAFu1h+1Py7c&#10;MZ1f4GqpsWoZGWjgN7DoMBPw0a2ra2wxWmm256pjREsjG3tMZJfKpmGE+hggmjx7Es2NlivlY1lW&#10;/VJtZQJpn+j0Zrfk2/pGq3t1p0GJXi1BC3/lYtk0unNnYIk2XrKHrWR0YxGBm8VZcXo+AWUJPCuL&#10;6cmkDJqSFoTfe420n59/MY2fTR+R6RWUh9kpYN6nwH2LFfXCmgoUuNOI1bNkWiRI4A6q9GYoCLjj&#10;ZfGorUimMqDXOxXaBoorsjL2hkqvNV5/NTYUZR0t3EaLbEQ0NZS2K2rui9omCIpaJwiKehESoLB1&#10;7zmazkT9KFntNlfucSfX9Kf0QOsy5nJ6cl4mKKYbuO4wXDzG5lPI+iNsRMSzGrzukJOsnDiW4DiC&#10;4nkfXBZFVviV+l+49+fovgb7KhKvAr+Q7PMwWFMj/aM88RxkCpiD3ALsBdpE4DTPn8/PSPCD2OJs&#10;l3joEIdcj6vv1fCDlTL2flC3MfhpsgiXhoYSdsvL1/J2yUGhjhe1kZzVXxjnbo0ZvVxccY3W2I0k&#10;/xuWwggG3S92GWctZP0ATaqHtjRLzJ8V1jRB/FZAG4SU2WjoaCyioS2/kn70uU8L+WllZcNcg/Ff&#10;CH6HC+iv8wvFSAX/YdSAtddoD49keMuuHMMw1rsX+eiw/r1SRzAVQUW2YJzZBz/hoU07UmJ9x4jr&#10;uu5i1LOh9YSefdvhJUXQiiC4iHFvuFj3HCw4UzEhzh6oQg99Mlj/EW0Y2teSrDoqbNiFaMqBtRSm&#10;ZcpAL65ot6AwUvRtncNshB2QhbGiNBPW8YMqsJpaAmWDqwYK4wd0c0d09MCT3vF0Ifxn7EzOyhPY&#10;ZkG3yLOszKbhC3FC5+dZUebnYUJPytNiEpd2nO9Kh/mDnAGcgQuIjqs4i4BVhAxaBiKeIfDy9eN3&#10;KD6CYTfltkDja4/a7fnmfwEAAP//AwBQSwMECgAAAAAAAAAhAPML4KT9BgAA/QYAABQAAABkcnMv&#10;bWVkaWEvaW1hZ2UxLnBuZ4lQTkcNChoKAAAADUlIRFIAAACUAAAAPAgCAAAADxEEAAAAAAZiS0dE&#10;AP8A/wD/oL2nkwAAAAlwSFlzAAAOxAAADsQBlSsOGwAABp1JREFUeJztXCF/+jwQPvZZygQ/PkGQ&#10;ryozKOxckGDmJnGYVlI3i6qhVX+5fgJ+iKXfJa9ImibphXYblHXLo8o1uaS9XBLu6WXEOYfBoYxn&#10;4/Mr34f37sh98QCQr0YKs7i8d488OuMBAABIxDjnnEWwefbmGwwe9B/B05IUZ3aheBnPmk6qCUej&#10;VQ4AkK/khbgrr3Ufr25DvhqtYqVBr2WXrIXjTaH3Kl8Zxf4MDOPlu01BFxcWkny3mWZc4H0dCNlq&#10;XAlZRC42Fu5lXc6i07x+28kB3jjnnGc0SXOh8/wqi2YwF+PkEw39EQjjFZvxaDQazU8RU5sAzU2U&#10;k40nJJmbgzxPExK9dNw5KJ2m69BXORDCPd+HAOXHCZK5LDpPWhsK95z/xd2LtuaxiBTakle7iXIy&#10;CNbvnHO+SEdfmafy1fwkFtcW12HnQq7CVvseBrRpM1i/RaTY7NptEu45i4iY4cYTUhyOJQCU8bPu&#10;T6cPS1h+nKp7+c5ctGz9C9rsh7Ohv7vmAecZBTXOMwpgDHoDhr/QzJbSLKOVWAlJFClhRgEVKlV4&#10;U8R2V70hpRdR8tsx4lf8k+7/O/eLh/YiHj8V3ngDxlWnTY9+4T1vwPDGGzC88QYMb7wB42cYr4xn&#10;7SESjan4SvVfiP6MZ797ty0AwGCSfjJQjgwFyofpKhA2TFOJSnuL5ehROPn7UkSLRcS631LhHtDi&#10;cpdDdCwiYAQJzeAiIQTR03rZn+eNJziRoEakGo5lPBOkUUULaQOwKq1EzeoWv3u7LzvKeJuApKlE&#10;1F3E6l0QoXoAACCTsVTxvClo9rZUXU8TAMmphgsqVLoa6n/Nq6dL8QThnlsh72D9bnqeooSSeboQ&#10;o0+xDs3qouRGsLkZwk+0wPgw4BL3xc4FwPQxEDHdZUQM+xiQjI1gTROaiSeSptNjweMJUWNA0TCu&#10;hvozXvA4Lc4M8hQopLlOEHVH9aAuL/5KyWZHBWlZ43Kg/UNG458ua2XnmsVKxFcE+W5T2PxysH6L&#10;iJxyng8tDfXteeUHTF4WcHF6uTM6e57wko3kUZR7YMhX80Rf85Jt/C/eJtU3DONNAZDMR7O41MbO&#10;2xLE9ORqqF/jndLdefIUhAtIj+4nBQCA4HHqnIRui86eFzwtSTX568sSqJXYvV2ePv6nNVPtZ/RP&#10;BgTlTF/Xgbuhrhur70PsqyJWXYqRaC9X9YatviMqabvNekFEq6MlbwPFL5tbTSm2CWPjeTRom1Ht&#10;gezNeaMhzyoMGD8jwuLxJXjjDRjeeAOGN96A4Y03YHjjDRjeeAOGN96A0afxdDqylWj9bWQsUtB4&#10;H+oGku3oKNlneEyPWmW0Lbng1nGtq6AzGdtWUAsdXpSZ0vsZT3VLi+bh8UogEWvYUmloVEd1itaj&#10;Ov3FlUzzCejvUTbosJ5hMMR6nQ1qluzZeLo9lFD12japFeolEVPlq9todZdQH/xur26MHVdRpZFF&#10;RA4Mx6DQAvHGtXZXq1l3oMWePW9YVLB/eRiLGR5LgsUgWdU8PZGTYAPJZIxXd+rsxtDegIy9QLHK&#10;ZEWVHKx1gEWnubGS2iXvtNsUDBV8IglWEPHlByxfl6c0Z+di+hjg1b+ZWHsLMhajWKvWtvVXK41H&#10;BqgPeEBK4jPCTYDSbM4pzP7ajEWEUEojxllEKSX1ZNio7hJem+SzGcq6v00+T6+iyTMKzsnWXAmR&#10;kndf8/AkWFNe20l7U7olGtUR4W0Y2o5krINiba5/juxjrKQnYwcNH2EZMLzxBgxvvAHDG2/A8MYb&#10;MLzxBgxvvAHjdxoPy/vChYNGv8ZDj0C9AdC8L0cy2PfwHTJWQIwpdJSZ8lqDUnCVIFE3aCFHFpHr&#10;cGoXgAbBrsvxfpeMrYNrZiCtmUOLqu/P88p4m6hEwmD9SovDsSzjmZX3Kn9hPooeaOxM9e7nibpl&#10;xqL5rvKNGCFfCTuH1spBqtCf8di5qIkQcXzmmVVGFLI8TQRbhR5TDIAcaOw8+vjruEFmLJrvCsH6&#10;vckVojm0oqXzzurQ3Tcs4YKqM1C3iRidbobWPtAYnEcffx19k7E2kBxacQ0ypRsSOZx7PVBAPzle&#10;OWL4EsHhWEJ5PICcGD7BpnY++rg7+iVjbSA5tMKZq1kzXKhptsec9KclUT0p421Clk+BvAGHY348&#10;gBTgxxSj6H708Sc6esvMWC3ftSOmjwGECwrV6pKniRokju3RbVCvzeZWs7mXwihW9CAW7OhjNF3W&#10;nYJ7nSf6PBmLfSXHXZw1puF/LzMeZkZsGfoAAAAASUVORK5CYIJQSwMEFAAGAAgAAAAhAFO52y/e&#10;AAAACAEAAA8AAABkcnMvZG93bnJldi54bWxMj0FLw0AQhe+C/2EZwZvdJI1BYjalFPVUBFtBvE2z&#10;0yQ0Oxuy2yT9925P9vj4hve+KVaz6cRIg2stK4gXEQjiyuqWawXf+/enFxDOI2vsLJOCCzlYlfd3&#10;BebaTvxF487XIpSwy1FB432fS+mqhgy6he2JAzvawaAPcailHnAK5aaTSRRl0mDLYaHBnjYNVafd&#10;2Sj4mHBaL+O3cXs6bi6/++fPn21MSj0+zOtXEJ5m/38MV/2gDmVwOtgzayc6BUmSBXV/BSLgLElT&#10;EIcQ02wJsizk7QPl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d5P/BewMAADsKAAAOAAAAAAAAAAAAAAAAADoCAABkcnMvZTJvRG9jLnhtbFBLAQItAAoAAAAA&#10;AAAAIQDzC+Ck/QYAAP0GAAAUAAAAAAAAAAAAAAAAAOEFAABkcnMvbWVkaWEvaW1hZ2UxLnBuZ1BL&#10;AQItABQABgAIAAAAIQBTudsv3gAAAAgBAAAPAAAAAAAAAAAAAAAAABANAABkcnMvZG93bnJldi54&#10;bWxQSwECLQAUAAYACAAAACEAqiYOvrwAAAAhAQAAGQAAAAAAAAAAAAAAAAAbDgAAZHJzL19yZWxz&#10;L2Uyb0RvYy54bWwucmVsc1BLBQYAAAAABgAGAHwBAAAODwAAAAA=&#10;">
                <v:shape id="Graphic 82" o:spid="_x0000_s1027" style="position:absolute;width:25247;height:9283;visibility:visible;mso-wrap-style:square;v-text-anchor:top" coordsize="2524760,9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gxrxAAAANsAAAAPAAAAZHJzL2Rvd25yZXYueG1sRI/dasJA&#10;FITvC77DcoTe1Y0pFImuooIgtFL8w9tj9pgNZs+G7FaTt+8KgpfDzHzDTGatrcSNGl86VjAcJCCI&#10;c6dLLhQc9quPEQgfkDVWjklBRx5m097bBDPt7ryl2y4UIkLYZ6jAhFBnUvrckEU/cDVx9C6usRii&#10;bAqpG7xHuK1kmiRf0mLJccFgTUtD+XX3ZxVcT8PfS5d+bjZb051xsfbHb/mj1Hu/nY9BBGrDK/xs&#10;r7WCUQqPL/EHyOk/AAAA//8DAFBLAQItABQABgAIAAAAIQDb4fbL7gAAAIUBAAATAAAAAAAAAAAA&#10;AAAAAAAAAABbQ29udGVudF9UeXBlc10ueG1sUEsBAi0AFAAGAAgAAAAhAFr0LFu/AAAAFQEAAAsA&#10;AAAAAAAAAAAAAAAAHwEAAF9yZWxzLy5yZWxzUEsBAi0AFAAGAAgAAAAhAMb2DGvEAAAA2wAAAA8A&#10;AAAAAAAAAAAAAAAABwIAAGRycy9kb3ducmV2LnhtbFBLBQYAAAAAAwADALcAAAD4AgAAAAA=&#10;" path="m2524379,r-6096,l2518283,6096r,915924l6096,922020r,-915924l2518283,6096r,-6096l6096,,,,,6096,,922020r,6096l6096,928116r2512187,l2524379,928116r,-6096l2524379,6096r,-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8" type="#_x0000_t75" style="position:absolute;left:659;top:1009;width:17029;height: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qewwAAANsAAAAPAAAAZHJzL2Rvd25yZXYueG1sRI9Li8JA&#10;EITvC/6HoQUvyzrRBQnZjLIIghcPvu5tpvNYMz0xM8bor3cWBI9FVX1FpYve1KKj1lWWFUzGEQji&#10;zOqKCwWH/eorBuE8ssbaMim4k4PFfPCRYqLtjbfU7XwhAoRdggpK75tESpeVZNCNbUMcvNy2Bn2Q&#10;bSF1i7cAN7WcRtFMGqw4LJTY0LKk7Ly7GgXR4+4vnJ/jyZE38WfnTuvD30mp0bD//QHhqffv8Ku9&#10;1grib/j/En6AnD8BAAD//wMAUEsBAi0AFAAGAAgAAAAhANvh9svuAAAAhQEAABMAAAAAAAAAAAAA&#10;AAAAAAAAAFtDb250ZW50X1R5cGVzXS54bWxQSwECLQAUAAYACAAAACEAWvQsW78AAAAVAQAACwAA&#10;AAAAAAAAAAAAAAAfAQAAX3JlbHMvLnJlbHNQSwECLQAUAAYACAAAACEAIMuqnsMAAADbAAAADwAA&#10;AAAAAAAAAAAAAAAHAgAAZHJzL2Rvd25yZXYueG1sUEsFBgAAAAADAAMAtwAAAPcCAAAAAA==&#10;">
                  <v:imagedata r:id="rId37" o:title=""/>
                </v:shape>
                <w10:wrap type="topAndBottom" anchorx="page"/>
              </v:group>
            </w:pict>
          </mc:Fallback>
        </mc:AlternateContent>
      </w:r>
    </w:p>
    <w:p w14:paraId="6750C9F6" w14:textId="7F528968" w:rsidR="00BB58C4" w:rsidRDefault="00180FE6">
      <w:pPr>
        <w:spacing w:line="360" w:lineRule="auto"/>
        <w:rPr>
          <w:rFonts w:ascii="Times New Roman" w:hAnsi="Times New Roman" w:cs="Times New Roman"/>
          <w:b/>
          <w:bCs/>
          <w:sz w:val="24"/>
          <w:szCs w:val="24"/>
        </w:rPr>
      </w:pPr>
      <w:r>
        <w:rPr>
          <w:noProof/>
          <w14:ligatures w14:val="none"/>
        </w:rPr>
        <w:lastRenderedPageBreak/>
        <w:drawing>
          <wp:anchor distT="0" distB="0" distL="114300" distR="114300" simplePos="0" relativeHeight="251698176" behindDoc="0" locked="0" layoutInCell="1" allowOverlap="1" wp14:anchorId="1C6E4901" wp14:editId="4A4447C0">
            <wp:simplePos x="0" y="0"/>
            <wp:positionH relativeFrom="column">
              <wp:posOffset>-160020</wp:posOffset>
            </wp:positionH>
            <wp:positionV relativeFrom="paragraph">
              <wp:posOffset>-962992</wp:posOffset>
            </wp:positionV>
            <wp:extent cx="6166261" cy="8706678"/>
            <wp:effectExtent l="0" t="0" r="635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66261" cy="8706678"/>
                    </a:xfrm>
                    <a:prstGeom prst="rect">
                      <a:avLst/>
                    </a:prstGeom>
                  </pic:spPr>
                </pic:pic>
              </a:graphicData>
            </a:graphic>
            <wp14:sizeRelH relativeFrom="page">
              <wp14:pctWidth>0</wp14:pctWidth>
            </wp14:sizeRelH>
            <wp14:sizeRelV relativeFrom="page">
              <wp14:pctHeight>0</wp14:pctHeight>
            </wp14:sizeRelV>
          </wp:anchor>
        </w:drawing>
      </w:r>
    </w:p>
    <w:sectPr w:rsidR="00BB58C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13C8D" w14:textId="77777777" w:rsidR="00083BA4" w:rsidRDefault="00083BA4">
      <w:pPr>
        <w:spacing w:line="240" w:lineRule="auto"/>
      </w:pPr>
      <w:r>
        <w:separator/>
      </w:r>
    </w:p>
  </w:endnote>
  <w:endnote w:type="continuationSeparator" w:id="0">
    <w:p w14:paraId="76144795" w14:textId="77777777" w:rsidR="00083BA4" w:rsidRDefault="00083B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18D9" w14:textId="77777777" w:rsidR="00BB58C4" w:rsidRDefault="00BB58C4">
    <w:pPr>
      <w:pStyle w:val="Footer"/>
      <w:jc w:val="center"/>
      <w:rPr>
        <w:rFonts w:ascii="Times New Roman" w:hAnsi="Times New Roman" w:cs="Times New Roman"/>
        <w:sz w:val="24"/>
        <w:szCs w:val="24"/>
        <w:lang w:val="en-US"/>
      </w:rPr>
    </w:pPr>
  </w:p>
  <w:p w14:paraId="20B900CB" w14:textId="77777777" w:rsidR="00BB58C4" w:rsidRDefault="00BB58C4">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726491"/>
    </w:sdtPr>
    <w:sdtEndPr>
      <w:rPr>
        <w:rFonts w:ascii="Times New Roman" w:hAnsi="Times New Roman" w:cs="Times New Roman"/>
      </w:rPr>
    </w:sdtEndPr>
    <w:sdtContent>
      <w:p w14:paraId="71DDB756" w14:textId="77777777" w:rsidR="00BB58C4" w:rsidRDefault="00BB58C4">
        <w:pPr>
          <w:pStyle w:val="Footer"/>
          <w:jc w:val="center"/>
        </w:pPr>
      </w:p>
      <w:p w14:paraId="61CF4C89" w14:textId="77777777" w:rsidR="00BB58C4" w:rsidRDefault="00000000">
        <w:pPr>
          <w:pStyle w:val="Footer"/>
          <w:jc w:val="center"/>
          <w:rPr>
            <w:rFonts w:ascii="Times New Roman" w:hAnsi="Times New Roman" w:cs="Times New Roma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68B80BFE" w14:textId="77777777" w:rsidR="00BB58C4" w:rsidRDefault="00BB58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397012974"/>
    </w:sdtPr>
    <w:sdtContent>
      <w:p w14:paraId="5CBA435D" w14:textId="77777777" w:rsidR="00BB58C4" w:rsidRDefault="00BB58C4">
        <w:pPr>
          <w:pStyle w:val="Footer"/>
          <w:jc w:val="center"/>
          <w:rPr>
            <w:rFonts w:ascii="Times New Roman" w:hAnsi="Times New Roman" w:cs="Times New Roman"/>
            <w:sz w:val="24"/>
            <w:szCs w:val="24"/>
          </w:rPr>
        </w:pPr>
      </w:p>
      <w:p w14:paraId="70B736A7" w14:textId="77777777" w:rsidR="00BB58C4" w:rsidRDefault="00000000">
        <w:pPr>
          <w:pStyle w:val="Footer"/>
          <w:jc w:val="center"/>
          <w:rPr>
            <w:rFonts w:ascii="Times New Roman" w:hAnsi="Times New Roman" w:cs="Times New Roman"/>
            <w:sz w:val="24"/>
            <w:szCs w:val="24"/>
          </w:rPr>
        </w:pPr>
      </w:p>
    </w:sdtContent>
  </w:sdt>
  <w:p w14:paraId="3FB885C6" w14:textId="77777777" w:rsidR="00BB58C4" w:rsidRDefault="00BB58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5436732"/>
    </w:sdtPr>
    <w:sdtEndPr>
      <w:rPr>
        <w:rFonts w:ascii="Times New Roman" w:hAnsi="Times New Roman" w:cs="Times New Roman"/>
      </w:rPr>
    </w:sdtEndPr>
    <w:sdtContent>
      <w:p w14:paraId="48C1FA57" w14:textId="77777777" w:rsidR="00BB58C4" w:rsidRDefault="00BB58C4">
        <w:pPr>
          <w:pStyle w:val="Footer"/>
          <w:jc w:val="center"/>
        </w:pPr>
      </w:p>
      <w:p w14:paraId="54ADA7CE" w14:textId="77777777" w:rsidR="00BB58C4" w:rsidRDefault="00000000">
        <w:pPr>
          <w:pStyle w:val="Footer"/>
          <w:jc w:val="center"/>
          <w:rPr>
            <w:rFonts w:ascii="Times New Roman" w:hAnsi="Times New Roman" w:cs="Times New Roma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250B7FA0" w14:textId="77777777" w:rsidR="00BB58C4" w:rsidRDefault="00BB58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C445" w14:textId="77777777" w:rsidR="00BB58C4" w:rsidRDefault="00BB58C4">
    <w:pPr>
      <w:pStyle w:val="Footer"/>
      <w:jc w:val="center"/>
    </w:pPr>
  </w:p>
  <w:p w14:paraId="05094DC2" w14:textId="77777777" w:rsidR="00BB58C4" w:rsidRDefault="00BB58C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3423003"/>
    </w:sdtPr>
    <w:sdtEndPr>
      <w:rPr>
        <w:rFonts w:ascii="Times New Roman" w:hAnsi="Times New Roman" w:cs="Times New Roman"/>
      </w:rPr>
    </w:sdtEndPr>
    <w:sdtContent>
      <w:p w14:paraId="55751329" w14:textId="77777777" w:rsidR="00BB58C4" w:rsidRDefault="00000000">
        <w:pPr>
          <w:pStyle w:val="Footer"/>
          <w:jc w:val="center"/>
          <w:rPr>
            <w:rFonts w:ascii="Times New Roman" w:hAnsi="Times New Roman" w:cs="Times New Roma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076CDD92" w14:textId="77777777" w:rsidR="00BB58C4" w:rsidRDefault="00BB5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FFEC7" w14:textId="77777777" w:rsidR="00083BA4" w:rsidRDefault="00083BA4">
      <w:pPr>
        <w:spacing w:after="0"/>
      </w:pPr>
      <w:r>
        <w:separator/>
      </w:r>
    </w:p>
  </w:footnote>
  <w:footnote w:type="continuationSeparator" w:id="0">
    <w:p w14:paraId="5EE7F003" w14:textId="77777777" w:rsidR="00083BA4" w:rsidRDefault="00083B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2659195"/>
    </w:sdtPr>
    <w:sdtEndPr>
      <w:rPr>
        <w:rFonts w:ascii="Times New Roman" w:hAnsi="Times New Roman" w:cs="Times New Roman"/>
        <w:sz w:val="24"/>
        <w:szCs w:val="24"/>
      </w:rPr>
    </w:sdtEndPr>
    <w:sdtContent>
      <w:p w14:paraId="2AE78DD9" w14:textId="77777777" w:rsidR="00BB58C4" w:rsidRDefault="00000000">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103991D4" w14:textId="77777777" w:rsidR="00BB58C4" w:rsidRDefault="00BB58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65B74" w14:textId="77777777" w:rsidR="00BB58C4" w:rsidRDefault="00BB58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720046"/>
    </w:sdtPr>
    <w:sdtEndPr>
      <w:rPr>
        <w:rFonts w:ascii="Times New Roman" w:hAnsi="Times New Roman" w:cs="Times New Roman"/>
        <w:sz w:val="24"/>
        <w:szCs w:val="24"/>
      </w:rPr>
    </w:sdtEndPr>
    <w:sdtContent>
      <w:p w14:paraId="4007D1EC" w14:textId="77777777" w:rsidR="00BB58C4" w:rsidRDefault="00000000">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070D319D" w14:textId="77777777" w:rsidR="00BB58C4" w:rsidRDefault="00BB58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E3ED0" w14:textId="77777777" w:rsidR="00BB58C4" w:rsidRDefault="00BB5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30AD5"/>
    <w:multiLevelType w:val="multilevel"/>
    <w:tmpl w:val="14330AD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C54DAA"/>
    <w:multiLevelType w:val="multilevel"/>
    <w:tmpl w:val="15C54DA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E47039"/>
    <w:multiLevelType w:val="multilevel"/>
    <w:tmpl w:val="21E47039"/>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246D1EC0"/>
    <w:multiLevelType w:val="multilevel"/>
    <w:tmpl w:val="246D1EC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 w15:restartNumberingAfterBreak="0">
    <w:nsid w:val="24AA4136"/>
    <w:multiLevelType w:val="multilevel"/>
    <w:tmpl w:val="24AA4136"/>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2C078B"/>
    <w:multiLevelType w:val="multilevel"/>
    <w:tmpl w:val="272C07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697AE7"/>
    <w:multiLevelType w:val="multilevel"/>
    <w:tmpl w:val="28697AE7"/>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2EDB43AB"/>
    <w:multiLevelType w:val="multilevel"/>
    <w:tmpl w:val="2EDB43AB"/>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38C3BA0"/>
    <w:multiLevelType w:val="multilevel"/>
    <w:tmpl w:val="338C3B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F40851"/>
    <w:multiLevelType w:val="multilevel"/>
    <w:tmpl w:val="35F408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883A99"/>
    <w:multiLevelType w:val="multilevel"/>
    <w:tmpl w:val="36883A99"/>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38817003"/>
    <w:multiLevelType w:val="multilevel"/>
    <w:tmpl w:val="388170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4B17E2"/>
    <w:multiLevelType w:val="multilevel"/>
    <w:tmpl w:val="3A4B17E2"/>
    <w:lvl w:ilvl="0">
      <w:start w:val="2"/>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438D3FEE"/>
    <w:multiLevelType w:val="multilevel"/>
    <w:tmpl w:val="438D3FE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44315D63"/>
    <w:multiLevelType w:val="multilevel"/>
    <w:tmpl w:val="44315D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67791C"/>
    <w:multiLevelType w:val="multilevel"/>
    <w:tmpl w:val="446779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E14502"/>
    <w:multiLevelType w:val="multilevel"/>
    <w:tmpl w:val="47E145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DB0581"/>
    <w:multiLevelType w:val="multilevel"/>
    <w:tmpl w:val="4ADB05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7D0538"/>
    <w:multiLevelType w:val="multilevel"/>
    <w:tmpl w:val="4D7D0538"/>
    <w:lvl w:ilvl="0">
      <w:start w:val="1"/>
      <w:numFmt w:val="decimal"/>
      <w:lvlText w:val="%1."/>
      <w:lvlJc w:val="left"/>
      <w:pPr>
        <w:tabs>
          <w:tab w:val="left" w:pos="720"/>
        </w:tabs>
        <w:ind w:left="720" w:hanging="360"/>
      </w:pPr>
    </w:lvl>
    <w:lvl w:ilvl="1">
      <w:start w:val="1"/>
      <w:numFmt w:val="lowerLetter"/>
      <w:lvlText w:val="%2."/>
      <w:lvlJc w:val="left"/>
      <w:pPr>
        <w:ind w:left="1637"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51D52CF1"/>
    <w:multiLevelType w:val="multilevel"/>
    <w:tmpl w:val="51D52CF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57D24AA5"/>
    <w:multiLevelType w:val="multilevel"/>
    <w:tmpl w:val="57D24AA5"/>
    <w:lvl w:ilvl="0">
      <w:start w:val="1"/>
      <w:numFmt w:val="decimal"/>
      <w:lvlText w:val="%1."/>
      <w:lvlJc w:val="left"/>
      <w:pPr>
        <w:tabs>
          <w:tab w:val="left" w:pos="720"/>
        </w:tabs>
        <w:ind w:left="720" w:hanging="360"/>
      </w:pPr>
      <w:rPr>
        <w:rFonts w:ascii="Times New Roman" w:eastAsiaTheme="minorHAnsi"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58A918E0"/>
    <w:multiLevelType w:val="multilevel"/>
    <w:tmpl w:val="58A918E0"/>
    <w:lvl w:ilvl="0">
      <w:start w:val="1"/>
      <w:numFmt w:val="decimal"/>
      <w:lvlText w:val="%1."/>
      <w:lvlJc w:val="left"/>
      <w:pPr>
        <w:ind w:left="360" w:hanging="360"/>
      </w:pPr>
      <w:rPr>
        <w:rFonts w:hint="default"/>
      </w:rPr>
    </w:lvl>
    <w:lvl w:ilvl="1">
      <w:start w:val="1"/>
      <w:numFmt w:val="decimal"/>
      <w:pStyle w:val="SubHeadingBab3"/>
      <w:lvlText w:val="3.%2."/>
      <w:lvlJc w:val="left"/>
      <w:pPr>
        <w:ind w:left="792" w:hanging="432"/>
      </w:pPr>
      <w:rPr>
        <w:rFonts w:ascii="Times New Roman" w:hAnsi="Times New Roman" w:hint="default"/>
        <w:b/>
        <w:i w:val="0"/>
        <w:sz w:val="24"/>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B22788"/>
    <w:multiLevelType w:val="multilevel"/>
    <w:tmpl w:val="5EB2278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435850"/>
    <w:multiLevelType w:val="multilevel"/>
    <w:tmpl w:val="5F43585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7554C78"/>
    <w:multiLevelType w:val="multilevel"/>
    <w:tmpl w:val="77554C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pStyle w:val="triplesubbab3"/>
      <w:lvlText w:val="3.%2.%3.%4."/>
      <w:lvlJc w:val="left"/>
      <w:pPr>
        <w:ind w:left="1783" w:hanging="648"/>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7F950C4"/>
    <w:multiLevelType w:val="multilevel"/>
    <w:tmpl w:val="77F950C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7A877005"/>
    <w:multiLevelType w:val="multilevel"/>
    <w:tmpl w:val="7A877005"/>
    <w:lvl w:ilvl="0">
      <w:start w:val="1"/>
      <w:numFmt w:val="decimal"/>
      <w:lvlText w:val="%1."/>
      <w:lvlJc w:val="left"/>
      <w:pPr>
        <w:ind w:left="360" w:hanging="360"/>
      </w:pPr>
      <w:rPr>
        <w:rFonts w:hint="default"/>
      </w:rPr>
    </w:lvl>
    <w:lvl w:ilvl="1">
      <w:start w:val="1"/>
      <w:numFmt w:val="decimal"/>
      <w:pStyle w:val="SubBab2"/>
      <w:lvlText w:val="%1.%2."/>
      <w:lvlJc w:val="left"/>
      <w:pPr>
        <w:ind w:left="792" w:hanging="432"/>
      </w:pPr>
      <w:rPr>
        <w:rFonts w:hint="default"/>
      </w:rPr>
    </w:lvl>
    <w:lvl w:ilvl="2">
      <w:start w:val="1"/>
      <w:numFmt w:val="decimal"/>
      <w:pStyle w:val="Heading3"/>
      <w:lvlText w:val="%1.1.%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C0E79C7"/>
    <w:multiLevelType w:val="multilevel"/>
    <w:tmpl w:val="7C0E79C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827D14"/>
    <w:multiLevelType w:val="multilevel"/>
    <w:tmpl w:val="7F827D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ubsubbab3"/>
      <w:lvlText w:val="3.1.%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53530639">
    <w:abstractNumId w:val="4"/>
  </w:num>
  <w:num w:numId="2" w16cid:durableId="1113942971">
    <w:abstractNumId w:val="26"/>
  </w:num>
  <w:num w:numId="3" w16cid:durableId="1426219643">
    <w:abstractNumId w:val="21"/>
  </w:num>
  <w:num w:numId="4" w16cid:durableId="2025672035">
    <w:abstractNumId w:val="28"/>
  </w:num>
  <w:num w:numId="5" w16cid:durableId="1452165034">
    <w:abstractNumId w:val="24"/>
  </w:num>
  <w:num w:numId="6" w16cid:durableId="1671911583">
    <w:abstractNumId w:val="25"/>
  </w:num>
  <w:num w:numId="7" w16cid:durableId="223830648">
    <w:abstractNumId w:val="20"/>
  </w:num>
  <w:num w:numId="8" w16cid:durableId="138966235">
    <w:abstractNumId w:val="6"/>
  </w:num>
  <w:num w:numId="9" w16cid:durableId="1894538817">
    <w:abstractNumId w:val="18"/>
  </w:num>
  <w:num w:numId="10" w16cid:durableId="1573273403">
    <w:abstractNumId w:val="12"/>
  </w:num>
  <w:num w:numId="11" w16cid:durableId="56562828">
    <w:abstractNumId w:val="23"/>
  </w:num>
  <w:num w:numId="12" w16cid:durableId="1805387301">
    <w:abstractNumId w:val="11"/>
  </w:num>
  <w:num w:numId="13" w16cid:durableId="38863688">
    <w:abstractNumId w:val="14"/>
  </w:num>
  <w:num w:numId="14" w16cid:durableId="1837841983">
    <w:abstractNumId w:val="3"/>
  </w:num>
  <w:num w:numId="15" w16cid:durableId="1765613921">
    <w:abstractNumId w:val="10"/>
  </w:num>
  <w:num w:numId="16" w16cid:durableId="1394738600">
    <w:abstractNumId w:val="2"/>
  </w:num>
  <w:num w:numId="17" w16cid:durableId="491721338">
    <w:abstractNumId w:val="15"/>
  </w:num>
  <w:num w:numId="18" w16cid:durableId="779758853">
    <w:abstractNumId w:val="19"/>
    <w:lvlOverride w:ilvl="0">
      <w:lvl w:ilvl="0">
        <w:numFmt w:val="lowerLetter"/>
        <w:lvlText w:val="%1."/>
        <w:lvlJc w:val="left"/>
        <w:rPr>
          <w:i w:val="0"/>
          <w:iCs w:val="0"/>
        </w:rPr>
      </w:lvl>
    </w:lvlOverride>
  </w:num>
  <w:num w:numId="19" w16cid:durableId="1579484543">
    <w:abstractNumId w:val="0"/>
  </w:num>
  <w:num w:numId="20" w16cid:durableId="248465632">
    <w:abstractNumId w:val="7"/>
  </w:num>
  <w:num w:numId="21" w16cid:durableId="1704207276">
    <w:abstractNumId w:val="27"/>
  </w:num>
  <w:num w:numId="22" w16cid:durableId="1305816750">
    <w:abstractNumId w:val="22"/>
  </w:num>
  <w:num w:numId="23" w16cid:durableId="258104775">
    <w:abstractNumId w:val="13"/>
  </w:num>
  <w:num w:numId="24" w16cid:durableId="872959742">
    <w:abstractNumId w:val="16"/>
  </w:num>
  <w:num w:numId="25" w16cid:durableId="1132208344">
    <w:abstractNumId w:val="5"/>
  </w:num>
  <w:num w:numId="26" w16cid:durableId="636684145">
    <w:abstractNumId w:val="1"/>
  </w:num>
  <w:num w:numId="27" w16cid:durableId="1805540702">
    <w:abstractNumId w:val="9"/>
  </w:num>
  <w:num w:numId="28" w16cid:durableId="727991318">
    <w:abstractNumId w:val="8"/>
  </w:num>
  <w:num w:numId="29" w16cid:durableId="13228523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EA3"/>
    <w:rsid w:val="00000257"/>
    <w:rsid w:val="00011A84"/>
    <w:rsid w:val="00012F7E"/>
    <w:rsid w:val="000163FB"/>
    <w:rsid w:val="00017675"/>
    <w:rsid w:val="0002357B"/>
    <w:rsid w:val="00023C24"/>
    <w:rsid w:val="00024F33"/>
    <w:rsid w:val="0002625A"/>
    <w:rsid w:val="00027FDE"/>
    <w:rsid w:val="000317C9"/>
    <w:rsid w:val="00032298"/>
    <w:rsid w:val="00034C6B"/>
    <w:rsid w:val="00034DC3"/>
    <w:rsid w:val="00041D55"/>
    <w:rsid w:val="000427C5"/>
    <w:rsid w:val="00050F1C"/>
    <w:rsid w:val="00051AE2"/>
    <w:rsid w:val="000547F9"/>
    <w:rsid w:val="00056E42"/>
    <w:rsid w:val="0006034E"/>
    <w:rsid w:val="000606BD"/>
    <w:rsid w:val="0006494C"/>
    <w:rsid w:val="00064C16"/>
    <w:rsid w:val="00066024"/>
    <w:rsid w:val="000673D4"/>
    <w:rsid w:val="00070FB0"/>
    <w:rsid w:val="00071A30"/>
    <w:rsid w:val="0007325E"/>
    <w:rsid w:val="00080B08"/>
    <w:rsid w:val="00083BA4"/>
    <w:rsid w:val="00093F12"/>
    <w:rsid w:val="0009439B"/>
    <w:rsid w:val="00096309"/>
    <w:rsid w:val="000A1E08"/>
    <w:rsid w:val="000A37A5"/>
    <w:rsid w:val="000B55D3"/>
    <w:rsid w:val="000C184E"/>
    <w:rsid w:val="000C46A5"/>
    <w:rsid w:val="000C5642"/>
    <w:rsid w:val="000D1E96"/>
    <w:rsid w:val="000D40D7"/>
    <w:rsid w:val="000E10C1"/>
    <w:rsid w:val="000E33AE"/>
    <w:rsid w:val="000E4A75"/>
    <w:rsid w:val="000E6F6E"/>
    <w:rsid w:val="000F60FC"/>
    <w:rsid w:val="000F6BC5"/>
    <w:rsid w:val="00102CEB"/>
    <w:rsid w:val="00113F32"/>
    <w:rsid w:val="00120BAF"/>
    <w:rsid w:val="001229B0"/>
    <w:rsid w:val="001242EF"/>
    <w:rsid w:val="00126CEF"/>
    <w:rsid w:val="00130C87"/>
    <w:rsid w:val="001332D2"/>
    <w:rsid w:val="00136015"/>
    <w:rsid w:val="001424A2"/>
    <w:rsid w:val="00145A90"/>
    <w:rsid w:val="00146694"/>
    <w:rsid w:val="00146C03"/>
    <w:rsid w:val="00152F19"/>
    <w:rsid w:val="00155A95"/>
    <w:rsid w:val="001720FC"/>
    <w:rsid w:val="001724EB"/>
    <w:rsid w:val="00172E3C"/>
    <w:rsid w:val="00180FE6"/>
    <w:rsid w:val="001875CD"/>
    <w:rsid w:val="00196A91"/>
    <w:rsid w:val="001A56BC"/>
    <w:rsid w:val="001A7785"/>
    <w:rsid w:val="001B566A"/>
    <w:rsid w:val="001D010D"/>
    <w:rsid w:val="001D045D"/>
    <w:rsid w:val="001D0E74"/>
    <w:rsid w:val="001E0F53"/>
    <w:rsid w:val="001E3127"/>
    <w:rsid w:val="001E6147"/>
    <w:rsid w:val="001F1861"/>
    <w:rsid w:val="001F3DE2"/>
    <w:rsid w:val="001F624D"/>
    <w:rsid w:val="001F7E42"/>
    <w:rsid w:val="00200D3E"/>
    <w:rsid w:val="002016CA"/>
    <w:rsid w:val="00206BD4"/>
    <w:rsid w:val="0021573F"/>
    <w:rsid w:val="00217158"/>
    <w:rsid w:val="00217942"/>
    <w:rsid w:val="00230616"/>
    <w:rsid w:val="00231F99"/>
    <w:rsid w:val="002322D7"/>
    <w:rsid w:val="00232E6B"/>
    <w:rsid w:val="002331AE"/>
    <w:rsid w:val="00241C63"/>
    <w:rsid w:val="00244462"/>
    <w:rsid w:val="00244BB3"/>
    <w:rsid w:val="00246A3A"/>
    <w:rsid w:val="00250953"/>
    <w:rsid w:val="002639AD"/>
    <w:rsid w:val="00263CC7"/>
    <w:rsid w:val="00264613"/>
    <w:rsid w:val="00264C24"/>
    <w:rsid w:val="002651B9"/>
    <w:rsid w:val="00270541"/>
    <w:rsid w:val="0027135A"/>
    <w:rsid w:val="00272C47"/>
    <w:rsid w:val="00277FB9"/>
    <w:rsid w:val="00281943"/>
    <w:rsid w:val="00282647"/>
    <w:rsid w:val="0028785A"/>
    <w:rsid w:val="002933A7"/>
    <w:rsid w:val="00297E0E"/>
    <w:rsid w:val="002A138D"/>
    <w:rsid w:val="002A248C"/>
    <w:rsid w:val="002A7BF8"/>
    <w:rsid w:val="002B2A02"/>
    <w:rsid w:val="002B509F"/>
    <w:rsid w:val="002C1F82"/>
    <w:rsid w:val="002C1FA8"/>
    <w:rsid w:val="002C2DB2"/>
    <w:rsid w:val="002C4416"/>
    <w:rsid w:val="002E3F54"/>
    <w:rsid w:val="002F35C9"/>
    <w:rsid w:val="002F5849"/>
    <w:rsid w:val="002F5B4C"/>
    <w:rsid w:val="002F63FA"/>
    <w:rsid w:val="002F7DED"/>
    <w:rsid w:val="00304A29"/>
    <w:rsid w:val="00306089"/>
    <w:rsid w:val="003116EA"/>
    <w:rsid w:val="00315758"/>
    <w:rsid w:val="0032085B"/>
    <w:rsid w:val="00325291"/>
    <w:rsid w:val="00325708"/>
    <w:rsid w:val="003330C1"/>
    <w:rsid w:val="0033358F"/>
    <w:rsid w:val="00335386"/>
    <w:rsid w:val="00341801"/>
    <w:rsid w:val="00350D01"/>
    <w:rsid w:val="00356023"/>
    <w:rsid w:val="00357C32"/>
    <w:rsid w:val="003615D2"/>
    <w:rsid w:val="00363E8D"/>
    <w:rsid w:val="0036578A"/>
    <w:rsid w:val="00365A6F"/>
    <w:rsid w:val="00370B72"/>
    <w:rsid w:val="00374B2E"/>
    <w:rsid w:val="0038286A"/>
    <w:rsid w:val="00387C1A"/>
    <w:rsid w:val="00394346"/>
    <w:rsid w:val="0039491D"/>
    <w:rsid w:val="00395ECD"/>
    <w:rsid w:val="00397057"/>
    <w:rsid w:val="00397DF2"/>
    <w:rsid w:val="003A51B4"/>
    <w:rsid w:val="003B3822"/>
    <w:rsid w:val="003B3D5D"/>
    <w:rsid w:val="003C05F2"/>
    <w:rsid w:val="003C3ACC"/>
    <w:rsid w:val="003D35E6"/>
    <w:rsid w:val="003D7374"/>
    <w:rsid w:val="003E67AB"/>
    <w:rsid w:val="003E68E8"/>
    <w:rsid w:val="00402B2C"/>
    <w:rsid w:val="0040385A"/>
    <w:rsid w:val="004050D2"/>
    <w:rsid w:val="00406BB6"/>
    <w:rsid w:val="004121B7"/>
    <w:rsid w:val="0041366B"/>
    <w:rsid w:val="004143E2"/>
    <w:rsid w:val="00421310"/>
    <w:rsid w:val="00426DBD"/>
    <w:rsid w:val="00427E8F"/>
    <w:rsid w:val="004420D3"/>
    <w:rsid w:val="00442112"/>
    <w:rsid w:val="00445ED0"/>
    <w:rsid w:val="00452E9F"/>
    <w:rsid w:val="00454CF1"/>
    <w:rsid w:val="00456E82"/>
    <w:rsid w:val="004613D1"/>
    <w:rsid w:val="0046656A"/>
    <w:rsid w:val="0046663F"/>
    <w:rsid w:val="00473BCC"/>
    <w:rsid w:val="004760DC"/>
    <w:rsid w:val="00477C0C"/>
    <w:rsid w:val="004804C8"/>
    <w:rsid w:val="00487D7D"/>
    <w:rsid w:val="004B01F3"/>
    <w:rsid w:val="004B0486"/>
    <w:rsid w:val="004B1510"/>
    <w:rsid w:val="004B505C"/>
    <w:rsid w:val="004C3AC9"/>
    <w:rsid w:val="004D07CE"/>
    <w:rsid w:val="004D2002"/>
    <w:rsid w:val="004D36BE"/>
    <w:rsid w:val="004E14E3"/>
    <w:rsid w:val="004E6977"/>
    <w:rsid w:val="004F651B"/>
    <w:rsid w:val="00507D7A"/>
    <w:rsid w:val="005104D1"/>
    <w:rsid w:val="005117C8"/>
    <w:rsid w:val="00511DD4"/>
    <w:rsid w:val="005147F9"/>
    <w:rsid w:val="00515860"/>
    <w:rsid w:val="00515D84"/>
    <w:rsid w:val="00516080"/>
    <w:rsid w:val="00516B0B"/>
    <w:rsid w:val="00520AC8"/>
    <w:rsid w:val="005338AA"/>
    <w:rsid w:val="005359EE"/>
    <w:rsid w:val="00540E50"/>
    <w:rsid w:val="005412C7"/>
    <w:rsid w:val="00541EBD"/>
    <w:rsid w:val="00544698"/>
    <w:rsid w:val="00544B0F"/>
    <w:rsid w:val="00545FEE"/>
    <w:rsid w:val="00550354"/>
    <w:rsid w:val="00550B92"/>
    <w:rsid w:val="005517EF"/>
    <w:rsid w:val="00553A4B"/>
    <w:rsid w:val="0055402A"/>
    <w:rsid w:val="00561065"/>
    <w:rsid w:val="0056338E"/>
    <w:rsid w:val="0056797F"/>
    <w:rsid w:val="00575B6F"/>
    <w:rsid w:val="00580A31"/>
    <w:rsid w:val="00580B02"/>
    <w:rsid w:val="00580FF6"/>
    <w:rsid w:val="005906F2"/>
    <w:rsid w:val="00593840"/>
    <w:rsid w:val="005A04B8"/>
    <w:rsid w:val="005A0D5A"/>
    <w:rsid w:val="005A566F"/>
    <w:rsid w:val="005B365B"/>
    <w:rsid w:val="005B4890"/>
    <w:rsid w:val="005B4CD1"/>
    <w:rsid w:val="005B6CD7"/>
    <w:rsid w:val="005B70D2"/>
    <w:rsid w:val="005C4B16"/>
    <w:rsid w:val="005D227B"/>
    <w:rsid w:val="005D5A6D"/>
    <w:rsid w:val="005D6DA5"/>
    <w:rsid w:val="005D77D4"/>
    <w:rsid w:val="005E00B3"/>
    <w:rsid w:val="005E1A83"/>
    <w:rsid w:val="005E52EA"/>
    <w:rsid w:val="005E661C"/>
    <w:rsid w:val="005F02DD"/>
    <w:rsid w:val="005F4E51"/>
    <w:rsid w:val="005F62DB"/>
    <w:rsid w:val="00602EA6"/>
    <w:rsid w:val="00603162"/>
    <w:rsid w:val="006079E1"/>
    <w:rsid w:val="006136FC"/>
    <w:rsid w:val="00614C08"/>
    <w:rsid w:val="00627415"/>
    <w:rsid w:val="006300F8"/>
    <w:rsid w:val="00633F9F"/>
    <w:rsid w:val="0063636B"/>
    <w:rsid w:val="0063637B"/>
    <w:rsid w:val="00642C7D"/>
    <w:rsid w:val="00651102"/>
    <w:rsid w:val="00651BFC"/>
    <w:rsid w:val="00653A54"/>
    <w:rsid w:val="00657769"/>
    <w:rsid w:val="00660375"/>
    <w:rsid w:val="006758B2"/>
    <w:rsid w:val="0068419D"/>
    <w:rsid w:val="006841F7"/>
    <w:rsid w:val="00685B6E"/>
    <w:rsid w:val="00685BDF"/>
    <w:rsid w:val="00691B9B"/>
    <w:rsid w:val="006920CE"/>
    <w:rsid w:val="0069377A"/>
    <w:rsid w:val="00695B98"/>
    <w:rsid w:val="006B21F6"/>
    <w:rsid w:val="006B2529"/>
    <w:rsid w:val="006B2A83"/>
    <w:rsid w:val="006B4B82"/>
    <w:rsid w:val="006B7B62"/>
    <w:rsid w:val="006C0982"/>
    <w:rsid w:val="006C0D1B"/>
    <w:rsid w:val="006D0D12"/>
    <w:rsid w:val="006D5696"/>
    <w:rsid w:val="006E14B8"/>
    <w:rsid w:val="006F01E2"/>
    <w:rsid w:val="006F0F2E"/>
    <w:rsid w:val="006F1B41"/>
    <w:rsid w:val="006F414D"/>
    <w:rsid w:val="006F6045"/>
    <w:rsid w:val="00702B46"/>
    <w:rsid w:val="00706CCA"/>
    <w:rsid w:val="00710F4F"/>
    <w:rsid w:val="007118E6"/>
    <w:rsid w:val="00713D4F"/>
    <w:rsid w:val="00714401"/>
    <w:rsid w:val="00715E13"/>
    <w:rsid w:val="00720EDF"/>
    <w:rsid w:val="00721F50"/>
    <w:rsid w:val="00730BFA"/>
    <w:rsid w:val="00732A4B"/>
    <w:rsid w:val="00734C25"/>
    <w:rsid w:val="00740057"/>
    <w:rsid w:val="0074061F"/>
    <w:rsid w:val="00743074"/>
    <w:rsid w:val="007530BC"/>
    <w:rsid w:val="007550F4"/>
    <w:rsid w:val="007659E2"/>
    <w:rsid w:val="00767563"/>
    <w:rsid w:val="00771A1B"/>
    <w:rsid w:val="0077490C"/>
    <w:rsid w:val="00777715"/>
    <w:rsid w:val="00783B2D"/>
    <w:rsid w:val="00785CB7"/>
    <w:rsid w:val="00792E6B"/>
    <w:rsid w:val="00796024"/>
    <w:rsid w:val="0079661A"/>
    <w:rsid w:val="00797C0F"/>
    <w:rsid w:val="007B03C2"/>
    <w:rsid w:val="007B3203"/>
    <w:rsid w:val="007C2615"/>
    <w:rsid w:val="007C534D"/>
    <w:rsid w:val="007D607A"/>
    <w:rsid w:val="007D700F"/>
    <w:rsid w:val="007E081A"/>
    <w:rsid w:val="007E5258"/>
    <w:rsid w:val="007E665F"/>
    <w:rsid w:val="007E6FE6"/>
    <w:rsid w:val="007F70BA"/>
    <w:rsid w:val="007F7AAA"/>
    <w:rsid w:val="0080222A"/>
    <w:rsid w:val="008051E4"/>
    <w:rsid w:val="008062DF"/>
    <w:rsid w:val="008074C5"/>
    <w:rsid w:val="008251BD"/>
    <w:rsid w:val="00826B69"/>
    <w:rsid w:val="00827FE6"/>
    <w:rsid w:val="008325AF"/>
    <w:rsid w:val="00833E52"/>
    <w:rsid w:val="0083408A"/>
    <w:rsid w:val="008427D6"/>
    <w:rsid w:val="0084344D"/>
    <w:rsid w:val="00844BB0"/>
    <w:rsid w:val="00847255"/>
    <w:rsid w:val="0085102D"/>
    <w:rsid w:val="0085312F"/>
    <w:rsid w:val="00856798"/>
    <w:rsid w:val="00862273"/>
    <w:rsid w:val="00862A96"/>
    <w:rsid w:val="00871165"/>
    <w:rsid w:val="00871B25"/>
    <w:rsid w:val="008755CE"/>
    <w:rsid w:val="0087700D"/>
    <w:rsid w:val="00880279"/>
    <w:rsid w:val="00883319"/>
    <w:rsid w:val="008922C6"/>
    <w:rsid w:val="00892A4B"/>
    <w:rsid w:val="00893294"/>
    <w:rsid w:val="00896722"/>
    <w:rsid w:val="008978E4"/>
    <w:rsid w:val="008A42CF"/>
    <w:rsid w:val="008A4D46"/>
    <w:rsid w:val="008A4F42"/>
    <w:rsid w:val="008A5D9C"/>
    <w:rsid w:val="008A6119"/>
    <w:rsid w:val="008B13AE"/>
    <w:rsid w:val="008B2D02"/>
    <w:rsid w:val="008B6BFF"/>
    <w:rsid w:val="008C0353"/>
    <w:rsid w:val="008C0C9E"/>
    <w:rsid w:val="008C2027"/>
    <w:rsid w:val="008C3ECC"/>
    <w:rsid w:val="008C6952"/>
    <w:rsid w:val="008D2385"/>
    <w:rsid w:val="008D60ED"/>
    <w:rsid w:val="008D7FD8"/>
    <w:rsid w:val="008E08A6"/>
    <w:rsid w:val="008E3934"/>
    <w:rsid w:val="008E5E54"/>
    <w:rsid w:val="008E76E0"/>
    <w:rsid w:val="008F1D21"/>
    <w:rsid w:val="008F32C3"/>
    <w:rsid w:val="009037DE"/>
    <w:rsid w:val="00906AFE"/>
    <w:rsid w:val="00910851"/>
    <w:rsid w:val="00920C39"/>
    <w:rsid w:val="00920E89"/>
    <w:rsid w:val="00931BB4"/>
    <w:rsid w:val="00933BD7"/>
    <w:rsid w:val="009351A6"/>
    <w:rsid w:val="00944A3B"/>
    <w:rsid w:val="00950655"/>
    <w:rsid w:val="00952C7B"/>
    <w:rsid w:val="009552A0"/>
    <w:rsid w:val="00956310"/>
    <w:rsid w:val="0096145B"/>
    <w:rsid w:val="00966F0E"/>
    <w:rsid w:val="009701CB"/>
    <w:rsid w:val="009753CF"/>
    <w:rsid w:val="009755AD"/>
    <w:rsid w:val="00976A2E"/>
    <w:rsid w:val="00980982"/>
    <w:rsid w:val="00982875"/>
    <w:rsid w:val="00986BEE"/>
    <w:rsid w:val="00992788"/>
    <w:rsid w:val="009937B1"/>
    <w:rsid w:val="00993A5F"/>
    <w:rsid w:val="0099617D"/>
    <w:rsid w:val="009B1EA1"/>
    <w:rsid w:val="009B2B3E"/>
    <w:rsid w:val="009C36A3"/>
    <w:rsid w:val="009C4DAD"/>
    <w:rsid w:val="009C540D"/>
    <w:rsid w:val="009C6D79"/>
    <w:rsid w:val="009D6F8A"/>
    <w:rsid w:val="009D7817"/>
    <w:rsid w:val="009E44F9"/>
    <w:rsid w:val="009E5E98"/>
    <w:rsid w:val="009E6CB9"/>
    <w:rsid w:val="009F143C"/>
    <w:rsid w:val="009F3B37"/>
    <w:rsid w:val="009F496A"/>
    <w:rsid w:val="00A058B5"/>
    <w:rsid w:val="00A0666C"/>
    <w:rsid w:val="00A1167A"/>
    <w:rsid w:val="00A13BFD"/>
    <w:rsid w:val="00A16EA3"/>
    <w:rsid w:val="00A24FB2"/>
    <w:rsid w:val="00A27E38"/>
    <w:rsid w:val="00A3132D"/>
    <w:rsid w:val="00A3360E"/>
    <w:rsid w:val="00A3532F"/>
    <w:rsid w:val="00A35787"/>
    <w:rsid w:val="00A479FA"/>
    <w:rsid w:val="00A51FA2"/>
    <w:rsid w:val="00A61312"/>
    <w:rsid w:val="00A656FF"/>
    <w:rsid w:val="00A65DAF"/>
    <w:rsid w:val="00A71C2C"/>
    <w:rsid w:val="00A728D8"/>
    <w:rsid w:val="00A74615"/>
    <w:rsid w:val="00A8173C"/>
    <w:rsid w:val="00A86877"/>
    <w:rsid w:val="00A91647"/>
    <w:rsid w:val="00A917CA"/>
    <w:rsid w:val="00A922A8"/>
    <w:rsid w:val="00A943FB"/>
    <w:rsid w:val="00AA2987"/>
    <w:rsid w:val="00AA34BB"/>
    <w:rsid w:val="00AA3D0A"/>
    <w:rsid w:val="00AB23A3"/>
    <w:rsid w:val="00AC05EA"/>
    <w:rsid w:val="00AC29B3"/>
    <w:rsid w:val="00AC776F"/>
    <w:rsid w:val="00AD5525"/>
    <w:rsid w:val="00AD6715"/>
    <w:rsid w:val="00AE682E"/>
    <w:rsid w:val="00AF21F9"/>
    <w:rsid w:val="00AF3A82"/>
    <w:rsid w:val="00B20F87"/>
    <w:rsid w:val="00B24E72"/>
    <w:rsid w:val="00B25CF0"/>
    <w:rsid w:val="00B25F9E"/>
    <w:rsid w:val="00B272D7"/>
    <w:rsid w:val="00B308CA"/>
    <w:rsid w:val="00B31AFD"/>
    <w:rsid w:val="00B34EC2"/>
    <w:rsid w:val="00B41C99"/>
    <w:rsid w:val="00B42853"/>
    <w:rsid w:val="00B460CB"/>
    <w:rsid w:val="00B5004D"/>
    <w:rsid w:val="00B50F81"/>
    <w:rsid w:val="00B519FC"/>
    <w:rsid w:val="00B52396"/>
    <w:rsid w:val="00B5511A"/>
    <w:rsid w:val="00B562DF"/>
    <w:rsid w:val="00B574C9"/>
    <w:rsid w:val="00B57567"/>
    <w:rsid w:val="00B57CD3"/>
    <w:rsid w:val="00B65AB0"/>
    <w:rsid w:val="00B70587"/>
    <w:rsid w:val="00B73C5D"/>
    <w:rsid w:val="00B7637E"/>
    <w:rsid w:val="00B820EA"/>
    <w:rsid w:val="00B83B9E"/>
    <w:rsid w:val="00B90705"/>
    <w:rsid w:val="00B95908"/>
    <w:rsid w:val="00B964E1"/>
    <w:rsid w:val="00BA0582"/>
    <w:rsid w:val="00BA1F2D"/>
    <w:rsid w:val="00BB3FAE"/>
    <w:rsid w:val="00BB58A6"/>
    <w:rsid w:val="00BB58C4"/>
    <w:rsid w:val="00BB79F0"/>
    <w:rsid w:val="00BB7E07"/>
    <w:rsid w:val="00BC4AE5"/>
    <w:rsid w:val="00BD3006"/>
    <w:rsid w:val="00BE2DF6"/>
    <w:rsid w:val="00BF28F5"/>
    <w:rsid w:val="00BF3980"/>
    <w:rsid w:val="00BF5AAF"/>
    <w:rsid w:val="00BF618C"/>
    <w:rsid w:val="00C01E32"/>
    <w:rsid w:val="00C02861"/>
    <w:rsid w:val="00C02B7B"/>
    <w:rsid w:val="00C0362A"/>
    <w:rsid w:val="00C15B01"/>
    <w:rsid w:val="00C17EA2"/>
    <w:rsid w:val="00C2015C"/>
    <w:rsid w:val="00C23D35"/>
    <w:rsid w:val="00C262CA"/>
    <w:rsid w:val="00C329D2"/>
    <w:rsid w:val="00C33566"/>
    <w:rsid w:val="00C35F5D"/>
    <w:rsid w:val="00C444C8"/>
    <w:rsid w:val="00C469CE"/>
    <w:rsid w:val="00C50B14"/>
    <w:rsid w:val="00C5473B"/>
    <w:rsid w:val="00C54909"/>
    <w:rsid w:val="00C55E30"/>
    <w:rsid w:val="00C57E5B"/>
    <w:rsid w:val="00C626EC"/>
    <w:rsid w:val="00C63C0B"/>
    <w:rsid w:val="00C66C00"/>
    <w:rsid w:val="00C71FD8"/>
    <w:rsid w:val="00C72F5F"/>
    <w:rsid w:val="00C73179"/>
    <w:rsid w:val="00C75619"/>
    <w:rsid w:val="00C812D1"/>
    <w:rsid w:val="00C82D1E"/>
    <w:rsid w:val="00C831E0"/>
    <w:rsid w:val="00C8374B"/>
    <w:rsid w:val="00C84A83"/>
    <w:rsid w:val="00C84EAA"/>
    <w:rsid w:val="00C8589A"/>
    <w:rsid w:val="00C876E4"/>
    <w:rsid w:val="00C877E9"/>
    <w:rsid w:val="00C87E97"/>
    <w:rsid w:val="00C90660"/>
    <w:rsid w:val="00C97B1E"/>
    <w:rsid w:val="00CB0E41"/>
    <w:rsid w:val="00CB3B8C"/>
    <w:rsid w:val="00CB4BDD"/>
    <w:rsid w:val="00CC2811"/>
    <w:rsid w:val="00CC4759"/>
    <w:rsid w:val="00CC47E9"/>
    <w:rsid w:val="00CC69F6"/>
    <w:rsid w:val="00CC6FC9"/>
    <w:rsid w:val="00CD1AC8"/>
    <w:rsid w:val="00CD2345"/>
    <w:rsid w:val="00CD4E4F"/>
    <w:rsid w:val="00CD5E5C"/>
    <w:rsid w:val="00CD702B"/>
    <w:rsid w:val="00CF39E0"/>
    <w:rsid w:val="00D0045C"/>
    <w:rsid w:val="00D020D4"/>
    <w:rsid w:val="00D06D79"/>
    <w:rsid w:val="00D10A1D"/>
    <w:rsid w:val="00D10E1F"/>
    <w:rsid w:val="00D119AC"/>
    <w:rsid w:val="00D12AB6"/>
    <w:rsid w:val="00D13E14"/>
    <w:rsid w:val="00D14796"/>
    <w:rsid w:val="00D15BAA"/>
    <w:rsid w:val="00D31AF0"/>
    <w:rsid w:val="00D32F96"/>
    <w:rsid w:val="00D3563C"/>
    <w:rsid w:val="00D3612C"/>
    <w:rsid w:val="00D3691C"/>
    <w:rsid w:val="00D44FC6"/>
    <w:rsid w:val="00D460DC"/>
    <w:rsid w:val="00D5225A"/>
    <w:rsid w:val="00D530EA"/>
    <w:rsid w:val="00D53A11"/>
    <w:rsid w:val="00D54B8D"/>
    <w:rsid w:val="00D54F1F"/>
    <w:rsid w:val="00D61ADE"/>
    <w:rsid w:val="00D64B73"/>
    <w:rsid w:val="00D65C79"/>
    <w:rsid w:val="00D661D1"/>
    <w:rsid w:val="00D756AF"/>
    <w:rsid w:val="00D77BB8"/>
    <w:rsid w:val="00D958F1"/>
    <w:rsid w:val="00D95964"/>
    <w:rsid w:val="00D97A0A"/>
    <w:rsid w:val="00DB4353"/>
    <w:rsid w:val="00DB4773"/>
    <w:rsid w:val="00DB7568"/>
    <w:rsid w:val="00DC0847"/>
    <w:rsid w:val="00DC3DD5"/>
    <w:rsid w:val="00DC4767"/>
    <w:rsid w:val="00DC4FA1"/>
    <w:rsid w:val="00DC7C05"/>
    <w:rsid w:val="00DC7D40"/>
    <w:rsid w:val="00DD6A10"/>
    <w:rsid w:val="00DD6C66"/>
    <w:rsid w:val="00DE1091"/>
    <w:rsid w:val="00DE5A55"/>
    <w:rsid w:val="00DF09DF"/>
    <w:rsid w:val="00DF3047"/>
    <w:rsid w:val="00DF3BF8"/>
    <w:rsid w:val="00DF70DA"/>
    <w:rsid w:val="00E02109"/>
    <w:rsid w:val="00E072E5"/>
    <w:rsid w:val="00E10A3F"/>
    <w:rsid w:val="00E128D2"/>
    <w:rsid w:val="00E14F37"/>
    <w:rsid w:val="00E26F5E"/>
    <w:rsid w:val="00E300BB"/>
    <w:rsid w:val="00E30853"/>
    <w:rsid w:val="00E35D12"/>
    <w:rsid w:val="00E36CDF"/>
    <w:rsid w:val="00E42BFE"/>
    <w:rsid w:val="00E45A3F"/>
    <w:rsid w:val="00E47B36"/>
    <w:rsid w:val="00E50142"/>
    <w:rsid w:val="00E51952"/>
    <w:rsid w:val="00E51C06"/>
    <w:rsid w:val="00E51C75"/>
    <w:rsid w:val="00E52FBC"/>
    <w:rsid w:val="00E53A76"/>
    <w:rsid w:val="00E56530"/>
    <w:rsid w:val="00E601FD"/>
    <w:rsid w:val="00E610A4"/>
    <w:rsid w:val="00E61787"/>
    <w:rsid w:val="00E64210"/>
    <w:rsid w:val="00E64C32"/>
    <w:rsid w:val="00E67104"/>
    <w:rsid w:val="00E6769B"/>
    <w:rsid w:val="00E70C86"/>
    <w:rsid w:val="00E71739"/>
    <w:rsid w:val="00E71949"/>
    <w:rsid w:val="00E72C92"/>
    <w:rsid w:val="00E74E05"/>
    <w:rsid w:val="00E82BA8"/>
    <w:rsid w:val="00E87CCC"/>
    <w:rsid w:val="00E911CD"/>
    <w:rsid w:val="00E920FF"/>
    <w:rsid w:val="00E921BC"/>
    <w:rsid w:val="00E95C38"/>
    <w:rsid w:val="00E97498"/>
    <w:rsid w:val="00EA08C0"/>
    <w:rsid w:val="00EA19B7"/>
    <w:rsid w:val="00EA23DA"/>
    <w:rsid w:val="00EA567C"/>
    <w:rsid w:val="00EB11CB"/>
    <w:rsid w:val="00EB53BF"/>
    <w:rsid w:val="00EB55DD"/>
    <w:rsid w:val="00EB66B7"/>
    <w:rsid w:val="00EB7A1F"/>
    <w:rsid w:val="00EC3894"/>
    <w:rsid w:val="00EC5645"/>
    <w:rsid w:val="00ED578B"/>
    <w:rsid w:val="00ED5C80"/>
    <w:rsid w:val="00ED72D3"/>
    <w:rsid w:val="00EE08B2"/>
    <w:rsid w:val="00EE20C2"/>
    <w:rsid w:val="00EE378C"/>
    <w:rsid w:val="00EE484B"/>
    <w:rsid w:val="00EE54F8"/>
    <w:rsid w:val="00F06115"/>
    <w:rsid w:val="00F0673F"/>
    <w:rsid w:val="00F11926"/>
    <w:rsid w:val="00F1716F"/>
    <w:rsid w:val="00F371C7"/>
    <w:rsid w:val="00F41CE5"/>
    <w:rsid w:val="00F42914"/>
    <w:rsid w:val="00F431D2"/>
    <w:rsid w:val="00F53915"/>
    <w:rsid w:val="00F6123B"/>
    <w:rsid w:val="00F61C4D"/>
    <w:rsid w:val="00F64B53"/>
    <w:rsid w:val="00F711B6"/>
    <w:rsid w:val="00F71A50"/>
    <w:rsid w:val="00F80838"/>
    <w:rsid w:val="00F8146E"/>
    <w:rsid w:val="00F814B2"/>
    <w:rsid w:val="00FA110E"/>
    <w:rsid w:val="00FA43E3"/>
    <w:rsid w:val="00FA5722"/>
    <w:rsid w:val="00FA6541"/>
    <w:rsid w:val="00FA6940"/>
    <w:rsid w:val="00FA6B1E"/>
    <w:rsid w:val="00FA6F14"/>
    <w:rsid w:val="00FB05F2"/>
    <w:rsid w:val="00FB2336"/>
    <w:rsid w:val="00FB5E2E"/>
    <w:rsid w:val="00FB6346"/>
    <w:rsid w:val="00FB7CC2"/>
    <w:rsid w:val="00FC7866"/>
    <w:rsid w:val="00FC7A00"/>
    <w:rsid w:val="00FD4AEC"/>
    <w:rsid w:val="00FD7C4E"/>
    <w:rsid w:val="00FE1755"/>
    <w:rsid w:val="00FE3943"/>
    <w:rsid w:val="00FE663A"/>
    <w:rsid w:val="00FE6DA2"/>
    <w:rsid w:val="00FF33F9"/>
    <w:rsid w:val="00FF64B2"/>
    <w:rsid w:val="3ACC7749"/>
    <w:rsid w:val="49B80A5C"/>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B5D2E6E"/>
  <w15:docId w15:val="{C0918186-DAEA-4F42-A969-71C4C1A7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zh-CN" w:eastAsia="en-US"/>
      <w14:ligatures w14:val="standardContextual"/>
    </w:rPr>
  </w:style>
  <w:style w:type="paragraph" w:styleId="Heading1">
    <w:name w:val="heading 1"/>
    <w:basedOn w:val="Normal"/>
    <w:next w:val="Normal"/>
    <w:link w:val="Heading1Char"/>
    <w:uiPriority w:val="9"/>
    <w:qFormat/>
    <w:pPr>
      <w:keepNext/>
      <w:keepLines/>
      <w:spacing w:before="360" w:after="80" w:line="480" w:lineRule="auto"/>
      <w:jc w:val="center"/>
      <w:outlineLvl w:val="0"/>
    </w:pPr>
    <w:rPr>
      <w:rFonts w:ascii="Times New Roman" w:eastAsiaTheme="majorEastAsia" w:hAnsi="Times New Roman" w:cstheme="majorBidi"/>
      <w:b/>
      <w:sz w:val="24"/>
      <w:szCs w:val="40"/>
    </w:rPr>
  </w:style>
  <w:style w:type="paragraph" w:styleId="Heading2">
    <w:name w:val="heading 2"/>
    <w:basedOn w:val="ListParagraph"/>
    <w:next w:val="Normal"/>
    <w:link w:val="Heading2Char"/>
    <w:uiPriority w:val="9"/>
    <w:unhideWhenUsed/>
    <w:qFormat/>
    <w:pPr>
      <w:numPr>
        <w:ilvl w:val="1"/>
        <w:numId w:val="1"/>
      </w:numPr>
      <w:spacing w:after="0" w:line="480" w:lineRule="auto"/>
      <w:ind w:left="426" w:hanging="426"/>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pPr>
      <w:numPr>
        <w:ilvl w:val="2"/>
        <w:numId w:val="2"/>
      </w:numPr>
      <w:spacing w:after="0" w:line="480" w:lineRule="auto"/>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pPr>
      <w:spacing w:after="0" w:line="480" w:lineRule="auto"/>
      <w:jc w:val="both"/>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Caption">
    <w:name w:val="caption"/>
    <w:basedOn w:val="Normal"/>
    <w:next w:val="Normal"/>
    <w:uiPriority w:val="35"/>
    <w:unhideWhenUsed/>
    <w:qFormat/>
    <w:pPr>
      <w:spacing w:after="200" w:line="240" w:lineRule="auto"/>
    </w:pPr>
    <w:rPr>
      <w:rFonts w:ascii="Times New Roman" w:hAnsi="Times New Roman"/>
      <w:b/>
      <w:iCs/>
      <w:color w:val="000000" w:themeColor="text1"/>
      <w:sz w:val="20"/>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Pr>
      <w:rFonts w:ascii="Times New Roman" w:hAnsi="Times New Roman" w:cs="Times New Roman"/>
      <w:sz w:val="24"/>
      <w:szCs w:val="24"/>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pPr>
      <w:tabs>
        <w:tab w:val="left" w:pos="567"/>
        <w:tab w:val="left" w:pos="720"/>
        <w:tab w:val="right" w:leader="dot" w:pos="7927"/>
      </w:tabs>
      <w:spacing w:before="240" w:after="0" w:line="276" w:lineRule="auto"/>
    </w:pPr>
    <w:rPr>
      <w:rFonts w:ascii="Times New Roman" w:hAnsi="Times New Roman" w:cs="Times New Roman"/>
      <w:b/>
      <w:bCs/>
      <w:sz w:val="24"/>
      <w:szCs w:val="24"/>
    </w:rPr>
  </w:style>
  <w:style w:type="paragraph" w:styleId="TOC2">
    <w:name w:val="toc 2"/>
    <w:basedOn w:val="Normal"/>
    <w:next w:val="Normal"/>
    <w:autoRedefine/>
    <w:uiPriority w:val="39"/>
    <w:unhideWhenUsed/>
    <w:pPr>
      <w:tabs>
        <w:tab w:val="left" w:pos="567"/>
        <w:tab w:val="right" w:leader="dot" w:pos="7927"/>
      </w:tabs>
      <w:spacing w:after="0" w:line="276" w:lineRule="auto"/>
      <w:ind w:left="142"/>
    </w:pPr>
  </w:style>
  <w:style w:type="paragraph" w:styleId="TOC3">
    <w:name w:val="toc 3"/>
    <w:basedOn w:val="Normal"/>
    <w:next w:val="Normal"/>
    <w:autoRedefine/>
    <w:uiPriority w:val="39"/>
    <w:unhideWhenUsed/>
    <w:pPr>
      <w:tabs>
        <w:tab w:val="left" w:pos="1134"/>
        <w:tab w:val="left" w:pos="1276"/>
        <w:tab w:val="right" w:leader="dot" w:pos="7927"/>
      </w:tabs>
      <w:spacing w:after="0" w:line="276" w:lineRule="auto"/>
      <w:ind w:left="567"/>
      <w:jc w:val="both"/>
    </w:pPr>
  </w:style>
  <w:style w:type="character" w:customStyle="1" w:styleId="Heading1Char">
    <w:name w:val="Heading 1 Char"/>
    <w:basedOn w:val="DefaultParagraphFont"/>
    <w:link w:val="Heading1"/>
    <w:uiPriority w:val="9"/>
    <w:rPr>
      <w:rFonts w:ascii="Times New Roman" w:eastAsiaTheme="majorEastAsia" w:hAnsi="Times New Roman" w:cstheme="majorBidi"/>
      <w:b/>
      <w:sz w:val="24"/>
      <w:szCs w:val="40"/>
    </w:rPr>
  </w:style>
  <w:style w:type="character" w:customStyle="1" w:styleId="Heading2Char">
    <w:name w:val="Heading 2 Char"/>
    <w:basedOn w:val="DefaultParagraphFont"/>
    <w:link w:val="Heading2"/>
    <w:uiPriority w:val="9"/>
    <w:rPr>
      <w:rFonts w:ascii="Times New Roman" w:hAnsi="Times New Roman" w:cs="Times New Roman"/>
      <w:b/>
      <w:bCs/>
      <w:sz w:val="24"/>
      <w:szCs w:val="24"/>
    </w:rPr>
  </w:style>
  <w:style w:type="character" w:customStyle="1" w:styleId="Heading3Char">
    <w:name w:val="Heading 3 Char"/>
    <w:basedOn w:val="DefaultParagraphFont"/>
    <w:link w:val="Heading3"/>
    <w:uiPriority w:val="9"/>
    <w:rPr>
      <w:rFonts w:ascii="Times New Roman" w:hAnsi="Times New Roman" w:cs="Times New Roman"/>
      <w:b/>
      <w:bCs/>
      <w:sz w:val="24"/>
      <w:szCs w:val="24"/>
    </w:rPr>
  </w:style>
  <w:style w:type="character" w:customStyle="1" w:styleId="Heading4Char">
    <w:name w:val="Heading 4 Char"/>
    <w:basedOn w:val="DefaultParagraphFont"/>
    <w:link w:val="Heading4"/>
    <w:uiPriority w:val="9"/>
    <w:rPr>
      <w:rFonts w:ascii="Times New Roman" w:hAnsi="Times New Roman" w:cs="Times New Roman"/>
      <w:b/>
      <w:bCs/>
      <w:sz w:val="24"/>
      <w:szCs w:val="24"/>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666666"/>
    </w:rPr>
  </w:style>
  <w:style w:type="character" w:customStyle="1" w:styleId="FootnoteTextChar">
    <w:name w:val="Footnote Text Char"/>
    <w:basedOn w:val="DefaultParagraphFont"/>
    <w:link w:val="FootnoteText"/>
    <w:uiPriority w:val="99"/>
    <w:semiHidden/>
    <w:rPr>
      <w:sz w:val="20"/>
      <w:szCs w:val="20"/>
    </w:rPr>
  </w:style>
  <w:style w:type="paragraph" w:customStyle="1" w:styleId="SubBab2">
    <w:name w:val="Sub Bab 2"/>
    <w:basedOn w:val="Heading2"/>
    <w:link w:val="SubBab2Char"/>
    <w:qFormat/>
    <w:pPr>
      <w:numPr>
        <w:numId w:val="2"/>
      </w:numPr>
    </w:pPr>
    <w:rPr>
      <w:bCs w:val="0"/>
    </w:rPr>
  </w:style>
  <w:style w:type="character" w:customStyle="1" w:styleId="ListParagraphChar">
    <w:name w:val="List Paragraph Char"/>
    <w:basedOn w:val="DefaultParagraphFont"/>
    <w:link w:val="ListParagraph"/>
    <w:uiPriority w:val="34"/>
  </w:style>
  <w:style w:type="character" w:customStyle="1" w:styleId="SubBab2Char">
    <w:name w:val="Sub Bab 2 Char"/>
    <w:basedOn w:val="ListParagraphChar"/>
    <w:link w:val="SubBab2"/>
    <w:rPr>
      <w:rFonts w:ascii="Times New Roman" w:hAnsi="Times New Roman" w:cs="Times New Roman"/>
      <w:b/>
      <w:sz w:val="24"/>
      <w:szCs w:val="24"/>
    </w:rPr>
  </w:style>
  <w:style w:type="paragraph" w:customStyle="1" w:styleId="subsubheading3">
    <w:name w:val="sub sub heading 3"/>
    <w:basedOn w:val="Heading3"/>
    <w:link w:val="subsubheading3Char"/>
  </w:style>
  <w:style w:type="character" w:customStyle="1" w:styleId="subsubheading3Char">
    <w:name w:val="sub sub heading 3 Char"/>
    <w:basedOn w:val="Heading3Char"/>
    <w:link w:val="subsubheading3"/>
    <w:rPr>
      <w:rFonts w:ascii="Times New Roman" w:hAnsi="Times New Roman" w:cs="Times New Roman"/>
      <w:b/>
      <w:bCs/>
      <w:sz w:val="24"/>
      <w:szCs w:val="24"/>
    </w:rPr>
  </w:style>
  <w:style w:type="paragraph" w:customStyle="1" w:styleId="SubHeading3">
    <w:name w:val="Sub Heading 3"/>
    <w:basedOn w:val="Heading3"/>
    <w:link w:val="SubHeading3Char"/>
    <w:qFormat/>
    <w:pPr>
      <w:numPr>
        <w:ilvl w:val="0"/>
        <w:numId w:val="0"/>
      </w:numPr>
      <w:ind w:left="792" w:hanging="792"/>
    </w:pPr>
  </w:style>
  <w:style w:type="character" w:customStyle="1" w:styleId="SubHeading3Char">
    <w:name w:val="Sub Heading 3 Char"/>
    <w:basedOn w:val="subsubheading3Char"/>
    <w:link w:val="SubHeading3"/>
    <w:rPr>
      <w:rFonts w:ascii="Times New Roman" w:hAnsi="Times New Roman" w:cs="Times New Roman"/>
      <w:b/>
      <w:bCs/>
      <w:sz w:val="24"/>
      <w:szCs w:val="24"/>
    </w:rPr>
  </w:style>
  <w:style w:type="paragraph" w:customStyle="1" w:styleId="TOCHeading1">
    <w:name w:val="TOC Heading1"/>
    <w:basedOn w:val="Heading1"/>
    <w:next w:val="Normal"/>
    <w:uiPriority w:val="39"/>
    <w:unhideWhenUsed/>
    <w:qFormat/>
    <w:pPr>
      <w:spacing w:before="240" w:after="0" w:line="259" w:lineRule="auto"/>
      <w:jc w:val="left"/>
      <w:outlineLvl w:val="9"/>
    </w:pPr>
    <w:rPr>
      <w:rFonts w:asciiTheme="majorHAnsi" w:hAnsiTheme="majorHAnsi"/>
      <w:b w:val="0"/>
      <w:color w:val="2F5496" w:themeColor="accent1" w:themeShade="BF"/>
      <w:kern w:val="0"/>
      <w:sz w:val="32"/>
      <w:szCs w:val="32"/>
      <w:lang w:val="en-US"/>
      <w14:ligatures w14:val="none"/>
    </w:rPr>
  </w:style>
  <w:style w:type="paragraph" w:customStyle="1" w:styleId="SubHeadingBab3">
    <w:name w:val="Sub Heading Bab 3"/>
    <w:basedOn w:val="Heading2"/>
    <w:link w:val="SubHeadingBab3Char"/>
    <w:qFormat/>
    <w:pPr>
      <w:numPr>
        <w:numId w:val="3"/>
      </w:numPr>
      <w:ind w:left="709" w:hanging="709"/>
    </w:pPr>
    <w:rPr>
      <w:bCs w:val="0"/>
    </w:rPr>
  </w:style>
  <w:style w:type="character" w:customStyle="1" w:styleId="SubHeadingBab3Char">
    <w:name w:val="Sub Heading Bab 3 Char"/>
    <w:basedOn w:val="ListParagraphChar"/>
    <w:link w:val="SubHeadingBab3"/>
    <w:rPr>
      <w:rFonts w:ascii="Times New Roman" w:hAnsi="Times New Roman" w:cs="Times New Roman"/>
      <w:b/>
      <w:sz w:val="24"/>
      <w:szCs w:val="24"/>
    </w:rPr>
  </w:style>
  <w:style w:type="paragraph" w:customStyle="1" w:styleId="Subsubbab3">
    <w:name w:val="Sub sub bab 3"/>
    <w:basedOn w:val="Heading3"/>
    <w:link w:val="Subsubbab3Char"/>
    <w:qFormat/>
    <w:pPr>
      <w:numPr>
        <w:numId w:val="4"/>
      </w:numPr>
      <w:ind w:left="709" w:hanging="709"/>
    </w:pPr>
    <w:rPr>
      <w:bCs w:val="0"/>
    </w:rPr>
  </w:style>
  <w:style w:type="character" w:customStyle="1" w:styleId="Subsubbab3Char">
    <w:name w:val="Sub sub bab 3 Char"/>
    <w:basedOn w:val="ListParagraphChar"/>
    <w:link w:val="Subsubbab3"/>
    <w:rPr>
      <w:rFonts w:ascii="Times New Roman" w:hAnsi="Times New Roman" w:cs="Times New Roman"/>
      <w:b/>
      <w:sz w:val="24"/>
      <w:szCs w:val="24"/>
    </w:rPr>
  </w:style>
  <w:style w:type="paragraph" w:customStyle="1" w:styleId="triplesubbab3">
    <w:name w:val="triple sub bab 3"/>
    <w:basedOn w:val="Heading3"/>
    <w:link w:val="triplesubbab3Char"/>
    <w:qFormat/>
    <w:pPr>
      <w:numPr>
        <w:ilvl w:val="3"/>
        <w:numId w:val="5"/>
      </w:numPr>
      <w:ind w:left="851" w:hanging="851"/>
    </w:pPr>
    <w:rPr>
      <w:bCs w:val="0"/>
      <w:i/>
      <w:iCs/>
    </w:rPr>
  </w:style>
  <w:style w:type="character" w:customStyle="1" w:styleId="triplesubbab3Char">
    <w:name w:val="triple sub bab 3 Char"/>
    <w:basedOn w:val="ListParagraphChar"/>
    <w:link w:val="triplesubbab3"/>
    <w:rPr>
      <w:rFonts w:ascii="Times New Roman" w:hAnsi="Times New Roman" w:cs="Times New Roman"/>
      <w:b/>
      <w:i/>
      <w:iCs/>
      <w:sz w:val="24"/>
      <w:szCs w:val="24"/>
    </w:rPr>
  </w:style>
  <w:style w:type="paragraph" w:customStyle="1" w:styleId="subheading312">
    <w:name w:val="sub heading 3.1.2"/>
    <w:basedOn w:val="triplesubbab3"/>
    <w:link w:val="subheading312Char"/>
    <w:qFormat/>
    <w:pPr>
      <w:numPr>
        <w:ilvl w:val="0"/>
        <w:numId w:val="0"/>
      </w:numPr>
    </w:pPr>
    <w:rPr>
      <w:i w:val="0"/>
      <w:iCs w:val="0"/>
    </w:rPr>
  </w:style>
  <w:style w:type="character" w:customStyle="1" w:styleId="subheading312Char">
    <w:name w:val="sub heading 3.1.2 Char"/>
    <w:basedOn w:val="triplesubbab3Char"/>
    <w:link w:val="subheading312"/>
    <w:rPr>
      <w:rFonts w:ascii="Times New Roman" w:hAnsi="Times New Roman" w:cs="Times New Roman"/>
      <w:b/>
      <w:i w:val="0"/>
      <w:iCs w:val="0"/>
      <w:sz w:val="24"/>
      <w:szCs w:val="24"/>
    </w:rPr>
  </w:style>
  <w:style w:type="paragraph" w:customStyle="1" w:styleId="351subheading">
    <w:name w:val="3.5.1 sub heading"/>
    <w:basedOn w:val="Subsubbab3"/>
    <w:link w:val="351subheadingChar"/>
    <w:qFormat/>
  </w:style>
  <w:style w:type="character" w:customStyle="1" w:styleId="351subheadingChar">
    <w:name w:val="3.5.1 sub heading Char"/>
    <w:basedOn w:val="Subsubbab3Char"/>
    <w:link w:val="351subheading"/>
    <w:rPr>
      <w:rFonts w:ascii="Times New Roman" w:hAnsi="Times New Roman" w:cs="Times New Roman"/>
      <w:b/>
      <w:sz w:val="24"/>
      <w:szCs w:val="24"/>
    </w:rPr>
  </w:style>
  <w:style w:type="paragraph" w:customStyle="1" w:styleId="Subsubheading5">
    <w:name w:val="Subsub heading 5"/>
    <w:basedOn w:val="subheading312"/>
    <w:link w:val="Subsubheading5Char"/>
    <w:qFormat/>
    <w:rPr>
      <w:bCs/>
    </w:rPr>
  </w:style>
  <w:style w:type="character" w:customStyle="1" w:styleId="Subsubheading5Char">
    <w:name w:val="Subsub heading 5 Char"/>
    <w:basedOn w:val="DefaultParagraphFont"/>
    <w:link w:val="Subsubheading5"/>
    <w:rPr>
      <w:rFonts w:ascii="Times New Roman" w:hAnsi="Times New Roman" w:cs="Times New Roman"/>
      <w:b/>
      <w:bCs/>
      <w:sz w:val="24"/>
      <w:szCs w:val="24"/>
    </w:rPr>
  </w:style>
  <w:style w:type="paragraph" w:customStyle="1" w:styleId="SubBab4">
    <w:name w:val="Sub Bab 4"/>
    <w:basedOn w:val="Normal"/>
    <w:link w:val="SubBab4Char"/>
    <w:qFormat/>
    <w:pPr>
      <w:spacing w:line="360" w:lineRule="auto"/>
    </w:pPr>
    <w:rPr>
      <w:rFonts w:ascii="Times New Roman" w:hAnsi="Times New Roman" w:cs="Times New Roman"/>
      <w:b/>
      <w:bCs/>
      <w:sz w:val="24"/>
      <w:szCs w:val="24"/>
    </w:rPr>
  </w:style>
  <w:style w:type="character" w:customStyle="1" w:styleId="SubBab4Char">
    <w:name w:val="Sub Bab 4 Char"/>
    <w:basedOn w:val="DefaultParagraphFont"/>
    <w:link w:val="SubBab4"/>
    <w:rPr>
      <w:rFonts w:ascii="Times New Roman" w:hAnsi="Times New Roman" w:cs="Times New Roman"/>
      <w:b/>
      <w:bCs/>
      <w:sz w:val="24"/>
      <w:szCs w:val="24"/>
    </w:rPr>
  </w:style>
  <w:style w:type="paragraph" w:customStyle="1" w:styleId="subbab40">
    <w:name w:val="sub bab 4"/>
    <w:basedOn w:val="Heading2"/>
    <w:link w:val="subbab4Char0"/>
    <w:qFormat/>
    <w:pPr>
      <w:jc w:val="left"/>
    </w:pPr>
  </w:style>
  <w:style w:type="character" w:customStyle="1" w:styleId="subbab4Char0">
    <w:name w:val="sub bab 4 Char"/>
    <w:basedOn w:val="Heading2Char"/>
    <w:link w:val="subbab40"/>
    <w:rPr>
      <w:rFonts w:ascii="Times New Roman" w:hAnsi="Times New Roman" w:cs="Times New Roman"/>
      <w:b/>
      <w:bCs/>
      <w:sz w:val="24"/>
      <w:szCs w:val="24"/>
    </w:rPr>
  </w:style>
  <w:style w:type="paragraph" w:customStyle="1" w:styleId="subbab5">
    <w:name w:val="sub bab 5"/>
    <w:basedOn w:val="Heading2"/>
    <w:link w:val="subbab5Char"/>
    <w:qFormat/>
    <w:pPr>
      <w:jc w:val="left"/>
    </w:pPr>
  </w:style>
  <w:style w:type="character" w:customStyle="1" w:styleId="subbab5Char">
    <w:name w:val="sub bab 5 Char"/>
    <w:basedOn w:val="Heading1Char"/>
    <w:link w:val="subbab5"/>
    <w:rPr>
      <w:rFonts w:ascii="Times New Roman" w:eastAsiaTheme="majorEastAsia" w:hAnsi="Times New Roman" w:cs="Times New Roman"/>
      <w:b/>
      <w:bCs/>
      <w:sz w:val="24"/>
      <w:szCs w:val="24"/>
    </w:rPr>
  </w:style>
  <w:style w:type="paragraph" w:customStyle="1" w:styleId="TableParagraph">
    <w:name w:val="Table Paragraph"/>
    <w:basedOn w:val="Normal"/>
    <w:uiPriority w:val="1"/>
    <w:qFormat/>
    <w:pPr>
      <w:widowControl w:val="0"/>
      <w:autoSpaceDE w:val="0"/>
      <w:autoSpaceDN w:val="0"/>
      <w:spacing w:after="0" w:line="210" w:lineRule="exact"/>
      <w:jc w:val="center"/>
    </w:pPr>
    <w:rPr>
      <w:rFonts w:ascii="Times New Roman" w:eastAsia="Times New Roman" w:hAnsi="Times New Roman" w:cs="Times New Roman"/>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footer" Target="footer6.xm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20.pn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40.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0.png"/><Relationship Id="rId35" Type="http://schemas.openxmlformats.org/officeDocument/2006/relationships/image" Target="media/image130.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DC42706-D7CE-4B81-914F-D872DECA9E6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6211</TotalTime>
  <Pages>1</Pages>
  <Words>48382</Words>
  <Characters>275779</Characters>
  <Application>Microsoft Office Word</Application>
  <DocSecurity>0</DocSecurity>
  <Lines>2298</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Julius Putra</dc:creator>
  <cp:lastModifiedBy>Julius Putra</cp:lastModifiedBy>
  <cp:revision>17</cp:revision>
  <cp:lastPrinted>2026-02-02T23:42:00Z</cp:lastPrinted>
  <dcterms:created xsi:type="dcterms:W3CDTF">2025-05-06T00:16:00Z</dcterms:created>
  <dcterms:modified xsi:type="dcterms:W3CDTF">2026-02-02T23:42:00Z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5322b67d-061b-3070-9040-a2bc71725e44</vt:lpwstr>
  </property>
  <property fmtid="{D5CDD505-2E9C-101B-9397-08002B2CF9AE}" pid="25" name="KSOProductBuildVer">
    <vt:lpwstr>1033-12.2.0.23196</vt:lpwstr>
  </property>
  <property fmtid="{D5CDD505-2E9C-101B-9397-08002B2CF9AE}" pid="26" name="ICV">
    <vt:lpwstr>2E89C024DAF2485E9FC7DE7F7CD5A914_12</vt:lpwstr>
  </property>
</Properties>
</file>