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325CD"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THE EFFECT OF GREEN ACCOUNTING, CARBON EMISSION DISCLOSURE AND GREEN CAPITAL STRUCTURE ON FIRM VALUE WITH GREEN INTELLECTUAL CAPITAL AS A MODERATING VARIABLE</w:t>
      </w:r>
    </w:p>
    <w:p w14:paraId="610E04BC" w14:textId="77777777" w:rsidR="00153781" w:rsidRPr="007E7CB6" w:rsidRDefault="00153781">
      <w:pPr>
        <w:jc w:val="center"/>
        <w:rPr>
          <w:rFonts w:ascii="Times New Roman" w:eastAsia="Times New Roman" w:hAnsi="Times New Roman" w:cs="Times New Roman"/>
          <w:b/>
          <w:sz w:val="32"/>
          <w:szCs w:val="32"/>
        </w:rPr>
      </w:pPr>
    </w:p>
    <w:p w14:paraId="71D88346" w14:textId="77777777" w:rsidR="00153781" w:rsidRPr="007E7CB6" w:rsidRDefault="00153781">
      <w:pPr>
        <w:jc w:val="center"/>
        <w:rPr>
          <w:rFonts w:ascii="Times New Roman" w:eastAsia="Times New Roman" w:hAnsi="Times New Roman" w:cs="Times New Roman"/>
          <w:b/>
          <w:sz w:val="30"/>
          <w:szCs w:val="30"/>
        </w:rPr>
      </w:pPr>
    </w:p>
    <w:p w14:paraId="1A31129D" w14:textId="77777777" w:rsidR="00153781" w:rsidRPr="007E7CB6" w:rsidRDefault="00153781">
      <w:pPr>
        <w:jc w:val="center"/>
        <w:rPr>
          <w:rFonts w:ascii="Times New Roman" w:eastAsia="Times New Roman" w:hAnsi="Times New Roman" w:cs="Times New Roman"/>
          <w:b/>
          <w:sz w:val="30"/>
          <w:szCs w:val="30"/>
        </w:rPr>
      </w:pPr>
    </w:p>
    <w:p w14:paraId="67A3C003"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THESIS</w:t>
      </w:r>
    </w:p>
    <w:p w14:paraId="100A2F06"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Written to obtain a Bachelor's degree in Accounting</w:t>
      </w:r>
    </w:p>
    <w:p w14:paraId="71BABD49" w14:textId="77777777" w:rsidR="00153781" w:rsidRPr="007E7CB6" w:rsidRDefault="00153781">
      <w:pPr>
        <w:jc w:val="center"/>
        <w:rPr>
          <w:rFonts w:ascii="Times New Roman" w:eastAsia="Times New Roman" w:hAnsi="Times New Roman" w:cs="Times New Roman"/>
          <w:b/>
          <w:sz w:val="30"/>
          <w:szCs w:val="30"/>
        </w:rPr>
      </w:pPr>
    </w:p>
    <w:p w14:paraId="23FC9DFF" w14:textId="77777777" w:rsidR="00153781" w:rsidRPr="007E7CB6" w:rsidRDefault="00153781">
      <w:pPr>
        <w:jc w:val="center"/>
        <w:rPr>
          <w:rFonts w:ascii="Times New Roman" w:eastAsia="Times New Roman" w:hAnsi="Times New Roman" w:cs="Times New Roman"/>
          <w:b/>
          <w:sz w:val="30"/>
          <w:szCs w:val="30"/>
        </w:rPr>
      </w:pPr>
    </w:p>
    <w:p w14:paraId="2D45F882" w14:textId="77777777" w:rsidR="00153781" w:rsidRPr="007E7CB6" w:rsidRDefault="00153781">
      <w:pPr>
        <w:jc w:val="center"/>
        <w:rPr>
          <w:rFonts w:ascii="Times New Roman" w:eastAsia="Times New Roman" w:hAnsi="Times New Roman" w:cs="Times New Roman"/>
          <w:b/>
          <w:sz w:val="30"/>
          <w:szCs w:val="30"/>
        </w:rPr>
      </w:pPr>
    </w:p>
    <w:p w14:paraId="705B67E5" w14:textId="77777777" w:rsidR="00153781" w:rsidRPr="007E7CB6" w:rsidRDefault="00000000">
      <w:pPr>
        <w:jc w:val="center"/>
        <w:rPr>
          <w:rFonts w:ascii="Times New Roman" w:eastAsia="Times New Roman" w:hAnsi="Times New Roman" w:cs="Times New Roman"/>
          <w:b/>
          <w:sz w:val="24"/>
          <w:szCs w:val="24"/>
        </w:rPr>
      </w:pPr>
      <w:r w:rsidRPr="007E7CB6">
        <w:rPr>
          <w:rFonts w:ascii="Times New Roman" w:eastAsia="Times New Roman" w:hAnsi="Times New Roman" w:cs="Times New Roman"/>
          <w:noProof/>
        </w:rPr>
        <w:drawing>
          <wp:inline distT="0" distB="0" distL="0" distR="0" wp14:anchorId="67D6AEC2" wp14:editId="31FB2A56">
            <wp:extent cx="1828800" cy="1828800"/>
            <wp:effectExtent l="0" t="0" r="0" b="0"/>
            <wp:docPr id="1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1828800" cy="1828800"/>
                    </a:xfrm>
                    <a:prstGeom prst="rect">
                      <a:avLst/>
                    </a:prstGeom>
                    <a:ln/>
                  </pic:spPr>
                </pic:pic>
              </a:graphicData>
            </a:graphic>
          </wp:inline>
        </w:drawing>
      </w:r>
    </w:p>
    <w:p w14:paraId="7DAD9FC5" w14:textId="77777777" w:rsidR="00153781" w:rsidRPr="007E7CB6" w:rsidRDefault="00153781">
      <w:pPr>
        <w:jc w:val="center"/>
        <w:rPr>
          <w:rFonts w:ascii="Times New Roman" w:eastAsia="Times New Roman" w:hAnsi="Times New Roman" w:cs="Times New Roman"/>
          <w:b/>
          <w:sz w:val="30"/>
          <w:szCs w:val="30"/>
        </w:rPr>
      </w:pPr>
    </w:p>
    <w:p w14:paraId="08D731D8" w14:textId="77777777" w:rsidR="00153781" w:rsidRPr="007E7CB6" w:rsidRDefault="00153781">
      <w:pPr>
        <w:jc w:val="center"/>
        <w:rPr>
          <w:rFonts w:ascii="Times New Roman" w:eastAsia="Times New Roman" w:hAnsi="Times New Roman" w:cs="Times New Roman"/>
          <w:b/>
          <w:sz w:val="30"/>
          <w:szCs w:val="30"/>
        </w:rPr>
      </w:pPr>
    </w:p>
    <w:p w14:paraId="429FE6E3" w14:textId="77777777" w:rsidR="00153781" w:rsidRPr="007E7CB6" w:rsidRDefault="00153781">
      <w:pPr>
        <w:jc w:val="center"/>
        <w:rPr>
          <w:rFonts w:ascii="Times New Roman" w:eastAsia="Times New Roman" w:hAnsi="Times New Roman" w:cs="Times New Roman"/>
          <w:b/>
          <w:sz w:val="30"/>
          <w:szCs w:val="30"/>
        </w:rPr>
      </w:pPr>
    </w:p>
    <w:p w14:paraId="0B696DE2" w14:textId="77777777" w:rsidR="00153781" w:rsidRPr="007E7CB6" w:rsidRDefault="00000000">
      <w:pPr>
        <w:jc w:val="center"/>
        <w:rPr>
          <w:rFonts w:ascii="Times New Roman" w:eastAsia="Times New Roman" w:hAnsi="Times New Roman" w:cs="Times New Roman"/>
          <w:sz w:val="28"/>
          <w:szCs w:val="28"/>
        </w:rPr>
      </w:pPr>
      <w:r w:rsidRPr="007E7CB6">
        <w:rPr>
          <w:rFonts w:ascii="Times New Roman" w:eastAsia="Times New Roman" w:hAnsi="Times New Roman" w:cs="Times New Roman"/>
          <w:sz w:val="28"/>
          <w:szCs w:val="28"/>
        </w:rPr>
        <w:t>Written by:</w:t>
      </w:r>
    </w:p>
    <w:p w14:paraId="66A91B4A"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RARASANTI EKA PURNAMASARI</w:t>
      </w:r>
    </w:p>
    <w:p w14:paraId="0088DBD3"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2101036218</w:t>
      </w:r>
    </w:p>
    <w:p w14:paraId="1D65DD62"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ACCOUNTING STUDY PROGRAM</w:t>
      </w:r>
    </w:p>
    <w:p w14:paraId="67EAC720" w14:textId="77777777" w:rsidR="00153781" w:rsidRPr="007E7CB6" w:rsidRDefault="00153781">
      <w:pPr>
        <w:jc w:val="center"/>
        <w:rPr>
          <w:rFonts w:ascii="Times New Roman" w:eastAsia="Times New Roman" w:hAnsi="Times New Roman" w:cs="Times New Roman"/>
          <w:b/>
          <w:sz w:val="30"/>
          <w:szCs w:val="30"/>
        </w:rPr>
      </w:pPr>
    </w:p>
    <w:p w14:paraId="34E609C1" w14:textId="77777777" w:rsidR="00153781" w:rsidRPr="007E7CB6" w:rsidRDefault="00153781">
      <w:pPr>
        <w:jc w:val="center"/>
        <w:rPr>
          <w:rFonts w:ascii="Times New Roman" w:eastAsia="Times New Roman" w:hAnsi="Times New Roman" w:cs="Times New Roman"/>
          <w:b/>
          <w:sz w:val="30"/>
          <w:szCs w:val="30"/>
        </w:rPr>
      </w:pPr>
    </w:p>
    <w:p w14:paraId="7810FB4A" w14:textId="77777777" w:rsidR="00153781" w:rsidRPr="007E7CB6" w:rsidRDefault="00153781">
      <w:pPr>
        <w:rPr>
          <w:rFonts w:ascii="Times New Roman" w:eastAsia="Times New Roman" w:hAnsi="Times New Roman" w:cs="Times New Roman"/>
          <w:b/>
          <w:sz w:val="24"/>
          <w:szCs w:val="24"/>
        </w:rPr>
      </w:pPr>
    </w:p>
    <w:p w14:paraId="3E853F58"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FACULTY OF ECONOMICS AND BUSINESS</w:t>
      </w:r>
    </w:p>
    <w:p w14:paraId="18DBD762"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UNIVERSITAS MULAWARMAN</w:t>
      </w:r>
    </w:p>
    <w:p w14:paraId="44E277DC" w14:textId="77777777" w:rsidR="00153781" w:rsidRPr="007E7CB6" w:rsidRDefault="00000000">
      <w:pPr>
        <w:jc w:val="center"/>
        <w:rPr>
          <w:rFonts w:ascii="Times New Roman" w:eastAsia="Times New Roman" w:hAnsi="Times New Roman" w:cs="Times New Roman"/>
          <w:b/>
          <w:sz w:val="28"/>
          <w:szCs w:val="28"/>
        </w:rPr>
      </w:pPr>
      <w:r w:rsidRPr="007E7CB6">
        <w:rPr>
          <w:rFonts w:ascii="Times New Roman" w:eastAsia="Times New Roman" w:hAnsi="Times New Roman" w:cs="Times New Roman"/>
          <w:b/>
          <w:sz w:val="28"/>
          <w:szCs w:val="28"/>
        </w:rPr>
        <w:t>SAMARINDA</w:t>
      </w:r>
    </w:p>
    <w:p w14:paraId="3F1D01AC" w14:textId="77777777" w:rsidR="00153781" w:rsidRPr="007E7CB6" w:rsidRDefault="00000000">
      <w:pPr>
        <w:jc w:val="center"/>
        <w:rPr>
          <w:rFonts w:ascii="Times New Roman" w:eastAsia="Times New Roman" w:hAnsi="Times New Roman" w:cs="Times New Roman"/>
          <w:b/>
          <w:sz w:val="28"/>
          <w:szCs w:val="28"/>
        </w:rPr>
        <w:sectPr w:rsidR="00153781" w:rsidRPr="007E7CB6">
          <w:headerReference w:type="even" r:id="rId10"/>
          <w:headerReference w:type="default" r:id="rId11"/>
          <w:footerReference w:type="default" r:id="rId12"/>
          <w:headerReference w:type="first" r:id="rId13"/>
          <w:footerReference w:type="first" r:id="rId14"/>
          <w:pgSz w:w="11906" w:h="16838"/>
          <w:pgMar w:top="2268" w:right="1701" w:bottom="1701" w:left="2268" w:header="720" w:footer="737" w:gutter="0"/>
          <w:pgNumType w:start="1"/>
          <w:cols w:space="720"/>
          <w:titlePg/>
        </w:sectPr>
      </w:pPr>
      <w:r w:rsidRPr="007E7CB6">
        <w:rPr>
          <w:rFonts w:ascii="Times New Roman" w:eastAsia="Times New Roman" w:hAnsi="Times New Roman" w:cs="Times New Roman"/>
          <w:b/>
          <w:sz w:val="28"/>
          <w:szCs w:val="28"/>
        </w:rPr>
        <w:t>2025</w:t>
      </w:r>
    </w:p>
    <w:p w14:paraId="56D5F9A7"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0" w:name="_Toc210744199"/>
      <w:r w:rsidRPr="007E7CB6">
        <w:rPr>
          <w:rFonts w:ascii="Times New Roman" w:eastAsia="Times New Roman" w:hAnsi="Times New Roman" w:cs="Times New Roman"/>
          <w:b/>
          <w:sz w:val="24"/>
          <w:szCs w:val="24"/>
        </w:rPr>
        <w:lastRenderedPageBreak/>
        <w:t>APPROVAL PAGE</w:t>
      </w:r>
      <w:bookmarkEnd w:id="0"/>
    </w:p>
    <w:p w14:paraId="69D75129" w14:textId="77777777" w:rsidR="00153781" w:rsidRPr="007E7CB6" w:rsidRDefault="00000000">
      <w:pPr>
        <w:spacing w:line="360" w:lineRule="auto"/>
        <w:ind w:left="1980" w:hanging="19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Research Title       : The Effect of Green Accounting, Carbon Emission Disclosure and Green Capital Structure on Firm Value with Green Intellectual Capital as a Moderating Variable </w:t>
      </w:r>
    </w:p>
    <w:p w14:paraId="04517567" w14:textId="77777777" w:rsidR="00153781" w:rsidRPr="007E7CB6" w:rsidRDefault="00000000">
      <w:pPr>
        <w:spacing w:line="360" w:lineRule="auto"/>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Name         </w:t>
      </w:r>
      <w:r w:rsidRPr="007E7CB6">
        <w:rPr>
          <w:rFonts w:ascii="Times New Roman" w:eastAsia="Times New Roman" w:hAnsi="Times New Roman" w:cs="Times New Roman"/>
          <w:sz w:val="24"/>
          <w:szCs w:val="24"/>
        </w:rPr>
        <w:tab/>
        <w:t xml:space="preserve">       : Rarasanti Eka Purnamasari</w:t>
      </w:r>
    </w:p>
    <w:p w14:paraId="4411AC49" w14:textId="0EC6B09E" w:rsidR="00153781" w:rsidRPr="007E7CB6" w:rsidRDefault="00000000">
      <w:pPr>
        <w:spacing w:line="360" w:lineRule="auto"/>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Student Number     : 2101036218</w:t>
      </w:r>
    </w:p>
    <w:p w14:paraId="750B4B60" w14:textId="6F836330" w:rsidR="00153781" w:rsidRPr="007E7CB6" w:rsidRDefault="00000000">
      <w:pPr>
        <w:spacing w:line="360" w:lineRule="auto"/>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Faculty </w:t>
      </w:r>
      <w:r w:rsidRPr="007E7CB6">
        <w:rPr>
          <w:rFonts w:ascii="Times New Roman" w:eastAsia="Times New Roman" w:hAnsi="Times New Roman" w:cs="Times New Roman"/>
          <w:sz w:val="24"/>
          <w:szCs w:val="24"/>
        </w:rPr>
        <w:tab/>
        <w:t xml:space="preserve">       : Economics and Business</w:t>
      </w:r>
    </w:p>
    <w:p w14:paraId="19673506" w14:textId="7A767B59" w:rsidR="00B30E3F" w:rsidRPr="007E7CB6" w:rsidRDefault="00000000">
      <w:pPr>
        <w:spacing w:line="360" w:lineRule="auto"/>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Study Program       : Bachelor of Accounting</w:t>
      </w:r>
    </w:p>
    <w:p w14:paraId="3A30C6B3" w14:textId="2E670D2E" w:rsidR="00B30E3F" w:rsidRPr="007E7CB6" w:rsidRDefault="00FD5B7D">
      <w:pPr>
        <w:spacing w:line="360" w:lineRule="auto"/>
        <w:rPr>
          <w:rFonts w:ascii="Times New Roman" w:eastAsia="Times New Roman" w:hAnsi="Times New Roman" w:cs="Times New Roman"/>
          <w:sz w:val="24"/>
          <w:szCs w:val="24"/>
        </w:rPr>
      </w:pPr>
      <w:r w:rsidRPr="00CA437D">
        <w:rPr>
          <w:rFonts w:ascii="Times New Roman" w:eastAsia="Times New Roman" w:hAnsi="Times New Roman" w:cs="Times New Roman"/>
          <w:sz w:val="24"/>
          <w:szCs w:val="24"/>
        </w:rPr>
        <w:drawing>
          <wp:anchor distT="0" distB="0" distL="114300" distR="114300" simplePos="0" relativeHeight="251765760" behindDoc="0" locked="0" layoutInCell="1" allowOverlap="1" wp14:anchorId="3C07571D" wp14:editId="323DCD4B">
            <wp:simplePos x="0" y="0"/>
            <wp:positionH relativeFrom="column">
              <wp:posOffset>-254176</wp:posOffset>
            </wp:positionH>
            <wp:positionV relativeFrom="paragraph">
              <wp:posOffset>262060</wp:posOffset>
            </wp:positionV>
            <wp:extent cx="5785164" cy="5431626"/>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85164" cy="5431626"/>
                    </a:xfrm>
                    <a:prstGeom prst="rect">
                      <a:avLst/>
                    </a:prstGeom>
                  </pic:spPr>
                </pic:pic>
              </a:graphicData>
            </a:graphic>
            <wp14:sizeRelH relativeFrom="page">
              <wp14:pctWidth>0</wp14:pctWidth>
            </wp14:sizeRelH>
            <wp14:sizeRelV relativeFrom="page">
              <wp14:pctHeight>0</wp14:pctHeight>
            </wp14:sizeRelV>
          </wp:anchor>
        </w:drawing>
      </w:r>
    </w:p>
    <w:p w14:paraId="46546272" w14:textId="20E202A1" w:rsidR="00B30E3F" w:rsidRPr="007E7CB6" w:rsidRDefault="003F090B">
      <w:pPr>
        <w:spacing w:line="360" w:lineRule="auto"/>
        <w:rPr>
          <w:rFonts w:ascii="Times New Roman" w:eastAsia="Times New Roman" w:hAnsi="Times New Roman" w:cs="Times New Roman"/>
          <w:sz w:val="24"/>
          <w:szCs w:val="24"/>
        </w:rPr>
      </w:pPr>
      <w:r w:rsidRPr="007E7CB6">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04F1B3A" wp14:editId="1C025425">
                <wp:simplePos x="0" y="0"/>
                <wp:positionH relativeFrom="margin">
                  <wp:posOffset>443230</wp:posOffset>
                </wp:positionH>
                <wp:positionV relativeFrom="margin">
                  <wp:posOffset>5364805</wp:posOffset>
                </wp:positionV>
                <wp:extent cx="4140000" cy="2520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40000" cy="2520000"/>
                        </a:xfrm>
                        <a:prstGeom prst="rect">
                          <a:avLst/>
                        </a:prstGeom>
                        <a:solidFill>
                          <a:schemeClr val="lt1"/>
                        </a:solidFill>
                        <a:ln w="6350">
                          <a:noFill/>
                        </a:ln>
                      </wps:spPr>
                      <wps:txbx>
                        <w:txbxContent>
                          <w:p w14:paraId="2F00E99D" w14:textId="77777777" w:rsidR="003F090B" w:rsidRPr="003F090B" w:rsidRDefault="003F090B" w:rsidP="003F090B">
                            <w:pPr>
                              <w:spacing w:after="240"/>
                              <w:jc w:val="center"/>
                              <w:rPr>
                                <w:rFonts w:ascii="Times New Roman" w:hAnsi="Times New Roman" w:cs="Times New Roman"/>
                                <w:sz w:val="24"/>
                                <w:szCs w:val="24"/>
                              </w:rPr>
                            </w:pPr>
                            <w:r w:rsidRPr="003F090B">
                              <w:rPr>
                                <w:rFonts w:ascii="Times New Roman" w:hAnsi="Times New Roman" w:cs="Times New Roman"/>
                                <w:sz w:val="24"/>
                                <w:szCs w:val="24"/>
                              </w:rPr>
                              <w:t>Acknowledged,</w:t>
                            </w:r>
                          </w:p>
                          <w:p w14:paraId="510EF504" w14:textId="77777777"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Coordinator of the Bachelor of Accounting Study Program</w:t>
                            </w:r>
                          </w:p>
                          <w:p w14:paraId="45DA7125" w14:textId="77777777"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Faculty of Economics and Business</w:t>
                            </w:r>
                          </w:p>
                          <w:p w14:paraId="48984C1F" w14:textId="1BFD8BCB" w:rsidR="003F090B" w:rsidRDefault="003F090B" w:rsidP="003F090B">
                            <w:pPr>
                              <w:jc w:val="center"/>
                              <w:rPr>
                                <w:rFonts w:ascii="Times New Roman" w:hAnsi="Times New Roman" w:cs="Times New Roman"/>
                                <w:sz w:val="24"/>
                                <w:szCs w:val="24"/>
                              </w:rPr>
                            </w:pPr>
                            <w:r>
                              <w:rPr>
                                <w:rFonts w:ascii="Times New Roman" w:hAnsi="Times New Roman" w:cs="Times New Roman"/>
                                <w:sz w:val="24"/>
                                <w:szCs w:val="24"/>
                              </w:rPr>
                              <w:t>Universitas Mulawarman</w:t>
                            </w:r>
                          </w:p>
                          <w:p w14:paraId="15AD219F" w14:textId="77777777" w:rsidR="003F090B" w:rsidRDefault="003F090B" w:rsidP="003F090B">
                            <w:pPr>
                              <w:jc w:val="center"/>
                              <w:rPr>
                                <w:rFonts w:ascii="Times New Roman" w:hAnsi="Times New Roman" w:cs="Times New Roman"/>
                                <w:sz w:val="24"/>
                                <w:szCs w:val="24"/>
                              </w:rPr>
                            </w:pPr>
                          </w:p>
                          <w:p w14:paraId="2DEF9ADE" w14:textId="77777777" w:rsidR="003F090B" w:rsidRDefault="003F090B" w:rsidP="003F090B">
                            <w:pPr>
                              <w:jc w:val="center"/>
                              <w:rPr>
                                <w:rFonts w:ascii="Times New Roman" w:hAnsi="Times New Roman" w:cs="Times New Roman"/>
                                <w:sz w:val="24"/>
                                <w:szCs w:val="24"/>
                              </w:rPr>
                            </w:pPr>
                          </w:p>
                          <w:p w14:paraId="5C1502C6" w14:textId="1EACCA89" w:rsidR="003F090B" w:rsidRDefault="003F090B" w:rsidP="003F090B">
                            <w:pPr>
                              <w:jc w:val="center"/>
                              <w:rPr>
                                <w:rFonts w:ascii="Times New Roman" w:hAnsi="Times New Roman" w:cs="Times New Roman"/>
                                <w:sz w:val="24"/>
                                <w:szCs w:val="24"/>
                              </w:rPr>
                            </w:pPr>
                          </w:p>
                          <w:p w14:paraId="65E2B1D9" w14:textId="332F543D" w:rsidR="003F090B" w:rsidRDefault="003F090B" w:rsidP="003F090B">
                            <w:pPr>
                              <w:jc w:val="center"/>
                              <w:rPr>
                                <w:rFonts w:ascii="Times New Roman" w:hAnsi="Times New Roman" w:cs="Times New Roman"/>
                                <w:sz w:val="24"/>
                                <w:szCs w:val="24"/>
                              </w:rPr>
                            </w:pPr>
                          </w:p>
                          <w:p w14:paraId="39BF6C92" w14:textId="77777777" w:rsidR="007E7CB6" w:rsidRDefault="007E7CB6" w:rsidP="003F090B">
                            <w:pPr>
                              <w:jc w:val="center"/>
                              <w:rPr>
                                <w:rFonts w:ascii="Times New Roman" w:hAnsi="Times New Roman" w:cs="Times New Roman"/>
                                <w:sz w:val="24"/>
                                <w:szCs w:val="24"/>
                              </w:rPr>
                            </w:pPr>
                          </w:p>
                          <w:p w14:paraId="2D1854C0" w14:textId="5008034E" w:rsidR="003F090B" w:rsidRPr="00B037EA" w:rsidRDefault="003F090B" w:rsidP="003F090B">
                            <w:pPr>
                              <w:rPr>
                                <w:rFonts w:ascii="Times New Roman" w:hAnsi="Times New Roman" w:cs="Times New Roman"/>
                                <w:sz w:val="24"/>
                                <w:szCs w:val="24"/>
                              </w:rPr>
                            </w:pPr>
                            <w:r w:rsidRPr="003F090B">
                              <w:rPr>
                                <w:rFonts w:ascii="Times New Roman" w:hAnsi="Times New Roman" w:cs="Times New Roman"/>
                                <w:sz w:val="24"/>
                                <w:szCs w:val="24"/>
                                <w:u w:val="single"/>
                              </w:rPr>
                              <w:t xml:space="preserve">Dr. Fibriyani Nur Khairin, S.E., M.S.A., Ak., CA., CSP., CIQaR </w:t>
                            </w:r>
                            <w:r w:rsidRPr="003F090B">
                              <w:rPr>
                                <w:rFonts w:ascii="Times New Roman" w:hAnsi="Times New Roman" w:cs="Times New Roman"/>
                                <w:sz w:val="24"/>
                                <w:szCs w:val="24"/>
                              </w:rPr>
                              <w:t>NIP. 19850204 200912 2 007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F1B3A" id="_x0000_t202" coordsize="21600,21600" o:spt="202" path="m,l,21600r21600,l21600,xe">
                <v:stroke joinstyle="miter"/>
                <v:path gradientshapeok="t" o:connecttype="rect"/>
              </v:shapetype>
              <v:shape id="Text Box 11" o:spid="_x0000_s1026" type="#_x0000_t202" style="position:absolute;margin-left:34.9pt;margin-top:422.45pt;width:326pt;height:198.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M+LAIAAFUEAAAOAAAAZHJzL2Uyb0RvYy54bWysVE1v2zAMvQ/YfxB0X+xkSdcZcYosRYYB&#10;RVsgHXpWZCk2IImapMTOfv0o2flYt9OwHBRSpCjyvSfP7zqtyEE434Ap6XiUUyIMh6oxu5J+f1l/&#10;uKXEB2YqpsCIkh6Fp3eL9+/mrS3EBGpQlXAEixhftLakdQi2yDLPa6GZH4EVBoMSnGYBXbfLKsda&#10;rK5VNsnzm6wFV1kHXHiPu/d9kC5SfSkFD09SehGIKin2FtLq0rqNa7aYs2LnmK0bPrTB/qELzRqD&#10;l55L3bPAyN41f5TSDXfgQYYRB52BlA0XaQacZpy/mWZTMyvSLAiOt2eY/P8ryx8PG/vsSOi+QIcE&#10;RkBa6wuPm3GeTjod/7FTgnGE8HiGTXSBcNycjqc5/ijhGJvMkBZ0sE52OW6dD18FaBKNkjrkJcHF&#10;Dg8+9KmnlHibB9VU60ap5EQtiJVy5MCQRRVSk1j8tyxlSFvSm4+zPBU2EI/3lZXBXi5DRSt0226Y&#10;dAvVEQFw0GvDW75usMkH5sMzcygGHAwFHp5wkQrwEhgsSmpwP/+2H/ORI4xS0qK4Sup/7JkTlKhv&#10;Btn7PJ5OoxqTM519mqDjriPb64jZ6xXg5GN8SpYnM+YHdTKlA/2K72AZb8UQMxzvLmk4mavQSx7f&#10;ERfLZUpC/VkWHszG8lg6Ih0peOlembMDTwEpfoSTDFnxhq4+N540sNwHkE3iMgLcozrgjtpNahje&#10;WXwc137KunwNFr8AAAD//wMAUEsDBBQABgAIAAAAIQBe41YO4QAAAAsBAAAPAAAAZHJzL2Rvd25y&#10;ZXYueG1sTI/LTsMwEEX3SPyDNUhsEHWahj5CnAohHhI7mhbEzo2HJCIeR7GbhL9nWMFuHkd3zmTb&#10;ybZiwN43jhTMZxEIpNKZhioF++Lxeg3CB01Gt45QwTd62ObnZ5lOjRvpFYddqASHkE+1gjqELpXS&#10;lzVa7WeuQ+Ldp+utDtz2lTS9HjnctjKOoqW0uiG+UOsO72ssv3Ynq+Djqnp/8dPTYVzcLLqH56FY&#10;vZlCqcuL6e4WRMAp/MHwq8/qkLPT0Z3IeNEqWG7YPChYJ8kGBAOreM6TI5NxwpXMM/n/h/wHAAD/&#10;/wMAUEsBAi0AFAAGAAgAAAAhALaDOJL+AAAA4QEAABMAAAAAAAAAAAAAAAAAAAAAAFtDb250ZW50&#10;X1R5cGVzXS54bWxQSwECLQAUAAYACAAAACEAOP0h/9YAAACUAQAACwAAAAAAAAAAAAAAAAAvAQAA&#10;X3JlbHMvLnJlbHNQSwECLQAUAAYACAAAACEA7olTPiwCAABVBAAADgAAAAAAAAAAAAAAAAAuAgAA&#10;ZHJzL2Uyb0RvYy54bWxQSwECLQAUAAYACAAAACEAXuNWDuEAAAALAQAADwAAAAAAAAAAAAAAAACG&#10;BAAAZHJzL2Rvd25yZXYueG1sUEsFBgAAAAAEAAQA8wAAAJQFAAAAAA==&#10;" fillcolor="white [3201]" stroked="f" strokeweight=".5pt">
                <v:textbox>
                  <w:txbxContent>
                    <w:p w14:paraId="2F00E99D" w14:textId="77777777" w:rsidR="003F090B" w:rsidRPr="003F090B" w:rsidRDefault="003F090B" w:rsidP="003F090B">
                      <w:pPr>
                        <w:spacing w:after="240"/>
                        <w:jc w:val="center"/>
                        <w:rPr>
                          <w:rFonts w:ascii="Times New Roman" w:hAnsi="Times New Roman" w:cs="Times New Roman"/>
                          <w:sz w:val="24"/>
                          <w:szCs w:val="24"/>
                        </w:rPr>
                      </w:pPr>
                      <w:r w:rsidRPr="003F090B">
                        <w:rPr>
                          <w:rFonts w:ascii="Times New Roman" w:hAnsi="Times New Roman" w:cs="Times New Roman"/>
                          <w:sz w:val="24"/>
                          <w:szCs w:val="24"/>
                        </w:rPr>
                        <w:t>Acknowledged,</w:t>
                      </w:r>
                    </w:p>
                    <w:p w14:paraId="510EF504" w14:textId="77777777"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Coordinator of the Bachelor of Accounting Study Program</w:t>
                      </w:r>
                    </w:p>
                    <w:p w14:paraId="45DA7125" w14:textId="77777777"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Faculty of Economics and Business</w:t>
                      </w:r>
                    </w:p>
                    <w:p w14:paraId="48984C1F" w14:textId="1BFD8BCB" w:rsidR="003F090B" w:rsidRDefault="003F090B" w:rsidP="003F090B">
                      <w:pPr>
                        <w:jc w:val="center"/>
                        <w:rPr>
                          <w:rFonts w:ascii="Times New Roman" w:hAnsi="Times New Roman" w:cs="Times New Roman"/>
                          <w:sz w:val="24"/>
                          <w:szCs w:val="24"/>
                        </w:rPr>
                      </w:pPr>
                      <w:r>
                        <w:rPr>
                          <w:rFonts w:ascii="Times New Roman" w:hAnsi="Times New Roman" w:cs="Times New Roman"/>
                          <w:sz w:val="24"/>
                          <w:szCs w:val="24"/>
                        </w:rPr>
                        <w:t>Universitas Mulawarman</w:t>
                      </w:r>
                    </w:p>
                    <w:p w14:paraId="15AD219F" w14:textId="77777777" w:rsidR="003F090B" w:rsidRDefault="003F090B" w:rsidP="003F090B">
                      <w:pPr>
                        <w:jc w:val="center"/>
                        <w:rPr>
                          <w:rFonts w:ascii="Times New Roman" w:hAnsi="Times New Roman" w:cs="Times New Roman"/>
                          <w:sz w:val="24"/>
                          <w:szCs w:val="24"/>
                        </w:rPr>
                      </w:pPr>
                    </w:p>
                    <w:p w14:paraId="2DEF9ADE" w14:textId="77777777" w:rsidR="003F090B" w:rsidRDefault="003F090B" w:rsidP="003F090B">
                      <w:pPr>
                        <w:jc w:val="center"/>
                        <w:rPr>
                          <w:rFonts w:ascii="Times New Roman" w:hAnsi="Times New Roman" w:cs="Times New Roman"/>
                          <w:sz w:val="24"/>
                          <w:szCs w:val="24"/>
                        </w:rPr>
                      </w:pPr>
                    </w:p>
                    <w:p w14:paraId="5C1502C6" w14:textId="1EACCA89" w:rsidR="003F090B" w:rsidRDefault="003F090B" w:rsidP="003F090B">
                      <w:pPr>
                        <w:jc w:val="center"/>
                        <w:rPr>
                          <w:rFonts w:ascii="Times New Roman" w:hAnsi="Times New Roman" w:cs="Times New Roman"/>
                          <w:sz w:val="24"/>
                          <w:szCs w:val="24"/>
                        </w:rPr>
                      </w:pPr>
                    </w:p>
                    <w:p w14:paraId="65E2B1D9" w14:textId="332F543D" w:rsidR="003F090B" w:rsidRDefault="003F090B" w:rsidP="003F090B">
                      <w:pPr>
                        <w:jc w:val="center"/>
                        <w:rPr>
                          <w:rFonts w:ascii="Times New Roman" w:hAnsi="Times New Roman" w:cs="Times New Roman"/>
                          <w:sz w:val="24"/>
                          <w:szCs w:val="24"/>
                        </w:rPr>
                      </w:pPr>
                    </w:p>
                    <w:p w14:paraId="39BF6C92" w14:textId="77777777" w:rsidR="007E7CB6" w:rsidRDefault="007E7CB6" w:rsidP="003F090B">
                      <w:pPr>
                        <w:jc w:val="center"/>
                        <w:rPr>
                          <w:rFonts w:ascii="Times New Roman" w:hAnsi="Times New Roman" w:cs="Times New Roman"/>
                          <w:sz w:val="24"/>
                          <w:szCs w:val="24"/>
                        </w:rPr>
                      </w:pPr>
                    </w:p>
                    <w:p w14:paraId="2D1854C0" w14:textId="5008034E" w:rsidR="003F090B" w:rsidRPr="00B037EA" w:rsidRDefault="003F090B" w:rsidP="003F090B">
                      <w:pPr>
                        <w:rPr>
                          <w:rFonts w:ascii="Times New Roman" w:hAnsi="Times New Roman" w:cs="Times New Roman"/>
                          <w:sz w:val="24"/>
                          <w:szCs w:val="24"/>
                        </w:rPr>
                      </w:pPr>
                      <w:r w:rsidRPr="003F090B">
                        <w:rPr>
                          <w:rFonts w:ascii="Times New Roman" w:hAnsi="Times New Roman" w:cs="Times New Roman"/>
                          <w:sz w:val="24"/>
                          <w:szCs w:val="24"/>
                          <w:u w:val="single"/>
                        </w:rPr>
                        <w:t xml:space="preserve">Dr. Fibriyani Nur Khairin, S.E., M.S.A., Ak., CA., CSP., CIQaR </w:t>
                      </w:r>
                      <w:r w:rsidRPr="003F090B">
                        <w:rPr>
                          <w:rFonts w:ascii="Times New Roman" w:hAnsi="Times New Roman" w:cs="Times New Roman"/>
                          <w:sz w:val="24"/>
                          <w:szCs w:val="24"/>
                        </w:rPr>
                        <w:t>NIP. 19850204 200912 2 007</w:t>
                      </w:r>
                    </w:p>
                  </w:txbxContent>
                </v:textbox>
                <w10:wrap type="square" anchorx="margin" anchory="margin"/>
              </v:shape>
            </w:pict>
          </mc:Fallback>
        </mc:AlternateContent>
      </w:r>
      <w:r w:rsidRPr="007E7CB6">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6AB1F68" wp14:editId="277C4526">
                <wp:simplePos x="0" y="0"/>
                <wp:positionH relativeFrom="margin">
                  <wp:posOffset>528955</wp:posOffset>
                </wp:positionH>
                <wp:positionV relativeFrom="margin">
                  <wp:posOffset>2481580</wp:posOffset>
                </wp:positionV>
                <wp:extent cx="3959860" cy="2520000"/>
                <wp:effectExtent l="0" t="0" r="2540" b="0"/>
                <wp:wrapSquare wrapText="bothSides"/>
                <wp:docPr id="10" name="Text Box 10"/>
                <wp:cNvGraphicFramePr/>
                <a:graphic xmlns:a="http://schemas.openxmlformats.org/drawingml/2006/main">
                  <a:graphicData uri="http://schemas.microsoft.com/office/word/2010/wordprocessingShape">
                    <wps:wsp>
                      <wps:cNvSpPr txBox="1"/>
                      <wps:spPr>
                        <a:xfrm>
                          <a:off x="0" y="0"/>
                          <a:ext cx="3959860" cy="2520000"/>
                        </a:xfrm>
                        <a:prstGeom prst="rect">
                          <a:avLst/>
                        </a:prstGeom>
                        <a:solidFill>
                          <a:schemeClr val="lt1"/>
                        </a:solidFill>
                        <a:ln w="6350">
                          <a:noFill/>
                        </a:ln>
                      </wps:spPr>
                      <wps:txbx>
                        <w:txbxContent>
                          <w:p w14:paraId="1670BB4C" w14:textId="7EE31FAB"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Submitted for</w:t>
                            </w:r>
                            <w:r w:rsidR="00700A0D">
                              <w:rPr>
                                <w:rFonts w:ascii="Times New Roman" w:hAnsi="Times New Roman" w:cs="Times New Roman"/>
                                <w:sz w:val="24"/>
                                <w:szCs w:val="24"/>
                              </w:rPr>
                              <w:t xml:space="preserve"> Thesis Defense</w:t>
                            </w:r>
                          </w:p>
                          <w:p w14:paraId="7DCE12E5" w14:textId="5FC03DE4" w:rsidR="003F090B" w:rsidRPr="003F090B" w:rsidRDefault="003F090B" w:rsidP="003F090B">
                            <w:pPr>
                              <w:spacing w:after="240"/>
                              <w:jc w:val="center"/>
                              <w:rPr>
                                <w:rFonts w:ascii="Times New Roman" w:hAnsi="Times New Roman" w:cs="Times New Roman"/>
                                <w:sz w:val="24"/>
                                <w:szCs w:val="24"/>
                              </w:rPr>
                            </w:pPr>
                            <w:r w:rsidRPr="003F090B">
                              <w:rPr>
                                <w:rFonts w:ascii="Times New Roman" w:hAnsi="Times New Roman" w:cs="Times New Roman"/>
                                <w:sz w:val="24"/>
                                <w:szCs w:val="24"/>
                              </w:rPr>
                              <w:t>Approved,</w:t>
                            </w:r>
                          </w:p>
                          <w:p w14:paraId="65B7D58C" w14:textId="4E2D51F1"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 xml:space="preserve">Samarinda, </w:t>
                            </w:r>
                            <w:r w:rsidR="008F04ED">
                              <w:rPr>
                                <w:rFonts w:ascii="Times New Roman" w:hAnsi="Times New Roman" w:cs="Times New Roman"/>
                                <w:sz w:val="24"/>
                                <w:szCs w:val="24"/>
                              </w:rPr>
                              <w:t xml:space="preserve">10 </w:t>
                            </w:r>
                            <w:r w:rsidR="00CF6F50">
                              <w:rPr>
                                <w:rFonts w:ascii="Times New Roman" w:hAnsi="Times New Roman" w:cs="Times New Roman"/>
                                <w:sz w:val="24"/>
                                <w:szCs w:val="24"/>
                              </w:rPr>
                              <w:t>October</w:t>
                            </w:r>
                            <w:r w:rsidRPr="003F090B">
                              <w:rPr>
                                <w:rFonts w:ascii="Times New Roman" w:hAnsi="Times New Roman" w:cs="Times New Roman"/>
                                <w:sz w:val="24"/>
                                <w:szCs w:val="24"/>
                              </w:rPr>
                              <w:t xml:space="preserve"> 2025</w:t>
                            </w:r>
                          </w:p>
                          <w:p w14:paraId="2AE7F127" w14:textId="7F99168B" w:rsidR="00B30E3F"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Supervisor,</w:t>
                            </w:r>
                          </w:p>
                          <w:p w14:paraId="2F02BC85" w14:textId="1707150F" w:rsidR="003F090B" w:rsidRDefault="003F090B" w:rsidP="003F090B">
                            <w:pPr>
                              <w:jc w:val="center"/>
                              <w:rPr>
                                <w:rFonts w:ascii="Times New Roman" w:hAnsi="Times New Roman" w:cs="Times New Roman"/>
                                <w:sz w:val="24"/>
                                <w:szCs w:val="24"/>
                              </w:rPr>
                            </w:pPr>
                          </w:p>
                          <w:p w14:paraId="05BF92A8" w14:textId="154FEDFE" w:rsidR="003F090B" w:rsidRDefault="003F090B" w:rsidP="003F090B">
                            <w:pPr>
                              <w:jc w:val="center"/>
                              <w:rPr>
                                <w:rFonts w:ascii="Times New Roman" w:hAnsi="Times New Roman" w:cs="Times New Roman"/>
                                <w:sz w:val="24"/>
                                <w:szCs w:val="24"/>
                              </w:rPr>
                            </w:pPr>
                          </w:p>
                          <w:p w14:paraId="3669EB10" w14:textId="0D140FBB" w:rsidR="003F090B" w:rsidRDefault="003F090B" w:rsidP="003F090B">
                            <w:pPr>
                              <w:jc w:val="center"/>
                              <w:rPr>
                                <w:rFonts w:ascii="Times New Roman" w:hAnsi="Times New Roman" w:cs="Times New Roman"/>
                                <w:sz w:val="24"/>
                                <w:szCs w:val="24"/>
                              </w:rPr>
                            </w:pPr>
                          </w:p>
                          <w:p w14:paraId="48C2C79C" w14:textId="14987FB6" w:rsidR="003F090B" w:rsidRDefault="003F090B" w:rsidP="003F090B">
                            <w:pPr>
                              <w:jc w:val="center"/>
                              <w:rPr>
                                <w:rFonts w:ascii="Times New Roman" w:hAnsi="Times New Roman" w:cs="Times New Roman"/>
                                <w:sz w:val="24"/>
                                <w:szCs w:val="24"/>
                              </w:rPr>
                            </w:pPr>
                          </w:p>
                          <w:p w14:paraId="396827FC" w14:textId="77777777" w:rsidR="007E7CB6" w:rsidRDefault="007E7CB6" w:rsidP="003F090B">
                            <w:pPr>
                              <w:jc w:val="center"/>
                              <w:rPr>
                                <w:rFonts w:ascii="Times New Roman" w:hAnsi="Times New Roman" w:cs="Times New Roman"/>
                                <w:sz w:val="24"/>
                                <w:szCs w:val="24"/>
                              </w:rPr>
                            </w:pPr>
                          </w:p>
                          <w:p w14:paraId="759BA2D0" w14:textId="49A861F3" w:rsidR="003F090B" w:rsidRPr="00B037EA" w:rsidRDefault="003F090B" w:rsidP="003F090B">
                            <w:pPr>
                              <w:rPr>
                                <w:rFonts w:ascii="Times New Roman" w:hAnsi="Times New Roman" w:cs="Times New Roman"/>
                                <w:sz w:val="24"/>
                                <w:szCs w:val="24"/>
                              </w:rPr>
                            </w:pPr>
                            <w:r w:rsidRPr="003F090B">
                              <w:rPr>
                                <w:rFonts w:ascii="Times New Roman" w:hAnsi="Times New Roman" w:cs="Times New Roman"/>
                                <w:sz w:val="24"/>
                                <w:szCs w:val="24"/>
                                <w:u w:val="single"/>
                              </w:rPr>
                              <w:t>Prof. Dr. Irwansyah, M.M., CSRS., CSRA., CIQaR., CMA</w:t>
                            </w:r>
                            <w:r w:rsidRPr="003F090B">
                              <w:rPr>
                                <w:rFonts w:ascii="Times New Roman" w:hAnsi="Times New Roman" w:cs="Times New Roman"/>
                                <w:sz w:val="24"/>
                                <w:szCs w:val="24"/>
                              </w:rPr>
                              <w:t xml:space="preserve"> NIP. 19751110 200112 1 004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B1F68" id="Text Box 10" o:spid="_x0000_s1027" type="#_x0000_t202" style="position:absolute;margin-left:41.65pt;margin-top:195.4pt;width:311.8pt;height:198.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U3Lw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Hk3GU3ux2jiaBuMkJY8AZtdn1vnw1cBNYlCQR3ykuBi&#10;h7UPmBJdzy4xmwetypXSOilxFsRSO3JgyKIOqUh88ZuXNqQp6PhulKfABuLzLrI2mODaVJRCu22J&#10;Km8a3kJ5RBwcdCPiLV8prHXNfHhhDmcC+8M5D894SA2YC04SJRW4n3+7j/5IFVopaXDGCup/7JkT&#10;lOhvBkmc9IfDOJRJGY4+D1Bxt5btrcXs6yUgAH3cKMuTGP2DPovSQf2G67CIWdHEDMfcBQ1ncRm6&#10;ycd14mKxSE44hpaFtdlYHkNHwCMTr+0bc/ZEV0Cmn+A8jWz6jrXON740sNgHkCpRGnHuUD3BjyOc&#10;mD6tW9yRWz15XX8K818AAAD//wMAUEsDBBQABgAIAAAAIQBzidEZ4QAAAAoBAAAPAAAAZHJzL2Rv&#10;d25yZXYueG1sTI9NT4QwEIbvJv6HZky8GLdV4sIiZWOMH4k3Fz/irUtHINIpoV3Af+940ttM5sk7&#10;z1tsF9eLCcfQedJwsVIgkGpvO2o0vFT35xmIEA1Z03tCDd8YYFseHxUmt36mZ5x2sREcQiE3GtoY&#10;h1zKULfoTFj5AYlvn350JvI6NtKOZuZw18tLpdbSmY74Q2sGvG2x/todnIaPs+b9KSwPr3NylQx3&#10;j1OVvtlK69OT5eYaRMQl/sHwq8/qULLT3h/IBtFryJKESQ3JRnEFBlK13oDY85ClKciykP8rlD8A&#10;AAD//wMAUEsBAi0AFAAGAAgAAAAhALaDOJL+AAAA4QEAABMAAAAAAAAAAAAAAAAAAAAAAFtDb250&#10;ZW50X1R5cGVzXS54bWxQSwECLQAUAAYACAAAACEAOP0h/9YAAACUAQAACwAAAAAAAAAAAAAAAAAv&#10;AQAAX3JlbHMvLnJlbHNQSwECLQAUAAYACAAAACEAsOUVNy8CAABcBAAADgAAAAAAAAAAAAAAAAAu&#10;AgAAZHJzL2Uyb0RvYy54bWxQSwECLQAUAAYACAAAACEAc4nRGeEAAAAKAQAADwAAAAAAAAAAAAAA&#10;AACJBAAAZHJzL2Rvd25yZXYueG1sUEsFBgAAAAAEAAQA8wAAAJcFAAAAAA==&#10;" fillcolor="white [3201]" stroked="f" strokeweight=".5pt">
                <v:textbox>
                  <w:txbxContent>
                    <w:p w14:paraId="1670BB4C" w14:textId="7EE31FAB"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Submitted for</w:t>
                      </w:r>
                      <w:r w:rsidR="00700A0D">
                        <w:rPr>
                          <w:rFonts w:ascii="Times New Roman" w:hAnsi="Times New Roman" w:cs="Times New Roman"/>
                          <w:sz w:val="24"/>
                          <w:szCs w:val="24"/>
                        </w:rPr>
                        <w:t xml:space="preserve"> Thesis Defense</w:t>
                      </w:r>
                    </w:p>
                    <w:p w14:paraId="7DCE12E5" w14:textId="5FC03DE4" w:rsidR="003F090B" w:rsidRPr="003F090B" w:rsidRDefault="003F090B" w:rsidP="003F090B">
                      <w:pPr>
                        <w:spacing w:after="240"/>
                        <w:jc w:val="center"/>
                        <w:rPr>
                          <w:rFonts w:ascii="Times New Roman" w:hAnsi="Times New Roman" w:cs="Times New Roman"/>
                          <w:sz w:val="24"/>
                          <w:szCs w:val="24"/>
                        </w:rPr>
                      </w:pPr>
                      <w:r w:rsidRPr="003F090B">
                        <w:rPr>
                          <w:rFonts w:ascii="Times New Roman" w:hAnsi="Times New Roman" w:cs="Times New Roman"/>
                          <w:sz w:val="24"/>
                          <w:szCs w:val="24"/>
                        </w:rPr>
                        <w:t>Approved,</w:t>
                      </w:r>
                    </w:p>
                    <w:p w14:paraId="65B7D58C" w14:textId="4E2D51F1" w:rsidR="003F090B" w:rsidRPr="003F090B"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 xml:space="preserve">Samarinda, </w:t>
                      </w:r>
                      <w:r w:rsidR="008F04ED">
                        <w:rPr>
                          <w:rFonts w:ascii="Times New Roman" w:hAnsi="Times New Roman" w:cs="Times New Roman"/>
                          <w:sz w:val="24"/>
                          <w:szCs w:val="24"/>
                        </w:rPr>
                        <w:t xml:space="preserve">10 </w:t>
                      </w:r>
                      <w:r w:rsidR="00CF6F50">
                        <w:rPr>
                          <w:rFonts w:ascii="Times New Roman" w:hAnsi="Times New Roman" w:cs="Times New Roman"/>
                          <w:sz w:val="24"/>
                          <w:szCs w:val="24"/>
                        </w:rPr>
                        <w:t>October</w:t>
                      </w:r>
                      <w:r w:rsidRPr="003F090B">
                        <w:rPr>
                          <w:rFonts w:ascii="Times New Roman" w:hAnsi="Times New Roman" w:cs="Times New Roman"/>
                          <w:sz w:val="24"/>
                          <w:szCs w:val="24"/>
                        </w:rPr>
                        <w:t xml:space="preserve"> 2025</w:t>
                      </w:r>
                    </w:p>
                    <w:p w14:paraId="2AE7F127" w14:textId="7F99168B" w:rsidR="00B30E3F" w:rsidRDefault="003F090B" w:rsidP="003F090B">
                      <w:pPr>
                        <w:jc w:val="center"/>
                        <w:rPr>
                          <w:rFonts w:ascii="Times New Roman" w:hAnsi="Times New Roman" w:cs="Times New Roman"/>
                          <w:sz w:val="24"/>
                          <w:szCs w:val="24"/>
                        </w:rPr>
                      </w:pPr>
                      <w:r w:rsidRPr="003F090B">
                        <w:rPr>
                          <w:rFonts w:ascii="Times New Roman" w:hAnsi="Times New Roman" w:cs="Times New Roman"/>
                          <w:sz w:val="24"/>
                          <w:szCs w:val="24"/>
                        </w:rPr>
                        <w:t>Supervisor,</w:t>
                      </w:r>
                    </w:p>
                    <w:p w14:paraId="2F02BC85" w14:textId="1707150F" w:rsidR="003F090B" w:rsidRDefault="003F090B" w:rsidP="003F090B">
                      <w:pPr>
                        <w:jc w:val="center"/>
                        <w:rPr>
                          <w:rFonts w:ascii="Times New Roman" w:hAnsi="Times New Roman" w:cs="Times New Roman"/>
                          <w:sz w:val="24"/>
                          <w:szCs w:val="24"/>
                        </w:rPr>
                      </w:pPr>
                    </w:p>
                    <w:p w14:paraId="05BF92A8" w14:textId="154FEDFE" w:rsidR="003F090B" w:rsidRDefault="003F090B" w:rsidP="003F090B">
                      <w:pPr>
                        <w:jc w:val="center"/>
                        <w:rPr>
                          <w:rFonts w:ascii="Times New Roman" w:hAnsi="Times New Roman" w:cs="Times New Roman"/>
                          <w:sz w:val="24"/>
                          <w:szCs w:val="24"/>
                        </w:rPr>
                      </w:pPr>
                    </w:p>
                    <w:p w14:paraId="3669EB10" w14:textId="0D140FBB" w:rsidR="003F090B" w:rsidRDefault="003F090B" w:rsidP="003F090B">
                      <w:pPr>
                        <w:jc w:val="center"/>
                        <w:rPr>
                          <w:rFonts w:ascii="Times New Roman" w:hAnsi="Times New Roman" w:cs="Times New Roman"/>
                          <w:sz w:val="24"/>
                          <w:szCs w:val="24"/>
                        </w:rPr>
                      </w:pPr>
                    </w:p>
                    <w:p w14:paraId="48C2C79C" w14:textId="14987FB6" w:rsidR="003F090B" w:rsidRDefault="003F090B" w:rsidP="003F090B">
                      <w:pPr>
                        <w:jc w:val="center"/>
                        <w:rPr>
                          <w:rFonts w:ascii="Times New Roman" w:hAnsi="Times New Roman" w:cs="Times New Roman"/>
                          <w:sz w:val="24"/>
                          <w:szCs w:val="24"/>
                        </w:rPr>
                      </w:pPr>
                    </w:p>
                    <w:p w14:paraId="396827FC" w14:textId="77777777" w:rsidR="007E7CB6" w:rsidRDefault="007E7CB6" w:rsidP="003F090B">
                      <w:pPr>
                        <w:jc w:val="center"/>
                        <w:rPr>
                          <w:rFonts w:ascii="Times New Roman" w:hAnsi="Times New Roman" w:cs="Times New Roman"/>
                          <w:sz w:val="24"/>
                          <w:szCs w:val="24"/>
                        </w:rPr>
                      </w:pPr>
                    </w:p>
                    <w:p w14:paraId="759BA2D0" w14:textId="49A861F3" w:rsidR="003F090B" w:rsidRPr="00B037EA" w:rsidRDefault="003F090B" w:rsidP="003F090B">
                      <w:pPr>
                        <w:rPr>
                          <w:rFonts w:ascii="Times New Roman" w:hAnsi="Times New Roman" w:cs="Times New Roman"/>
                          <w:sz w:val="24"/>
                          <w:szCs w:val="24"/>
                        </w:rPr>
                      </w:pPr>
                      <w:r w:rsidRPr="003F090B">
                        <w:rPr>
                          <w:rFonts w:ascii="Times New Roman" w:hAnsi="Times New Roman" w:cs="Times New Roman"/>
                          <w:sz w:val="24"/>
                          <w:szCs w:val="24"/>
                          <w:u w:val="single"/>
                        </w:rPr>
                        <w:t>Prof. Dr. Irwansyah, M.M., CSRS., CSRA., CIQaR., CMA</w:t>
                      </w:r>
                      <w:r w:rsidRPr="003F090B">
                        <w:rPr>
                          <w:rFonts w:ascii="Times New Roman" w:hAnsi="Times New Roman" w:cs="Times New Roman"/>
                          <w:sz w:val="24"/>
                          <w:szCs w:val="24"/>
                        </w:rPr>
                        <w:t xml:space="preserve"> NIP. 19751110 200112 1 004</w:t>
                      </w:r>
                    </w:p>
                  </w:txbxContent>
                </v:textbox>
                <w10:wrap type="square" anchorx="margin" anchory="margin"/>
              </v:shape>
            </w:pict>
          </mc:Fallback>
        </mc:AlternateContent>
      </w:r>
    </w:p>
    <w:p w14:paraId="4D57A06E" w14:textId="2062C804" w:rsidR="00153781" w:rsidRPr="007E7CB6" w:rsidRDefault="00153781">
      <w:pPr>
        <w:spacing w:line="360" w:lineRule="auto"/>
        <w:rPr>
          <w:rFonts w:ascii="Times New Roman" w:eastAsia="Times New Roman" w:hAnsi="Times New Roman" w:cs="Times New Roman"/>
          <w:sz w:val="24"/>
          <w:szCs w:val="24"/>
        </w:rPr>
        <w:sectPr w:rsidR="00153781" w:rsidRPr="007E7CB6" w:rsidSect="00B023B1">
          <w:headerReference w:type="first" r:id="rId17"/>
          <w:footerReference w:type="first" r:id="rId18"/>
          <w:pgSz w:w="11906" w:h="16838"/>
          <w:pgMar w:top="2268" w:right="1701" w:bottom="1701" w:left="2268" w:header="720" w:footer="737" w:gutter="0"/>
          <w:pgNumType w:fmt="lowerRoman" w:start="1"/>
          <w:cols w:space="720"/>
          <w:titlePg/>
        </w:sectPr>
      </w:pPr>
    </w:p>
    <w:p w14:paraId="35B26DDC" w14:textId="77777777" w:rsidR="00153781" w:rsidRPr="007E7CB6" w:rsidRDefault="00000000">
      <w:pPr>
        <w:pStyle w:val="Heading1"/>
        <w:spacing w:before="0" w:after="0" w:line="480" w:lineRule="auto"/>
        <w:jc w:val="center"/>
        <w:rPr>
          <w:rFonts w:ascii="Times New Roman" w:eastAsia="Times New Roman" w:hAnsi="Times New Roman" w:cs="Times New Roman"/>
          <w:b/>
          <w:color w:val="000000"/>
          <w:sz w:val="24"/>
          <w:szCs w:val="24"/>
        </w:rPr>
      </w:pPr>
      <w:bookmarkStart w:id="1" w:name="_Toc210744200"/>
      <w:r w:rsidRPr="007E7CB6">
        <w:rPr>
          <w:rFonts w:ascii="Times New Roman" w:eastAsia="Times New Roman" w:hAnsi="Times New Roman" w:cs="Times New Roman"/>
          <w:b/>
          <w:color w:val="000000"/>
          <w:sz w:val="24"/>
          <w:szCs w:val="24"/>
        </w:rPr>
        <w:lastRenderedPageBreak/>
        <w:t>ABSTRACT</w:t>
      </w:r>
      <w:bookmarkEnd w:id="1"/>
    </w:p>
    <w:p w14:paraId="192D58DB" w14:textId="77777777" w:rsidR="00153781" w:rsidRPr="007E7CB6" w:rsidRDefault="00000000">
      <w:pPr>
        <w:spacing w:after="240"/>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 xml:space="preserve">Rarasanti Eka Purnamasari, </w:t>
      </w:r>
      <w:r w:rsidRPr="007E7CB6">
        <w:rPr>
          <w:rFonts w:ascii="Times New Roman" w:eastAsia="Times New Roman" w:hAnsi="Times New Roman" w:cs="Times New Roman"/>
          <w:b/>
          <w:sz w:val="24"/>
          <w:szCs w:val="24"/>
        </w:rPr>
        <w:t>The Effect of Green Accounting, Carbon Emission Disclosure, and Green Capital Structure on Firm Value with Green Intellectual Capital as a Moderating Variable</w:t>
      </w:r>
      <w:r w:rsidRPr="007E7CB6">
        <w:rPr>
          <w:rFonts w:ascii="Times New Roman" w:eastAsia="Times New Roman" w:hAnsi="Times New Roman" w:cs="Times New Roman"/>
          <w:sz w:val="24"/>
          <w:szCs w:val="24"/>
        </w:rPr>
        <w:t xml:space="preserve">, supervised by Mr. Irwansyah. This study aims to examine the effect of green accounting, carbon emission disclosure, and green capital structure on firm value, as well as the role of green intellectual capital as a moderating variable in energy sector companies in Indonesia. This research is grounded in the importance of integrating environmental aspects into corporate reporting and financial structure to achieve social legitimacy and enhance firm value amid the growing awareness of sustainability and global regulations related to climate change. The research employs a quantitative approach on energy sector companies listed on the Indonesia Stock Exchange for the 2021–2024 period. Hypothesis testing was conducted using multiple linear regression analysis and moderated regression analysis (MRA). The results show that green accounting and green capital structure have a positive and significant effect on firm value, while carbon emission disclosure has a positive and insignificant effect on firm value. Additionally, green intellectual capital is proven to moderate the relationship between carbon emission disclosure on firm value, but does not moderate the effect of green accounting and green capital structure on firm value. </w:t>
      </w:r>
    </w:p>
    <w:p w14:paraId="7BB68B6B" w14:textId="77777777" w:rsidR="00153781" w:rsidRPr="007E7CB6" w:rsidRDefault="00000000">
      <w:pPr>
        <w:jc w:val="both"/>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sz w:val="24"/>
          <w:szCs w:val="24"/>
        </w:rPr>
        <w:t>Keywords</w:t>
      </w:r>
      <w:r w:rsidRPr="007E7CB6">
        <w:rPr>
          <w:rFonts w:ascii="Times New Roman" w:eastAsia="Times New Roman" w:hAnsi="Times New Roman" w:cs="Times New Roman"/>
          <w:sz w:val="24"/>
          <w:szCs w:val="24"/>
        </w:rPr>
        <w:t>: Green Accounting, Carbon Emission Disclosure, Green Capital Structure, Green Intellectual Capital, Firm Value</w:t>
      </w:r>
    </w:p>
    <w:p w14:paraId="250F7B1D" w14:textId="77777777" w:rsidR="00153781" w:rsidRPr="007E7CB6" w:rsidRDefault="00153781">
      <w:pPr>
        <w:rPr>
          <w:rFonts w:ascii="Times New Roman" w:hAnsi="Times New Roman" w:cs="Times New Roman"/>
          <w:i/>
        </w:rPr>
      </w:pPr>
    </w:p>
    <w:p w14:paraId="5DF2C919" w14:textId="77777777" w:rsidR="00153781" w:rsidRPr="007E7CB6" w:rsidRDefault="00153781">
      <w:pPr>
        <w:rPr>
          <w:rFonts w:ascii="Times New Roman" w:hAnsi="Times New Roman" w:cs="Times New Roman"/>
        </w:rPr>
      </w:pPr>
    </w:p>
    <w:p w14:paraId="46199B73" w14:textId="77777777" w:rsidR="00153781" w:rsidRPr="007E7CB6" w:rsidRDefault="00153781">
      <w:pPr>
        <w:rPr>
          <w:rFonts w:ascii="Times New Roman" w:eastAsia="Times New Roman" w:hAnsi="Times New Roman" w:cs="Times New Roman"/>
          <w:b/>
          <w:color w:val="000000"/>
          <w:sz w:val="24"/>
          <w:szCs w:val="24"/>
        </w:rPr>
      </w:pPr>
    </w:p>
    <w:p w14:paraId="5F6D5CAC" w14:textId="77777777" w:rsidR="00153781" w:rsidRPr="007E7CB6" w:rsidRDefault="00153781">
      <w:pPr>
        <w:rPr>
          <w:rFonts w:ascii="Times New Roman" w:eastAsia="Times New Roman" w:hAnsi="Times New Roman" w:cs="Times New Roman"/>
          <w:b/>
          <w:color w:val="000000"/>
          <w:sz w:val="24"/>
          <w:szCs w:val="24"/>
        </w:rPr>
      </w:pPr>
    </w:p>
    <w:p w14:paraId="018920C8" w14:textId="77777777" w:rsidR="00153781" w:rsidRPr="007E7CB6" w:rsidRDefault="00153781">
      <w:pPr>
        <w:rPr>
          <w:rFonts w:ascii="Times New Roman" w:eastAsia="Times New Roman" w:hAnsi="Times New Roman" w:cs="Times New Roman"/>
          <w:b/>
          <w:color w:val="000000"/>
          <w:sz w:val="24"/>
          <w:szCs w:val="24"/>
        </w:rPr>
      </w:pPr>
    </w:p>
    <w:p w14:paraId="04BB5A86" w14:textId="77777777" w:rsidR="00153781" w:rsidRPr="007E7CB6" w:rsidRDefault="00153781">
      <w:pPr>
        <w:rPr>
          <w:rFonts w:ascii="Times New Roman" w:eastAsia="Times New Roman" w:hAnsi="Times New Roman" w:cs="Times New Roman"/>
          <w:b/>
          <w:color w:val="000000"/>
          <w:sz w:val="24"/>
          <w:szCs w:val="24"/>
        </w:rPr>
      </w:pPr>
    </w:p>
    <w:p w14:paraId="228C6D32" w14:textId="77777777" w:rsidR="00153781" w:rsidRPr="007E7CB6" w:rsidRDefault="00153781">
      <w:pPr>
        <w:rPr>
          <w:rFonts w:ascii="Times New Roman" w:eastAsia="Times New Roman" w:hAnsi="Times New Roman" w:cs="Times New Roman"/>
          <w:b/>
          <w:color w:val="000000"/>
          <w:sz w:val="24"/>
          <w:szCs w:val="24"/>
        </w:rPr>
      </w:pPr>
    </w:p>
    <w:p w14:paraId="0045E414" w14:textId="77777777" w:rsidR="00153781" w:rsidRPr="007E7CB6" w:rsidRDefault="00153781">
      <w:pPr>
        <w:rPr>
          <w:rFonts w:ascii="Times New Roman" w:eastAsia="Times New Roman" w:hAnsi="Times New Roman" w:cs="Times New Roman"/>
          <w:b/>
          <w:color w:val="000000"/>
          <w:sz w:val="24"/>
          <w:szCs w:val="24"/>
        </w:rPr>
      </w:pPr>
    </w:p>
    <w:p w14:paraId="144B7D57" w14:textId="77777777" w:rsidR="00153781" w:rsidRPr="007E7CB6" w:rsidRDefault="00153781">
      <w:pPr>
        <w:rPr>
          <w:rFonts w:ascii="Times New Roman" w:hAnsi="Times New Roman" w:cs="Times New Roman"/>
        </w:rPr>
      </w:pPr>
    </w:p>
    <w:p w14:paraId="2F1438EE" w14:textId="77777777" w:rsidR="00153781" w:rsidRPr="007E7CB6" w:rsidRDefault="00153781">
      <w:pPr>
        <w:rPr>
          <w:rFonts w:ascii="Times New Roman" w:hAnsi="Times New Roman" w:cs="Times New Roman"/>
        </w:rPr>
      </w:pPr>
    </w:p>
    <w:p w14:paraId="35D8C325" w14:textId="77777777" w:rsidR="00153781" w:rsidRPr="007E7CB6" w:rsidRDefault="00153781">
      <w:pPr>
        <w:rPr>
          <w:rFonts w:ascii="Times New Roman" w:hAnsi="Times New Roman" w:cs="Times New Roman"/>
        </w:rPr>
      </w:pPr>
    </w:p>
    <w:p w14:paraId="57C32B0C" w14:textId="77777777" w:rsidR="00153781" w:rsidRPr="007E7CB6" w:rsidRDefault="00153781">
      <w:pPr>
        <w:rPr>
          <w:rFonts w:ascii="Times New Roman" w:hAnsi="Times New Roman" w:cs="Times New Roman"/>
        </w:rPr>
      </w:pPr>
    </w:p>
    <w:p w14:paraId="75574592" w14:textId="77777777" w:rsidR="00153781" w:rsidRPr="007E7CB6" w:rsidRDefault="00153781">
      <w:pPr>
        <w:rPr>
          <w:rFonts w:ascii="Times New Roman" w:hAnsi="Times New Roman" w:cs="Times New Roman"/>
        </w:rPr>
      </w:pPr>
    </w:p>
    <w:p w14:paraId="3014E68E" w14:textId="77777777" w:rsidR="00153781" w:rsidRPr="007E7CB6" w:rsidRDefault="00153781">
      <w:pPr>
        <w:rPr>
          <w:rFonts w:ascii="Times New Roman" w:hAnsi="Times New Roman" w:cs="Times New Roman"/>
        </w:rPr>
      </w:pPr>
    </w:p>
    <w:p w14:paraId="2CDD9A72" w14:textId="77777777" w:rsidR="00153781" w:rsidRPr="007E7CB6" w:rsidRDefault="00153781">
      <w:pPr>
        <w:rPr>
          <w:rFonts w:ascii="Times New Roman" w:hAnsi="Times New Roman" w:cs="Times New Roman"/>
        </w:rPr>
      </w:pPr>
    </w:p>
    <w:p w14:paraId="4C7ADE7B" w14:textId="77777777" w:rsidR="00153781" w:rsidRPr="007E7CB6" w:rsidRDefault="00153781">
      <w:pPr>
        <w:rPr>
          <w:rFonts w:ascii="Times New Roman" w:hAnsi="Times New Roman" w:cs="Times New Roman"/>
        </w:rPr>
      </w:pPr>
    </w:p>
    <w:p w14:paraId="20B5F113" w14:textId="77777777" w:rsidR="00153781" w:rsidRPr="007E7CB6" w:rsidRDefault="00153781">
      <w:pPr>
        <w:rPr>
          <w:rFonts w:ascii="Times New Roman" w:hAnsi="Times New Roman" w:cs="Times New Roman"/>
        </w:rPr>
      </w:pPr>
    </w:p>
    <w:p w14:paraId="1BA1FA94" w14:textId="77777777" w:rsidR="00341855" w:rsidRDefault="00341855" w:rsidP="00341855">
      <w:pPr>
        <w:spacing w:line="480" w:lineRule="auto"/>
        <w:rPr>
          <w:rFonts w:ascii="Times New Roman" w:hAnsi="Times New Roman" w:cs="Times New Roman"/>
          <w:b/>
          <w:bCs/>
          <w:sz w:val="24"/>
          <w:szCs w:val="24"/>
        </w:rPr>
      </w:pPr>
    </w:p>
    <w:p w14:paraId="7B6532CD" w14:textId="77777777" w:rsidR="00463009" w:rsidRPr="00463009" w:rsidRDefault="00463009" w:rsidP="00463009">
      <w:pPr>
        <w:pStyle w:val="Heading1"/>
        <w:spacing w:before="0" w:line="480" w:lineRule="auto"/>
        <w:jc w:val="center"/>
        <w:rPr>
          <w:rFonts w:ascii="Times New Roman" w:hAnsi="Times New Roman" w:cs="Times New Roman"/>
          <w:b/>
          <w:bCs/>
        </w:rPr>
      </w:pPr>
      <w:bookmarkStart w:id="2" w:name="_Toc210744201"/>
      <w:r w:rsidRPr="00463009">
        <w:rPr>
          <w:rFonts w:ascii="Times New Roman" w:hAnsi="Times New Roman" w:cs="Times New Roman"/>
          <w:b/>
          <w:bCs/>
          <w:sz w:val="24"/>
          <w:szCs w:val="24"/>
        </w:rPr>
        <w:lastRenderedPageBreak/>
        <w:t>STATEMENT OF THESIS AUTHENTICITY</w:t>
      </w:r>
      <w:bookmarkEnd w:id="2"/>
    </w:p>
    <w:p w14:paraId="24CABD88" w14:textId="5DF1197E" w:rsidR="00463009" w:rsidRPr="00463009" w:rsidRDefault="00463009" w:rsidP="00463009">
      <w:pPr>
        <w:spacing w:line="480" w:lineRule="auto"/>
        <w:ind w:firstLine="720"/>
        <w:jc w:val="both"/>
        <w:rPr>
          <w:rFonts w:ascii="Times New Roman" w:hAnsi="Times New Roman" w:cs="Times New Roman"/>
          <w:sz w:val="24"/>
          <w:szCs w:val="24"/>
        </w:rPr>
      </w:pPr>
      <w:r w:rsidRPr="00463009">
        <w:rPr>
          <w:rFonts w:ascii="Times New Roman" w:hAnsi="Times New Roman" w:cs="Times New Roman"/>
          <w:sz w:val="24"/>
          <w:szCs w:val="24"/>
        </w:rPr>
        <w:t xml:space="preserve">I honestly state that in this Thesis manuscript there are no scientific works that have ever been submitted by others to obtain an academic degree in a </w:t>
      </w:r>
      <w:r>
        <w:rPr>
          <w:rFonts w:ascii="Times New Roman" w:hAnsi="Times New Roman" w:cs="Times New Roman"/>
          <w:sz w:val="24"/>
          <w:szCs w:val="24"/>
        </w:rPr>
        <w:t>u</w:t>
      </w:r>
      <w:r w:rsidRPr="00463009">
        <w:rPr>
          <w:rFonts w:ascii="Times New Roman" w:hAnsi="Times New Roman" w:cs="Times New Roman"/>
          <w:sz w:val="24"/>
          <w:szCs w:val="24"/>
        </w:rPr>
        <w:t>niversity and there are no works or opinions that have been written or published by others, except those that are quoted in writing in this manuscript and mentioned in the source of the quotation and bibliography.</w:t>
      </w:r>
    </w:p>
    <w:p w14:paraId="3269E104" w14:textId="10D5DE8E" w:rsidR="00CF6F50" w:rsidRDefault="00463009" w:rsidP="00463009">
      <w:pPr>
        <w:spacing w:line="480" w:lineRule="auto"/>
        <w:ind w:firstLine="720"/>
        <w:jc w:val="both"/>
        <w:rPr>
          <w:rFonts w:ascii="Times New Roman" w:hAnsi="Times New Roman" w:cs="Times New Roman"/>
          <w:sz w:val="24"/>
          <w:szCs w:val="24"/>
        </w:rPr>
      </w:pPr>
      <w:r w:rsidRPr="00463009">
        <w:rPr>
          <w:rFonts w:ascii="Times New Roman" w:hAnsi="Times New Roman" w:cs="Times New Roman"/>
          <w:sz w:val="24"/>
          <w:szCs w:val="24"/>
        </w:rPr>
        <w:t>If it turns out that in this Thesis manuscript can be proven that there are elements of plagiarism, I am willing to cancel the Thesis and Bachelor's Degree on my behalf, and processed in accordance with applicable laws and regulations.</w:t>
      </w:r>
    </w:p>
    <w:p w14:paraId="18BB1455" w14:textId="4181D3A4" w:rsidR="00463009" w:rsidRDefault="00E06D74" w:rsidP="00CF6F50">
      <w:pPr>
        <w:spacing w:line="480" w:lineRule="auto"/>
        <w:ind w:firstLine="720"/>
        <w:jc w:val="right"/>
        <w:rPr>
          <w:rFonts w:ascii="Times New Roman" w:hAnsi="Times New Roman" w:cs="Times New Roman"/>
          <w:sz w:val="24"/>
          <w:szCs w:val="24"/>
        </w:rPr>
      </w:pPr>
      <w:r w:rsidRPr="00E06D74">
        <w:rPr>
          <w:rFonts w:ascii="Times New Roman" w:hAnsi="Times New Roman" w:cs="Times New Roman"/>
          <w:sz w:val="24"/>
          <w:szCs w:val="24"/>
        </w:rPr>
        <w:drawing>
          <wp:anchor distT="0" distB="0" distL="114300" distR="114300" simplePos="0" relativeHeight="251764736" behindDoc="0" locked="0" layoutInCell="1" allowOverlap="1" wp14:anchorId="538E0C8F" wp14:editId="3C603EFE">
            <wp:simplePos x="0" y="0"/>
            <wp:positionH relativeFrom="column">
              <wp:posOffset>3090382</wp:posOffset>
            </wp:positionH>
            <wp:positionV relativeFrom="paragraph">
              <wp:posOffset>262255</wp:posOffset>
            </wp:positionV>
            <wp:extent cx="2181225" cy="15525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1225" cy="1552575"/>
                    </a:xfrm>
                    <a:prstGeom prst="rect">
                      <a:avLst/>
                    </a:prstGeom>
                  </pic:spPr>
                </pic:pic>
              </a:graphicData>
            </a:graphic>
            <wp14:sizeRelH relativeFrom="page">
              <wp14:pctWidth>0</wp14:pctWidth>
            </wp14:sizeRelH>
            <wp14:sizeRelV relativeFrom="page">
              <wp14:pctHeight>0</wp14:pctHeight>
            </wp14:sizeRelV>
          </wp:anchor>
        </w:drawing>
      </w:r>
    </w:p>
    <w:p w14:paraId="3A796930" w14:textId="306DD082" w:rsidR="00341855" w:rsidRDefault="00341855" w:rsidP="00CF6F50"/>
    <w:p w14:paraId="7FE4E7C2" w14:textId="0B9C0A32" w:rsidR="00CF6F50" w:rsidRDefault="00CF6F50" w:rsidP="00CF6F50"/>
    <w:p w14:paraId="7C3FD86F" w14:textId="385F03F9" w:rsidR="00CF6F50" w:rsidRDefault="00CF6F50" w:rsidP="00CF6F50"/>
    <w:p w14:paraId="302845CB" w14:textId="77777777" w:rsidR="00CF6F50" w:rsidRDefault="00CF6F50" w:rsidP="00CF6F50"/>
    <w:p w14:paraId="2CB5917E" w14:textId="4C9B623E" w:rsidR="00CF6F50" w:rsidRDefault="00CF6F50" w:rsidP="00CF6F50"/>
    <w:p w14:paraId="0014CBB4" w14:textId="38D77070" w:rsidR="00CF6F50" w:rsidRDefault="00CF6F50" w:rsidP="00CF6F50"/>
    <w:p w14:paraId="3C014D6F" w14:textId="5C07C6DC" w:rsidR="00CF6F50" w:rsidRDefault="00CF6F50" w:rsidP="00CF6F50"/>
    <w:p w14:paraId="3164D8CA" w14:textId="04DD8252" w:rsidR="00463009" w:rsidRDefault="00463009" w:rsidP="00CF6F50"/>
    <w:p w14:paraId="40DD3B76" w14:textId="77777777" w:rsidR="00463009" w:rsidRDefault="00463009" w:rsidP="00463009">
      <w:pPr>
        <w:tabs>
          <w:tab w:val="left" w:pos="6521"/>
        </w:tabs>
      </w:pPr>
    </w:p>
    <w:p w14:paraId="59DC0BC4" w14:textId="07F97890" w:rsidR="00CF6F50" w:rsidRDefault="00CF6F50" w:rsidP="00CF6F50"/>
    <w:p w14:paraId="0892D647" w14:textId="04330A7C" w:rsidR="00FD5B7D" w:rsidRDefault="00FD5B7D" w:rsidP="00CF6F50"/>
    <w:p w14:paraId="3525DC5D" w14:textId="0883A0CC" w:rsidR="00FD5B7D" w:rsidRDefault="00FD5B7D" w:rsidP="00CF6F50"/>
    <w:p w14:paraId="3CBC70C0" w14:textId="243E49E6" w:rsidR="00FD5B7D" w:rsidRDefault="00FD5B7D" w:rsidP="00CF6F50"/>
    <w:p w14:paraId="04A5AF5C" w14:textId="634515BD" w:rsidR="00FD5B7D" w:rsidRDefault="00FD5B7D" w:rsidP="00CF6F50"/>
    <w:p w14:paraId="6C5FF223" w14:textId="37D919EF" w:rsidR="00FD5B7D" w:rsidRDefault="00FD5B7D" w:rsidP="00CF6F50"/>
    <w:p w14:paraId="1EC4AAFC" w14:textId="79E0521F" w:rsidR="00FD5B7D" w:rsidRDefault="00FD5B7D" w:rsidP="00CF6F50"/>
    <w:p w14:paraId="2DBB6187" w14:textId="08995209" w:rsidR="00FD5B7D" w:rsidRDefault="00FD5B7D" w:rsidP="00CF6F50"/>
    <w:p w14:paraId="7CECDC83" w14:textId="77777777" w:rsidR="00FD5B7D" w:rsidRDefault="00FD5B7D" w:rsidP="00CF6F50"/>
    <w:p w14:paraId="7784CFB9" w14:textId="3D21D781" w:rsidR="00CF6F50" w:rsidRDefault="00CF6F50" w:rsidP="00CF6F50"/>
    <w:p w14:paraId="56554DE6" w14:textId="219A48D3" w:rsidR="00CF6F50" w:rsidRDefault="00CF6F50" w:rsidP="00CF6F50"/>
    <w:p w14:paraId="36E87914" w14:textId="77777777" w:rsidR="00CF6F50" w:rsidRPr="00CF6F50" w:rsidRDefault="00CF6F50" w:rsidP="00CF6F50"/>
    <w:p w14:paraId="7568AE7B" w14:textId="2E42245A" w:rsidR="00B023B1" w:rsidRPr="007E7CB6" w:rsidRDefault="00B023B1" w:rsidP="00463009">
      <w:pPr>
        <w:pStyle w:val="Heading1"/>
        <w:spacing w:before="0" w:line="480" w:lineRule="auto"/>
        <w:jc w:val="center"/>
        <w:rPr>
          <w:rFonts w:ascii="Times New Roman" w:hAnsi="Times New Roman" w:cs="Times New Roman"/>
          <w:b/>
          <w:bCs/>
          <w:sz w:val="24"/>
          <w:szCs w:val="24"/>
        </w:rPr>
      </w:pPr>
      <w:bookmarkStart w:id="3" w:name="_Toc210744202"/>
      <w:r w:rsidRPr="007E7CB6">
        <w:rPr>
          <w:rFonts w:ascii="Times New Roman" w:hAnsi="Times New Roman" w:cs="Times New Roman"/>
          <w:b/>
          <w:bCs/>
          <w:sz w:val="24"/>
          <w:szCs w:val="24"/>
        </w:rPr>
        <w:lastRenderedPageBreak/>
        <w:t>FOREWORD</w:t>
      </w:r>
      <w:bookmarkEnd w:id="3"/>
    </w:p>
    <w:p w14:paraId="0F19D25F" w14:textId="588B5C81" w:rsidR="00153781" w:rsidRPr="007E7CB6" w:rsidRDefault="00000000" w:rsidP="00B023B1">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Praise and thanks be to Allah SWT, the One Almighty God, for His abundant mercy and blessings, and peace and blessings be upon the Prophet Muhammad SAW, his family, companions, and all his followers. By His grace, the author has been able to complete a thesis entitled: “The Effect of Green Accounting, Carbon Emission Disclosure and Green Capital Structure on Firm Value with Green Intellectual Capital as a Moderating Variable.” This thesis was prepared as one of the requirements for obtaining a Bachelor of Accounting degree in the Accounting Study Program, Faculty of Economics and Business, Universitas Mulawarman.</w:t>
      </w:r>
    </w:p>
    <w:p w14:paraId="6CA83B2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the process of writing this thesis, the author realizes that none of these achievements would have been possible without the help, guidance, prayers, and support of many people. Therefore, the author would like to express her sincere gratitude to:</w:t>
      </w:r>
    </w:p>
    <w:p w14:paraId="0CF36E84"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Prof. Dr. Ir. H. Abdunnur, M.Si., IPU., ASEAN Eng., Rector of Universitas Mulawarman.</w:t>
      </w:r>
    </w:p>
    <w:p w14:paraId="71E37BEB"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Dr. Zainal Abidin, SE., MM., Dean of the Faculty of Economics and Business, Universitas Mulawarman.</w:t>
      </w:r>
    </w:p>
    <w:p w14:paraId="3F15C887"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Dr. Wulan lyhig Ratna Sari, SE., M.Si., CSP., Head of the Accounting Department, Faculty of Economics and Business, Universitas Mulawarman.</w:t>
      </w:r>
    </w:p>
    <w:p w14:paraId="41BABB15"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Dr. Fibriyani Nur Khairin, SE., M.S.A., Ak., CA., CSP., CIQaR., Coordinator of the Accounting Study Program, Faculty of Economics and Business, Universitas Mulawarman.</w:t>
      </w:r>
    </w:p>
    <w:p w14:paraId="33A7FEE1"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Prof. Dr. Irwansyah, M.M., CSRS., CSRA., CIQaR., CMA., as the thesis advisor who guided and devoted his time, energy, and thoughts sincerely and patiently in providing guidance, motivation, and advice for the completion of this thesis. The author expresses her deepest gratitude for the time, energy, and thoughts he has given, so that this thesis could be completed well.</w:t>
      </w:r>
    </w:p>
    <w:p w14:paraId="4EE9C6F1"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Mr. Rusliansyah, SE., M.Si., as the academic advisor during the study period who always monitored, provided direction and advice to the author.</w:t>
      </w:r>
    </w:p>
    <w:p w14:paraId="7981F725"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All lecturers at the Faculty of Economics and Business, Universitas Mulawarman, who have educated and equipped the author with knowledge, values of integrity, and extraordinary academic experience during the study period.</w:t>
      </w:r>
    </w:p>
    <w:p w14:paraId="09F3405A"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My beloved father, Wijalistyo Dwi Purnawan, and my dear mother, Nurdiana Rahayu, who with love, prayers, and immeasurable sacrifice have been the pillars of strength for the author to reach this point. Thank you for your patience, moral and material support, and unwavering belief that kept me from giving up. Also, to my beloved younger sister, Annisa Shobirina Dwi Saraswati, thank you for your love and encouragement that always made me feel loved and supported.</w:t>
      </w:r>
    </w:p>
    <w:p w14:paraId="53F8848D"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8"/>
          <w:szCs w:val="28"/>
        </w:rPr>
      </w:pPr>
      <w:r w:rsidRPr="007E7CB6">
        <w:rPr>
          <w:rFonts w:ascii="Times New Roman" w:eastAsia="Times New Roman" w:hAnsi="Times New Roman" w:cs="Times New Roman"/>
          <w:sz w:val="24"/>
          <w:szCs w:val="24"/>
        </w:rPr>
        <w:t>My entire extended family, who have given me their prayers, attention, and moral support throughout my academic journey, reminding me that I was never alone in this process, and whose unwavering love and encouragement have strengthened my determination to keep moving forward even in the most challenging times.</w:t>
      </w:r>
    </w:p>
    <w:p w14:paraId="0001F67C"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My closest friends who have been there to share my joys and sorrows: Rumaisha, Asyifa, Ghania, Alysa, Amanda, and Nada. Thank you for the laughter, warm hugs, and prayers you have given me throughout this writing process.</w:t>
      </w:r>
    </w:p>
    <w:p w14:paraId="66599DAE"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My friends during college: Alifa, Ona, Ayu, Aqilah, Mawara, and Hasya, thank you for being my comrades who strengthened each other amid the busy college activities and thesis process.</w:t>
      </w:r>
    </w:p>
    <w:p w14:paraId="1703039E"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My classmates from the 2021 KBI Accounting program, who have been part of a meaningful academic journey.</w:t>
      </w:r>
    </w:p>
    <w:p w14:paraId="69AE78D9"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My International Student Buddy besties: Al Ghazali, Aliefa, and Rizka, thank you for all the laughter, kindness, and for being part of the memories i'll cherish forever.</w:t>
      </w:r>
    </w:p>
    <w:p w14:paraId="655EFC5D"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lecturers and staff of the International Office at Universitas Mulawarman, as well as my colleagues from the 2024 Suntropis International Summer School Community Service Program, who have provided extraordinary life experiences and new insights through this cross-border and cross-cultural program.</w:t>
      </w:r>
    </w:p>
    <w:p w14:paraId="08046C55" w14:textId="77777777" w:rsidR="00153781" w:rsidRPr="007E7CB6" w:rsidRDefault="00000000">
      <w:pPr>
        <w:numPr>
          <w:ilvl w:val="0"/>
          <w:numId w:val="9"/>
        </w:numPr>
        <w:spacing w:line="480" w:lineRule="auto"/>
        <w:ind w:left="426" w:hanging="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All those who cannot be mentioned one by one, who have helped, encouraged, and contributed greatly to the process of writing this thesis.</w:t>
      </w:r>
    </w:p>
    <w:p w14:paraId="2CBCA59D" w14:textId="77777777" w:rsidR="00153781" w:rsidRPr="007E7CB6" w:rsidRDefault="00000000">
      <w:pPr>
        <w:spacing w:line="480" w:lineRule="auto"/>
        <w:ind w:firstLine="426"/>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 author acknowledges that this thesis is far from perfect. Therefore, constructive criticism and suggestions are greatly appreciated for the improvement of this work in the future. May this thesis be of benefit to readers and serve as a </w:t>
      </w:r>
      <w:r w:rsidRPr="007E7CB6">
        <w:rPr>
          <w:rFonts w:ascii="Times New Roman" w:eastAsia="Times New Roman" w:hAnsi="Times New Roman" w:cs="Times New Roman"/>
          <w:sz w:val="24"/>
          <w:szCs w:val="24"/>
        </w:rPr>
        <w:lastRenderedPageBreak/>
        <w:t>useful reference in the advancement of knowledge, particularly in the field of environmental accounting and sustainability.</w:t>
      </w:r>
    </w:p>
    <w:p w14:paraId="5C2A3C5E" w14:textId="77777777" w:rsidR="00153781" w:rsidRPr="007E7CB6" w:rsidRDefault="00153781">
      <w:pPr>
        <w:spacing w:line="480" w:lineRule="auto"/>
        <w:ind w:firstLine="426"/>
        <w:jc w:val="both"/>
        <w:rPr>
          <w:rFonts w:ascii="Times New Roman" w:eastAsia="Times New Roman" w:hAnsi="Times New Roman" w:cs="Times New Roman"/>
          <w:sz w:val="24"/>
          <w:szCs w:val="24"/>
        </w:rPr>
      </w:pPr>
    </w:p>
    <w:p w14:paraId="5B5AD529" w14:textId="77777777" w:rsidR="00153781" w:rsidRPr="007E7CB6" w:rsidRDefault="00000000">
      <w:pPr>
        <w:spacing w:line="480" w:lineRule="auto"/>
        <w:ind w:firstLine="426"/>
        <w:jc w:val="right"/>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Samarinda, 1 July 2025</w:t>
      </w:r>
    </w:p>
    <w:p w14:paraId="46B07F21" w14:textId="77777777" w:rsidR="00153781" w:rsidRPr="007E7CB6" w:rsidRDefault="00000000">
      <w:pPr>
        <w:spacing w:line="480" w:lineRule="auto"/>
        <w:jc w:val="right"/>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br/>
        <w:t>Rarasanti Eka Purnamasari</w:t>
      </w:r>
    </w:p>
    <w:p w14:paraId="7C09EAC7" w14:textId="77777777" w:rsidR="00153781" w:rsidRPr="007E7CB6" w:rsidRDefault="00153781">
      <w:pPr>
        <w:rPr>
          <w:rFonts w:ascii="Times New Roman" w:hAnsi="Times New Roman" w:cs="Times New Roman"/>
        </w:rPr>
      </w:pPr>
    </w:p>
    <w:p w14:paraId="2380D3AC" w14:textId="77777777" w:rsidR="00153781" w:rsidRPr="007E7CB6" w:rsidRDefault="00153781">
      <w:pPr>
        <w:rPr>
          <w:rFonts w:ascii="Times New Roman" w:hAnsi="Times New Roman" w:cs="Times New Roman"/>
        </w:rPr>
      </w:pPr>
    </w:p>
    <w:p w14:paraId="20453F3C" w14:textId="77777777" w:rsidR="00153781" w:rsidRPr="007E7CB6" w:rsidRDefault="00153781">
      <w:pPr>
        <w:rPr>
          <w:rFonts w:ascii="Times New Roman" w:hAnsi="Times New Roman" w:cs="Times New Roman"/>
        </w:rPr>
      </w:pPr>
    </w:p>
    <w:p w14:paraId="1B979ACB" w14:textId="77777777" w:rsidR="00153781" w:rsidRPr="007E7CB6" w:rsidRDefault="00153781">
      <w:pPr>
        <w:rPr>
          <w:rFonts w:ascii="Times New Roman" w:hAnsi="Times New Roman" w:cs="Times New Roman"/>
        </w:rPr>
      </w:pPr>
    </w:p>
    <w:p w14:paraId="221A27DA" w14:textId="77777777" w:rsidR="00153781" w:rsidRPr="007E7CB6" w:rsidRDefault="00153781">
      <w:pPr>
        <w:rPr>
          <w:rFonts w:ascii="Times New Roman" w:hAnsi="Times New Roman" w:cs="Times New Roman"/>
        </w:rPr>
      </w:pPr>
    </w:p>
    <w:p w14:paraId="6077A252" w14:textId="77777777" w:rsidR="00153781" w:rsidRPr="007E7CB6" w:rsidRDefault="00153781">
      <w:pPr>
        <w:rPr>
          <w:rFonts w:ascii="Times New Roman" w:hAnsi="Times New Roman" w:cs="Times New Roman"/>
        </w:rPr>
      </w:pPr>
    </w:p>
    <w:p w14:paraId="689B129B" w14:textId="77777777" w:rsidR="00153781" w:rsidRPr="007E7CB6" w:rsidRDefault="00153781">
      <w:pPr>
        <w:rPr>
          <w:rFonts w:ascii="Times New Roman" w:hAnsi="Times New Roman" w:cs="Times New Roman"/>
        </w:rPr>
      </w:pPr>
    </w:p>
    <w:p w14:paraId="2025B6F3" w14:textId="77777777" w:rsidR="00153781" w:rsidRPr="007E7CB6" w:rsidRDefault="00153781">
      <w:pPr>
        <w:rPr>
          <w:rFonts w:ascii="Times New Roman" w:hAnsi="Times New Roman" w:cs="Times New Roman"/>
        </w:rPr>
      </w:pPr>
    </w:p>
    <w:p w14:paraId="61E85EAB" w14:textId="77777777" w:rsidR="00153781" w:rsidRPr="007E7CB6" w:rsidRDefault="00153781">
      <w:pPr>
        <w:rPr>
          <w:rFonts w:ascii="Times New Roman" w:hAnsi="Times New Roman" w:cs="Times New Roman"/>
        </w:rPr>
      </w:pPr>
    </w:p>
    <w:p w14:paraId="2A84B085" w14:textId="77777777" w:rsidR="00153781" w:rsidRPr="007E7CB6" w:rsidRDefault="00153781">
      <w:pPr>
        <w:rPr>
          <w:rFonts w:ascii="Times New Roman" w:hAnsi="Times New Roman" w:cs="Times New Roman"/>
        </w:rPr>
      </w:pPr>
    </w:p>
    <w:p w14:paraId="3F74B575" w14:textId="77777777" w:rsidR="00153781" w:rsidRPr="007E7CB6" w:rsidRDefault="00153781">
      <w:pPr>
        <w:rPr>
          <w:rFonts w:ascii="Times New Roman" w:hAnsi="Times New Roman" w:cs="Times New Roman"/>
        </w:rPr>
      </w:pPr>
    </w:p>
    <w:p w14:paraId="7B622CDB" w14:textId="77777777" w:rsidR="00153781" w:rsidRPr="007E7CB6" w:rsidRDefault="00153781">
      <w:pPr>
        <w:rPr>
          <w:rFonts w:ascii="Times New Roman" w:hAnsi="Times New Roman" w:cs="Times New Roman"/>
        </w:rPr>
      </w:pPr>
    </w:p>
    <w:p w14:paraId="005FC838" w14:textId="77777777" w:rsidR="00153781" w:rsidRPr="007E7CB6" w:rsidRDefault="00153781">
      <w:pPr>
        <w:rPr>
          <w:rFonts w:ascii="Times New Roman" w:hAnsi="Times New Roman" w:cs="Times New Roman"/>
        </w:rPr>
      </w:pPr>
    </w:p>
    <w:p w14:paraId="7590CD27" w14:textId="77777777" w:rsidR="00153781" w:rsidRPr="007E7CB6" w:rsidRDefault="00153781">
      <w:pPr>
        <w:rPr>
          <w:rFonts w:ascii="Times New Roman" w:hAnsi="Times New Roman" w:cs="Times New Roman"/>
        </w:rPr>
      </w:pPr>
    </w:p>
    <w:p w14:paraId="4F1B55F1" w14:textId="77777777" w:rsidR="00153781" w:rsidRPr="007E7CB6" w:rsidRDefault="00153781">
      <w:pPr>
        <w:rPr>
          <w:rFonts w:ascii="Times New Roman" w:hAnsi="Times New Roman" w:cs="Times New Roman"/>
        </w:rPr>
      </w:pPr>
    </w:p>
    <w:p w14:paraId="66BCE1AE" w14:textId="77777777" w:rsidR="00153781" w:rsidRPr="007E7CB6" w:rsidRDefault="00153781">
      <w:pPr>
        <w:rPr>
          <w:rFonts w:ascii="Times New Roman" w:hAnsi="Times New Roman" w:cs="Times New Roman"/>
        </w:rPr>
      </w:pPr>
    </w:p>
    <w:p w14:paraId="772AB5F6" w14:textId="77777777" w:rsidR="00153781" w:rsidRPr="007E7CB6" w:rsidRDefault="00153781">
      <w:pPr>
        <w:rPr>
          <w:rFonts w:ascii="Times New Roman" w:hAnsi="Times New Roman" w:cs="Times New Roman"/>
        </w:rPr>
      </w:pPr>
    </w:p>
    <w:p w14:paraId="3C9391D5" w14:textId="77777777" w:rsidR="00153781" w:rsidRPr="007E7CB6" w:rsidRDefault="00153781">
      <w:pPr>
        <w:rPr>
          <w:rFonts w:ascii="Times New Roman" w:hAnsi="Times New Roman" w:cs="Times New Roman"/>
        </w:rPr>
      </w:pPr>
    </w:p>
    <w:p w14:paraId="044E6EC6" w14:textId="77777777" w:rsidR="00153781" w:rsidRPr="007E7CB6" w:rsidRDefault="00153781">
      <w:pPr>
        <w:rPr>
          <w:rFonts w:ascii="Times New Roman" w:hAnsi="Times New Roman" w:cs="Times New Roman"/>
        </w:rPr>
      </w:pPr>
    </w:p>
    <w:p w14:paraId="4FFC65F7" w14:textId="77777777" w:rsidR="00153781" w:rsidRPr="007E7CB6" w:rsidRDefault="00153781">
      <w:pPr>
        <w:rPr>
          <w:rFonts w:ascii="Times New Roman" w:hAnsi="Times New Roman" w:cs="Times New Roman"/>
        </w:rPr>
      </w:pPr>
    </w:p>
    <w:p w14:paraId="20E08BE0" w14:textId="77777777" w:rsidR="00153781" w:rsidRPr="007E7CB6" w:rsidRDefault="00153781">
      <w:pPr>
        <w:rPr>
          <w:rFonts w:ascii="Times New Roman" w:hAnsi="Times New Roman" w:cs="Times New Roman"/>
        </w:rPr>
      </w:pPr>
    </w:p>
    <w:p w14:paraId="6162CD5D" w14:textId="77777777" w:rsidR="00153781" w:rsidRPr="007E7CB6" w:rsidRDefault="00153781">
      <w:pPr>
        <w:rPr>
          <w:rFonts w:ascii="Times New Roman" w:hAnsi="Times New Roman" w:cs="Times New Roman"/>
        </w:rPr>
      </w:pPr>
    </w:p>
    <w:p w14:paraId="266D6372" w14:textId="77777777" w:rsidR="00153781" w:rsidRPr="007E7CB6" w:rsidRDefault="00153781">
      <w:pPr>
        <w:rPr>
          <w:rFonts w:ascii="Times New Roman" w:hAnsi="Times New Roman" w:cs="Times New Roman"/>
        </w:rPr>
      </w:pPr>
    </w:p>
    <w:p w14:paraId="4D8CCD27" w14:textId="77777777" w:rsidR="00153781" w:rsidRPr="007E7CB6" w:rsidRDefault="00153781">
      <w:pPr>
        <w:rPr>
          <w:rFonts w:ascii="Times New Roman" w:hAnsi="Times New Roman" w:cs="Times New Roman"/>
        </w:rPr>
      </w:pPr>
    </w:p>
    <w:p w14:paraId="2DA7289C" w14:textId="77777777" w:rsidR="00153781" w:rsidRPr="007E7CB6" w:rsidRDefault="00153781">
      <w:pPr>
        <w:rPr>
          <w:rFonts w:ascii="Times New Roman" w:hAnsi="Times New Roman" w:cs="Times New Roman"/>
        </w:rPr>
      </w:pPr>
    </w:p>
    <w:p w14:paraId="00CDC18A" w14:textId="77777777" w:rsidR="00153781" w:rsidRPr="007E7CB6" w:rsidRDefault="00153781">
      <w:pPr>
        <w:rPr>
          <w:rFonts w:ascii="Times New Roman" w:hAnsi="Times New Roman" w:cs="Times New Roman"/>
        </w:rPr>
      </w:pPr>
    </w:p>
    <w:p w14:paraId="70868EF1" w14:textId="77777777" w:rsidR="00153781" w:rsidRPr="007E7CB6" w:rsidRDefault="00153781">
      <w:pPr>
        <w:rPr>
          <w:rFonts w:ascii="Times New Roman" w:hAnsi="Times New Roman" w:cs="Times New Roman"/>
        </w:rPr>
      </w:pPr>
    </w:p>
    <w:p w14:paraId="75269C26" w14:textId="76B0CFF4" w:rsidR="00153781" w:rsidRPr="007E7CB6" w:rsidRDefault="00153781">
      <w:pPr>
        <w:rPr>
          <w:rFonts w:ascii="Times New Roman" w:hAnsi="Times New Roman" w:cs="Times New Roman"/>
        </w:rPr>
      </w:pPr>
    </w:p>
    <w:p w14:paraId="7826C198" w14:textId="01DDCB19" w:rsidR="00B023B1" w:rsidRPr="007E7CB6" w:rsidRDefault="00B023B1">
      <w:pPr>
        <w:rPr>
          <w:rFonts w:ascii="Times New Roman" w:hAnsi="Times New Roman" w:cs="Times New Roman"/>
        </w:rPr>
      </w:pPr>
    </w:p>
    <w:p w14:paraId="34C540B2" w14:textId="0E4FB281" w:rsidR="00B023B1" w:rsidRPr="007E7CB6" w:rsidRDefault="00B023B1">
      <w:pPr>
        <w:rPr>
          <w:rFonts w:ascii="Times New Roman" w:hAnsi="Times New Roman" w:cs="Times New Roman"/>
        </w:rPr>
      </w:pPr>
    </w:p>
    <w:p w14:paraId="227FAE12" w14:textId="1745ACA7" w:rsidR="00B023B1" w:rsidRPr="007E7CB6" w:rsidRDefault="00B023B1">
      <w:pPr>
        <w:rPr>
          <w:rFonts w:ascii="Times New Roman" w:hAnsi="Times New Roman" w:cs="Times New Roman"/>
        </w:rPr>
      </w:pPr>
    </w:p>
    <w:p w14:paraId="66FD3A6A" w14:textId="1BB6D3BF" w:rsidR="00B023B1" w:rsidRPr="007E7CB6" w:rsidRDefault="00B023B1">
      <w:pPr>
        <w:rPr>
          <w:rFonts w:ascii="Times New Roman" w:hAnsi="Times New Roman" w:cs="Times New Roman"/>
        </w:rPr>
      </w:pPr>
    </w:p>
    <w:p w14:paraId="57E86988" w14:textId="4CF42049" w:rsidR="00153781" w:rsidRPr="007E7CB6" w:rsidRDefault="00B023B1" w:rsidP="00B023B1">
      <w:pPr>
        <w:pStyle w:val="Heading1"/>
        <w:spacing w:before="0" w:after="0" w:line="480" w:lineRule="auto"/>
        <w:jc w:val="center"/>
        <w:rPr>
          <w:rFonts w:ascii="Times New Roman" w:hAnsi="Times New Roman" w:cs="Times New Roman"/>
          <w:b/>
          <w:bCs/>
          <w:sz w:val="24"/>
          <w:szCs w:val="24"/>
        </w:rPr>
      </w:pPr>
      <w:bookmarkStart w:id="4" w:name="_Toc210744203"/>
      <w:r w:rsidRPr="007E7CB6">
        <w:rPr>
          <w:rFonts w:ascii="Times New Roman" w:hAnsi="Times New Roman" w:cs="Times New Roman"/>
          <w:b/>
          <w:bCs/>
          <w:sz w:val="24"/>
          <w:szCs w:val="24"/>
        </w:rPr>
        <w:lastRenderedPageBreak/>
        <w:t>TABLE OF CONTENTS</w:t>
      </w:r>
      <w:bookmarkEnd w:id="4"/>
    </w:p>
    <w:p w14:paraId="4FB8E2B5" w14:textId="6D271C55" w:rsidR="00153781" w:rsidRPr="007E7CB6" w:rsidRDefault="00B023B1" w:rsidP="00B023B1">
      <w:pPr>
        <w:jc w:val="right"/>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Pages</w:t>
      </w:r>
    </w:p>
    <w:sdt>
      <w:sdtPr>
        <w:rPr>
          <w:rFonts w:ascii="Arial" w:eastAsia="Arial" w:hAnsi="Arial" w:cs="Arial"/>
          <w:b w:val="0"/>
          <w:bCs w:val="0"/>
          <w:noProof w:val="0"/>
          <w:color w:val="auto"/>
          <w:sz w:val="22"/>
          <w:szCs w:val="22"/>
        </w:rPr>
        <w:id w:val="-1243867545"/>
        <w:docPartObj>
          <w:docPartGallery w:val="Table of Contents"/>
          <w:docPartUnique/>
        </w:docPartObj>
      </w:sdtPr>
      <w:sdtContent>
        <w:p w14:paraId="0961DE73" w14:textId="56D56E86" w:rsidR="004E5C8A" w:rsidRDefault="00580E14">
          <w:pPr>
            <w:pStyle w:val="TOC1"/>
            <w:rPr>
              <w:rFonts w:asciiTheme="minorHAnsi" w:eastAsiaTheme="minorEastAsia" w:hAnsiTheme="minorHAnsi" w:cstheme="minorBidi"/>
              <w:b w:val="0"/>
              <w:bCs w:val="0"/>
              <w:color w:val="auto"/>
              <w:sz w:val="22"/>
              <w:szCs w:val="22"/>
              <w:lang w:val="en-US"/>
            </w:rPr>
          </w:pPr>
          <w:r w:rsidRPr="007E7CB6">
            <w:rPr>
              <w:b w:val="0"/>
              <w:bCs w:val="0"/>
            </w:rPr>
            <w:fldChar w:fldCharType="begin"/>
          </w:r>
          <w:r w:rsidRPr="007E7CB6">
            <w:rPr>
              <w:b w:val="0"/>
              <w:bCs w:val="0"/>
            </w:rPr>
            <w:instrText xml:space="preserve"> TOC \o "1-3" \h \z \u </w:instrText>
          </w:r>
          <w:r w:rsidRPr="007E7CB6">
            <w:rPr>
              <w:b w:val="0"/>
              <w:bCs w:val="0"/>
            </w:rPr>
            <w:fldChar w:fldCharType="separate"/>
          </w:r>
          <w:hyperlink w:anchor="_Toc210744199" w:history="1">
            <w:r w:rsidR="004E5C8A" w:rsidRPr="002F114E">
              <w:rPr>
                <w:rStyle w:val="Hyperlink"/>
              </w:rPr>
              <w:t>APPROVAL PAGE</w:t>
            </w:r>
            <w:r w:rsidR="004E5C8A">
              <w:rPr>
                <w:webHidden/>
              </w:rPr>
              <w:tab/>
            </w:r>
            <w:r w:rsidR="004E5C8A">
              <w:rPr>
                <w:webHidden/>
              </w:rPr>
              <w:fldChar w:fldCharType="begin"/>
            </w:r>
            <w:r w:rsidR="004E5C8A">
              <w:rPr>
                <w:webHidden/>
              </w:rPr>
              <w:instrText xml:space="preserve"> PAGEREF _Toc210744199 \h </w:instrText>
            </w:r>
            <w:r w:rsidR="004E5C8A">
              <w:rPr>
                <w:webHidden/>
              </w:rPr>
            </w:r>
            <w:r w:rsidR="004E5C8A">
              <w:rPr>
                <w:webHidden/>
              </w:rPr>
              <w:fldChar w:fldCharType="separate"/>
            </w:r>
            <w:r w:rsidR="00FD5B7D">
              <w:rPr>
                <w:webHidden/>
              </w:rPr>
              <w:t>i</w:t>
            </w:r>
            <w:r w:rsidR="004E5C8A">
              <w:rPr>
                <w:webHidden/>
              </w:rPr>
              <w:fldChar w:fldCharType="end"/>
            </w:r>
          </w:hyperlink>
        </w:p>
        <w:p w14:paraId="0A9F8FC9" w14:textId="225049C5" w:rsidR="004E5C8A" w:rsidRDefault="00000000">
          <w:pPr>
            <w:pStyle w:val="TOC1"/>
            <w:rPr>
              <w:rFonts w:asciiTheme="minorHAnsi" w:eastAsiaTheme="minorEastAsia" w:hAnsiTheme="minorHAnsi" w:cstheme="minorBidi"/>
              <w:b w:val="0"/>
              <w:bCs w:val="0"/>
              <w:color w:val="auto"/>
              <w:sz w:val="22"/>
              <w:szCs w:val="22"/>
              <w:lang w:val="en-US"/>
            </w:rPr>
          </w:pPr>
          <w:hyperlink w:anchor="_Toc210744200" w:history="1">
            <w:r w:rsidR="004E5C8A" w:rsidRPr="002F114E">
              <w:rPr>
                <w:rStyle w:val="Hyperlink"/>
              </w:rPr>
              <w:t>ABSTRACT</w:t>
            </w:r>
            <w:r w:rsidR="004E5C8A">
              <w:rPr>
                <w:webHidden/>
              </w:rPr>
              <w:tab/>
            </w:r>
            <w:r w:rsidR="004E5C8A">
              <w:rPr>
                <w:webHidden/>
              </w:rPr>
              <w:fldChar w:fldCharType="begin"/>
            </w:r>
            <w:r w:rsidR="004E5C8A">
              <w:rPr>
                <w:webHidden/>
              </w:rPr>
              <w:instrText xml:space="preserve"> PAGEREF _Toc210744200 \h </w:instrText>
            </w:r>
            <w:r w:rsidR="004E5C8A">
              <w:rPr>
                <w:webHidden/>
              </w:rPr>
            </w:r>
            <w:r w:rsidR="004E5C8A">
              <w:rPr>
                <w:webHidden/>
              </w:rPr>
              <w:fldChar w:fldCharType="separate"/>
            </w:r>
            <w:r w:rsidR="00FD5B7D">
              <w:rPr>
                <w:webHidden/>
              </w:rPr>
              <w:t>ii</w:t>
            </w:r>
            <w:r w:rsidR="004E5C8A">
              <w:rPr>
                <w:webHidden/>
              </w:rPr>
              <w:fldChar w:fldCharType="end"/>
            </w:r>
          </w:hyperlink>
        </w:p>
        <w:p w14:paraId="265BD9BA" w14:textId="6D75CA65" w:rsidR="004E5C8A" w:rsidRDefault="00000000">
          <w:pPr>
            <w:pStyle w:val="TOC1"/>
            <w:rPr>
              <w:rFonts w:asciiTheme="minorHAnsi" w:eastAsiaTheme="minorEastAsia" w:hAnsiTheme="minorHAnsi" w:cstheme="minorBidi"/>
              <w:b w:val="0"/>
              <w:bCs w:val="0"/>
              <w:color w:val="auto"/>
              <w:sz w:val="22"/>
              <w:szCs w:val="22"/>
              <w:lang w:val="en-US"/>
            </w:rPr>
          </w:pPr>
          <w:hyperlink w:anchor="_Toc210744201" w:history="1">
            <w:r w:rsidR="004E5C8A" w:rsidRPr="002F114E">
              <w:rPr>
                <w:rStyle w:val="Hyperlink"/>
              </w:rPr>
              <w:t>STATEMENT OF THESIS AUTHENTICITY</w:t>
            </w:r>
            <w:r w:rsidR="004E5C8A">
              <w:rPr>
                <w:webHidden/>
              </w:rPr>
              <w:tab/>
            </w:r>
            <w:r w:rsidR="004E5C8A">
              <w:rPr>
                <w:webHidden/>
              </w:rPr>
              <w:fldChar w:fldCharType="begin"/>
            </w:r>
            <w:r w:rsidR="004E5C8A">
              <w:rPr>
                <w:webHidden/>
              </w:rPr>
              <w:instrText xml:space="preserve"> PAGEREF _Toc210744201 \h </w:instrText>
            </w:r>
            <w:r w:rsidR="004E5C8A">
              <w:rPr>
                <w:webHidden/>
              </w:rPr>
            </w:r>
            <w:r w:rsidR="004E5C8A">
              <w:rPr>
                <w:webHidden/>
              </w:rPr>
              <w:fldChar w:fldCharType="separate"/>
            </w:r>
            <w:r w:rsidR="00FD5B7D">
              <w:rPr>
                <w:webHidden/>
              </w:rPr>
              <w:t>iii</w:t>
            </w:r>
            <w:r w:rsidR="004E5C8A">
              <w:rPr>
                <w:webHidden/>
              </w:rPr>
              <w:fldChar w:fldCharType="end"/>
            </w:r>
          </w:hyperlink>
        </w:p>
        <w:p w14:paraId="2CBC87E4" w14:textId="3EFA17F9" w:rsidR="004E5C8A" w:rsidRDefault="00000000">
          <w:pPr>
            <w:pStyle w:val="TOC1"/>
            <w:rPr>
              <w:rFonts w:asciiTheme="minorHAnsi" w:eastAsiaTheme="minorEastAsia" w:hAnsiTheme="minorHAnsi" w:cstheme="minorBidi"/>
              <w:b w:val="0"/>
              <w:bCs w:val="0"/>
              <w:color w:val="auto"/>
              <w:sz w:val="22"/>
              <w:szCs w:val="22"/>
              <w:lang w:val="en-US"/>
            </w:rPr>
          </w:pPr>
          <w:hyperlink w:anchor="_Toc210744202" w:history="1">
            <w:r w:rsidR="004E5C8A" w:rsidRPr="002F114E">
              <w:rPr>
                <w:rStyle w:val="Hyperlink"/>
              </w:rPr>
              <w:t>FOREWORD</w:t>
            </w:r>
            <w:r w:rsidR="004E5C8A">
              <w:rPr>
                <w:webHidden/>
              </w:rPr>
              <w:tab/>
            </w:r>
            <w:r w:rsidR="004E5C8A">
              <w:rPr>
                <w:webHidden/>
              </w:rPr>
              <w:fldChar w:fldCharType="begin"/>
            </w:r>
            <w:r w:rsidR="004E5C8A">
              <w:rPr>
                <w:webHidden/>
              </w:rPr>
              <w:instrText xml:space="preserve"> PAGEREF _Toc210744202 \h </w:instrText>
            </w:r>
            <w:r w:rsidR="004E5C8A">
              <w:rPr>
                <w:webHidden/>
              </w:rPr>
            </w:r>
            <w:r w:rsidR="004E5C8A">
              <w:rPr>
                <w:webHidden/>
              </w:rPr>
              <w:fldChar w:fldCharType="separate"/>
            </w:r>
            <w:r w:rsidR="00FD5B7D">
              <w:rPr>
                <w:webHidden/>
              </w:rPr>
              <w:t>iv</w:t>
            </w:r>
            <w:r w:rsidR="004E5C8A">
              <w:rPr>
                <w:webHidden/>
              </w:rPr>
              <w:fldChar w:fldCharType="end"/>
            </w:r>
          </w:hyperlink>
        </w:p>
        <w:p w14:paraId="57B60F11" w14:textId="2D0FA458" w:rsidR="004E5C8A" w:rsidRDefault="00000000">
          <w:pPr>
            <w:pStyle w:val="TOC1"/>
            <w:rPr>
              <w:rFonts w:asciiTheme="minorHAnsi" w:eastAsiaTheme="minorEastAsia" w:hAnsiTheme="minorHAnsi" w:cstheme="minorBidi"/>
              <w:b w:val="0"/>
              <w:bCs w:val="0"/>
              <w:color w:val="auto"/>
              <w:sz w:val="22"/>
              <w:szCs w:val="22"/>
              <w:lang w:val="en-US"/>
            </w:rPr>
          </w:pPr>
          <w:hyperlink w:anchor="_Toc210744203" w:history="1">
            <w:r w:rsidR="004E5C8A" w:rsidRPr="002F114E">
              <w:rPr>
                <w:rStyle w:val="Hyperlink"/>
              </w:rPr>
              <w:t>TABLE OF CONTENTS</w:t>
            </w:r>
            <w:r w:rsidR="004E5C8A">
              <w:rPr>
                <w:webHidden/>
              </w:rPr>
              <w:tab/>
            </w:r>
            <w:r w:rsidR="004E5C8A">
              <w:rPr>
                <w:webHidden/>
              </w:rPr>
              <w:fldChar w:fldCharType="begin"/>
            </w:r>
            <w:r w:rsidR="004E5C8A">
              <w:rPr>
                <w:webHidden/>
              </w:rPr>
              <w:instrText xml:space="preserve"> PAGEREF _Toc210744203 \h </w:instrText>
            </w:r>
            <w:r w:rsidR="004E5C8A">
              <w:rPr>
                <w:webHidden/>
              </w:rPr>
            </w:r>
            <w:r w:rsidR="004E5C8A">
              <w:rPr>
                <w:webHidden/>
              </w:rPr>
              <w:fldChar w:fldCharType="separate"/>
            </w:r>
            <w:r w:rsidR="00FD5B7D">
              <w:rPr>
                <w:webHidden/>
              </w:rPr>
              <w:t>viii</w:t>
            </w:r>
            <w:r w:rsidR="004E5C8A">
              <w:rPr>
                <w:webHidden/>
              </w:rPr>
              <w:fldChar w:fldCharType="end"/>
            </w:r>
          </w:hyperlink>
        </w:p>
        <w:p w14:paraId="7E6CE5D3" w14:textId="16BDE921" w:rsidR="004E5C8A" w:rsidRDefault="00000000">
          <w:pPr>
            <w:pStyle w:val="TOC1"/>
            <w:rPr>
              <w:rFonts w:asciiTheme="minorHAnsi" w:eastAsiaTheme="minorEastAsia" w:hAnsiTheme="minorHAnsi" w:cstheme="minorBidi"/>
              <w:b w:val="0"/>
              <w:bCs w:val="0"/>
              <w:color w:val="auto"/>
              <w:sz w:val="22"/>
              <w:szCs w:val="22"/>
              <w:lang w:val="en-US"/>
            </w:rPr>
          </w:pPr>
          <w:hyperlink w:anchor="_Toc210744204" w:history="1">
            <w:r w:rsidR="004E5C8A" w:rsidRPr="002F114E">
              <w:rPr>
                <w:rStyle w:val="Hyperlink"/>
              </w:rPr>
              <w:t>LIST OF TABLES</w:t>
            </w:r>
            <w:r w:rsidR="004E5C8A">
              <w:rPr>
                <w:webHidden/>
              </w:rPr>
              <w:tab/>
            </w:r>
            <w:r w:rsidR="004E5C8A">
              <w:rPr>
                <w:webHidden/>
              </w:rPr>
              <w:fldChar w:fldCharType="begin"/>
            </w:r>
            <w:r w:rsidR="004E5C8A">
              <w:rPr>
                <w:webHidden/>
              </w:rPr>
              <w:instrText xml:space="preserve"> PAGEREF _Toc210744204 \h </w:instrText>
            </w:r>
            <w:r w:rsidR="004E5C8A">
              <w:rPr>
                <w:webHidden/>
              </w:rPr>
            </w:r>
            <w:r w:rsidR="004E5C8A">
              <w:rPr>
                <w:webHidden/>
              </w:rPr>
              <w:fldChar w:fldCharType="separate"/>
            </w:r>
            <w:r w:rsidR="00FD5B7D">
              <w:rPr>
                <w:webHidden/>
              </w:rPr>
              <w:t>xi</w:t>
            </w:r>
            <w:r w:rsidR="004E5C8A">
              <w:rPr>
                <w:webHidden/>
              </w:rPr>
              <w:fldChar w:fldCharType="end"/>
            </w:r>
          </w:hyperlink>
        </w:p>
        <w:p w14:paraId="32B9CA03" w14:textId="779F17F5" w:rsidR="004E5C8A" w:rsidRDefault="00000000">
          <w:pPr>
            <w:pStyle w:val="TOC1"/>
            <w:rPr>
              <w:rFonts w:asciiTheme="minorHAnsi" w:eastAsiaTheme="minorEastAsia" w:hAnsiTheme="minorHAnsi" w:cstheme="minorBidi"/>
              <w:b w:val="0"/>
              <w:bCs w:val="0"/>
              <w:color w:val="auto"/>
              <w:sz w:val="22"/>
              <w:szCs w:val="22"/>
              <w:lang w:val="en-US"/>
            </w:rPr>
          </w:pPr>
          <w:hyperlink w:anchor="_Toc210744205" w:history="1">
            <w:r w:rsidR="004E5C8A" w:rsidRPr="002F114E">
              <w:rPr>
                <w:rStyle w:val="Hyperlink"/>
              </w:rPr>
              <w:t>LIST OF FIGURES</w:t>
            </w:r>
            <w:r w:rsidR="004E5C8A">
              <w:rPr>
                <w:webHidden/>
              </w:rPr>
              <w:tab/>
            </w:r>
            <w:r w:rsidR="004E5C8A">
              <w:rPr>
                <w:webHidden/>
              </w:rPr>
              <w:fldChar w:fldCharType="begin"/>
            </w:r>
            <w:r w:rsidR="004E5C8A">
              <w:rPr>
                <w:webHidden/>
              </w:rPr>
              <w:instrText xml:space="preserve"> PAGEREF _Toc210744205 \h </w:instrText>
            </w:r>
            <w:r w:rsidR="004E5C8A">
              <w:rPr>
                <w:webHidden/>
              </w:rPr>
            </w:r>
            <w:r w:rsidR="004E5C8A">
              <w:rPr>
                <w:webHidden/>
              </w:rPr>
              <w:fldChar w:fldCharType="separate"/>
            </w:r>
            <w:r w:rsidR="00FD5B7D">
              <w:rPr>
                <w:webHidden/>
              </w:rPr>
              <w:t>xii</w:t>
            </w:r>
            <w:r w:rsidR="004E5C8A">
              <w:rPr>
                <w:webHidden/>
              </w:rPr>
              <w:fldChar w:fldCharType="end"/>
            </w:r>
          </w:hyperlink>
        </w:p>
        <w:p w14:paraId="1C87A065" w14:textId="65B6B27C" w:rsidR="004E5C8A" w:rsidRDefault="00000000">
          <w:pPr>
            <w:pStyle w:val="TOC1"/>
            <w:rPr>
              <w:rFonts w:asciiTheme="minorHAnsi" w:eastAsiaTheme="minorEastAsia" w:hAnsiTheme="minorHAnsi" w:cstheme="minorBidi"/>
              <w:b w:val="0"/>
              <w:bCs w:val="0"/>
              <w:color w:val="auto"/>
              <w:sz w:val="22"/>
              <w:szCs w:val="22"/>
              <w:lang w:val="en-US"/>
            </w:rPr>
          </w:pPr>
          <w:hyperlink w:anchor="_Toc210744206" w:history="1">
            <w:r w:rsidR="004E5C8A" w:rsidRPr="002F114E">
              <w:rPr>
                <w:rStyle w:val="Hyperlink"/>
              </w:rPr>
              <w:t>LIST OF ABBREVIATIONS</w:t>
            </w:r>
            <w:r w:rsidR="004E5C8A">
              <w:rPr>
                <w:webHidden/>
              </w:rPr>
              <w:tab/>
            </w:r>
            <w:r w:rsidR="004E5C8A">
              <w:rPr>
                <w:webHidden/>
              </w:rPr>
              <w:fldChar w:fldCharType="begin"/>
            </w:r>
            <w:r w:rsidR="004E5C8A">
              <w:rPr>
                <w:webHidden/>
              </w:rPr>
              <w:instrText xml:space="preserve"> PAGEREF _Toc210744206 \h </w:instrText>
            </w:r>
            <w:r w:rsidR="004E5C8A">
              <w:rPr>
                <w:webHidden/>
              </w:rPr>
            </w:r>
            <w:r w:rsidR="004E5C8A">
              <w:rPr>
                <w:webHidden/>
              </w:rPr>
              <w:fldChar w:fldCharType="separate"/>
            </w:r>
            <w:r w:rsidR="00FD5B7D">
              <w:rPr>
                <w:webHidden/>
              </w:rPr>
              <w:t>xiii</w:t>
            </w:r>
            <w:r w:rsidR="004E5C8A">
              <w:rPr>
                <w:webHidden/>
              </w:rPr>
              <w:fldChar w:fldCharType="end"/>
            </w:r>
          </w:hyperlink>
        </w:p>
        <w:p w14:paraId="1A210B3A" w14:textId="2F4785EB" w:rsidR="004E5C8A" w:rsidRDefault="00000000">
          <w:pPr>
            <w:pStyle w:val="TOC1"/>
            <w:rPr>
              <w:rFonts w:asciiTheme="minorHAnsi" w:eastAsiaTheme="minorEastAsia" w:hAnsiTheme="minorHAnsi" w:cstheme="minorBidi"/>
              <w:b w:val="0"/>
              <w:bCs w:val="0"/>
              <w:color w:val="auto"/>
              <w:sz w:val="22"/>
              <w:szCs w:val="22"/>
              <w:lang w:val="en-US"/>
            </w:rPr>
          </w:pPr>
          <w:hyperlink w:anchor="_Toc210744207" w:history="1">
            <w:r w:rsidR="004E5C8A" w:rsidRPr="002F114E">
              <w:rPr>
                <w:rStyle w:val="Hyperlink"/>
              </w:rPr>
              <w:t>LIST OF APPENDICES</w:t>
            </w:r>
            <w:r w:rsidR="004E5C8A">
              <w:rPr>
                <w:webHidden/>
              </w:rPr>
              <w:tab/>
            </w:r>
            <w:r w:rsidR="004E5C8A">
              <w:rPr>
                <w:webHidden/>
              </w:rPr>
              <w:fldChar w:fldCharType="begin"/>
            </w:r>
            <w:r w:rsidR="004E5C8A">
              <w:rPr>
                <w:webHidden/>
              </w:rPr>
              <w:instrText xml:space="preserve"> PAGEREF _Toc210744207 \h </w:instrText>
            </w:r>
            <w:r w:rsidR="004E5C8A">
              <w:rPr>
                <w:webHidden/>
              </w:rPr>
            </w:r>
            <w:r w:rsidR="004E5C8A">
              <w:rPr>
                <w:webHidden/>
              </w:rPr>
              <w:fldChar w:fldCharType="separate"/>
            </w:r>
            <w:r w:rsidR="00FD5B7D">
              <w:rPr>
                <w:webHidden/>
              </w:rPr>
              <w:t>xiv</w:t>
            </w:r>
            <w:r w:rsidR="004E5C8A">
              <w:rPr>
                <w:webHidden/>
              </w:rPr>
              <w:fldChar w:fldCharType="end"/>
            </w:r>
          </w:hyperlink>
        </w:p>
        <w:p w14:paraId="00B85CF5" w14:textId="42FF7F18" w:rsidR="004E5C8A" w:rsidRDefault="00000000">
          <w:pPr>
            <w:pStyle w:val="TOC1"/>
            <w:rPr>
              <w:rFonts w:asciiTheme="minorHAnsi" w:eastAsiaTheme="minorEastAsia" w:hAnsiTheme="minorHAnsi" w:cstheme="minorBidi"/>
              <w:b w:val="0"/>
              <w:bCs w:val="0"/>
              <w:color w:val="auto"/>
              <w:sz w:val="22"/>
              <w:szCs w:val="22"/>
              <w:lang w:val="en-US"/>
            </w:rPr>
          </w:pPr>
          <w:hyperlink w:anchor="_Toc210744208" w:history="1">
            <w:r w:rsidR="004E5C8A" w:rsidRPr="002F114E">
              <w:rPr>
                <w:rStyle w:val="Hyperlink"/>
              </w:rPr>
              <w:t>CHAPTER I</w:t>
            </w:r>
            <w:r w:rsidR="004E5C8A">
              <w:rPr>
                <w:rStyle w:val="Hyperlink"/>
              </w:rPr>
              <w:t xml:space="preserve">  INTRODUCTION</w:t>
            </w:r>
            <w:r w:rsidR="004E5C8A">
              <w:rPr>
                <w:webHidden/>
              </w:rPr>
              <w:tab/>
            </w:r>
            <w:r w:rsidR="004E5C8A">
              <w:rPr>
                <w:webHidden/>
              </w:rPr>
              <w:fldChar w:fldCharType="begin"/>
            </w:r>
            <w:r w:rsidR="004E5C8A">
              <w:rPr>
                <w:webHidden/>
              </w:rPr>
              <w:instrText xml:space="preserve"> PAGEREF _Toc210744208 \h </w:instrText>
            </w:r>
            <w:r w:rsidR="004E5C8A">
              <w:rPr>
                <w:webHidden/>
              </w:rPr>
            </w:r>
            <w:r w:rsidR="004E5C8A">
              <w:rPr>
                <w:webHidden/>
              </w:rPr>
              <w:fldChar w:fldCharType="separate"/>
            </w:r>
            <w:r w:rsidR="00FD5B7D">
              <w:rPr>
                <w:webHidden/>
              </w:rPr>
              <w:t>15</w:t>
            </w:r>
            <w:r w:rsidR="004E5C8A">
              <w:rPr>
                <w:webHidden/>
              </w:rPr>
              <w:fldChar w:fldCharType="end"/>
            </w:r>
          </w:hyperlink>
        </w:p>
        <w:p w14:paraId="2158AB6C" w14:textId="5DE0FB0F" w:rsidR="004E5C8A" w:rsidRPr="004E5C8A" w:rsidRDefault="00000000">
          <w:pPr>
            <w:pStyle w:val="TOC2"/>
            <w:rPr>
              <w:rFonts w:asciiTheme="minorHAnsi" w:eastAsiaTheme="minorEastAsia" w:hAnsiTheme="minorHAnsi" w:cstheme="minorBidi"/>
              <w:b w:val="0"/>
              <w:bCs w:val="0"/>
              <w:sz w:val="22"/>
              <w:szCs w:val="22"/>
              <w:lang w:val="en-US"/>
            </w:rPr>
          </w:pPr>
          <w:hyperlink w:anchor="_Toc210744210" w:history="1">
            <w:r w:rsidR="004E5C8A" w:rsidRPr="004E5C8A">
              <w:rPr>
                <w:rStyle w:val="Hyperlink"/>
                <w:b w:val="0"/>
                <w:bCs w:val="0"/>
              </w:rPr>
              <w:t>1.1</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Background</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_Toc210744210 \h </w:instrText>
            </w:r>
            <w:r w:rsidR="004E5C8A" w:rsidRPr="004E5C8A">
              <w:rPr>
                <w:b w:val="0"/>
                <w:bCs w:val="0"/>
                <w:webHidden/>
              </w:rPr>
            </w:r>
            <w:r w:rsidR="004E5C8A" w:rsidRPr="004E5C8A">
              <w:rPr>
                <w:b w:val="0"/>
                <w:bCs w:val="0"/>
                <w:webHidden/>
              </w:rPr>
              <w:fldChar w:fldCharType="separate"/>
            </w:r>
            <w:r w:rsidR="00FD5B7D">
              <w:rPr>
                <w:b w:val="0"/>
                <w:bCs w:val="0"/>
                <w:webHidden/>
              </w:rPr>
              <w:t>15</w:t>
            </w:r>
            <w:r w:rsidR="004E5C8A" w:rsidRPr="004E5C8A">
              <w:rPr>
                <w:b w:val="0"/>
                <w:bCs w:val="0"/>
                <w:webHidden/>
              </w:rPr>
              <w:fldChar w:fldCharType="end"/>
            </w:r>
          </w:hyperlink>
        </w:p>
        <w:p w14:paraId="61B506F4" w14:textId="435D581D" w:rsidR="004E5C8A" w:rsidRPr="004E5C8A" w:rsidRDefault="00000000">
          <w:pPr>
            <w:pStyle w:val="TOC2"/>
            <w:rPr>
              <w:rFonts w:asciiTheme="minorHAnsi" w:eastAsiaTheme="minorEastAsia" w:hAnsiTheme="minorHAnsi" w:cstheme="minorBidi"/>
              <w:b w:val="0"/>
              <w:bCs w:val="0"/>
              <w:sz w:val="22"/>
              <w:szCs w:val="22"/>
              <w:lang w:val="en-US"/>
            </w:rPr>
          </w:pPr>
          <w:hyperlink w:anchor="_Toc210744211" w:history="1">
            <w:r w:rsidR="004E5C8A" w:rsidRPr="004E5C8A">
              <w:rPr>
                <w:rStyle w:val="Hyperlink"/>
                <w:b w:val="0"/>
                <w:bCs w:val="0"/>
              </w:rPr>
              <w:t>1.2</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highlight w:val="white"/>
              </w:rPr>
              <w:t>Problem Formulation</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_Toc210744211 \h </w:instrText>
            </w:r>
            <w:r w:rsidR="004E5C8A" w:rsidRPr="004E5C8A">
              <w:rPr>
                <w:b w:val="0"/>
                <w:bCs w:val="0"/>
                <w:webHidden/>
              </w:rPr>
            </w:r>
            <w:r w:rsidR="004E5C8A" w:rsidRPr="004E5C8A">
              <w:rPr>
                <w:b w:val="0"/>
                <w:bCs w:val="0"/>
                <w:webHidden/>
              </w:rPr>
              <w:fldChar w:fldCharType="separate"/>
            </w:r>
            <w:r w:rsidR="00FD5B7D">
              <w:rPr>
                <w:b w:val="0"/>
                <w:bCs w:val="0"/>
                <w:webHidden/>
              </w:rPr>
              <w:t>24</w:t>
            </w:r>
            <w:r w:rsidR="004E5C8A" w:rsidRPr="004E5C8A">
              <w:rPr>
                <w:b w:val="0"/>
                <w:bCs w:val="0"/>
                <w:webHidden/>
              </w:rPr>
              <w:fldChar w:fldCharType="end"/>
            </w:r>
          </w:hyperlink>
        </w:p>
        <w:p w14:paraId="78D8ABBC" w14:textId="7239AB5E" w:rsidR="004E5C8A" w:rsidRPr="004E5C8A" w:rsidRDefault="00000000">
          <w:pPr>
            <w:pStyle w:val="TOC2"/>
            <w:rPr>
              <w:rFonts w:asciiTheme="minorHAnsi" w:eastAsiaTheme="minorEastAsia" w:hAnsiTheme="minorHAnsi" w:cstheme="minorBidi"/>
              <w:b w:val="0"/>
              <w:bCs w:val="0"/>
              <w:sz w:val="22"/>
              <w:szCs w:val="22"/>
              <w:lang w:val="en-US"/>
            </w:rPr>
          </w:pPr>
          <w:hyperlink w:anchor="_Toc210744212" w:history="1">
            <w:r w:rsidR="004E5C8A" w:rsidRPr="004E5C8A">
              <w:rPr>
                <w:rStyle w:val="Hyperlink"/>
                <w:b w:val="0"/>
                <w:bCs w:val="0"/>
              </w:rPr>
              <w:t>1.3</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highlight w:val="white"/>
              </w:rPr>
              <w:t>Research Objectives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_Toc210744212 \h </w:instrText>
            </w:r>
            <w:r w:rsidR="004E5C8A" w:rsidRPr="004E5C8A">
              <w:rPr>
                <w:b w:val="0"/>
                <w:bCs w:val="0"/>
                <w:webHidden/>
              </w:rPr>
            </w:r>
            <w:r w:rsidR="004E5C8A" w:rsidRPr="004E5C8A">
              <w:rPr>
                <w:b w:val="0"/>
                <w:bCs w:val="0"/>
                <w:webHidden/>
              </w:rPr>
              <w:fldChar w:fldCharType="separate"/>
            </w:r>
            <w:r w:rsidR="00FD5B7D">
              <w:rPr>
                <w:b w:val="0"/>
                <w:bCs w:val="0"/>
                <w:webHidden/>
              </w:rPr>
              <w:t>25</w:t>
            </w:r>
            <w:r w:rsidR="004E5C8A" w:rsidRPr="004E5C8A">
              <w:rPr>
                <w:b w:val="0"/>
                <w:bCs w:val="0"/>
                <w:webHidden/>
              </w:rPr>
              <w:fldChar w:fldCharType="end"/>
            </w:r>
          </w:hyperlink>
        </w:p>
        <w:p w14:paraId="2B41371F" w14:textId="4C9F7EC6" w:rsidR="004E5C8A" w:rsidRPr="004E5C8A" w:rsidRDefault="00000000">
          <w:pPr>
            <w:pStyle w:val="TOC2"/>
            <w:rPr>
              <w:rFonts w:asciiTheme="minorHAnsi" w:eastAsiaTheme="minorEastAsia" w:hAnsiTheme="minorHAnsi" w:cstheme="minorBidi"/>
              <w:b w:val="0"/>
              <w:bCs w:val="0"/>
              <w:sz w:val="22"/>
              <w:szCs w:val="22"/>
              <w:lang w:val="en-US"/>
            </w:rPr>
          </w:pPr>
          <w:hyperlink w:anchor="_Toc210744213" w:history="1">
            <w:r w:rsidR="004E5C8A" w:rsidRPr="004E5C8A">
              <w:rPr>
                <w:rStyle w:val="Hyperlink"/>
                <w:b w:val="0"/>
                <w:bCs w:val="0"/>
              </w:rPr>
              <w:t>1.4</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Research Significance</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_Toc210744213 \h </w:instrText>
            </w:r>
            <w:r w:rsidR="004E5C8A" w:rsidRPr="004E5C8A">
              <w:rPr>
                <w:b w:val="0"/>
                <w:bCs w:val="0"/>
                <w:webHidden/>
              </w:rPr>
            </w:r>
            <w:r w:rsidR="004E5C8A" w:rsidRPr="004E5C8A">
              <w:rPr>
                <w:b w:val="0"/>
                <w:bCs w:val="0"/>
                <w:webHidden/>
              </w:rPr>
              <w:fldChar w:fldCharType="separate"/>
            </w:r>
            <w:r w:rsidR="00FD5B7D">
              <w:rPr>
                <w:b w:val="0"/>
                <w:bCs w:val="0"/>
                <w:webHidden/>
              </w:rPr>
              <w:t>26</w:t>
            </w:r>
            <w:r w:rsidR="004E5C8A" w:rsidRPr="004E5C8A">
              <w:rPr>
                <w:b w:val="0"/>
                <w:bCs w:val="0"/>
                <w:webHidden/>
              </w:rPr>
              <w:fldChar w:fldCharType="end"/>
            </w:r>
          </w:hyperlink>
        </w:p>
        <w:p w14:paraId="2A88B1FC" w14:textId="37665609" w:rsidR="004E5C8A" w:rsidRDefault="00000000">
          <w:pPr>
            <w:pStyle w:val="TOC1"/>
            <w:rPr>
              <w:rFonts w:asciiTheme="minorHAnsi" w:eastAsiaTheme="minorEastAsia" w:hAnsiTheme="minorHAnsi" w:cstheme="minorBidi"/>
              <w:b w:val="0"/>
              <w:bCs w:val="0"/>
              <w:color w:val="auto"/>
              <w:sz w:val="22"/>
              <w:szCs w:val="22"/>
              <w:lang w:val="en-US"/>
            </w:rPr>
          </w:pPr>
          <w:hyperlink w:anchor="_Toc210744214" w:history="1">
            <w:r w:rsidR="004E5C8A" w:rsidRPr="002F114E">
              <w:rPr>
                <w:rStyle w:val="Hyperlink"/>
              </w:rPr>
              <w:t>CHAPTER II</w:t>
            </w:r>
            <w:r w:rsidR="004E5C8A">
              <w:rPr>
                <w:rStyle w:val="Hyperlink"/>
              </w:rPr>
              <w:t xml:space="preserve"> LITERATURE REVIEW</w:t>
            </w:r>
            <w:r w:rsidR="004E5C8A">
              <w:rPr>
                <w:webHidden/>
              </w:rPr>
              <w:tab/>
            </w:r>
            <w:r w:rsidR="004E5C8A">
              <w:rPr>
                <w:webHidden/>
              </w:rPr>
              <w:fldChar w:fldCharType="begin"/>
            </w:r>
            <w:r w:rsidR="004E5C8A">
              <w:rPr>
                <w:webHidden/>
              </w:rPr>
              <w:instrText xml:space="preserve"> PAGEREF _Toc210744214 \h </w:instrText>
            </w:r>
            <w:r w:rsidR="004E5C8A">
              <w:rPr>
                <w:webHidden/>
              </w:rPr>
            </w:r>
            <w:r w:rsidR="004E5C8A">
              <w:rPr>
                <w:webHidden/>
              </w:rPr>
              <w:fldChar w:fldCharType="separate"/>
            </w:r>
            <w:r w:rsidR="00FD5B7D">
              <w:rPr>
                <w:webHidden/>
              </w:rPr>
              <w:t>27</w:t>
            </w:r>
            <w:r w:rsidR="004E5C8A">
              <w:rPr>
                <w:webHidden/>
              </w:rPr>
              <w:fldChar w:fldCharType="end"/>
            </w:r>
          </w:hyperlink>
          <w:hyperlink w:anchor="_Toc210744215" w:history="1"/>
        </w:p>
        <w:p w14:paraId="5920E7FD" w14:textId="4304A0F0" w:rsidR="004E5C8A" w:rsidRPr="004E5C8A" w:rsidRDefault="00000000">
          <w:pPr>
            <w:pStyle w:val="TOC2"/>
            <w:rPr>
              <w:rFonts w:asciiTheme="minorHAnsi" w:eastAsiaTheme="minorEastAsia" w:hAnsiTheme="minorHAnsi" w:cstheme="minorBidi"/>
              <w:b w:val="0"/>
              <w:bCs w:val="0"/>
              <w:sz w:val="22"/>
              <w:szCs w:val="22"/>
              <w:lang w:val="en-US"/>
            </w:rPr>
          </w:pPr>
          <w:hyperlink w:anchor="_Toc210744216" w:history="1">
            <w:r w:rsidR="004E5C8A" w:rsidRPr="004E5C8A">
              <w:rPr>
                <w:rStyle w:val="Hyperlink"/>
                <w:b w:val="0"/>
                <w:bCs w:val="0"/>
              </w:rPr>
              <w:t>2.1</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Theoretical Basis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_Toc210744216 \h </w:instrText>
            </w:r>
            <w:r w:rsidR="004E5C8A" w:rsidRPr="004E5C8A">
              <w:rPr>
                <w:b w:val="0"/>
                <w:bCs w:val="0"/>
                <w:webHidden/>
              </w:rPr>
            </w:r>
            <w:r w:rsidR="004E5C8A" w:rsidRPr="004E5C8A">
              <w:rPr>
                <w:b w:val="0"/>
                <w:bCs w:val="0"/>
                <w:webHidden/>
              </w:rPr>
              <w:fldChar w:fldCharType="separate"/>
            </w:r>
            <w:r w:rsidR="00FD5B7D">
              <w:rPr>
                <w:b w:val="0"/>
                <w:bCs w:val="0"/>
                <w:webHidden/>
              </w:rPr>
              <w:t>27</w:t>
            </w:r>
            <w:r w:rsidR="004E5C8A" w:rsidRPr="004E5C8A">
              <w:rPr>
                <w:b w:val="0"/>
                <w:bCs w:val="0"/>
                <w:webHidden/>
              </w:rPr>
              <w:fldChar w:fldCharType="end"/>
            </w:r>
          </w:hyperlink>
        </w:p>
        <w:p w14:paraId="5E70ADC6" w14:textId="2249B9F6"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17" w:history="1">
            <w:r w:rsidR="004E5C8A" w:rsidRPr="004E5C8A">
              <w:rPr>
                <w:rStyle w:val="Hyperlink"/>
              </w:rPr>
              <w:t>2.1.1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Legitimacy Theory</w:t>
            </w:r>
            <w:r w:rsidR="004E5C8A" w:rsidRPr="004E5C8A">
              <w:rPr>
                <w:webHidden/>
              </w:rPr>
              <w:tab/>
            </w:r>
            <w:r w:rsidR="004E5C8A" w:rsidRPr="004E5C8A">
              <w:rPr>
                <w:webHidden/>
              </w:rPr>
              <w:fldChar w:fldCharType="begin"/>
            </w:r>
            <w:r w:rsidR="004E5C8A" w:rsidRPr="004E5C8A">
              <w:rPr>
                <w:webHidden/>
              </w:rPr>
              <w:instrText xml:space="preserve"> PAGEREF _Toc210744217 \h </w:instrText>
            </w:r>
            <w:r w:rsidR="004E5C8A" w:rsidRPr="004E5C8A">
              <w:rPr>
                <w:webHidden/>
              </w:rPr>
            </w:r>
            <w:r w:rsidR="004E5C8A" w:rsidRPr="004E5C8A">
              <w:rPr>
                <w:webHidden/>
              </w:rPr>
              <w:fldChar w:fldCharType="separate"/>
            </w:r>
            <w:r w:rsidR="00FD5B7D">
              <w:rPr>
                <w:webHidden/>
              </w:rPr>
              <w:t>27</w:t>
            </w:r>
            <w:r w:rsidR="004E5C8A" w:rsidRPr="004E5C8A">
              <w:rPr>
                <w:webHidden/>
              </w:rPr>
              <w:fldChar w:fldCharType="end"/>
            </w:r>
          </w:hyperlink>
        </w:p>
        <w:p w14:paraId="23C76F1B" w14:textId="395EB19F"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18" w:history="1">
            <w:r w:rsidR="004E5C8A" w:rsidRPr="004E5C8A">
              <w:rPr>
                <w:rStyle w:val="Hyperlink"/>
              </w:rPr>
              <w:t>2.1.2</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Firm Value</w:t>
            </w:r>
            <w:r w:rsidR="004E5C8A" w:rsidRPr="004E5C8A">
              <w:rPr>
                <w:webHidden/>
              </w:rPr>
              <w:tab/>
            </w:r>
            <w:r w:rsidR="004E5C8A" w:rsidRPr="004E5C8A">
              <w:rPr>
                <w:webHidden/>
              </w:rPr>
              <w:fldChar w:fldCharType="begin"/>
            </w:r>
            <w:r w:rsidR="004E5C8A" w:rsidRPr="004E5C8A">
              <w:rPr>
                <w:webHidden/>
              </w:rPr>
              <w:instrText xml:space="preserve"> PAGEREF _Toc210744218 \h </w:instrText>
            </w:r>
            <w:r w:rsidR="004E5C8A" w:rsidRPr="004E5C8A">
              <w:rPr>
                <w:webHidden/>
              </w:rPr>
            </w:r>
            <w:r w:rsidR="004E5C8A" w:rsidRPr="004E5C8A">
              <w:rPr>
                <w:webHidden/>
              </w:rPr>
              <w:fldChar w:fldCharType="separate"/>
            </w:r>
            <w:r w:rsidR="00FD5B7D">
              <w:rPr>
                <w:webHidden/>
              </w:rPr>
              <w:t>28</w:t>
            </w:r>
            <w:r w:rsidR="004E5C8A" w:rsidRPr="004E5C8A">
              <w:rPr>
                <w:webHidden/>
              </w:rPr>
              <w:fldChar w:fldCharType="end"/>
            </w:r>
          </w:hyperlink>
        </w:p>
        <w:p w14:paraId="34FE210C" w14:textId="6CBA7C9D"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19" w:history="1">
            <w:r w:rsidR="004E5C8A" w:rsidRPr="004E5C8A">
              <w:rPr>
                <w:rStyle w:val="Hyperlink"/>
              </w:rPr>
              <w:t>2.1.3</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Green Intellectual Capital</w:t>
            </w:r>
            <w:r w:rsidR="004E5C8A" w:rsidRPr="004E5C8A">
              <w:rPr>
                <w:webHidden/>
              </w:rPr>
              <w:tab/>
            </w:r>
            <w:r w:rsidR="004E5C8A" w:rsidRPr="004E5C8A">
              <w:rPr>
                <w:webHidden/>
              </w:rPr>
              <w:fldChar w:fldCharType="begin"/>
            </w:r>
            <w:r w:rsidR="004E5C8A" w:rsidRPr="004E5C8A">
              <w:rPr>
                <w:webHidden/>
              </w:rPr>
              <w:instrText xml:space="preserve"> PAGEREF _Toc210744219 \h </w:instrText>
            </w:r>
            <w:r w:rsidR="004E5C8A" w:rsidRPr="004E5C8A">
              <w:rPr>
                <w:webHidden/>
              </w:rPr>
            </w:r>
            <w:r w:rsidR="004E5C8A" w:rsidRPr="004E5C8A">
              <w:rPr>
                <w:webHidden/>
              </w:rPr>
              <w:fldChar w:fldCharType="separate"/>
            </w:r>
            <w:r w:rsidR="00FD5B7D">
              <w:rPr>
                <w:webHidden/>
              </w:rPr>
              <w:t>29</w:t>
            </w:r>
            <w:r w:rsidR="004E5C8A" w:rsidRPr="004E5C8A">
              <w:rPr>
                <w:webHidden/>
              </w:rPr>
              <w:fldChar w:fldCharType="end"/>
            </w:r>
          </w:hyperlink>
        </w:p>
        <w:p w14:paraId="144692B8" w14:textId="6FF56F8E"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0" w:history="1">
            <w:r w:rsidR="004E5C8A" w:rsidRPr="004E5C8A">
              <w:rPr>
                <w:rStyle w:val="Hyperlink"/>
              </w:rPr>
              <w:t>2.1.4</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Green Accounting</w:t>
            </w:r>
            <w:r w:rsidR="004E5C8A" w:rsidRPr="004E5C8A">
              <w:rPr>
                <w:webHidden/>
              </w:rPr>
              <w:tab/>
            </w:r>
            <w:r w:rsidR="004E5C8A" w:rsidRPr="004E5C8A">
              <w:rPr>
                <w:webHidden/>
              </w:rPr>
              <w:fldChar w:fldCharType="begin"/>
            </w:r>
            <w:r w:rsidR="004E5C8A" w:rsidRPr="004E5C8A">
              <w:rPr>
                <w:webHidden/>
              </w:rPr>
              <w:instrText xml:space="preserve"> PAGEREF _Toc210744220 \h </w:instrText>
            </w:r>
            <w:r w:rsidR="004E5C8A" w:rsidRPr="004E5C8A">
              <w:rPr>
                <w:webHidden/>
              </w:rPr>
            </w:r>
            <w:r w:rsidR="004E5C8A" w:rsidRPr="004E5C8A">
              <w:rPr>
                <w:webHidden/>
              </w:rPr>
              <w:fldChar w:fldCharType="separate"/>
            </w:r>
            <w:r w:rsidR="00FD5B7D">
              <w:rPr>
                <w:webHidden/>
              </w:rPr>
              <w:t>31</w:t>
            </w:r>
            <w:r w:rsidR="004E5C8A" w:rsidRPr="004E5C8A">
              <w:rPr>
                <w:webHidden/>
              </w:rPr>
              <w:fldChar w:fldCharType="end"/>
            </w:r>
          </w:hyperlink>
        </w:p>
        <w:p w14:paraId="727749A6" w14:textId="75FE8983"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1" w:history="1">
            <w:r w:rsidR="004E5C8A" w:rsidRPr="004E5C8A">
              <w:rPr>
                <w:rStyle w:val="Hyperlink"/>
              </w:rPr>
              <w:t>2.1.5</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Carbon Emission Disclosure</w:t>
            </w:r>
            <w:r w:rsidR="004E5C8A" w:rsidRPr="004E5C8A">
              <w:rPr>
                <w:webHidden/>
              </w:rPr>
              <w:tab/>
            </w:r>
            <w:r w:rsidR="004E5C8A" w:rsidRPr="004E5C8A">
              <w:rPr>
                <w:webHidden/>
              </w:rPr>
              <w:fldChar w:fldCharType="begin"/>
            </w:r>
            <w:r w:rsidR="004E5C8A" w:rsidRPr="004E5C8A">
              <w:rPr>
                <w:webHidden/>
              </w:rPr>
              <w:instrText xml:space="preserve"> PAGEREF _Toc210744221 \h </w:instrText>
            </w:r>
            <w:r w:rsidR="004E5C8A" w:rsidRPr="004E5C8A">
              <w:rPr>
                <w:webHidden/>
              </w:rPr>
            </w:r>
            <w:r w:rsidR="004E5C8A" w:rsidRPr="004E5C8A">
              <w:rPr>
                <w:webHidden/>
              </w:rPr>
              <w:fldChar w:fldCharType="separate"/>
            </w:r>
            <w:r w:rsidR="00FD5B7D">
              <w:rPr>
                <w:webHidden/>
              </w:rPr>
              <w:t>33</w:t>
            </w:r>
            <w:r w:rsidR="004E5C8A" w:rsidRPr="004E5C8A">
              <w:rPr>
                <w:webHidden/>
              </w:rPr>
              <w:fldChar w:fldCharType="end"/>
            </w:r>
          </w:hyperlink>
        </w:p>
        <w:p w14:paraId="655156F8" w14:textId="14A26ECE"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2" w:history="1">
            <w:r w:rsidR="004E5C8A" w:rsidRPr="004E5C8A">
              <w:rPr>
                <w:rStyle w:val="Hyperlink"/>
              </w:rPr>
              <w:t>2.1.6</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Green Capital Structure</w:t>
            </w:r>
            <w:r w:rsidR="004E5C8A" w:rsidRPr="004E5C8A">
              <w:rPr>
                <w:webHidden/>
              </w:rPr>
              <w:tab/>
            </w:r>
            <w:r w:rsidR="004E5C8A" w:rsidRPr="004E5C8A">
              <w:rPr>
                <w:webHidden/>
              </w:rPr>
              <w:fldChar w:fldCharType="begin"/>
            </w:r>
            <w:r w:rsidR="004E5C8A" w:rsidRPr="004E5C8A">
              <w:rPr>
                <w:webHidden/>
              </w:rPr>
              <w:instrText xml:space="preserve"> PAGEREF _Toc210744222 \h </w:instrText>
            </w:r>
            <w:r w:rsidR="004E5C8A" w:rsidRPr="004E5C8A">
              <w:rPr>
                <w:webHidden/>
              </w:rPr>
            </w:r>
            <w:r w:rsidR="004E5C8A" w:rsidRPr="004E5C8A">
              <w:rPr>
                <w:webHidden/>
              </w:rPr>
              <w:fldChar w:fldCharType="separate"/>
            </w:r>
            <w:r w:rsidR="00FD5B7D">
              <w:rPr>
                <w:webHidden/>
              </w:rPr>
              <w:t>34</w:t>
            </w:r>
            <w:r w:rsidR="004E5C8A" w:rsidRPr="004E5C8A">
              <w:rPr>
                <w:webHidden/>
              </w:rPr>
              <w:fldChar w:fldCharType="end"/>
            </w:r>
          </w:hyperlink>
        </w:p>
        <w:p w14:paraId="7C82570F" w14:textId="228DD447" w:rsidR="004E5C8A" w:rsidRPr="004E5C8A" w:rsidRDefault="00000000">
          <w:pPr>
            <w:pStyle w:val="TOC2"/>
            <w:rPr>
              <w:rFonts w:asciiTheme="minorHAnsi" w:eastAsiaTheme="minorEastAsia" w:hAnsiTheme="minorHAnsi" w:cstheme="minorBidi"/>
              <w:b w:val="0"/>
              <w:bCs w:val="0"/>
              <w:sz w:val="22"/>
              <w:szCs w:val="22"/>
              <w:lang w:val="en-US"/>
            </w:rPr>
          </w:pPr>
          <w:hyperlink w:anchor="_Toc210744223" w:history="1">
            <w:r w:rsidR="004E5C8A" w:rsidRPr="004E5C8A">
              <w:rPr>
                <w:rStyle w:val="Hyperlink"/>
                <w:b w:val="0"/>
                <w:bCs w:val="0"/>
              </w:rPr>
              <w:t>2.2</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Previous Research</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_Toc210744223 \h </w:instrText>
            </w:r>
            <w:r w:rsidR="004E5C8A" w:rsidRPr="004E5C8A">
              <w:rPr>
                <w:b w:val="0"/>
                <w:bCs w:val="0"/>
                <w:webHidden/>
              </w:rPr>
            </w:r>
            <w:r w:rsidR="004E5C8A" w:rsidRPr="004E5C8A">
              <w:rPr>
                <w:b w:val="0"/>
                <w:bCs w:val="0"/>
                <w:webHidden/>
              </w:rPr>
              <w:fldChar w:fldCharType="separate"/>
            </w:r>
            <w:r w:rsidR="00FD5B7D">
              <w:rPr>
                <w:b w:val="0"/>
                <w:bCs w:val="0"/>
                <w:webHidden/>
              </w:rPr>
              <w:t>36</w:t>
            </w:r>
            <w:r w:rsidR="004E5C8A" w:rsidRPr="004E5C8A">
              <w:rPr>
                <w:b w:val="0"/>
                <w:bCs w:val="0"/>
                <w:webHidden/>
              </w:rPr>
              <w:fldChar w:fldCharType="end"/>
            </w:r>
          </w:hyperlink>
        </w:p>
        <w:p w14:paraId="2F52DB07" w14:textId="71CD5903" w:rsidR="004E5C8A" w:rsidRPr="004E5C8A" w:rsidRDefault="00000000">
          <w:pPr>
            <w:pStyle w:val="TOC2"/>
            <w:rPr>
              <w:rFonts w:asciiTheme="minorHAnsi" w:eastAsiaTheme="minorEastAsia" w:hAnsiTheme="minorHAnsi" w:cstheme="minorBidi"/>
              <w:b w:val="0"/>
              <w:bCs w:val="0"/>
              <w:sz w:val="22"/>
              <w:szCs w:val="22"/>
              <w:lang w:val="en-US"/>
            </w:rPr>
          </w:pPr>
          <w:hyperlink w:anchor="_Toc210744224" w:history="1">
            <w:r w:rsidR="004E5C8A" w:rsidRPr="004E5C8A">
              <w:rPr>
                <w:rStyle w:val="Hyperlink"/>
                <w:b w:val="0"/>
                <w:bCs w:val="0"/>
              </w:rPr>
              <w:t>2.3</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Conceptual Framework</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_Toc210744224 \h </w:instrText>
            </w:r>
            <w:r w:rsidR="004E5C8A" w:rsidRPr="004E5C8A">
              <w:rPr>
                <w:b w:val="0"/>
                <w:bCs w:val="0"/>
                <w:webHidden/>
              </w:rPr>
            </w:r>
            <w:r w:rsidR="004E5C8A" w:rsidRPr="004E5C8A">
              <w:rPr>
                <w:b w:val="0"/>
                <w:bCs w:val="0"/>
                <w:webHidden/>
              </w:rPr>
              <w:fldChar w:fldCharType="separate"/>
            </w:r>
            <w:r w:rsidR="00FD5B7D">
              <w:rPr>
                <w:b w:val="0"/>
                <w:bCs w:val="0"/>
                <w:webHidden/>
              </w:rPr>
              <w:t>39</w:t>
            </w:r>
            <w:r w:rsidR="004E5C8A" w:rsidRPr="004E5C8A">
              <w:rPr>
                <w:b w:val="0"/>
                <w:bCs w:val="0"/>
                <w:webHidden/>
              </w:rPr>
              <w:fldChar w:fldCharType="end"/>
            </w:r>
          </w:hyperlink>
        </w:p>
        <w:p w14:paraId="18A969B2" w14:textId="4958DE70" w:rsidR="004E5C8A" w:rsidRPr="004E5C8A" w:rsidRDefault="00000000">
          <w:pPr>
            <w:pStyle w:val="TOC2"/>
            <w:rPr>
              <w:rFonts w:asciiTheme="minorHAnsi" w:eastAsiaTheme="minorEastAsia" w:hAnsiTheme="minorHAnsi" w:cstheme="minorBidi"/>
              <w:b w:val="0"/>
              <w:bCs w:val="0"/>
              <w:sz w:val="22"/>
              <w:szCs w:val="22"/>
              <w:lang w:val="en-US"/>
            </w:rPr>
          </w:pPr>
          <w:hyperlink w:anchor="_Toc210744225" w:history="1">
            <w:r w:rsidR="004E5C8A" w:rsidRPr="004E5C8A">
              <w:rPr>
                <w:rStyle w:val="Hyperlink"/>
                <w:b w:val="0"/>
                <w:bCs w:val="0"/>
              </w:rPr>
              <w:t>2.4</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Research Hypothesis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_Toc210744225 \h </w:instrText>
            </w:r>
            <w:r w:rsidR="004E5C8A" w:rsidRPr="004E5C8A">
              <w:rPr>
                <w:b w:val="0"/>
                <w:bCs w:val="0"/>
                <w:webHidden/>
              </w:rPr>
            </w:r>
            <w:r w:rsidR="004E5C8A" w:rsidRPr="004E5C8A">
              <w:rPr>
                <w:b w:val="0"/>
                <w:bCs w:val="0"/>
                <w:webHidden/>
              </w:rPr>
              <w:fldChar w:fldCharType="separate"/>
            </w:r>
            <w:r w:rsidR="00FD5B7D">
              <w:rPr>
                <w:b w:val="0"/>
                <w:bCs w:val="0"/>
                <w:webHidden/>
              </w:rPr>
              <w:t>41</w:t>
            </w:r>
            <w:r w:rsidR="004E5C8A" w:rsidRPr="004E5C8A">
              <w:rPr>
                <w:b w:val="0"/>
                <w:bCs w:val="0"/>
                <w:webHidden/>
              </w:rPr>
              <w:fldChar w:fldCharType="end"/>
            </w:r>
          </w:hyperlink>
        </w:p>
        <w:p w14:paraId="36489673" w14:textId="325A9529"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6" w:history="1">
            <w:r w:rsidR="004E5C8A" w:rsidRPr="004E5C8A">
              <w:rPr>
                <w:rStyle w:val="Hyperlink"/>
              </w:rPr>
              <w:t>2.4.1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Green Accounting on Firm Value</w:t>
            </w:r>
            <w:r w:rsidR="004E5C8A" w:rsidRPr="004E5C8A">
              <w:rPr>
                <w:webHidden/>
              </w:rPr>
              <w:tab/>
            </w:r>
            <w:r w:rsidR="004E5C8A" w:rsidRPr="004E5C8A">
              <w:rPr>
                <w:webHidden/>
              </w:rPr>
              <w:fldChar w:fldCharType="begin"/>
            </w:r>
            <w:r w:rsidR="004E5C8A" w:rsidRPr="004E5C8A">
              <w:rPr>
                <w:webHidden/>
              </w:rPr>
              <w:instrText xml:space="preserve"> PAGEREF _Toc210744226 \h </w:instrText>
            </w:r>
            <w:r w:rsidR="004E5C8A" w:rsidRPr="004E5C8A">
              <w:rPr>
                <w:webHidden/>
              </w:rPr>
            </w:r>
            <w:r w:rsidR="004E5C8A" w:rsidRPr="004E5C8A">
              <w:rPr>
                <w:webHidden/>
              </w:rPr>
              <w:fldChar w:fldCharType="separate"/>
            </w:r>
            <w:r w:rsidR="00FD5B7D">
              <w:rPr>
                <w:webHidden/>
              </w:rPr>
              <w:t>41</w:t>
            </w:r>
            <w:r w:rsidR="004E5C8A" w:rsidRPr="004E5C8A">
              <w:rPr>
                <w:webHidden/>
              </w:rPr>
              <w:fldChar w:fldCharType="end"/>
            </w:r>
          </w:hyperlink>
        </w:p>
        <w:p w14:paraId="19C089E1" w14:textId="55A14F74"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7" w:history="1">
            <w:r w:rsidR="004E5C8A" w:rsidRPr="004E5C8A">
              <w:rPr>
                <w:rStyle w:val="Hyperlink"/>
              </w:rPr>
              <w:t>2.4.2</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Carbon Emission Disclosure on Firm Value</w:t>
            </w:r>
            <w:r w:rsidR="004E5C8A" w:rsidRPr="004E5C8A">
              <w:rPr>
                <w:webHidden/>
              </w:rPr>
              <w:tab/>
            </w:r>
            <w:r w:rsidR="004E5C8A" w:rsidRPr="004E5C8A">
              <w:rPr>
                <w:webHidden/>
              </w:rPr>
              <w:fldChar w:fldCharType="begin"/>
            </w:r>
            <w:r w:rsidR="004E5C8A" w:rsidRPr="004E5C8A">
              <w:rPr>
                <w:webHidden/>
              </w:rPr>
              <w:instrText xml:space="preserve"> PAGEREF _Toc210744227 \h </w:instrText>
            </w:r>
            <w:r w:rsidR="004E5C8A" w:rsidRPr="004E5C8A">
              <w:rPr>
                <w:webHidden/>
              </w:rPr>
            </w:r>
            <w:r w:rsidR="004E5C8A" w:rsidRPr="004E5C8A">
              <w:rPr>
                <w:webHidden/>
              </w:rPr>
              <w:fldChar w:fldCharType="separate"/>
            </w:r>
            <w:r w:rsidR="00FD5B7D">
              <w:rPr>
                <w:webHidden/>
              </w:rPr>
              <w:t>41</w:t>
            </w:r>
            <w:r w:rsidR="004E5C8A" w:rsidRPr="004E5C8A">
              <w:rPr>
                <w:webHidden/>
              </w:rPr>
              <w:fldChar w:fldCharType="end"/>
            </w:r>
          </w:hyperlink>
        </w:p>
        <w:p w14:paraId="0A7636E3" w14:textId="3606A390"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8" w:history="1">
            <w:r w:rsidR="004E5C8A" w:rsidRPr="004E5C8A">
              <w:rPr>
                <w:rStyle w:val="Hyperlink"/>
              </w:rPr>
              <w:t>2.4.3</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Green Capital Structure on Firm Value</w:t>
            </w:r>
            <w:r w:rsidR="004E5C8A" w:rsidRPr="004E5C8A">
              <w:rPr>
                <w:webHidden/>
              </w:rPr>
              <w:tab/>
            </w:r>
            <w:r w:rsidR="004E5C8A" w:rsidRPr="004E5C8A">
              <w:rPr>
                <w:webHidden/>
              </w:rPr>
              <w:fldChar w:fldCharType="begin"/>
            </w:r>
            <w:r w:rsidR="004E5C8A" w:rsidRPr="004E5C8A">
              <w:rPr>
                <w:webHidden/>
              </w:rPr>
              <w:instrText xml:space="preserve"> PAGEREF _Toc210744228 \h </w:instrText>
            </w:r>
            <w:r w:rsidR="004E5C8A" w:rsidRPr="004E5C8A">
              <w:rPr>
                <w:webHidden/>
              </w:rPr>
            </w:r>
            <w:r w:rsidR="004E5C8A" w:rsidRPr="004E5C8A">
              <w:rPr>
                <w:webHidden/>
              </w:rPr>
              <w:fldChar w:fldCharType="separate"/>
            </w:r>
            <w:r w:rsidR="00FD5B7D">
              <w:rPr>
                <w:webHidden/>
              </w:rPr>
              <w:t>42</w:t>
            </w:r>
            <w:r w:rsidR="004E5C8A" w:rsidRPr="004E5C8A">
              <w:rPr>
                <w:webHidden/>
              </w:rPr>
              <w:fldChar w:fldCharType="end"/>
            </w:r>
          </w:hyperlink>
        </w:p>
        <w:p w14:paraId="74245424" w14:textId="00F72089"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29" w:history="1">
            <w:r w:rsidR="004E5C8A" w:rsidRPr="004E5C8A">
              <w:rPr>
                <w:rStyle w:val="Hyperlink"/>
              </w:rPr>
              <w:t>2.4.4</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Green Accounting on Firm Value with Green Intellectual Capital as a Moderating Variable</w:t>
            </w:r>
            <w:r w:rsidR="004E5C8A" w:rsidRPr="004E5C8A">
              <w:rPr>
                <w:webHidden/>
              </w:rPr>
              <w:tab/>
            </w:r>
            <w:r w:rsidR="004E5C8A" w:rsidRPr="004E5C8A">
              <w:rPr>
                <w:webHidden/>
              </w:rPr>
              <w:fldChar w:fldCharType="begin"/>
            </w:r>
            <w:r w:rsidR="004E5C8A" w:rsidRPr="004E5C8A">
              <w:rPr>
                <w:webHidden/>
              </w:rPr>
              <w:instrText xml:space="preserve"> PAGEREF _Toc210744229 \h </w:instrText>
            </w:r>
            <w:r w:rsidR="004E5C8A" w:rsidRPr="004E5C8A">
              <w:rPr>
                <w:webHidden/>
              </w:rPr>
            </w:r>
            <w:r w:rsidR="004E5C8A" w:rsidRPr="004E5C8A">
              <w:rPr>
                <w:webHidden/>
              </w:rPr>
              <w:fldChar w:fldCharType="separate"/>
            </w:r>
            <w:r w:rsidR="00FD5B7D">
              <w:rPr>
                <w:webHidden/>
              </w:rPr>
              <w:t>43</w:t>
            </w:r>
            <w:r w:rsidR="004E5C8A" w:rsidRPr="004E5C8A">
              <w:rPr>
                <w:webHidden/>
              </w:rPr>
              <w:fldChar w:fldCharType="end"/>
            </w:r>
          </w:hyperlink>
        </w:p>
        <w:p w14:paraId="30BCD354" w14:textId="77EF2470"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0" w:history="1">
            <w:r w:rsidR="004E5C8A" w:rsidRPr="004E5C8A">
              <w:rPr>
                <w:rStyle w:val="Hyperlink"/>
              </w:rPr>
              <w:t>2.4.5</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Carbon Emission Disclosure on Firm Value with Green Intellectual Capital as a Moderating Variable</w:t>
            </w:r>
            <w:r w:rsidR="004E5C8A" w:rsidRPr="004E5C8A">
              <w:rPr>
                <w:webHidden/>
              </w:rPr>
              <w:tab/>
            </w:r>
            <w:r w:rsidR="004E5C8A" w:rsidRPr="004E5C8A">
              <w:rPr>
                <w:webHidden/>
              </w:rPr>
              <w:fldChar w:fldCharType="begin"/>
            </w:r>
            <w:r w:rsidR="004E5C8A" w:rsidRPr="004E5C8A">
              <w:rPr>
                <w:webHidden/>
              </w:rPr>
              <w:instrText xml:space="preserve"> PAGEREF _Toc210744230 \h </w:instrText>
            </w:r>
            <w:r w:rsidR="004E5C8A" w:rsidRPr="004E5C8A">
              <w:rPr>
                <w:webHidden/>
              </w:rPr>
            </w:r>
            <w:r w:rsidR="004E5C8A" w:rsidRPr="004E5C8A">
              <w:rPr>
                <w:webHidden/>
              </w:rPr>
              <w:fldChar w:fldCharType="separate"/>
            </w:r>
            <w:r w:rsidR="00FD5B7D">
              <w:rPr>
                <w:webHidden/>
              </w:rPr>
              <w:t>43</w:t>
            </w:r>
            <w:r w:rsidR="004E5C8A" w:rsidRPr="004E5C8A">
              <w:rPr>
                <w:webHidden/>
              </w:rPr>
              <w:fldChar w:fldCharType="end"/>
            </w:r>
          </w:hyperlink>
        </w:p>
        <w:p w14:paraId="570406DF" w14:textId="74DE3A7C"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1" w:history="1">
            <w:r w:rsidR="004E5C8A" w:rsidRPr="004E5C8A">
              <w:rPr>
                <w:rStyle w:val="Hyperlink"/>
              </w:rPr>
              <w:t>2.4.6</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Green Capital Structure on Firm Value with Green Intellectual Capital as a Moderating Variable</w:t>
            </w:r>
            <w:r w:rsidR="004E5C8A" w:rsidRPr="004E5C8A">
              <w:rPr>
                <w:webHidden/>
              </w:rPr>
              <w:tab/>
            </w:r>
            <w:r w:rsidR="004E5C8A" w:rsidRPr="004E5C8A">
              <w:rPr>
                <w:webHidden/>
              </w:rPr>
              <w:fldChar w:fldCharType="begin"/>
            </w:r>
            <w:r w:rsidR="004E5C8A" w:rsidRPr="004E5C8A">
              <w:rPr>
                <w:webHidden/>
              </w:rPr>
              <w:instrText xml:space="preserve"> PAGEREF _Toc210744231 \h </w:instrText>
            </w:r>
            <w:r w:rsidR="004E5C8A" w:rsidRPr="004E5C8A">
              <w:rPr>
                <w:webHidden/>
              </w:rPr>
            </w:r>
            <w:r w:rsidR="004E5C8A" w:rsidRPr="004E5C8A">
              <w:rPr>
                <w:webHidden/>
              </w:rPr>
              <w:fldChar w:fldCharType="separate"/>
            </w:r>
            <w:r w:rsidR="00FD5B7D">
              <w:rPr>
                <w:webHidden/>
              </w:rPr>
              <w:t>44</w:t>
            </w:r>
            <w:r w:rsidR="004E5C8A" w:rsidRPr="004E5C8A">
              <w:rPr>
                <w:webHidden/>
              </w:rPr>
              <w:fldChar w:fldCharType="end"/>
            </w:r>
          </w:hyperlink>
        </w:p>
        <w:p w14:paraId="50886C2E" w14:textId="3DEFC019" w:rsidR="004E5C8A" w:rsidRDefault="00000000">
          <w:pPr>
            <w:pStyle w:val="TOC2"/>
            <w:rPr>
              <w:rFonts w:asciiTheme="minorHAnsi" w:eastAsiaTheme="minorEastAsia" w:hAnsiTheme="minorHAnsi" w:cstheme="minorBidi"/>
              <w:b w:val="0"/>
              <w:bCs w:val="0"/>
              <w:sz w:val="22"/>
              <w:szCs w:val="22"/>
              <w:lang w:val="en-US"/>
            </w:rPr>
          </w:pPr>
          <w:hyperlink w:anchor="_Toc210744232" w:history="1">
            <w:r w:rsidR="004E5C8A" w:rsidRPr="004E5C8A">
              <w:rPr>
                <w:rStyle w:val="Hyperlink"/>
                <w:b w:val="0"/>
                <w:bCs w:val="0"/>
              </w:rPr>
              <w:t>2.5</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Research Model</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_Toc210744232 \h </w:instrText>
            </w:r>
            <w:r w:rsidR="004E5C8A" w:rsidRPr="004E5C8A">
              <w:rPr>
                <w:b w:val="0"/>
                <w:bCs w:val="0"/>
                <w:webHidden/>
              </w:rPr>
            </w:r>
            <w:r w:rsidR="004E5C8A" w:rsidRPr="004E5C8A">
              <w:rPr>
                <w:b w:val="0"/>
                <w:bCs w:val="0"/>
                <w:webHidden/>
              </w:rPr>
              <w:fldChar w:fldCharType="separate"/>
            </w:r>
            <w:r w:rsidR="00FD5B7D">
              <w:rPr>
                <w:b w:val="0"/>
                <w:bCs w:val="0"/>
                <w:webHidden/>
              </w:rPr>
              <w:t>45</w:t>
            </w:r>
            <w:r w:rsidR="004E5C8A" w:rsidRPr="004E5C8A">
              <w:rPr>
                <w:b w:val="0"/>
                <w:bCs w:val="0"/>
                <w:webHidden/>
              </w:rPr>
              <w:fldChar w:fldCharType="end"/>
            </w:r>
          </w:hyperlink>
        </w:p>
        <w:p w14:paraId="1CAB1261" w14:textId="4ABC30C6" w:rsidR="004E5C8A" w:rsidRDefault="00000000">
          <w:pPr>
            <w:pStyle w:val="TOC1"/>
            <w:rPr>
              <w:rFonts w:asciiTheme="minorHAnsi" w:eastAsiaTheme="minorEastAsia" w:hAnsiTheme="minorHAnsi" w:cstheme="minorBidi"/>
              <w:b w:val="0"/>
              <w:bCs w:val="0"/>
              <w:color w:val="auto"/>
              <w:sz w:val="22"/>
              <w:szCs w:val="22"/>
              <w:lang w:val="en-US"/>
            </w:rPr>
          </w:pPr>
          <w:hyperlink w:anchor="_Toc210744233" w:history="1">
            <w:r w:rsidR="004E5C8A">
              <w:rPr>
                <w:rStyle w:val="Hyperlink"/>
              </w:rPr>
              <w:t>CHAPTER III R</w:t>
            </w:r>
            <w:r w:rsidR="004E5C8A" w:rsidRPr="002F114E">
              <w:rPr>
                <w:rStyle w:val="Hyperlink"/>
              </w:rPr>
              <w:t>ESEARCH METODOLOGY</w:t>
            </w:r>
            <w:r w:rsidR="004E5C8A">
              <w:rPr>
                <w:webHidden/>
              </w:rPr>
              <w:tab/>
            </w:r>
            <w:r w:rsidR="004E5C8A">
              <w:rPr>
                <w:webHidden/>
              </w:rPr>
              <w:fldChar w:fldCharType="begin"/>
            </w:r>
            <w:r w:rsidR="004E5C8A">
              <w:rPr>
                <w:webHidden/>
              </w:rPr>
              <w:instrText xml:space="preserve"> PAGEREF _Toc210744233 \h </w:instrText>
            </w:r>
            <w:r w:rsidR="004E5C8A">
              <w:rPr>
                <w:webHidden/>
              </w:rPr>
            </w:r>
            <w:r w:rsidR="004E5C8A">
              <w:rPr>
                <w:webHidden/>
              </w:rPr>
              <w:fldChar w:fldCharType="separate"/>
            </w:r>
            <w:r w:rsidR="00FD5B7D">
              <w:rPr>
                <w:webHidden/>
              </w:rPr>
              <w:t>46</w:t>
            </w:r>
            <w:r w:rsidR="004E5C8A">
              <w:rPr>
                <w:webHidden/>
              </w:rPr>
              <w:fldChar w:fldCharType="end"/>
            </w:r>
          </w:hyperlink>
        </w:p>
        <w:p w14:paraId="69ECDBC4" w14:textId="37A32BB2" w:rsidR="004E5C8A" w:rsidRPr="004E5C8A" w:rsidRDefault="00000000">
          <w:pPr>
            <w:pStyle w:val="TOC2"/>
            <w:rPr>
              <w:rFonts w:asciiTheme="minorHAnsi" w:eastAsiaTheme="minorEastAsia" w:hAnsiTheme="minorHAnsi" w:cstheme="minorBidi"/>
              <w:b w:val="0"/>
              <w:bCs w:val="0"/>
              <w:sz w:val="22"/>
              <w:szCs w:val="22"/>
              <w:lang w:val="en-US"/>
            </w:rPr>
          </w:pPr>
          <w:hyperlink w:anchor="_Toc210744234" w:history="1">
            <w:r w:rsidR="004E5C8A" w:rsidRPr="004E5C8A">
              <w:rPr>
                <w:rStyle w:val="Hyperlink"/>
                <w:b w:val="0"/>
                <w:bCs w:val="0"/>
              </w:rPr>
              <w:t>3.1</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Definitions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_Toc210744234 \h </w:instrText>
            </w:r>
            <w:r w:rsidR="004E5C8A" w:rsidRPr="004E5C8A">
              <w:rPr>
                <w:b w:val="0"/>
                <w:bCs w:val="0"/>
                <w:webHidden/>
              </w:rPr>
            </w:r>
            <w:r w:rsidR="004E5C8A" w:rsidRPr="004E5C8A">
              <w:rPr>
                <w:b w:val="0"/>
                <w:bCs w:val="0"/>
                <w:webHidden/>
              </w:rPr>
              <w:fldChar w:fldCharType="separate"/>
            </w:r>
            <w:r w:rsidR="00FD5B7D">
              <w:rPr>
                <w:b w:val="0"/>
                <w:bCs w:val="0"/>
                <w:webHidden/>
              </w:rPr>
              <w:t>46</w:t>
            </w:r>
            <w:r w:rsidR="004E5C8A" w:rsidRPr="004E5C8A">
              <w:rPr>
                <w:b w:val="0"/>
                <w:bCs w:val="0"/>
                <w:webHidden/>
              </w:rPr>
              <w:fldChar w:fldCharType="end"/>
            </w:r>
          </w:hyperlink>
        </w:p>
        <w:p w14:paraId="3EB7E7D0" w14:textId="0EC0541F"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5" w:history="1">
            <w:r w:rsidR="004E5C8A" w:rsidRPr="004E5C8A">
              <w:rPr>
                <w:rStyle w:val="Hyperlink"/>
              </w:rPr>
              <w:t>3.1.1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Dependent Variable</w:t>
            </w:r>
            <w:r w:rsidR="004E5C8A" w:rsidRPr="004E5C8A">
              <w:rPr>
                <w:webHidden/>
              </w:rPr>
              <w:tab/>
            </w:r>
            <w:r w:rsidR="004E5C8A" w:rsidRPr="004E5C8A">
              <w:rPr>
                <w:webHidden/>
              </w:rPr>
              <w:fldChar w:fldCharType="begin"/>
            </w:r>
            <w:r w:rsidR="004E5C8A" w:rsidRPr="004E5C8A">
              <w:rPr>
                <w:webHidden/>
              </w:rPr>
              <w:instrText xml:space="preserve"> PAGEREF _Toc210744235 \h </w:instrText>
            </w:r>
            <w:r w:rsidR="004E5C8A" w:rsidRPr="004E5C8A">
              <w:rPr>
                <w:webHidden/>
              </w:rPr>
            </w:r>
            <w:r w:rsidR="004E5C8A" w:rsidRPr="004E5C8A">
              <w:rPr>
                <w:webHidden/>
              </w:rPr>
              <w:fldChar w:fldCharType="separate"/>
            </w:r>
            <w:r w:rsidR="00FD5B7D">
              <w:rPr>
                <w:webHidden/>
              </w:rPr>
              <w:t>46</w:t>
            </w:r>
            <w:r w:rsidR="004E5C8A" w:rsidRPr="004E5C8A">
              <w:rPr>
                <w:webHidden/>
              </w:rPr>
              <w:fldChar w:fldCharType="end"/>
            </w:r>
          </w:hyperlink>
        </w:p>
        <w:p w14:paraId="3044E8D6" w14:textId="40FC824F"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6" w:history="1">
            <w:r w:rsidR="004E5C8A" w:rsidRPr="004E5C8A">
              <w:rPr>
                <w:rStyle w:val="Hyperlink"/>
              </w:rPr>
              <w:t>3.1.2</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Independent Variable</w:t>
            </w:r>
            <w:r w:rsidR="004E5C8A" w:rsidRPr="004E5C8A">
              <w:rPr>
                <w:webHidden/>
              </w:rPr>
              <w:tab/>
            </w:r>
            <w:r w:rsidR="004E5C8A" w:rsidRPr="004E5C8A">
              <w:rPr>
                <w:webHidden/>
              </w:rPr>
              <w:fldChar w:fldCharType="begin"/>
            </w:r>
            <w:r w:rsidR="004E5C8A" w:rsidRPr="004E5C8A">
              <w:rPr>
                <w:webHidden/>
              </w:rPr>
              <w:instrText xml:space="preserve"> PAGEREF _Toc210744236 \h </w:instrText>
            </w:r>
            <w:r w:rsidR="004E5C8A" w:rsidRPr="004E5C8A">
              <w:rPr>
                <w:webHidden/>
              </w:rPr>
            </w:r>
            <w:r w:rsidR="004E5C8A" w:rsidRPr="004E5C8A">
              <w:rPr>
                <w:webHidden/>
              </w:rPr>
              <w:fldChar w:fldCharType="separate"/>
            </w:r>
            <w:r w:rsidR="00FD5B7D">
              <w:rPr>
                <w:webHidden/>
              </w:rPr>
              <w:t>46</w:t>
            </w:r>
            <w:r w:rsidR="004E5C8A" w:rsidRPr="004E5C8A">
              <w:rPr>
                <w:webHidden/>
              </w:rPr>
              <w:fldChar w:fldCharType="end"/>
            </w:r>
          </w:hyperlink>
        </w:p>
        <w:p w14:paraId="5EA51E26" w14:textId="0CFFA71C"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7" w:history="1">
            <w:r w:rsidR="004E5C8A" w:rsidRPr="004E5C8A">
              <w:rPr>
                <w:rStyle w:val="Hyperlink"/>
              </w:rPr>
              <w:t>3.1.3</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Moderating Variable</w:t>
            </w:r>
            <w:r w:rsidR="004E5C8A" w:rsidRPr="004E5C8A">
              <w:rPr>
                <w:webHidden/>
              </w:rPr>
              <w:tab/>
            </w:r>
            <w:r w:rsidR="004E5C8A" w:rsidRPr="004E5C8A">
              <w:rPr>
                <w:webHidden/>
              </w:rPr>
              <w:fldChar w:fldCharType="begin"/>
            </w:r>
            <w:r w:rsidR="004E5C8A" w:rsidRPr="004E5C8A">
              <w:rPr>
                <w:webHidden/>
              </w:rPr>
              <w:instrText xml:space="preserve"> PAGEREF _Toc210744237 \h </w:instrText>
            </w:r>
            <w:r w:rsidR="004E5C8A" w:rsidRPr="004E5C8A">
              <w:rPr>
                <w:webHidden/>
              </w:rPr>
            </w:r>
            <w:r w:rsidR="004E5C8A" w:rsidRPr="004E5C8A">
              <w:rPr>
                <w:webHidden/>
              </w:rPr>
              <w:fldChar w:fldCharType="separate"/>
            </w:r>
            <w:r w:rsidR="00FD5B7D">
              <w:rPr>
                <w:webHidden/>
              </w:rPr>
              <w:t>49</w:t>
            </w:r>
            <w:r w:rsidR="004E5C8A" w:rsidRPr="004E5C8A">
              <w:rPr>
                <w:webHidden/>
              </w:rPr>
              <w:fldChar w:fldCharType="end"/>
            </w:r>
          </w:hyperlink>
        </w:p>
        <w:p w14:paraId="7F8291C9" w14:textId="008DC7FC" w:rsidR="004E5C8A" w:rsidRPr="004E5C8A" w:rsidRDefault="00000000">
          <w:pPr>
            <w:pStyle w:val="TOC2"/>
            <w:rPr>
              <w:rFonts w:asciiTheme="minorHAnsi" w:eastAsiaTheme="minorEastAsia" w:hAnsiTheme="minorHAnsi" w:cstheme="minorBidi"/>
              <w:b w:val="0"/>
              <w:bCs w:val="0"/>
              <w:sz w:val="22"/>
              <w:szCs w:val="22"/>
              <w:lang w:val="en-US"/>
            </w:rPr>
          </w:pPr>
          <w:hyperlink w:anchor="_Toc210744238" w:history="1">
            <w:r w:rsidR="004E5C8A" w:rsidRPr="004E5C8A">
              <w:rPr>
                <w:rStyle w:val="Hyperlink"/>
                <w:b w:val="0"/>
                <w:bCs w:val="0"/>
              </w:rPr>
              <w:t>3.2</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Population and Sample</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_Toc210744238 \h </w:instrText>
            </w:r>
            <w:r w:rsidR="004E5C8A" w:rsidRPr="004E5C8A">
              <w:rPr>
                <w:b w:val="0"/>
                <w:bCs w:val="0"/>
                <w:webHidden/>
              </w:rPr>
            </w:r>
            <w:r w:rsidR="004E5C8A" w:rsidRPr="004E5C8A">
              <w:rPr>
                <w:b w:val="0"/>
                <w:bCs w:val="0"/>
                <w:webHidden/>
              </w:rPr>
              <w:fldChar w:fldCharType="separate"/>
            </w:r>
            <w:r w:rsidR="00FD5B7D">
              <w:rPr>
                <w:b w:val="0"/>
                <w:bCs w:val="0"/>
                <w:webHidden/>
              </w:rPr>
              <w:t>50</w:t>
            </w:r>
            <w:r w:rsidR="004E5C8A" w:rsidRPr="004E5C8A">
              <w:rPr>
                <w:b w:val="0"/>
                <w:bCs w:val="0"/>
                <w:webHidden/>
              </w:rPr>
              <w:fldChar w:fldCharType="end"/>
            </w:r>
          </w:hyperlink>
        </w:p>
        <w:p w14:paraId="4F1FC122" w14:textId="1090B79A"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39" w:history="1">
            <w:r w:rsidR="004E5C8A" w:rsidRPr="004E5C8A">
              <w:rPr>
                <w:rStyle w:val="Hyperlink"/>
              </w:rPr>
              <w:t>3.2.1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Population</w:t>
            </w:r>
            <w:r w:rsidR="004E5C8A" w:rsidRPr="004E5C8A">
              <w:rPr>
                <w:webHidden/>
              </w:rPr>
              <w:tab/>
            </w:r>
            <w:r w:rsidR="004E5C8A" w:rsidRPr="004E5C8A">
              <w:rPr>
                <w:webHidden/>
              </w:rPr>
              <w:fldChar w:fldCharType="begin"/>
            </w:r>
            <w:r w:rsidR="004E5C8A" w:rsidRPr="004E5C8A">
              <w:rPr>
                <w:webHidden/>
              </w:rPr>
              <w:instrText xml:space="preserve"> PAGEREF _Toc210744239 \h </w:instrText>
            </w:r>
            <w:r w:rsidR="004E5C8A" w:rsidRPr="004E5C8A">
              <w:rPr>
                <w:webHidden/>
              </w:rPr>
            </w:r>
            <w:r w:rsidR="004E5C8A" w:rsidRPr="004E5C8A">
              <w:rPr>
                <w:webHidden/>
              </w:rPr>
              <w:fldChar w:fldCharType="separate"/>
            </w:r>
            <w:r w:rsidR="00FD5B7D">
              <w:rPr>
                <w:webHidden/>
              </w:rPr>
              <w:t>50</w:t>
            </w:r>
            <w:r w:rsidR="004E5C8A" w:rsidRPr="004E5C8A">
              <w:rPr>
                <w:webHidden/>
              </w:rPr>
              <w:fldChar w:fldCharType="end"/>
            </w:r>
          </w:hyperlink>
        </w:p>
        <w:p w14:paraId="10410B99" w14:textId="2B241B18"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40" w:history="1">
            <w:r w:rsidR="004E5C8A" w:rsidRPr="004E5C8A">
              <w:rPr>
                <w:rStyle w:val="Hyperlink"/>
              </w:rPr>
              <w:t>3.2.2</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Sample</w:t>
            </w:r>
            <w:r w:rsidR="004E5C8A" w:rsidRPr="004E5C8A">
              <w:rPr>
                <w:webHidden/>
              </w:rPr>
              <w:tab/>
            </w:r>
            <w:r w:rsidR="004E5C8A" w:rsidRPr="004E5C8A">
              <w:rPr>
                <w:webHidden/>
              </w:rPr>
              <w:fldChar w:fldCharType="begin"/>
            </w:r>
            <w:r w:rsidR="004E5C8A" w:rsidRPr="004E5C8A">
              <w:rPr>
                <w:webHidden/>
              </w:rPr>
              <w:instrText xml:space="preserve"> PAGEREF _Toc210744240 \h </w:instrText>
            </w:r>
            <w:r w:rsidR="004E5C8A" w:rsidRPr="004E5C8A">
              <w:rPr>
                <w:webHidden/>
              </w:rPr>
            </w:r>
            <w:r w:rsidR="004E5C8A" w:rsidRPr="004E5C8A">
              <w:rPr>
                <w:webHidden/>
              </w:rPr>
              <w:fldChar w:fldCharType="separate"/>
            </w:r>
            <w:r w:rsidR="00FD5B7D">
              <w:rPr>
                <w:webHidden/>
              </w:rPr>
              <w:t>52</w:t>
            </w:r>
            <w:r w:rsidR="004E5C8A" w:rsidRPr="004E5C8A">
              <w:rPr>
                <w:webHidden/>
              </w:rPr>
              <w:fldChar w:fldCharType="end"/>
            </w:r>
          </w:hyperlink>
        </w:p>
        <w:p w14:paraId="2A66A2AF" w14:textId="0ACBF998" w:rsidR="004E5C8A" w:rsidRPr="004E5C8A" w:rsidRDefault="00000000">
          <w:pPr>
            <w:pStyle w:val="TOC2"/>
            <w:rPr>
              <w:rFonts w:asciiTheme="minorHAnsi" w:eastAsiaTheme="minorEastAsia" w:hAnsiTheme="minorHAnsi" w:cstheme="minorBidi"/>
              <w:b w:val="0"/>
              <w:bCs w:val="0"/>
              <w:sz w:val="22"/>
              <w:szCs w:val="22"/>
              <w:lang w:val="en-US"/>
            </w:rPr>
          </w:pPr>
          <w:hyperlink w:anchor="_Toc210744241" w:history="1">
            <w:r w:rsidR="004E5C8A" w:rsidRPr="004E5C8A">
              <w:rPr>
                <w:rStyle w:val="Hyperlink"/>
                <w:b w:val="0"/>
                <w:bCs w:val="0"/>
              </w:rPr>
              <w:t>3.3</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Type and source of data</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_Toc210744241 \h </w:instrText>
            </w:r>
            <w:r w:rsidR="004E5C8A" w:rsidRPr="004E5C8A">
              <w:rPr>
                <w:b w:val="0"/>
                <w:bCs w:val="0"/>
                <w:webHidden/>
              </w:rPr>
            </w:r>
            <w:r w:rsidR="004E5C8A" w:rsidRPr="004E5C8A">
              <w:rPr>
                <w:b w:val="0"/>
                <w:bCs w:val="0"/>
                <w:webHidden/>
              </w:rPr>
              <w:fldChar w:fldCharType="separate"/>
            </w:r>
            <w:r w:rsidR="00FD5B7D">
              <w:rPr>
                <w:b w:val="0"/>
                <w:bCs w:val="0"/>
                <w:webHidden/>
              </w:rPr>
              <w:t>54</w:t>
            </w:r>
            <w:r w:rsidR="004E5C8A" w:rsidRPr="004E5C8A">
              <w:rPr>
                <w:b w:val="0"/>
                <w:bCs w:val="0"/>
                <w:webHidden/>
              </w:rPr>
              <w:fldChar w:fldCharType="end"/>
            </w:r>
          </w:hyperlink>
        </w:p>
        <w:p w14:paraId="3E7BCC98" w14:textId="136D0DFA"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42" w:history="1">
            <w:r w:rsidR="004E5C8A" w:rsidRPr="004E5C8A">
              <w:rPr>
                <w:rStyle w:val="Hyperlink"/>
              </w:rPr>
              <w:t>3.3.1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Type of Data</w:t>
            </w:r>
            <w:r w:rsidR="004E5C8A" w:rsidRPr="004E5C8A">
              <w:rPr>
                <w:webHidden/>
              </w:rPr>
              <w:tab/>
            </w:r>
            <w:r w:rsidR="004E5C8A" w:rsidRPr="004E5C8A">
              <w:rPr>
                <w:webHidden/>
              </w:rPr>
              <w:fldChar w:fldCharType="begin"/>
            </w:r>
            <w:r w:rsidR="004E5C8A" w:rsidRPr="004E5C8A">
              <w:rPr>
                <w:webHidden/>
              </w:rPr>
              <w:instrText xml:space="preserve"> PAGEREF _Toc210744242 \h </w:instrText>
            </w:r>
            <w:r w:rsidR="004E5C8A" w:rsidRPr="004E5C8A">
              <w:rPr>
                <w:webHidden/>
              </w:rPr>
            </w:r>
            <w:r w:rsidR="004E5C8A" w:rsidRPr="004E5C8A">
              <w:rPr>
                <w:webHidden/>
              </w:rPr>
              <w:fldChar w:fldCharType="separate"/>
            </w:r>
            <w:r w:rsidR="00FD5B7D">
              <w:rPr>
                <w:webHidden/>
              </w:rPr>
              <w:t>54</w:t>
            </w:r>
            <w:r w:rsidR="004E5C8A" w:rsidRPr="004E5C8A">
              <w:rPr>
                <w:webHidden/>
              </w:rPr>
              <w:fldChar w:fldCharType="end"/>
            </w:r>
          </w:hyperlink>
        </w:p>
        <w:p w14:paraId="2E64C5D3" w14:textId="65E51F59"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43" w:history="1">
            <w:r w:rsidR="004E5C8A" w:rsidRPr="004E5C8A">
              <w:rPr>
                <w:rStyle w:val="Hyperlink"/>
              </w:rPr>
              <w:t>3.3.2</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Source of Data</w:t>
            </w:r>
            <w:r w:rsidR="004E5C8A" w:rsidRPr="004E5C8A">
              <w:rPr>
                <w:webHidden/>
              </w:rPr>
              <w:tab/>
            </w:r>
            <w:r w:rsidR="004E5C8A" w:rsidRPr="004E5C8A">
              <w:rPr>
                <w:webHidden/>
              </w:rPr>
              <w:fldChar w:fldCharType="begin"/>
            </w:r>
            <w:r w:rsidR="004E5C8A" w:rsidRPr="004E5C8A">
              <w:rPr>
                <w:webHidden/>
              </w:rPr>
              <w:instrText xml:space="preserve"> PAGEREF _Toc210744243 \h </w:instrText>
            </w:r>
            <w:r w:rsidR="004E5C8A" w:rsidRPr="004E5C8A">
              <w:rPr>
                <w:webHidden/>
              </w:rPr>
            </w:r>
            <w:r w:rsidR="004E5C8A" w:rsidRPr="004E5C8A">
              <w:rPr>
                <w:webHidden/>
              </w:rPr>
              <w:fldChar w:fldCharType="separate"/>
            </w:r>
            <w:r w:rsidR="00FD5B7D">
              <w:rPr>
                <w:webHidden/>
              </w:rPr>
              <w:t>54</w:t>
            </w:r>
            <w:r w:rsidR="004E5C8A" w:rsidRPr="004E5C8A">
              <w:rPr>
                <w:webHidden/>
              </w:rPr>
              <w:fldChar w:fldCharType="end"/>
            </w:r>
          </w:hyperlink>
        </w:p>
        <w:p w14:paraId="6B060AFD" w14:textId="21E9605D" w:rsidR="004E5C8A" w:rsidRPr="004E5C8A" w:rsidRDefault="00000000">
          <w:pPr>
            <w:pStyle w:val="TOC2"/>
            <w:rPr>
              <w:rFonts w:asciiTheme="minorHAnsi" w:eastAsiaTheme="minorEastAsia" w:hAnsiTheme="minorHAnsi" w:cstheme="minorBidi"/>
              <w:b w:val="0"/>
              <w:bCs w:val="0"/>
              <w:sz w:val="22"/>
              <w:szCs w:val="22"/>
              <w:lang w:val="en-US"/>
            </w:rPr>
          </w:pPr>
          <w:hyperlink w:anchor="_Toc210744244" w:history="1">
            <w:r w:rsidR="004E5C8A" w:rsidRPr="004E5C8A">
              <w:rPr>
                <w:rStyle w:val="Hyperlink"/>
                <w:b w:val="0"/>
                <w:bCs w:val="0"/>
              </w:rPr>
              <w:t>3.4</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Data Collection Methods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_Toc210744244 \h </w:instrText>
            </w:r>
            <w:r w:rsidR="004E5C8A" w:rsidRPr="004E5C8A">
              <w:rPr>
                <w:b w:val="0"/>
                <w:bCs w:val="0"/>
                <w:webHidden/>
              </w:rPr>
            </w:r>
            <w:r w:rsidR="004E5C8A" w:rsidRPr="004E5C8A">
              <w:rPr>
                <w:b w:val="0"/>
                <w:bCs w:val="0"/>
                <w:webHidden/>
              </w:rPr>
              <w:fldChar w:fldCharType="separate"/>
            </w:r>
            <w:r w:rsidR="00FD5B7D">
              <w:rPr>
                <w:b w:val="0"/>
                <w:bCs w:val="0"/>
                <w:webHidden/>
              </w:rPr>
              <w:t>55</w:t>
            </w:r>
            <w:r w:rsidR="004E5C8A" w:rsidRPr="004E5C8A">
              <w:rPr>
                <w:b w:val="0"/>
                <w:bCs w:val="0"/>
                <w:webHidden/>
              </w:rPr>
              <w:fldChar w:fldCharType="end"/>
            </w:r>
          </w:hyperlink>
        </w:p>
        <w:p w14:paraId="61E075DB" w14:textId="76AD5501" w:rsidR="004E5C8A" w:rsidRPr="004E5C8A" w:rsidRDefault="00000000">
          <w:pPr>
            <w:pStyle w:val="TOC2"/>
            <w:rPr>
              <w:rFonts w:asciiTheme="minorHAnsi" w:eastAsiaTheme="minorEastAsia" w:hAnsiTheme="minorHAnsi" w:cstheme="minorBidi"/>
              <w:b w:val="0"/>
              <w:bCs w:val="0"/>
              <w:sz w:val="22"/>
              <w:szCs w:val="22"/>
              <w:lang w:val="en-US"/>
            </w:rPr>
          </w:pPr>
          <w:hyperlink w:anchor="_Toc210744245" w:history="1">
            <w:r w:rsidR="004E5C8A" w:rsidRPr="004E5C8A">
              <w:rPr>
                <w:rStyle w:val="Hyperlink"/>
                <w:b w:val="0"/>
                <w:bCs w:val="0"/>
              </w:rPr>
              <w:t>3.5</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Analysis Tools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_Toc210744245 \h </w:instrText>
            </w:r>
            <w:r w:rsidR="004E5C8A" w:rsidRPr="004E5C8A">
              <w:rPr>
                <w:b w:val="0"/>
                <w:bCs w:val="0"/>
                <w:webHidden/>
              </w:rPr>
            </w:r>
            <w:r w:rsidR="004E5C8A" w:rsidRPr="004E5C8A">
              <w:rPr>
                <w:b w:val="0"/>
                <w:bCs w:val="0"/>
                <w:webHidden/>
              </w:rPr>
              <w:fldChar w:fldCharType="separate"/>
            </w:r>
            <w:r w:rsidR="00FD5B7D">
              <w:rPr>
                <w:b w:val="0"/>
                <w:bCs w:val="0"/>
                <w:webHidden/>
              </w:rPr>
              <w:t>55</w:t>
            </w:r>
            <w:r w:rsidR="004E5C8A" w:rsidRPr="004E5C8A">
              <w:rPr>
                <w:b w:val="0"/>
                <w:bCs w:val="0"/>
                <w:webHidden/>
              </w:rPr>
              <w:fldChar w:fldCharType="end"/>
            </w:r>
          </w:hyperlink>
        </w:p>
        <w:p w14:paraId="7B164CC3" w14:textId="73C7D306"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46" w:history="1">
            <w:r w:rsidR="004E5C8A" w:rsidRPr="004E5C8A">
              <w:rPr>
                <w:rStyle w:val="Hyperlink"/>
              </w:rPr>
              <w:t>3.5.1.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Descriptive Statistics</w:t>
            </w:r>
            <w:r w:rsidR="004E5C8A" w:rsidRPr="004E5C8A">
              <w:rPr>
                <w:webHidden/>
              </w:rPr>
              <w:tab/>
            </w:r>
            <w:r w:rsidR="004E5C8A" w:rsidRPr="004E5C8A">
              <w:rPr>
                <w:webHidden/>
              </w:rPr>
              <w:fldChar w:fldCharType="begin"/>
            </w:r>
            <w:r w:rsidR="004E5C8A" w:rsidRPr="004E5C8A">
              <w:rPr>
                <w:webHidden/>
              </w:rPr>
              <w:instrText xml:space="preserve"> PAGEREF _Toc210744246 \h </w:instrText>
            </w:r>
            <w:r w:rsidR="004E5C8A" w:rsidRPr="004E5C8A">
              <w:rPr>
                <w:webHidden/>
              </w:rPr>
            </w:r>
            <w:r w:rsidR="004E5C8A" w:rsidRPr="004E5C8A">
              <w:rPr>
                <w:webHidden/>
              </w:rPr>
              <w:fldChar w:fldCharType="separate"/>
            </w:r>
            <w:r w:rsidR="00FD5B7D">
              <w:rPr>
                <w:webHidden/>
              </w:rPr>
              <w:t>55</w:t>
            </w:r>
            <w:r w:rsidR="004E5C8A" w:rsidRPr="004E5C8A">
              <w:rPr>
                <w:webHidden/>
              </w:rPr>
              <w:fldChar w:fldCharType="end"/>
            </w:r>
          </w:hyperlink>
        </w:p>
        <w:p w14:paraId="218BDEDC" w14:textId="58349A29" w:rsidR="004E5C8A" w:rsidRPr="004E5C8A" w:rsidRDefault="00000000">
          <w:pPr>
            <w:pStyle w:val="TOC3"/>
            <w:tabs>
              <w:tab w:val="left" w:pos="1813"/>
            </w:tabs>
            <w:rPr>
              <w:rFonts w:asciiTheme="minorHAnsi" w:eastAsiaTheme="minorEastAsia" w:hAnsiTheme="minorHAnsi" w:cstheme="minorBidi"/>
              <w:color w:val="auto"/>
              <w:sz w:val="22"/>
              <w:szCs w:val="22"/>
              <w:lang w:val="en-US"/>
            </w:rPr>
          </w:pPr>
          <w:hyperlink w:anchor="_Toc210744247" w:history="1">
            <w:r w:rsidR="004E5C8A" w:rsidRPr="004E5C8A">
              <w:rPr>
                <w:rStyle w:val="Hyperlink"/>
              </w:rPr>
              <w:t xml:space="preserve">3.5.2.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Classical Assumption Test</w:t>
            </w:r>
            <w:r w:rsidR="004E5C8A" w:rsidRPr="004E5C8A">
              <w:rPr>
                <w:webHidden/>
              </w:rPr>
              <w:tab/>
            </w:r>
            <w:r w:rsidR="004E5C8A" w:rsidRPr="004E5C8A">
              <w:rPr>
                <w:webHidden/>
              </w:rPr>
              <w:fldChar w:fldCharType="begin"/>
            </w:r>
            <w:r w:rsidR="004E5C8A" w:rsidRPr="004E5C8A">
              <w:rPr>
                <w:webHidden/>
              </w:rPr>
              <w:instrText xml:space="preserve"> PAGEREF _Toc210744247 \h </w:instrText>
            </w:r>
            <w:r w:rsidR="004E5C8A" w:rsidRPr="004E5C8A">
              <w:rPr>
                <w:webHidden/>
              </w:rPr>
            </w:r>
            <w:r w:rsidR="004E5C8A" w:rsidRPr="004E5C8A">
              <w:rPr>
                <w:webHidden/>
              </w:rPr>
              <w:fldChar w:fldCharType="separate"/>
            </w:r>
            <w:r w:rsidR="00FD5B7D">
              <w:rPr>
                <w:webHidden/>
              </w:rPr>
              <w:t>56</w:t>
            </w:r>
            <w:r w:rsidR="004E5C8A" w:rsidRPr="004E5C8A">
              <w:rPr>
                <w:webHidden/>
              </w:rPr>
              <w:fldChar w:fldCharType="end"/>
            </w:r>
          </w:hyperlink>
        </w:p>
        <w:p w14:paraId="0DF167E1" w14:textId="432EE686" w:rsidR="004E5C8A" w:rsidRPr="004E5C8A" w:rsidRDefault="00000000">
          <w:pPr>
            <w:pStyle w:val="TOC3"/>
            <w:rPr>
              <w:rFonts w:asciiTheme="minorHAnsi" w:eastAsiaTheme="minorEastAsia" w:hAnsiTheme="minorHAnsi" w:cstheme="minorBidi"/>
              <w:color w:val="auto"/>
              <w:sz w:val="22"/>
              <w:szCs w:val="22"/>
              <w:lang w:val="en-US"/>
            </w:rPr>
          </w:pPr>
          <w:hyperlink w:anchor="_Toc210744248" w:history="1">
            <w:r w:rsidR="004E5C8A" w:rsidRPr="004E5C8A">
              <w:rPr>
                <w:rStyle w:val="Hyperlink"/>
              </w:rPr>
              <w:t>3.5.3.  Model Suitability Test (F Test)</w:t>
            </w:r>
            <w:r w:rsidR="004E5C8A" w:rsidRPr="004E5C8A">
              <w:rPr>
                <w:webHidden/>
              </w:rPr>
              <w:tab/>
            </w:r>
            <w:r w:rsidR="004E5C8A" w:rsidRPr="004E5C8A">
              <w:rPr>
                <w:webHidden/>
              </w:rPr>
              <w:fldChar w:fldCharType="begin"/>
            </w:r>
            <w:r w:rsidR="004E5C8A" w:rsidRPr="004E5C8A">
              <w:rPr>
                <w:webHidden/>
              </w:rPr>
              <w:instrText xml:space="preserve"> PAGEREF _Toc210744248 \h </w:instrText>
            </w:r>
            <w:r w:rsidR="004E5C8A" w:rsidRPr="004E5C8A">
              <w:rPr>
                <w:webHidden/>
              </w:rPr>
            </w:r>
            <w:r w:rsidR="004E5C8A" w:rsidRPr="004E5C8A">
              <w:rPr>
                <w:webHidden/>
              </w:rPr>
              <w:fldChar w:fldCharType="separate"/>
            </w:r>
            <w:r w:rsidR="00FD5B7D">
              <w:rPr>
                <w:webHidden/>
              </w:rPr>
              <w:t>57</w:t>
            </w:r>
            <w:r w:rsidR="004E5C8A" w:rsidRPr="004E5C8A">
              <w:rPr>
                <w:webHidden/>
              </w:rPr>
              <w:fldChar w:fldCharType="end"/>
            </w:r>
          </w:hyperlink>
        </w:p>
        <w:p w14:paraId="012AE0EF" w14:textId="54593CFC" w:rsidR="004E5C8A" w:rsidRPr="004E5C8A" w:rsidRDefault="00000000">
          <w:pPr>
            <w:pStyle w:val="TOC3"/>
            <w:tabs>
              <w:tab w:val="left" w:pos="1813"/>
            </w:tabs>
            <w:rPr>
              <w:rFonts w:asciiTheme="minorHAnsi" w:eastAsiaTheme="minorEastAsia" w:hAnsiTheme="minorHAnsi" w:cstheme="minorBidi"/>
              <w:color w:val="auto"/>
              <w:sz w:val="22"/>
              <w:szCs w:val="22"/>
              <w:lang w:val="en-US"/>
            </w:rPr>
          </w:pPr>
          <w:hyperlink w:anchor="_Toc210744249" w:history="1">
            <w:r w:rsidR="004E5C8A" w:rsidRPr="004E5C8A">
              <w:rPr>
                <w:rStyle w:val="Hyperlink"/>
              </w:rPr>
              <w:t xml:space="preserve">3.5.4.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Coefficient of Determination Test (R²)</w:t>
            </w:r>
            <w:r w:rsidR="004E5C8A" w:rsidRPr="004E5C8A">
              <w:rPr>
                <w:webHidden/>
              </w:rPr>
              <w:tab/>
            </w:r>
            <w:r w:rsidR="004E5C8A" w:rsidRPr="004E5C8A">
              <w:rPr>
                <w:webHidden/>
              </w:rPr>
              <w:fldChar w:fldCharType="begin"/>
            </w:r>
            <w:r w:rsidR="004E5C8A" w:rsidRPr="004E5C8A">
              <w:rPr>
                <w:webHidden/>
              </w:rPr>
              <w:instrText xml:space="preserve"> PAGEREF _Toc210744249 \h </w:instrText>
            </w:r>
            <w:r w:rsidR="004E5C8A" w:rsidRPr="004E5C8A">
              <w:rPr>
                <w:webHidden/>
              </w:rPr>
            </w:r>
            <w:r w:rsidR="004E5C8A" w:rsidRPr="004E5C8A">
              <w:rPr>
                <w:webHidden/>
              </w:rPr>
              <w:fldChar w:fldCharType="separate"/>
            </w:r>
            <w:r w:rsidR="00FD5B7D">
              <w:rPr>
                <w:webHidden/>
              </w:rPr>
              <w:t>58</w:t>
            </w:r>
            <w:r w:rsidR="004E5C8A" w:rsidRPr="004E5C8A">
              <w:rPr>
                <w:webHidden/>
              </w:rPr>
              <w:fldChar w:fldCharType="end"/>
            </w:r>
          </w:hyperlink>
        </w:p>
        <w:p w14:paraId="6503DB28" w14:textId="6236A975" w:rsidR="004E5C8A" w:rsidRPr="004E5C8A" w:rsidRDefault="00000000">
          <w:pPr>
            <w:pStyle w:val="TOC3"/>
            <w:tabs>
              <w:tab w:val="left" w:pos="1813"/>
            </w:tabs>
            <w:rPr>
              <w:rFonts w:asciiTheme="minorHAnsi" w:eastAsiaTheme="minorEastAsia" w:hAnsiTheme="minorHAnsi" w:cstheme="minorBidi"/>
              <w:color w:val="auto"/>
              <w:sz w:val="22"/>
              <w:szCs w:val="22"/>
              <w:lang w:val="en-US"/>
            </w:rPr>
          </w:pPr>
          <w:hyperlink w:anchor="_Toc210744250" w:history="1">
            <w:r w:rsidR="004E5C8A" w:rsidRPr="004E5C8A">
              <w:rPr>
                <w:rStyle w:val="Hyperlink"/>
              </w:rPr>
              <w:t xml:space="preserve">3.5.5.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Hypothesis Test (T Test)</w:t>
            </w:r>
            <w:r w:rsidR="004E5C8A" w:rsidRPr="004E5C8A">
              <w:rPr>
                <w:webHidden/>
              </w:rPr>
              <w:tab/>
            </w:r>
            <w:r w:rsidR="004E5C8A" w:rsidRPr="004E5C8A">
              <w:rPr>
                <w:webHidden/>
              </w:rPr>
              <w:fldChar w:fldCharType="begin"/>
            </w:r>
            <w:r w:rsidR="004E5C8A" w:rsidRPr="004E5C8A">
              <w:rPr>
                <w:webHidden/>
              </w:rPr>
              <w:instrText xml:space="preserve"> PAGEREF _Toc210744250 \h </w:instrText>
            </w:r>
            <w:r w:rsidR="004E5C8A" w:rsidRPr="004E5C8A">
              <w:rPr>
                <w:webHidden/>
              </w:rPr>
            </w:r>
            <w:r w:rsidR="004E5C8A" w:rsidRPr="004E5C8A">
              <w:rPr>
                <w:webHidden/>
              </w:rPr>
              <w:fldChar w:fldCharType="separate"/>
            </w:r>
            <w:r w:rsidR="00FD5B7D">
              <w:rPr>
                <w:webHidden/>
              </w:rPr>
              <w:t>58</w:t>
            </w:r>
            <w:r w:rsidR="004E5C8A" w:rsidRPr="004E5C8A">
              <w:rPr>
                <w:webHidden/>
              </w:rPr>
              <w:fldChar w:fldCharType="end"/>
            </w:r>
          </w:hyperlink>
        </w:p>
        <w:p w14:paraId="5FFB7F6C" w14:textId="0AD1996E" w:rsidR="004E5C8A" w:rsidRPr="004E5C8A" w:rsidRDefault="00000000">
          <w:pPr>
            <w:pStyle w:val="TOC3"/>
            <w:rPr>
              <w:rFonts w:asciiTheme="minorHAnsi" w:eastAsiaTheme="minorEastAsia" w:hAnsiTheme="minorHAnsi" w:cstheme="minorBidi"/>
              <w:color w:val="auto"/>
              <w:sz w:val="22"/>
              <w:szCs w:val="22"/>
              <w:lang w:val="en-US"/>
            </w:rPr>
          </w:pPr>
          <w:hyperlink w:anchor="_Toc210744251" w:history="1">
            <w:r w:rsidR="004E5C8A" w:rsidRPr="004E5C8A">
              <w:rPr>
                <w:rStyle w:val="Hyperlink"/>
              </w:rPr>
              <w:t>3.5.6. Moderated Regression Analysis</w:t>
            </w:r>
            <w:r w:rsidR="004E5C8A" w:rsidRPr="004E5C8A">
              <w:rPr>
                <w:webHidden/>
              </w:rPr>
              <w:tab/>
            </w:r>
            <w:r w:rsidR="004E5C8A" w:rsidRPr="004E5C8A">
              <w:rPr>
                <w:webHidden/>
              </w:rPr>
              <w:fldChar w:fldCharType="begin"/>
            </w:r>
            <w:r w:rsidR="004E5C8A" w:rsidRPr="004E5C8A">
              <w:rPr>
                <w:webHidden/>
              </w:rPr>
              <w:instrText xml:space="preserve"> PAGEREF _Toc210744251 \h </w:instrText>
            </w:r>
            <w:r w:rsidR="004E5C8A" w:rsidRPr="004E5C8A">
              <w:rPr>
                <w:webHidden/>
              </w:rPr>
            </w:r>
            <w:r w:rsidR="004E5C8A" w:rsidRPr="004E5C8A">
              <w:rPr>
                <w:webHidden/>
              </w:rPr>
              <w:fldChar w:fldCharType="separate"/>
            </w:r>
            <w:r w:rsidR="00FD5B7D">
              <w:rPr>
                <w:webHidden/>
              </w:rPr>
              <w:t>58</w:t>
            </w:r>
            <w:r w:rsidR="004E5C8A" w:rsidRPr="004E5C8A">
              <w:rPr>
                <w:webHidden/>
              </w:rPr>
              <w:fldChar w:fldCharType="end"/>
            </w:r>
          </w:hyperlink>
        </w:p>
        <w:p w14:paraId="4E543B22" w14:textId="2FCCF09E" w:rsidR="004E5C8A" w:rsidRDefault="00000000">
          <w:pPr>
            <w:pStyle w:val="TOC1"/>
            <w:rPr>
              <w:rFonts w:asciiTheme="minorHAnsi" w:eastAsiaTheme="minorEastAsia" w:hAnsiTheme="minorHAnsi" w:cstheme="minorBidi"/>
              <w:b w:val="0"/>
              <w:bCs w:val="0"/>
              <w:color w:val="auto"/>
              <w:sz w:val="22"/>
              <w:szCs w:val="22"/>
              <w:lang w:val="en-US"/>
            </w:rPr>
          </w:pPr>
          <w:hyperlink w:anchor="_Toc210744252" w:history="1">
            <w:r w:rsidR="004E5C8A" w:rsidRPr="002F114E">
              <w:rPr>
                <w:rStyle w:val="Hyperlink"/>
              </w:rPr>
              <w:t>CHAPTER IV</w:t>
            </w:r>
            <w:r w:rsidR="004E5C8A">
              <w:rPr>
                <w:rStyle w:val="Hyperlink"/>
              </w:rPr>
              <w:t xml:space="preserve"> RESULT AND DISCUSSION</w:t>
            </w:r>
            <w:r w:rsidR="004E5C8A">
              <w:rPr>
                <w:webHidden/>
              </w:rPr>
              <w:tab/>
            </w:r>
            <w:r w:rsidR="004E5C8A">
              <w:rPr>
                <w:webHidden/>
              </w:rPr>
              <w:fldChar w:fldCharType="begin"/>
            </w:r>
            <w:r w:rsidR="004E5C8A">
              <w:rPr>
                <w:webHidden/>
              </w:rPr>
              <w:instrText xml:space="preserve"> PAGEREF _Toc210744252 \h </w:instrText>
            </w:r>
            <w:r w:rsidR="004E5C8A">
              <w:rPr>
                <w:webHidden/>
              </w:rPr>
            </w:r>
            <w:r w:rsidR="004E5C8A">
              <w:rPr>
                <w:webHidden/>
              </w:rPr>
              <w:fldChar w:fldCharType="separate"/>
            </w:r>
            <w:r w:rsidR="00FD5B7D">
              <w:rPr>
                <w:webHidden/>
              </w:rPr>
              <w:t>61</w:t>
            </w:r>
            <w:r w:rsidR="004E5C8A">
              <w:rPr>
                <w:webHidden/>
              </w:rPr>
              <w:fldChar w:fldCharType="end"/>
            </w:r>
          </w:hyperlink>
        </w:p>
        <w:p w14:paraId="50EB52D0" w14:textId="445BA06D" w:rsidR="004E5C8A" w:rsidRPr="004E5C8A" w:rsidRDefault="00000000">
          <w:pPr>
            <w:pStyle w:val="TOC2"/>
            <w:rPr>
              <w:rFonts w:asciiTheme="minorHAnsi" w:eastAsiaTheme="minorEastAsia" w:hAnsiTheme="minorHAnsi" w:cstheme="minorBidi"/>
              <w:b w:val="0"/>
              <w:bCs w:val="0"/>
              <w:sz w:val="22"/>
              <w:szCs w:val="22"/>
              <w:lang w:val="en-US"/>
            </w:rPr>
          </w:pPr>
          <w:hyperlink w:anchor="_Toc210744254" w:history="1">
            <w:r w:rsidR="004E5C8A" w:rsidRPr="004E5C8A">
              <w:rPr>
                <w:rStyle w:val="Hyperlink"/>
                <w:b w:val="0"/>
                <w:bCs w:val="0"/>
              </w:rPr>
              <w:t>4.1</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Overview of the Research Object</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_Toc210744254 \h </w:instrText>
            </w:r>
            <w:r w:rsidR="004E5C8A" w:rsidRPr="004E5C8A">
              <w:rPr>
                <w:b w:val="0"/>
                <w:bCs w:val="0"/>
                <w:webHidden/>
              </w:rPr>
            </w:r>
            <w:r w:rsidR="004E5C8A" w:rsidRPr="004E5C8A">
              <w:rPr>
                <w:b w:val="0"/>
                <w:bCs w:val="0"/>
                <w:webHidden/>
              </w:rPr>
              <w:fldChar w:fldCharType="separate"/>
            </w:r>
            <w:r w:rsidR="00FD5B7D">
              <w:rPr>
                <w:b w:val="0"/>
                <w:bCs w:val="0"/>
                <w:webHidden/>
              </w:rPr>
              <w:t>61</w:t>
            </w:r>
            <w:r w:rsidR="004E5C8A" w:rsidRPr="004E5C8A">
              <w:rPr>
                <w:b w:val="0"/>
                <w:bCs w:val="0"/>
                <w:webHidden/>
              </w:rPr>
              <w:fldChar w:fldCharType="end"/>
            </w:r>
          </w:hyperlink>
        </w:p>
        <w:p w14:paraId="6ED4E8BA" w14:textId="77FF2D2C" w:rsidR="004E5C8A" w:rsidRPr="004E5C8A" w:rsidRDefault="00000000">
          <w:pPr>
            <w:pStyle w:val="TOC2"/>
            <w:rPr>
              <w:rFonts w:asciiTheme="minorHAnsi" w:eastAsiaTheme="minorEastAsia" w:hAnsiTheme="minorHAnsi" w:cstheme="minorBidi"/>
              <w:b w:val="0"/>
              <w:bCs w:val="0"/>
              <w:sz w:val="22"/>
              <w:szCs w:val="22"/>
              <w:lang w:val="en-US"/>
            </w:rPr>
          </w:pPr>
          <w:hyperlink w:anchor="_Toc210744255" w:history="1">
            <w:r w:rsidR="004E5C8A" w:rsidRPr="004E5C8A">
              <w:rPr>
                <w:rStyle w:val="Hyperlink"/>
                <w:b w:val="0"/>
                <w:bCs w:val="0"/>
              </w:rPr>
              <w:t>4.2</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Data Analysis Results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_Toc210744255 \h </w:instrText>
            </w:r>
            <w:r w:rsidR="004E5C8A" w:rsidRPr="004E5C8A">
              <w:rPr>
                <w:b w:val="0"/>
                <w:bCs w:val="0"/>
                <w:webHidden/>
              </w:rPr>
            </w:r>
            <w:r w:rsidR="004E5C8A" w:rsidRPr="004E5C8A">
              <w:rPr>
                <w:b w:val="0"/>
                <w:bCs w:val="0"/>
                <w:webHidden/>
              </w:rPr>
              <w:fldChar w:fldCharType="separate"/>
            </w:r>
            <w:r w:rsidR="00FD5B7D">
              <w:rPr>
                <w:b w:val="0"/>
                <w:bCs w:val="0"/>
                <w:webHidden/>
              </w:rPr>
              <w:t>63</w:t>
            </w:r>
            <w:r w:rsidR="004E5C8A" w:rsidRPr="004E5C8A">
              <w:rPr>
                <w:b w:val="0"/>
                <w:bCs w:val="0"/>
                <w:webHidden/>
              </w:rPr>
              <w:fldChar w:fldCharType="end"/>
            </w:r>
          </w:hyperlink>
        </w:p>
        <w:p w14:paraId="78F10860" w14:textId="04F736FC"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56" w:history="1">
            <w:r w:rsidR="004E5C8A" w:rsidRPr="004E5C8A">
              <w:rPr>
                <w:rStyle w:val="Hyperlink"/>
              </w:rPr>
              <w:t>4.2.1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Descriptive Statistical Analysis</w:t>
            </w:r>
            <w:r w:rsidR="004E5C8A" w:rsidRPr="004E5C8A">
              <w:rPr>
                <w:webHidden/>
              </w:rPr>
              <w:tab/>
            </w:r>
            <w:r w:rsidR="004E5C8A" w:rsidRPr="004E5C8A">
              <w:rPr>
                <w:webHidden/>
              </w:rPr>
              <w:fldChar w:fldCharType="begin"/>
            </w:r>
            <w:r w:rsidR="004E5C8A" w:rsidRPr="004E5C8A">
              <w:rPr>
                <w:webHidden/>
              </w:rPr>
              <w:instrText xml:space="preserve"> PAGEREF _Toc210744256 \h </w:instrText>
            </w:r>
            <w:r w:rsidR="004E5C8A" w:rsidRPr="004E5C8A">
              <w:rPr>
                <w:webHidden/>
              </w:rPr>
            </w:r>
            <w:r w:rsidR="004E5C8A" w:rsidRPr="004E5C8A">
              <w:rPr>
                <w:webHidden/>
              </w:rPr>
              <w:fldChar w:fldCharType="separate"/>
            </w:r>
            <w:r w:rsidR="00FD5B7D">
              <w:rPr>
                <w:webHidden/>
              </w:rPr>
              <w:t>63</w:t>
            </w:r>
            <w:r w:rsidR="004E5C8A" w:rsidRPr="004E5C8A">
              <w:rPr>
                <w:webHidden/>
              </w:rPr>
              <w:fldChar w:fldCharType="end"/>
            </w:r>
          </w:hyperlink>
        </w:p>
        <w:p w14:paraId="51DB3ECA" w14:textId="2F4BDE9A" w:rsidR="004E5C8A" w:rsidRPr="004E5C8A" w:rsidRDefault="00000000">
          <w:pPr>
            <w:pStyle w:val="TOC3"/>
            <w:rPr>
              <w:rFonts w:asciiTheme="minorHAnsi" w:eastAsiaTheme="minorEastAsia" w:hAnsiTheme="minorHAnsi" w:cstheme="minorBidi"/>
              <w:color w:val="auto"/>
              <w:sz w:val="22"/>
              <w:szCs w:val="22"/>
              <w:lang w:val="en-US"/>
            </w:rPr>
          </w:pPr>
          <w:hyperlink w:anchor="_Toc210744257" w:history="1">
            <w:r w:rsidR="004E5C8A" w:rsidRPr="004E5C8A">
              <w:rPr>
                <w:rStyle w:val="Hyperlink"/>
              </w:rPr>
              <w:t>4.2.2. Classical Assumption Test</w:t>
            </w:r>
            <w:r w:rsidR="004E5C8A" w:rsidRPr="004E5C8A">
              <w:rPr>
                <w:webHidden/>
              </w:rPr>
              <w:tab/>
            </w:r>
            <w:r w:rsidR="004E5C8A" w:rsidRPr="004E5C8A">
              <w:rPr>
                <w:webHidden/>
              </w:rPr>
              <w:fldChar w:fldCharType="begin"/>
            </w:r>
            <w:r w:rsidR="004E5C8A" w:rsidRPr="004E5C8A">
              <w:rPr>
                <w:webHidden/>
              </w:rPr>
              <w:instrText xml:space="preserve"> PAGEREF _Toc210744257 \h </w:instrText>
            </w:r>
            <w:r w:rsidR="004E5C8A" w:rsidRPr="004E5C8A">
              <w:rPr>
                <w:webHidden/>
              </w:rPr>
            </w:r>
            <w:r w:rsidR="004E5C8A" w:rsidRPr="004E5C8A">
              <w:rPr>
                <w:webHidden/>
              </w:rPr>
              <w:fldChar w:fldCharType="separate"/>
            </w:r>
            <w:r w:rsidR="00FD5B7D">
              <w:rPr>
                <w:webHidden/>
              </w:rPr>
              <w:t>65</w:t>
            </w:r>
            <w:r w:rsidR="004E5C8A" w:rsidRPr="004E5C8A">
              <w:rPr>
                <w:webHidden/>
              </w:rPr>
              <w:fldChar w:fldCharType="end"/>
            </w:r>
          </w:hyperlink>
        </w:p>
        <w:p w14:paraId="6304A538" w14:textId="0F28EDE2" w:rsidR="004E5C8A" w:rsidRPr="004E5C8A" w:rsidRDefault="00000000">
          <w:pPr>
            <w:pStyle w:val="TOC3"/>
            <w:tabs>
              <w:tab w:val="left" w:pos="1813"/>
            </w:tabs>
            <w:rPr>
              <w:rFonts w:asciiTheme="minorHAnsi" w:eastAsiaTheme="minorEastAsia" w:hAnsiTheme="minorHAnsi" w:cstheme="minorBidi"/>
              <w:color w:val="auto"/>
              <w:sz w:val="22"/>
              <w:szCs w:val="22"/>
              <w:lang w:val="en-US"/>
            </w:rPr>
          </w:pPr>
          <w:hyperlink w:anchor="_Toc210744258" w:history="1">
            <w:r w:rsidR="004E5C8A" w:rsidRPr="004E5C8A">
              <w:rPr>
                <w:rStyle w:val="Hyperlink"/>
              </w:rPr>
              <w:t xml:space="preserve">4.2.3.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Model Suitability Test (F Test)</w:t>
            </w:r>
            <w:r w:rsidR="004E5C8A" w:rsidRPr="004E5C8A">
              <w:rPr>
                <w:webHidden/>
              </w:rPr>
              <w:tab/>
            </w:r>
            <w:r w:rsidR="004E5C8A" w:rsidRPr="004E5C8A">
              <w:rPr>
                <w:webHidden/>
              </w:rPr>
              <w:fldChar w:fldCharType="begin"/>
            </w:r>
            <w:r w:rsidR="004E5C8A" w:rsidRPr="004E5C8A">
              <w:rPr>
                <w:webHidden/>
              </w:rPr>
              <w:instrText xml:space="preserve"> PAGEREF _Toc210744258 \h </w:instrText>
            </w:r>
            <w:r w:rsidR="004E5C8A" w:rsidRPr="004E5C8A">
              <w:rPr>
                <w:webHidden/>
              </w:rPr>
            </w:r>
            <w:r w:rsidR="004E5C8A" w:rsidRPr="004E5C8A">
              <w:rPr>
                <w:webHidden/>
              </w:rPr>
              <w:fldChar w:fldCharType="separate"/>
            </w:r>
            <w:r w:rsidR="00FD5B7D">
              <w:rPr>
                <w:webHidden/>
              </w:rPr>
              <w:t>70</w:t>
            </w:r>
            <w:r w:rsidR="004E5C8A" w:rsidRPr="004E5C8A">
              <w:rPr>
                <w:webHidden/>
              </w:rPr>
              <w:fldChar w:fldCharType="end"/>
            </w:r>
          </w:hyperlink>
        </w:p>
        <w:p w14:paraId="44434D61" w14:textId="55ABE191" w:rsidR="004E5C8A" w:rsidRPr="004E5C8A" w:rsidRDefault="00000000">
          <w:pPr>
            <w:pStyle w:val="TOC3"/>
            <w:tabs>
              <w:tab w:val="left" w:pos="1813"/>
            </w:tabs>
            <w:rPr>
              <w:rFonts w:asciiTheme="minorHAnsi" w:eastAsiaTheme="minorEastAsia" w:hAnsiTheme="minorHAnsi" w:cstheme="minorBidi"/>
              <w:color w:val="auto"/>
              <w:sz w:val="22"/>
              <w:szCs w:val="22"/>
              <w:lang w:val="en-US"/>
            </w:rPr>
          </w:pPr>
          <w:hyperlink w:anchor="_Toc210744259" w:history="1">
            <w:r w:rsidR="004E5C8A" w:rsidRPr="004E5C8A">
              <w:rPr>
                <w:rStyle w:val="Hyperlink"/>
              </w:rPr>
              <w:t xml:space="preserve">4.2.5.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Multiple Linear Regression Analysis</w:t>
            </w:r>
            <w:r w:rsidR="004E5C8A" w:rsidRPr="004E5C8A">
              <w:rPr>
                <w:webHidden/>
              </w:rPr>
              <w:tab/>
            </w:r>
            <w:r w:rsidR="004E5C8A" w:rsidRPr="004E5C8A">
              <w:rPr>
                <w:webHidden/>
              </w:rPr>
              <w:fldChar w:fldCharType="begin"/>
            </w:r>
            <w:r w:rsidR="004E5C8A" w:rsidRPr="004E5C8A">
              <w:rPr>
                <w:webHidden/>
              </w:rPr>
              <w:instrText xml:space="preserve"> PAGEREF _Toc210744259 \h </w:instrText>
            </w:r>
            <w:r w:rsidR="004E5C8A" w:rsidRPr="004E5C8A">
              <w:rPr>
                <w:webHidden/>
              </w:rPr>
            </w:r>
            <w:r w:rsidR="004E5C8A" w:rsidRPr="004E5C8A">
              <w:rPr>
                <w:webHidden/>
              </w:rPr>
              <w:fldChar w:fldCharType="separate"/>
            </w:r>
            <w:r w:rsidR="00FD5B7D">
              <w:rPr>
                <w:webHidden/>
              </w:rPr>
              <w:t>72</w:t>
            </w:r>
            <w:r w:rsidR="004E5C8A" w:rsidRPr="004E5C8A">
              <w:rPr>
                <w:webHidden/>
              </w:rPr>
              <w:fldChar w:fldCharType="end"/>
            </w:r>
          </w:hyperlink>
        </w:p>
        <w:p w14:paraId="64FC5BA0" w14:textId="2145E04A"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60" w:history="1">
            <w:r w:rsidR="004E5C8A" w:rsidRPr="004E5C8A">
              <w:rPr>
                <w:rStyle w:val="Hyperlink"/>
              </w:rPr>
              <w:t xml:space="preserve">4.2.6 </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Hypothesis Test (t Test)</w:t>
            </w:r>
            <w:r w:rsidR="004E5C8A" w:rsidRPr="004E5C8A">
              <w:rPr>
                <w:webHidden/>
              </w:rPr>
              <w:tab/>
            </w:r>
            <w:r w:rsidR="004E5C8A" w:rsidRPr="004E5C8A">
              <w:rPr>
                <w:webHidden/>
              </w:rPr>
              <w:fldChar w:fldCharType="begin"/>
            </w:r>
            <w:r w:rsidR="004E5C8A" w:rsidRPr="004E5C8A">
              <w:rPr>
                <w:webHidden/>
              </w:rPr>
              <w:instrText xml:space="preserve"> PAGEREF _Toc210744260 \h </w:instrText>
            </w:r>
            <w:r w:rsidR="004E5C8A" w:rsidRPr="004E5C8A">
              <w:rPr>
                <w:webHidden/>
              </w:rPr>
            </w:r>
            <w:r w:rsidR="004E5C8A" w:rsidRPr="004E5C8A">
              <w:rPr>
                <w:webHidden/>
              </w:rPr>
              <w:fldChar w:fldCharType="separate"/>
            </w:r>
            <w:r w:rsidR="00FD5B7D">
              <w:rPr>
                <w:webHidden/>
              </w:rPr>
              <w:t>75</w:t>
            </w:r>
            <w:r w:rsidR="004E5C8A" w:rsidRPr="004E5C8A">
              <w:rPr>
                <w:webHidden/>
              </w:rPr>
              <w:fldChar w:fldCharType="end"/>
            </w:r>
          </w:hyperlink>
        </w:p>
        <w:p w14:paraId="4053FDB7" w14:textId="55224D1D" w:rsidR="004E5C8A" w:rsidRPr="004E5C8A" w:rsidRDefault="00000000">
          <w:pPr>
            <w:pStyle w:val="TOC2"/>
            <w:rPr>
              <w:rFonts w:asciiTheme="minorHAnsi" w:eastAsiaTheme="minorEastAsia" w:hAnsiTheme="minorHAnsi" w:cstheme="minorBidi"/>
              <w:b w:val="0"/>
              <w:bCs w:val="0"/>
              <w:sz w:val="22"/>
              <w:szCs w:val="22"/>
              <w:lang w:val="en-US"/>
            </w:rPr>
          </w:pPr>
          <w:hyperlink w:anchor="_Toc210744261" w:history="1">
            <w:r w:rsidR="004E5C8A" w:rsidRPr="004E5C8A">
              <w:rPr>
                <w:rStyle w:val="Hyperlink"/>
                <w:b w:val="0"/>
                <w:bCs w:val="0"/>
              </w:rPr>
              <w:t>4.3</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Explanation of Research Results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_Toc210744261 \h </w:instrText>
            </w:r>
            <w:r w:rsidR="004E5C8A" w:rsidRPr="004E5C8A">
              <w:rPr>
                <w:b w:val="0"/>
                <w:bCs w:val="0"/>
                <w:webHidden/>
              </w:rPr>
            </w:r>
            <w:r w:rsidR="004E5C8A" w:rsidRPr="004E5C8A">
              <w:rPr>
                <w:b w:val="0"/>
                <w:bCs w:val="0"/>
                <w:webHidden/>
              </w:rPr>
              <w:fldChar w:fldCharType="separate"/>
            </w:r>
            <w:r w:rsidR="00FD5B7D">
              <w:rPr>
                <w:b w:val="0"/>
                <w:bCs w:val="0"/>
                <w:webHidden/>
              </w:rPr>
              <w:t>78</w:t>
            </w:r>
            <w:r w:rsidR="004E5C8A" w:rsidRPr="004E5C8A">
              <w:rPr>
                <w:b w:val="0"/>
                <w:bCs w:val="0"/>
                <w:webHidden/>
              </w:rPr>
              <w:fldChar w:fldCharType="end"/>
            </w:r>
          </w:hyperlink>
        </w:p>
        <w:p w14:paraId="7139213B" w14:textId="1C542AA0" w:rsidR="004E5C8A" w:rsidRPr="004E5C8A" w:rsidRDefault="00000000">
          <w:pPr>
            <w:pStyle w:val="TOC3"/>
            <w:tabs>
              <w:tab w:val="left" w:pos="1760"/>
            </w:tabs>
            <w:rPr>
              <w:rFonts w:asciiTheme="minorHAnsi" w:eastAsiaTheme="minorEastAsia" w:hAnsiTheme="minorHAnsi" w:cstheme="minorBidi"/>
              <w:color w:val="auto"/>
              <w:sz w:val="22"/>
              <w:szCs w:val="22"/>
              <w:lang w:val="en-US"/>
            </w:rPr>
          </w:pPr>
          <w:hyperlink w:anchor="_Toc210744262" w:history="1">
            <w:r w:rsidR="004E5C8A" w:rsidRPr="004E5C8A">
              <w:rPr>
                <w:rStyle w:val="Hyperlink"/>
              </w:rPr>
              <w:t>4.3.1.</w:t>
            </w:r>
            <w:r w:rsidR="004E5C8A" w:rsidRPr="004E5C8A">
              <w:rPr>
                <w:rFonts w:asciiTheme="minorHAnsi" w:eastAsiaTheme="minorEastAsia" w:hAnsiTheme="minorHAnsi" w:cstheme="minorBidi"/>
                <w:color w:val="auto"/>
                <w:sz w:val="22"/>
                <w:szCs w:val="22"/>
                <w:lang w:val="en-US"/>
              </w:rPr>
              <w:tab/>
            </w:r>
            <w:r w:rsidR="004E5C8A" w:rsidRPr="004E5C8A">
              <w:rPr>
                <w:rStyle w:val="Hyperlink"/>
              </w:rPr>
              <w:t>The Effect of Green Accounting on Firm Value</w:t>
            </w:r>
            <w:r w:rsidR="004E5C8A" w:rsidRPr="004E5C8A">
              <w:rPr>
                <w:webHidden/>
              </w:rPr>
              <w:tab/>
            </w:r>
            <w:r w:rsidR="004E5C8A" w:rsidRPr="004E5C8A">
              <w:rPr>
                <w:webHidden/>
              </w:rPr>
              <w:fldChar w:fldCharType="begin"/>
            </w:r>
            <w:r w:rsidR="004E5C8A" w:rsidRPr="004E5C8A">
              <w:rPr>
                <w:webHidden/>
              </w:rPr>
              <w:instrText xml:space="preserve"> PAGEREF _Toc210744262 \h </w:instrText>
            </w:r>
            <w:r w:rsidR="004E5C8A" w:rsidRPr="004E5C8A">
              <w:rPr>
                <w:webHidden/>
              </w:rPr>
            </w:r>
            <w:r w:rsidR="004E5C8A" w:rsidRPr="004E5C8A">
              <w:rPr>
                <w:webHidden/>
              </w:rPr>
              <w:fldChar w:fldCharType="separate"/>
            </w:r>
            <w:r w:rsidR="00FD5B7D">
              <w:rPr>
                <w:webHidden/>
              </w:rPr>
              <w:t>78</w:t>
            </w:r>
            <w:r w:rsidR="004E5C8A" w:rsidRPr="004E5C8A">
              <w:rPr>
                <w:webHidden/>
              </w:rPr>
              <w:fldChar w:fldCharType="end"/>
            </w:r>
          </w:hyperlink>
        </w:p>
        <w:p w14:paraId="37BCC6C6" w14:textId="238BB278" w:rsidR="004E5C8A" w:rsidRPr="004E5C8A" w:rsidRDefault="00000000">
          <w:pPr>
            <w:pStyle w:val="TOC3"/>
            <w:rPr>
              <w:rFonts w:asciiTheme="minorHAnsi" w:eastAsiaTheme="minorEastAsia" w:hAnsiTheme="minorHAnsi" w:cstheme="minorBidi"/>
              <w:color w:val="auto"/>
              <w:sz w:val="22"/>
              <w:szCs w:val="22"/>
              <w:lang w:val="en-US"/>
            </w:rPr>
          </w:pPr>
          <w:hyperlink w:anchor="_Toc210744263" w:history="1">
            <w:r w:rsidR="004E5C8A" w:rsidRPr="004E5C8A">
              <w:rPr>
                <w:rStyle w:val="Hyperlink"/>
              </w:rPr>
              <w:t>4.3.2. The Effect of Carbon Emission Disclosure on Firm Value</w:t>
            </w:r>
            <w:r w:rsidR="004E5C8A" w:rsidRPr="004E5C8A">
              <w:rPr>
                <w:webHidden/>
              </w:rPr>
              <w:tab/>
            </w:r>
            <w:r w:rsidR="004E5C8A" w:rsidRPr="004E5C8A">
              <w:rPr>
                <w:webHidden/>
              </w:rPr>
              <w:fldChar w:fldCharType="begin"/>
            </w:r>
            <w:r w:rsidR="004E5C8A" w:rsidRPr="004E5C8A">
              <w:rPr>
                <w:webHidden/>
              </w:rPr>
              <w:instrText xml:space="preserve"> PAGEREF _Toc210744263 \h </w:instrText>
            </w:r>
            <w:r w:rsidR="004E5C8A" w:rsidRPr="004E5C8A">
              <w:rPr>
                <w:webHidden/>
              </w:rPr>
            </w:r>
            <w:r w:rsidR="004E5C8A" w:rsidRPr="004E5C8A">
              <w:rPr>
                <w:webHidden/>
              </w:rPr>
              <w:fldChar w:fldCharType="separate"/>
            </w:r>
            <w:r w:rsidR="00FD5B7D">
              <w:rPr>
                <w:webHidden/>
              </w:rPr>
              <w:t>79</w:t>
            </w:r>
            <w:r w:rsidR="004E5C8A" w:rsidRPr="004E5C8A">
              <w:rPr>
                <w:webHidden/>
              </w:rPr>
              <w:fldChar w:fldCharType="end"/>
            </w:r>
          </w:hyperlink>
        </w:p>
        <w:p w14:paraId="60227AF6" w14:textId="5DFFA56C" w:rsidR="004E5C8A" w:rsidRPr="004E5C8A" w:rsidRDefault="00000000">
          <w:pPr>
            <w:pStyle w:val="TOC3"/>
            <w:rPr>
              <w:rFonts w:asciiTheme="minorHAnsi" w:eastAsiaTheme="minorEastAsia" w:hAnsiTheme="minorHAnsi" w:cstheme="minorBidi"/>
              <w:color w:val="auto"/>
              <w:sz w:val="22"/>
              <w:szCs w:val="22"/>
              <w:lang w:val="en-US"/>
            </w:rPr>
          </w:pPr>
          <w:hyperlink w:anchor="_Toc210744264" w:history="1">
            <w:r w:rsidR="004E5C8A" w:rsidRPr="004E5C8A">
              <w:rPr>
                <w:rStyle w:val="Hyperlink"/>
              </w:rPr>
              <w:t>4.3.3. The Effect of Green Capital Structure on Firm Value</w:t>
            </w:r>
            <w:r w:rsidR="004E5C8A" w:rsidRPr="004E5C8A">
              <w:rPr>
                <w:webHidden/>
              </w:rPr>
              <w:tab/>
            </w:r>
            <w:r w:rsidR="004E5C8A" w:rsidRPr="004E5C8A">
              <w:rPr>
                <w:webHidden/>
              </w:rPr>
              <w:fldChar w:fldCharType="begin"/>
            </w:r>
            <w:r w:rsidR="004E5C8A" w:rsidRPr="004E5C8A">
              <w:rPr>
                <w:webHidden/>
              </w:rPr>
              <w:instrText xml:space="preserve"> PAGEREF _Toc210744264 \h </w:instrText>
            </w:r>
            <w:r w:rsidR="004E5C8A" w:rsidRPr="004E5C8A">
              <w:rPr>
                <w:webHidden/>
              </w:rPr>
            </w:r>
            <w:r w:rsidR="004E5C8A" w:rsidRPr="004E5C8A">
              <w:rPr>
                <w:webHidden/>
              </w:rPr>
              <w:fldChar w:fldCharType="separate"/>
            </w:r>
            <w:r w:rsidR="00FD5B7D">
              <w:rPr>
                <w:webHidden/>
              </w:rPr>
              <w:t>81</w:t>
            </w:r>
            <w:r w:rsidR="004E5C8A" w:rsidRPr="004E5C8A">
              <w:rPr>
                <w:webHidden/>
              </w:rPr>
              <w:fldChar w:fldCharType="end"/>
            </w:r>
          </w:hyperlink>
        </w:p>
        <w:p w14:paraId="25D411D3" w14:textId="6CA8F7F9" w:rsidR="004E5C8A" w:rsidRPr="004E5C8A" w:rsidRDefault="00000000">
          <w:pPr>
            <w:pStyle w:val="TOC3"/>
            <w:rPr>
              <w:rFonts w:asciiTheme="minorHAnsi" w:eastAsiaTheme="minorEastAsia" w:hAnsiTheme="minorHAnsi" w:cstheme="minorBidi"/>
              <w:color w:val="auto"/>
              <w:sz w:val="22"/>
              <w:szCs w:val="22"/>
              <w:lang w:val="en-US"/>
            </w:rPr>
          </w:pPr>
          <w:hyperlink w:anchor="_Toc210744265" w:history="1">
            <w:r w:rsidR="004E5C8A" w:rsidRPr="004E5C8A">
              <w:rPr>
                <w:rStyle w:val="Hyperlink"/>
              </w:rPr>
              <w:t>4.3.4. The Effect of Green Intellectual Capital on Green Accounting on Firm Value</w:t>
            </w:r>
            <w:r w:rsidR="004E5C8A" w:rsidRPr="004E5C8A">
              <w:rPr>
                <w:webHidden/>
              </w:rPr>
              <w:tab/>
            </w:r>
            <w:r w:rsidR="004E5C8A" w:rsidRPr="004E5C8A">
              <w:rPr>
                <w:webHidden/>
              </w:rPr>
              <w:fldChar w:fldCharType="begin"/>
            </w:r>
            <w:r w:rsidR="004E5C8A" w:rsidRPr="004E5C8A">
              <w:rPr>
                <w:webHidden/>
              </w:rPr>
              <w:instrText xml:space="preserve"> PAGEREF _Toc210744265 \h </w:instrText>
            </w:r>
            <w:r w:rsidR="004E5C8A" w:rsidRPr="004E5C8A">
              <w:rPr>
                <w:webHidden/>
              </w:rPr>
            </w:r>
            <w:r w:rsidR="004E5C8A" w:rsidRPr="004E5C8A">
              <w:rPr>
                <w:webHidden/>
              </w:rPr>
              <w:fldChar w:fldCharType="separate"/>
            </w:r>
            <w:r w:rsidR="00FD5B7D">
              <w:rPr>
                <w:webHidden/>
              </w:rPr>
              <w:t>82</w:t>
            </w:r>
            <w:r w:rsidR="004E5C8A" w:rsidRPr="004E5C8A">
              <w:rPr>
                <w:webHidden/>
              </w:rPr>
              <w:fldChar w:fldCharType="end"/>
            </w:r>
          </w:hyperlink>
        </w:p>
        <w:p w14:paraId="53BC990D" w14:textId="49F39F5B" w:rsidR="004E5C8A" w:rsidRPr="004E5C8A" w:rsidRDefault="00000000">
          <w:pPr>
            <w:pStyle w:val="TOC3"/>
            <w:rPr>
              <w:rFonts w:asciiTheme="minorHAnsi" w:eastAsiaTheme="minorEastAsia" w:hAnsiTheme="minorHAnsi" w:cstheme="minorBidi"/>
              <w:color w:val="auto"/>
              <w:sz w:val="22"/>
              <w:szCs w:val="22"/>
              <w:lang w:val="en-US"/>
            </w:rPr>
          </w:pPr>
          <w:hyperlink w:anchor="_Toc210744266" w:history="1">
            <w:r w:rsidR="004E5C8A" w:rsidRPr="004E5C8A">
              <w:rPr>
                <w:rStyle w:val="Hyperlink"/>
              </w:rPr>
              <w:t>4.3.5. The Effect of Green Intellectual Capital on the Carbon Emission Disclosure Structure on Firm Value</w:t>
            </w:r>
            <w:r w:rsidR="004E5C8A" w:rsidRPr="004E5C8A">
              <w:rPr>
                <w:webHidden/>
              </w:rPr>
              <w:tab/>
            </w:r>
            <w:r w:rsidR="004E5C8A" w:rsidRPr="004E5C8A">
              <w:rPr>
                <w:webHidden/>
              </w:rPr>
              <w:fldChar w:fldCharType="begin"/>
            </w:r>
            <w:r w:rsidR="004E5C8A" w:rsidRPr="004E5C8A">
              <w:rPr>
                <w:webHidden/>
              </w:rPr>
              <w:instrText xml:space="preserve"> PAGEREF _Toc210744266 \h </w:instrText>
            </w:r>
            <w:r w:rsidR="004E5C8A" w:rsidRPr="004E5C8A">
              <w:rPr>
                <w:webHidden/>
              </w:rPr>
            </w:r>
            <w:r w:rsidR="004E5C8A" w:rsidRPr="004E5C8A">
              <w:rPr>
                <w:webHidden/>
              </w:rPr>
              <w:fldChar w:fldCharType="separate"/>
            </w:r>
            <w:r w:rsidR="00FD5B7D">
              <w:rPr>
                <w:webHidden/>
              </w:rPr>
              <w:t>84</w:t>
            </w:r>
            <w:r w:rsidR="004E5C8A" w:rsidRPr="004E5C8A">
              <w:rPr>
                <w:webHidden/>
              </w:rPr>
              <w:fldChar w:fldCharType="end"/>
            </w:r>
          </w:hyperlink>
        </w:p>
        <w:p w14:paraId="054879EB" w14:textId="6DE4631D" w:rsidR="004E5C8A" w:rsidRDefault="00000000">
          <w:pPr>
            <w:pStyle w:val="TOC3"/>
            <w:rPr>
              <w:rFonts w:asciiTheme="minorHAnsi" w:eastAsiaTheme="minorEastAsia" w:hAnsiTheme="minorHAnsi" w:cstheme="minorBidi"/>
              <w:color w:val="auto"/>
              <w:sz w:val="22"/>
              <w:szCs w:val="22"/>
              <w:lang w:val="en-US"/>
            </w:rPr>
          </w:pPr>
          <w:hyperlink w:anchor="_Toc210744267" w:history="1">
            <w:r w:rsidR="004E5C8A" w:rsidRPr="004E5C8A">
              <w:rPr>
                <w:rStyle w:val="Hyperlink"/>
              </w:rPr>
              <w:t>4.3.6. The Effect of Green Intellectual Capital on Green Capital Structure on Firm Value</w:t>
            </w:r>
            <w:r w:rsidR="004E5C8A" w:rsidRPr="004E5C8A">
              <w:rPr>
                <w:webHidden/>
              </w:rPr>
              <w:tab/>
            </w:r>
            <w:r w:rsidR="004E5C8A" w:rsidRPr="004E5C8A">
              <w:rPr>
                <w:webHidden/>
              </w:rPr>
              <w:fldChar w:fldCharType="begin"/>
            </w:r>
            <w:r w:rsidR="004E5C8A" w:rsidRPr="004E5C8A">
              <w:rPr>
                <w:webHidden/>
              </w:rPr>
              <w:instrText xml:space="preserve"> PAGEREF _Toc210744267 \h </w:instrText>
            </w:r>
            <w:r w:rsidR="004E5C8A" w:rsidRPr="004E5C8A">
              <w:rPr>
                <w:webHidden/>
              </w:rPr>
            </w:r>
            <w:r w:rsidR="004E5C8A" w:rsidRPr="004E5C8A">
              <w:rPr>
                <w:webHidden/>
              </w:rPr>
              <w:fldChar w:fldCharType="separate"/>
            </w:r>
            <w:r w:rsidR="00FD5B7D">
              <w:rPr>
                <w:webHidden/>
              </w:rPr>
              <w:t>85</w:t>
            </w:r>
            <w:r w:rsidR="004E5C8A" w:rsidRPr="004E5C8A">
              <w:rPr>
                <w:webHidden/>
              </w:rPr>
              <w:fldChar w:fldCharType="end"/>
            </w:r>
          </w:hyperlink>
        </w:p>
        <w:p w14:paraId="4879D8F4" w14:textId="45F1B734" w:rsidR="004E5C8A" w:rsidRDefault="00000000">
          <w:pPr>
            <w:pStyle w:val="TOC1"/>
            <w:rPr>
              <w:rFonts w:asciiTheme="minorHAnsi" w:eastAsiaTheme="minorEastAsia" w:hAnsiTheme="minorHAnsi" w:cstheme="minorBidi"/>
              <w:b w:val="0"/>
              <w:bCs w:val="0"/>
              <w:color w:val="auto"/>
              <w:sz w:val="22"/>
              <w:szCs w:val="22"/>
              <w:lang w:val="en-US"/>
            </w:rPr>
          </w:pPr>
          <w:hyperlink w:anchor="_Toc210744268" w:history="1">
            <w:r w:rsidR="004E5C8A" w:rsidRPr="002F114E">
              <w:rPr>
                <w:rStyle w:val="Hyperlink"/>
              </w:rPr>
              <w:t>BAB V</w:t>
            </w:r>
            <w:r w:rsidR="004E5C8A">
              <w:rPr>
                <w:rStyle w:val="Hyperlink"/>
              </w:rPr>
              <w:t xml:space="preserve">  CLOSING</w:t>
            </w:r>
            <w:r w:rsidR="004E5C8A">
              <w:rPr>
                <w:webHidden/>
              </w:rPr>
              <w:tab/>
            </w:r>
            <w:r w:rsidR="004E5C8A">
              <w:rPr>
                <w:webHidden/>
              </w:rPr>
              <w:fldChar w:fldCharType="begin"/>
            </w:r>
            <w:r w:rsidR="004E5C8A">
              <w:rPr>
                <w:webHidden/>
              </w:rPr>
              <w:instrText xml:space="preserve"> PAGEREF _Toc210744268 \h </w:instrText>
            </w:r>
            <w:r w:rsidR="004E5C8A">
              <w:rPr>
                <w:webHidden/>
              </w:rPr>
            </w:r>
            <w:r w:rsidR="004E5C8A">
              <w:rPr>
                <w:webHidden/>
              </w:rPr>
              <w:fldChar w:fldCharType="separate"/>
            </w:r>
            <w:r w:rsidR="00FD5B7D">
              <w:rPr>
                <w:webHidden/>
              </w:rPr>
              <w:t>87</w:t>
            </w:r>
            <w:r w:rsidR="004E5C8A">
              <w:rPr>
                <w:webHidden/>
              </w:rPr>
              <w:fldChar w:fldCharType="end"/>
            </w:r>
          </w:hyperlink>
        </w:p>
        <w:p w14:paraId="56617550" w14:textId="6937A25D" w:rsidR="004E5C8A" w:rsidRPr="004E5C8A" w:rsidRDefault="00000000">
          <w:pPr>
            <w:pStyle w:val="TOC2"/>
            <w:rPr>
              <w:rFonts w:asciiTheme="minorHAnsi" w:eastAsiaTheme="minorEastAsia" w:hAnsiTheme="minorHAnsi" w:cstheme="minorBidi"/>
              <w:b w:val="0"/>
              <w:bCs w:val="0"/>
              <w:sz w:val="22"/>
              <w:szCs w:val="22"/>
              <w:lang w:val="en-US"/>
            </w:rPr>
          </w:pPr>
          <w:hyperlink w:anchor="_Toc210744270" w:history="1">
            <w:r w:rsidR="004E5C8A" w:rsidRPr="004E5C8A">
              <w:rPr>
                <w:rStyle w:val="Hyperlink"/>
                <w:b w:val="0"/>
                <w:bCs w:val="0"/>
              </w:rPr>
              <w:t>5.1</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Conclusion</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_Toc210744270 \h </w:instrText>
            </w:r>
            <w:r w:rsidR="004E5C8A" w:rsidRPr="004E5C8A">
              <w:rPr>
                <w:b w:val="0"/>
                <w:bCs w:val="0"/>
                <w:webHidden/>
              </w:rPr>
            </w:r>
            <w:r w:rsidR="004E5C8A" w:rsidRPr="004E5C8A">
              <w:rPr>
                <w:b w:val="0"/>
                <w:bCs w:val="0"/>
                <w:webHidden/>
              </w:rPr>
              <w:fldChar w:fldCharType="separate"/>
            </w:r>
            <w:r w:rsidR="00FD5B7D">
              <w:rPr>
                <w:b w:val="0"/>
                <w:bCs w:val="0"/>
                <w:webHidden/>
              </w:rPr>
              <w:t>87</w:t>
            </w:r>
            <w:r w:rsidR="004E5C8A" w:rsidRPr="004E5C8A">
              <w:rPr>
                <w:b w:val="0"/>
                <w:bCs w:val="0"/>
                <w:webHidden/>
              </w:rPr>
              <w:fldChar w:fldCharType="end"/>
            </w:r>
          </w:hyperlink>
        </w:p>
        <w:p w14:paraId="73DE502E" w14:textId="7D7C2615" w:rsidR="004E5C8A" w:rsidRPr="004E5C8A" w:rsidRDefault="00000000">
          <w:pPr>
            <w:pStyle w:val="TOC2"/>
            <w:rPr>
              <w:rFonts w:asciiTheme="minorHAnsi" w:eastAsiaTheme="minorEastAsia" w:hAnsiTheme="minorHAnsi" w:cstheme="minorBidi"/>
              <w:b w:val="0"/>
              <w:bCs w:val="0"/>
              <w:sz w:val="22"/>
              <w:szCs w:val="22"/>
              <w:lang w:val="en-US"/>
            </w:rPr>
          </w:pPr>
          <w:hyperlink w:anchor="_Toc210744271" w:history="1">
            <w:r w:rsidR="004E5C8A" w:rsidRPr="004E5C8A">
              <w:rPr>
                <w:rStyle w:val="Hyperlink"/>
                <w:b w:val="0"/>
                <w:bCs w:val="0"/>
              </w:rPr>
              <w:t xml:space="preserve">5.2 </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Research Limitations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_Toc210744271 \h </w:instrText>
            </w:r>
            <w:r w:rsidR="004E5C8A" w:rsidRPr="004E5C8A">
              <w:rPr>
                <w:b w:val="0"/>
                <w:bCs w:val="0"/>
                <w:webHidden/>
              </w:rPr>
            </w:r>
            <w:r w:rsidR="004E5C8A" w:rsidRPr="004E5C8A">
              <w:rPr>
                <w:b w:val="0"/>
                <w:bCs w:val="0"/>
                <w:webHidden/>
              </w:rPr>
              <w:fldChar w:fldCharType="separate"/>
            </w:r>
            <w:r w:rsidR="00FD5B7D">
              <w:rPr>
                <w:b w:val="0"/>
                <w:bCs w:val="0"/>
                <w:webHidden/>
              </w:rPr>
              <w:t>88</w:t>
            </w:r>
            <w:r w:rsidR="004E5C8A" w:rsidRPr="004E5C8A">
              <w:rPr>
                <w:b w:val="0"/>
                <w:bCs w:val="0"/>
                <w:webHidden/>
              </w:rPr>
              <w:fldChar w:fldCharType="end"/>
            </w:r>
          </w:hyperlink>
        </w:p>
        <w:p w14:paraId="32B6F7E9" w14:textId="5EDEFAD0" w:rsidR="004E5C8A" w:rsidRPr="004E5C8A" w:rsidRDefault="00000000">
          <w:pPr>
            <w:pStyle w:val="TOC2"/>
            <w:rPr>
              <w:rFonts w:asciiTheme="minorHAnsi" w:eastAsiaTheme="minorEastAsia" w:hAnsiTheme="minorHAnsi" w:cstheme="minorBidi"/>
              <w:b w:val="0"/>
              <w:bCs w:val="0"/>
              <w:sz w:val="22"/>
              <w:szCs w:val="22"/>
              <w:lang w:val="en-US"/>
            </w:rPr>
          </w:pPr>
          <w:hyperlink w:anchor="_Toc210744272" w:history="1">
            <w:r w:rsidR="004E5C8A" w:rsidRPr="004E5C8A">
              <w:rPr>
                <w:rStyle w:val="Hyperlink"/>
                <w:b w:val="0"/>
                <w:bCs w:val="0"/>
              </w:rPr>
              <w:t xml:space="preserve">5.3 </w:t>
            </w:r>
            <w:r w:rsidR="004E5C8A" w:rsidRPr="004E5C8A">
              <w:rPr>
                <w:rFonts w:asciiTheme="minorHAnsi" w:eastAsiaTheme="minorEastAsia" w:hAnsiTheme="minorHAnsi" w:cstheme="minorBidi"/>
                <w:b w:val="0"/>
                <w:bCs w:val="0"/>
                <w:sz w:val="22"/>
                <w:szCs w:val="22"/>
                <w:lang w:val="en-US"/>
              </w:rPr>
              <w:tab/>
            </w:r>
            <w:r w:rsidR="004E5C8A" w:rsidRPr="004E5C8A">
              <w:rPr>
                <w:rStyle w:val="Hyperlink"/>
                <w:b w:val="0"/>
                <w:bCs w:val="0"/>
              </w:rPr>
              <w:t>Recommendations</w:t>
            </w:r>
            <w:r w:rsidR="004E5C8A" w:rsidRPr="004E5C8A">
              <w:rPr>
                <w:b w:val="0"/>
                <w:bCs w:val="0"/>
                <w:webHidden/>
              </w:rPr>
              <w:tab/>
            </w:r>
            <w:r w:rsidR="004E5C8A" w:rsidRPr="004E5C8A">
              <w:rPr>
                <w:b w:val="0"/>
                <w:bCs w:val="0"/>
                <w:webHidden/>
              </w:rPr>
              <w:fldChar w:fldCharType="begin"/>
            </w:r>
            <w:r w:rsidR="004E5C8A" w:rsidRPr="004E5C8A">
              <w:rPr>
                <w:b w:val="0"/>
                <w:bCs w:val="0"/>
                <w:webHidden/>
              </w:rPr>
              <w:instrText xml:space="preserve"> PAGEREF _Toc210744272 \h </w:instrText>
            </w:r>
            <w:r w:rsidR="004E5C8A" w:rsidRPr="004E5C8A">
              <w:rPr>
                <w:b w:val="0"/>
                <w:bCs w:val="0"/>
                <w:webHidden/>
              </w:rPr>
            </w:r>
            <w:r w:rsidR="004E5C8A" w:rsidRPr="004E5C8A">
              <w:rPr>
                <w:b w:val="0"/>
                <w:bCs w:val="0"/>
                <w:webHidden/>
              </w:rPr>
              <w:fldChar w:fldCharType="separate"/>
            </w:r>
            <w:r w:rsidR="00FD5B7D">
              <w:rPr>
                <w:b w:val="0"/>
                <w:bCs w:val="0"/>
                <w:webHidden/>
              </w:rPr>
              <w:t>89</w:t>
            </w:r>
            <w:r w:rsidR="004E5C8A" w:rsidRPr="004E5C8A">
              <w:rPr>
                <w:b w:val="0"/>
                <w:bCs w:val="0"/>
                <w:webHidden/>
              </w:rPr>
              <w:fldChar w:fldCharType="end"/>
            </w:r>
          </w:hyperlink>
        </w:p>
        <w:p w14:paraId="30518195" w14:textId="26FD5F41" w:rsidR="004E5C8A" w:rsidRDefault="00000000">
          <w:pPr>
            <w:pStyle w:val="TOC1"/>
            <w:rPr>
              <w:rFonts w:asciiTheme="minorHAnsi" w:eastAsiaTheme="minorEastAsia" w:hAnsiTheme="minorHAnsi" w:cstheme="minorBidi"/>
              <w:b w:val="0"/>
              <w:bCs w:val="0"/>
              <w:color w:val="auto"/>
              <w:sz w:val="22"/>
              <w:szCs w:val="22"/>
              <w:lang w:val="en-US"/>
            </w:rPr>
          </w:pPr>
          <w:hyperlink w:anchor="_Toc210744273" w:history="1">
            <w:r w:rsidR="004E5C8A" w:rsidRPr="002F114E">
              <w:rPr>
                <w:rStyle w:val="Hyperlink"/>
              </w:rPr>
              <w:t>BIBLIOGRAPHY</w:t>
            </w:r>
            <w:r w:rsidR="004E5C8A">
              <w:rPr>
                <w:webHidden/>
              </w:rPr>
              <w:tab/>
            </w:r>
            <w:r w:rsidR="004E5C8A">
              <w:rPr>
                <w:webHidden/>
              </w:rPr>
              <w:fldChar w:fldCharType="begin"/>
            </w:r>
            <w:r w:rsidR="004E5C8A">
              <w:rPr>
                <w:webHidden/>
              </w:rPr>
              <w:instrText xml:space="preserve"> PAGEREF _Toc210744273 \h </w:instrText>
            </w:r>
            <w:r w:rsidR="004E5C8A">
              <w:rPr>
                <w:webHidden/>
              </w:rPr>
            </w:r>
            <w:r w:rsidR="004E5C8A">
              <w:rPr>
                <w:webHidden/>
              </w:rPr>
              <w:fldChar w:fldCharType="separate"/>
            </w:r>
            <w:r w:rsidR="00FD5B7D">
              <w:rPr>
                <w:webHidden/>
              </w:rPr>
              <w:t>91</w:t>
            </w:r>
            <w:r w:rsidR="004E5C8A">
              <w:rPr>
                <w:webHidden/>
              </w:rPr>
              <w:fldChar w:fldCharType="end"/>
            </w:r>
          </w:hyperlink>
        </w:p>
        <w:p w14:paraId="41E50619" w14:textId="5440C5D4" w:rsidR="004E5C8A" w:rsidRDefault="00000000">
          <w:pPr>
            <w:pStyle w:val="TOC1"/>
            <w:rPr>
              <w:rFonts w:asciiTheme="minorHAnsi" w:eastAsiaTheme="minorEastAsia" w:hAnsiTheme="minorHAnsi" w:cstheme="minorBidi"/>
              <w:b w:val="0"/>
              <w:bCs w:val="0"/>
              <w:color w:val="auto"/>
              <w:sz w:val="22"/>
              <w:szCs w:val="22"/>
              <w:lang w:val="en-US"/>
            </w:rPr>
          </w:pPr>
          <w:hyperlink w:anchor="_Toc210744274" w:history="1">
            <w:r w:rsidR="004E5C8A" w:rsidRPr="002F114E">
              <w:rPr>
                <w:rStyle w:val="Hyperlink"/>
              </w:rPr>
              <w:t>APPENDICES</w:t>
            </w:r>
            <w:r w:rsidR="004E5C8A">
              <w:rPr>
                <w:webHidden/>
              </w:rPr>
              <w:tab/>
            </w:r>
            <w:r w:rsidR="004E5C8A">
              <w:rPr>
                <w:webHidden/>
              </w:rPr>
              <w:fldChar w:fldCharType="begin"/>
            </w:r>
            <w:r w:rsidR="004E5C8A">
              <w:rPr>
                <w:webHidden/>
              </w:rPr>
              <w:instrText xml:space="preserve"> PAGEREF _Toc210744274 \h </w:instrText>
            </w:r>
            <w:r w:rsidR="004E5C8A">
              <w:rPr>
                <w:webHidden/>
              </w:rPr>
            </w:r>
            <w:r w:rsidR="004E5C8A">
              <w:rPr>
                <w:webHidden/>
              </w:rPr>
              <w:fldChar w:fldCharType="separate"/>
            </w:r>
            <w:r w:rsidR="00FD5B7D">
              <w:rPr>
                <w:webHidden/>
              </w:rPr>
              <w:t>97</w:t>
            </w:r>
            <w:r w:rsidR="004E5C8A">
              <w:rPr>
                <w:webHidden/>
              </w:rPr>
              <w:fldChar w:fldCharType="end"/>
            </w:r>
          </w:hyperlink>
        </w:p>
        <w:p w14:paraId="0A27C62D" w14:textId="0E114B80" w:rsidR="004E5C8A" w:rsidRDefault="00000000">
          <w:pPr>
            <w:pStyle w:val="TOC1"/>
            <w:rPr>
              <w:rFonts w:asciiTheme="minorHAnsi" w:eastAsiaTheme="minorEastAsia" w:hAnsiTheme="minorHAnsi" w:cstheme="minorBidi"/>
              <w:b w:val="0"/>
              <w:bCs w:val="0"/>
              <w:color w:val="auto"/>
              <w:sz w:val="22"/>
              <w:szCs w:val="22"/>
              <w:lang w:val="en-US"/>
            </w:rPr>
          </w:pPr>
          <w:hyperlink w:anchor="_Toc210744275" w:history="1">
            <w:r w:rsidR="004E5C8A" w:rsidRPr="002F114E">
              <w:rPr>
                <w:rStyle w:val="Hyperlink"/>
              </w:rPr>
              <w:t>TURNITIN SIMILARITY RESULTS</w:t>
            </w:r>
            <w:r w:rsidR="004E5C8A">
              <w:rPr>
                <w:webHidden/>
              </w:rPr>
              <w:tab/>
            </w:r>
            <w:r w:rsidR="004E5C8A">
              <w:rPr>
                <w:webHidden/>
              </w:rPr>
              <w:fldChar w:fldCharType="begin"/>
            </w:r>
            <w:r w:rsidR="004E5C8A">
              <w:rPr>
                <w:webHidden/>
              </w:rPr>
              <w:instrText xml:space="preserve"> PAGEREF _Toc210744275 \h </w:instrText>
            </w:r>
            <w:r w:rsidR="004E5C8A">
              <w:rPr>
                <w:webHidden/>
              </w:rPr>
            </w:r>
            <w:r w:rsidR="004E5C8A">
              <w:rPr>
                <w:webHidden/>
              </w:rPr>
              <w:fldChar w:fldCharType="separate"/>
            </w:r>
            <w:r w:rsidR="00FD5B7D">
              <w:rPr>
                <w:webHidden/>
              </w:rPr>
              <w:t>119</w:t>
            </w:r>
            <w:r w:rsidR="004E5C8A">
              <w:rPr>
                <w:webHidden/>
              </w:rPr>
              <w:fldChar w:fldCharType="end"/>
            </w:r>
          </w:hyperlink>
        </w:p>
        <w:p w14:paraId="32EA5EB3" w14:textId="768A43B4" w:rsidR="004E5C8A" w:rsidRDefault="00000000">
          <w:pPr>
            <w:pStyle w:val="TOC1"/>
            <w:rPr>
              <w:rFonts w:asciiTheme="minorHAnsi" w:eastAsiaTheme="minorEastAsia" w:hAnsiTheme="minorHAnsi" w:cstheme="minorBidi"/>
              <w:b w:val="0"/>
              <w:bCs w:val="0"/>
              <w:color w:val="auto"/>
              <w:sz w:val="22"/>
              <w:szCs w:val="22"/>
              <w:lang w:val="en-US"/>
            </w:rPr>
          </w:pPr>
          <w:hyperlink w:anchor="_Toc210744276" w:history="1">
            <w:r w:rsidR="004E5C8A" w:rsidRPr="002F114E">
              <w:rPr>
                <w:rStyle w:val="Hyperlink"/>
              </w:rPr>
              <w:t>PROPOSAL SEMINAR CORRECTION SHEET</w:t>
            </w:r>
            <w:r w:rsidR="004E5C8A">
              <w:rPr>
                <w:webHidden/>
              </w:rPr>
              <w:tab/>
            </w:r>
            <w:r w:rsidR="004E5C8A">
              <w:rPr>
                <w:webHidden/>
              </w:rPr>
              <w:fldChar w:fldCharType="begin"/>
            </w:r>
            <w:r w:rsidR="004E5C8A">
              <w:rPr>
                <w:webHidden/>
              </w:rPr>
              <w:instrText xml:space="preserve"> PAGEREF _Toc210744276 \h </w:instrText>
            </w:r>
            <w:r w:rsidR="004E5C8A">
              <w:rPr>
                <w:webHidden/>
              </w:rPr>
            </w:r>
            <w:r w:rsidR="004E5C8A">
              <w:rPr>
                <w:webHidden/>
              </w:rPr>
              <w:fldChar w:fldCharType="separate"/>
            </w:r>
            <w:r w:rsidR="00FD5B7D">
              <w:rPr>
                <w:webHidden/>
              </w:rPr>
              <w:t>120</w:t>
            </w:r>
            <w:r w:rsidR="004E5C8A">
              <w:rPr>
                <w:webHidden/>
              </w:rPr>
              <w:fldChar w:fldCharType="end"/>
            </w:r>
          </w:hyperlink>
        </w:p>
        <w:p w14:paraId="643FD543" w14:textId="0AB8C824" w:rsidR="004E5C8A" w:rsidRDefault="00000000">
          <w:pPr>
            <w:pStyle w:val="TOC1"/>
            <w:rPr>
              <w:rFonts w:asciiTheme="minorHAnsi" w:eastAsiaTheme="minorEastAsia" w:hAnsiTheme="minorHAnsi" w:cstheme="minorBidi"/>
              <w:b w:val="0"/>
              <w:bCs w:val="0"/>
              <w:color w:val="auto"/>
              <w:sz w:val="22"/>
              <w:szCs w:val="22"/>
              <w:lang w:val="en-US"/>
            </w:rPr>
          </w:pPr>
          <w:hyperlink w:anchor="_Toc210744277" w:history="1">
            <w:r w:rsidR="004E5C8A" w:rsidRPr="002F114E">
              <w:rPr>
                <w:rStyle w:val="Hyperlink"/>
              </w:rPr>
              <w:t>RESULT SEMINAR CORRECTION SHEET</w:t>
            </w:r>
            <w:r w:rsidR="004E5C8A">
              <w:rPr>
                <w:webHidden/>
              </w:rPr>
              <w:tab/>
            </w:r>
            <w:r w:rsidR="004E5C8A">
              <w:rPr>
                <w:webHidden/>
              </w:rPr>
              <w:fldChar w:fldCharType="begin"/>
            </w:r>
            <w:r w:rsidR="004E5C8A">
              <w:rPr>
                <w:webHidden/>
              </w:rPr>
              <w:instrText xml:space="preserve"> PAGEREF _Toc210744277 \h </w:instrText>
            </w:r>
            <w:r w:rsidR="004E5C8A">
              <w:rPr>
                <w:webHidden/>
              </w:rPr>
            </w:r>
            <w:r w:rsidR="004E5C8A">
              <w:rPr>
                <w:webHidden/>
              </w:rPr>
              <w:fldChar w:fldCharType="separate"/>
            </w:r>
            <w:r w:rsidR="00FD5B7D">
              <w:rPr>
                <w:webHidden/>
              </w:rPr>
              <w:t>121</w:t>
            </w:r>
            <w:r w:rsidR="004E5C8A">
              <w:rPr>
                <w:webHidden/>
              </w:rPr>
              <w:fldChar w:fldCharType="end"/>
            </w:r>
          </w:hyperlink>
        </w:p>
        <w:p w14:paraId="45E41AD8" w14:textId="7FE55C2E" w:rsidR="00580E14" w:rsidRPr="007E7CB6" w:rsidRDefault="00580E14" w:rsidP="00580E14">
          <w:pPr>
            <w:jc w:val="both"/>
            <w:rPr>
              <w:rFonts w:ascii="Times New Roman" w:hAnsi="Times New Roman" w:cs="Times New Roman"/>
            </w:rPr>
          </w:pPr>
          <w:r w:rsidRPr="007E7CB6">
            <w:rPr>
              <w:rFonts w:ascii="Times New Roman" w:hAnsi="Times New Roman" w:cs="Times New Roman"/>
              <w:noProof/>
              <w:color w:val="000000" w:themeColor="text1"/>
              <w:sz w:val="24"/>
              <w:szCs w:val="24"/>
            </w:rPr>
            <w:fldChar w:fldCharType="end"/>
          </w:r>
        </w:p>
      </w:sdtContent>
    </w:sdt>
    <w:p w14:paraId="3B70EAEE" w14:textId="77777777" w:rsidR="00153781" w:rsidRPr="007E7CB6" w:rsidRDefault="00153781">
      <w:pPr>
        <w:rPr>
          <w:rFonts w:ascii="Times New Roman" w:hAnsi="Times New Roman" w:cs="Times New Roman"/>
        </w:rPr>
      </w:pPr>
    </w:p>
    <w:p w14:paraId="75F176A3" w14:textId="77777777" w:rsidR="00153781" w:rsidRPr="007E7CB6" w:rsidRDefault="00153781">
      <w:pPr>
        <w:rPr>
          <w:rFonts w:ascii="Times New Roman" w:hAnsi="Times New Roman" w:cs="Times New Roman"/>
        </w:rPr>
      </w:pPr>
    </w:p>
    <w:p w14:paraId="4B6144AC" w14:textId="77777777" w:rsidR="00153781" w:rsidRPr="007E7CB6" w:rsidRDefault="00153781">
      <w:pPr>
        <w:rPr>
          <w:rFonts w:ascii="Times New Roman" w:hAnsi="Times New Roman" w:cs="Times New Roman"/>
        </w:rPr>
      </w:pPr>
    </w:p>
    <w:p w14:paraId="6D946541" w14:textId="77777777" w:rsidR="00153781" w:rsidRPr="007E7CB6" w:rsidRDefault="00153781">
      <w:pPr>
        <w:rPr>
          <w:rFonts w:ascii="Times New Roman" w:hAnsi="Times New Roman" w:cs="Times New Roman"/>
        </w:rPr>
      </w:pPr>
    </w:p>
    <w:p w14:paraId="70FD6898" w14:textId="77777777" w:rsidR="00153781" w:rsidRPr="007E7CB6" w:rsidRDefault="00153781">
      <w:pPr>
        <w:rPr>
          <w:rFonts w:ascii="Times New Roman" w:hAnsi="Times New Roman" w:cs="Times New Roman"/>
        </w:rPr>
      </w:pPr>
    </w:p>
    <w:p w14:paraId="44A28455" w14:textId="77777777" w:rsidR="00153781" w:rsidRPr="007E7CB6" w:rsidRDefault="00153781">
      <w:pPr>
        <w:rPr>
          <w:rFonts w:ascii="Times New Roman" w:hAnsi="Times New Roman" w:cs="Times New Roman"/>
        </w:rPr>
      </w:pPr>
    </w:p>
    <w:p w14:paraId="29BB8720" w14:textId="77777777" w:rsidR="00153781" w:rsidRPr="007E7CB6" w:rsidRDefault="00153781">
      <w:pPr>
        <w:rPr>
          <w:rFonts w:ascii="Times New Roman" w:hAnsi="Times New Roman" w:cs="Times New Roman"/>
        </w:rPr>
      </w:pPr>
    </w:p>
    <w:p w14:paraId="1A3B8CBA" w14:textId="77777777" w:rsidR="00153781" w:rsidRPr="007E7CB6" w:rsidRDefault="00153781">
      <w:pPr>
        <w:rPr>
          <w:rFonts w:ascii="Times New Roman" w:hAnsi="Times New Roman" w:cs="Times New Roman"/>
        </w:rPr>
      </w:pPr>
    </w:p>
    <w:p w14:paraId="79927496" w14:textId="6AC2A559" w:rsidR="00153781" w:rsidRPr="007E7CB6" w:rsidRDefault="00153781">
      <w:pPr>
        <w:rPr>
          <w:rFonts w:ascii="Times New Roman" w:hAnsi="Times New Roman" w:cs="Times New Roman"/>
        </w:rPr>
      </w:pPr>
    </w:p>
    <w:p w14:paraId="5C183534" w14:textId="77777777" w:rsidR="00153781" w:rsidRPr="007E7CB6" w:rsidRDefault="00153781">
      <w:pPr>
        <w:rPr>
          <w:rFonts w:ascii="Times New Roman" w:hAnsi="Times New Roman" w:cs="Times New Roman"/>
        </w:rPr>
      </w:pPr>
    </w:p>
    <w:p w14:paraId="27BDF5D8" w14:textId="77777777" w:rsidR="00153781" w:rsidRPr="007E7CB6" w:rsidRDefault="00153781">
      <w:pPr>
        <w:rPr>
          <w:rFonts w:ascii="Times New Roman" w:hAnsi="Times New Roman" w:cs="Times New Roman"/>
        </w:rPr>
      </w:pPr>
    </w:p>
    <w:p w14:paraId="2A753214" w14:textId="1F981974" w:rsidR="00D324E7" w:rsidRPr="007E7CB6" w:rsidRDefault="00000000" w:rsidP="00D324E7">
      <w:pPr>
        <w:pStyle w:val="Heading1"/>
        <w:spacing w:before="0" w:after="0" w:line="480" w:lineRule="auto"/>
        <w:jc w:val="center"/>
        <w:rPr>
          <w:rFonts w:ascii="Times New Roman" w:eastAsia="Times New Roman" w:hAnsi="Times New Roman" w:cs="Times New Roman"/>
          <w:b/>
          <w:sz w:val="24"/>
          <w:szCs w:val="24"/>
        </w:rPr>
      </w:pPr>
      <w:bookmarkStart w:id="5" w:name="_Toc210744204"/>
      <w:r w:rsidRPr="007E7CB6">
        <w:rPr>
          <w:rFonts w:ascii="Times New Roman" w:eastAsia="Times New Roman" w:hAnsi="Times New Roman" w:cs="Times New Roman"/>
          <w:b/>
          <w:sz w:val="24"/>
          <w:szCs w:val="24"/>
        </w:rPr>
        <w:lastRenderedPageBreak/>
        <w:t xml:space="preserve">LIST OF </w:t>
      </w:r>
      <w:r w:rsidR="00D324E7" w:rsidRPr="007E7CB6">
        <w:rPr>
          <w:rFonts w:ascii="Times New Roman" w:eastAsia="Times New Roman" w:hAnsi="Times New Roman" w:cs="Times New Roman"/>
          <w:b/>
          <w:sz w:val="24"/>
          <w:szCs w:val="24"/>
        </w:rPr>
        <w:t>TABLES</w:t>
      </w:r>
      <w:bookmarkEnd w:id="5"/>
    </w:p>
    <w:p w14:paraId="6B848CFE" w14:textId="013DBBD1" w:rsidR="00DB71A5" w:rsidRPr="007E7CB6" w:rsidRDefault="00000000" w:rsidP="00DB71A5">
      <w:pPr>
        <w:jc w:val="right"/>
        <w:rPr>
          <w:rFonts w:ascii="Times New Roman" w:eastAsia="Times New Roman" w:hAnsi="Times New Roman" w:cs="Times New Roman"/>
          <w:b/>
        </w:rPr>
      </w:pPr>
      <w:r w:rsidRPr="007E7CB6">
        <w:rPr>
          <w:rFonts w:ascii="Times New Roman" w:eastAsia="Times New Roman" w:hAnsi="Times New Roman" w:cs="Times New Roman"/>
          <w:b/>
        </w:rPr>
        <w:t>Pag</w:t>
      </w:r>
      <w:r w:rsidR="00026F94" w:rsidRPr="007E7CB6">
        <w:rPr>
          <w:rFonts w:ascii="Times New Roman" w:eastAsia="Times New Roman" w:hAnsi="Times New Roman" w:cs="Times New Roman"/>
          <w:b/>
        </w:rPr>
        <w:t>es</w:t>
      </w:r>
    </w:p>
    <w:p w14:paraId="14949C66" w14:textId="159D3CDA" w:rsidR="00775AE4" w:rsidRPr="007E7CB6" w:rsidRDefault="00DB71A5" w:rsidP="00775AE4">
      <w:pPr>
        <w:pStyle w:val="TableofFigures"/>
        <w:tabs>
          <w:tab w:val="right" w:leader="dot" w:pos="7927"/>
        </w:tabs>
        <w:spacing w:line="360" w:lineRule="auto"/>
        <w:ind w:left="993" w:hanging="993"/>
        <w:jc w:val="both"/>
        <w:rPr>
          <w:rFonts w:ascii="Times New Roman" w:eastAsiaTheme="minorEastAsia" w:hAnsi="Times New Roman" w:cs="Times New Roman"/>
          <w:bCs/>
          <w:noProof/>
          <w:sz w:val="24"/>
          <w:szCs w:val="24"/>
          <w:lang w:val="en-US"/>
        </w:rPr>
      </w:pPr>
      <w:r w:rsidRPr="007E7CB6">
        <w:rPr>
          <w:rFonts w:ascii="Times New Roman" w:eastAsia="Times New Roman" w:hAnsi="Times New Roman" w:cs="Times New Roman"/>
          <w:bCs/>
          <w:sz w:val="24"/>
          <w:szCs w:val="24"/>
        </w:rPr>
        <w:fldChar w:fldCharType="begin"/>
      </w:r>
      <w:r w:rsidRPr="007E7CB6">
        <w:rPr>
          <w:rFonts w:ascii="Times New Roman" w:eastAsia="Times New Roman" w:hAnsi="Times New Roman" w:cs="Times New Roman"/>
          <w:bCs/>
          <w:sz w:val="24"/>
          <w:szCs w:val="24"/>
        </w:rPr>
        <w:instrText xml:space="preserve"> TOC \h \z \c "Table" </w:instrText>
      </w:r>
      <w:r w:rsidRPr="007E7CB6">
        <w:rPr>
          <w:rFonts w:ascii="Times New Roman" w:eastAsia="Times New Roman" w:hAnsi="Times New Roman" w:cs="Times New Roman"/>
          <w:bCs/>
          <w:sz w:val="24"/>
          <w:szCs w:val="24"/>
        </w:rPr>
        <w:fldChar w:fldCharType="separate"/>
      </w:r>
      <w:hyperlink w:anchor="_Toc209703359" w:history="1">
        <w:r w:rsidR="00775AE4" w:rsidRPr="007E7CB6">
          <w:rPr>
            <w:rStyle w:val="Hyperlink"/>
            <w:rFonts w:ascii="Times New Roman" w:hAnsi="Times New Roman" w:cs="Times New Roman"/>
            <w:bCs/>
            <w:noProof/>
            <w:sz w:val="24"/>
            <w:szCs w:val="24"/>
          </w:rPr>
          <w:t>Table 2.1 Indicators for the Company Performance Rating Program in Environmental Management (PROPER)</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_Toc209703359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32</w:t>
        </w:r>
        <w:r w:rsidR="00775AE4" w:rsidRPr="007E7CB6">
          <w:rPr>
            <w:rFonts w:ascii="Times New Roman" w:hAnsi="Times New Roman" w:cs="Times New Roman"/>
            <w:bCs/>
            <w:noProof/>
            <w:webHidden/>
            <w:sz w:val="24"/>
            <w:szCs w:val="24"/>
          </w:rPr>
          <w:fldChar w:fldCharType="end"/>
        </w:r>
      </w:hyperlink>
    </w:p>
    <w:p w14:paraId="2440BBB7" w14:textId="08CE94BA"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0" w:history="1">
        <w:r w:rsidR="00775AE4" w:rsidRPr="007E7CB6">
          <w:rPr>
            <w:rStyle w:val="Hyperlink"/>
            <w:rFonts w:ascii="Times New Roman" w:hAnsi="Times New Roman" w:cs="Times New Roman"/>
            <w:bCs/>
            <w:noProof/>
            <w:sz w:val="24"/>
            <w:szCs w:val="24"/>
          </w:rPr>
          <w:t>Table 2.2 Previous Research</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_Toc209703360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36</w:t>
        </w:r>
        <w:r w:rsidR="00775AE4" w:rsidRPr="007E7CB6">
          <w:rPr>
            <w:rFonts w:ascii="Times New Roman" w:hAnsi="Times New Roman" w:cs="Times New Roman"/>
            <w:bCs/>
            <w:noProof/>
            <w:webHidden/>
            <w:sz w:val="24"/>
            <w:szCs w:val="24"/>
          </w:rPr>
          <w:fldChar w:fldCharType="end"/>
        </w:r>
      </w:hyperlink>
    </w:p>
    <w:p w14:paraId="626E19F8" w14:textId="5AD19979"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1" w:history="1">
        <w:r w:rsidR="00775AE4" w:rsidRPr="007E7CB6">
          <w:rPr>
            <w:rStyle w:val="Hyperlink"/>
            <w:rFonts w:ascii="Times New Roman" w:hAnsi="Times New Roman" w:cs="Times New Roman"/>
            <w:bCs/>
            <w:noProof/>
            <w:sz w:val="24"/>
            <w:szCs w:val="24"/>
          </w:rPr>
          <w:t>Table 3.1 Carbon Emission Disclosure Items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_Toc209703361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47</w:t>
        </w:r>
        <w:r w:rsidR="00775AE4" w:rsidRPr="007E7CB6">
          <w:rPr>
            <w:rFonts w:ascii="Times New Roman" w:hAnsi="Times New Roman" w:cs="Times New Roman"/>
            <w:bCs/>
            <w:noProof/>
            <w:webHidden/>
            <w:sz w:val="24"/>
            <w:szCs w:val="24"/>
          </w:rPr>
          <w:fldChar w:fldCharType="end"/>
        </w:r>
      </w:hyperlink>
    </w:p>
    <w:p w14:paraId="34E72BAA" w14:textId="46B2800D"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2" w:history="1">
        <w:r w:rsidR="00775AE4" w:rsidRPr="007E7CB6">
          <w:rPr>
            <w:rStyle w:val="Hyperlink"/>
            <w:rFonts w:ascii="Times New Roman" w:hAnsi="Times New Roman" w:cs="Times New Roman"/>
            <w:bCs/>
            <w:noProof/>
            <w:sz w:val="24"/>
            <w:szCs w:val="24"/>
          </w:rPr>
          <w:t>Table 3.2 Green Intellectual Capital Indicator</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_Toc209703362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49</w:t>
        </w:r>
        <w:r w:rsidR="00775AE4" w:rsidRPr="007E7CB6">
          <w:rPr>
            <w:rFonts w:ascii="Times New Roman" w:hAnsi="Times New Roman" w:cs="Times New Roman"/>
            <w:bCs/>
            <w:noProof/>
            <w:webHidden/>
            <w:sz w:val="24"/>
            <w:szCs w:val="24"/>
          </w:rPr>
          <w:fldChar w:fldCharType="end"/>
        </w:r>
      </w:hyperlink>
    </w:p>
    <w:p w14:paraId="2382FA2B" w14:textId="6C8DC0B0" w:rsidR="00775AE4" w:rsidRPr="007E7CB6" w:rsidRDefault="00000000" w:rsidP="00775AE4">
      <w:pPr>
        <w:pStyle w:val="TableofFigures"/>
        <w:tabs>
          <w:tab w:val="right" w:leader="dot" w:pos="7927"/>
        </w:tabs>
        <w:spacing w:line="360" w:lineRule="auto"/>
        <w:ind w:left="993" w:hanging="993"/>
        <w:jc w:val="both"/>
        <w:rPr>
          <w:rFonts w:ascii="Times New Roman" w:eastAsiaTheme="minorEastAsia" w:hAnsi="Times New Roman" w:cs="Times New Roman"/>
          <w:bCs/>
          <w:noProof/>
          <w:sz w:val="24"/>
          <w:szCs w:val="24"/>
          <w:lang w:val="en-US"/>
        </w:rPr>
      </w:pPr>
      <w:hyperlink w:anchor="_Toc209703363" w:history="1">
        <w:r w:rsidR="00775AE4" w:rsidRPr="007E7CB6">
          <w:rPr>
            <w:rStyle w:val="Hyperlink"/>
            <w:rFonts w:ascii="Times New Roman" w:hAnsi="Times New Roman" w:cs="Times New Roman"/>
            <w:bCs/>
            <w:noProof/>
            <w:sz w:val="24"/>
            <w:szCs w:val="24"/>
          </w:rPr>
          <w:t xml:space="preserve">Table 3.3 Detailed mapping of WRI’S energy sector categories to relevant </w:t>
        </w:r>
        <w:r w:rsidR="004E5C8A">
          <w:rPr>
            <w:rStyle w:val="Hyperlink"/>
            <w:rFonts w:ascii="Times New Roman" w:hAnsi="Times New Roman" w:cs="Times New Roman"/>
            <w:bCs/>
            <w:noProof/>
            <w:sz w:val="24"/>
            <w:szCs w:val="24"/>
          </w:rPr>
          <w:t>IDX</w:t>
        </w:r>
        <w:r w:rsidR="00775AE4" w:rsidRPr="007E7CB6">
          <w:rPr>
            <w:rStyle w:val="Hyperlink"/>
            <w:rFonts w:ascii="Times New Roman" w:hAnsi="Times New Roman" w:cs="Times New Roman"/>
            <w:bCs/>
            <w:noProof/>
            <w:sz w:val="24"/>
            <w:szCs w:val="24"/>
          </w:rPr>
          <w:t xml:space="preserve"> sectors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_Toc209703363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51</w:t>
        </w:r>
        <w:r w:rsidR="00775AE4" w:rsidRPr="007E7CB6">
          <w:rPr>
            <w:rFonts w:ascii="Times New Roman" w:hAnsi="Times New Roman" w:cs="Times New Roman"/>
            <w:bCs/>
            <w:noProof/>
            <w:webHidden/>
            <w:sz w:val="24"/>
            <w:szCs w:val="24"/>
          </w:rPr>
          <w:fldChar w:fldCharType="end"/>
        </w:r>
      </w:hyperlink>
    </w:p>
    <w:p w14:paraId="72C3FC30" w14:textId="722D5C83"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4" w:history="1">
        <w:r w:rsidR="00775AE4" w:rsidRPr="007E7CB6">
          <w:rPr>
            <w:rStyle w:val="Hyperlink"/>
            <w:rFonts w:ascii="Times New Roman" w:hAnsi="Times New Roman" w:cs="Times New Roman"/>
            <w:bCs/>
            <w:noProof/>
            <w:sz w:val="24"/>
            <w:szCs w:val="24"/>
          </w:rPr>
          <w:t>Table 3.4 Alignment between the IDX sector and the WRI energy sector</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_Toc209703364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52</w:t>
        </w:r>
        <w:r w:rsidR="00775AE4" w:rsidRPr="007E7CB6">
          <w:rPr>
            <w:rFonts w:ascii="Times New Roman" w:hAnsi="Times New Roman" w:cs="Times New Roman"/>
            <w:bCs/>
            <w:noProof/>
            <w:webHidden/>
            <w:sz w:val="24"/>
            <w:szCs w:val="24"/>
          </w:rPr>
          <w:fldChar w:fldCharType="end"/>
        </w:r>
      </w:hyperlink>
    </w:p>
    <w:p w14:paraId="63AEC2F5" w14:textId="13DC9D6D"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5" w:history="1">
        <w:r w:rsidR="00775AE4" w:rsidRPr="007E7CB6">
          <w:rPr>
            <w:rStyle w:val="Hyperlink"/>
            <w:rFonts w:ascii="Times New Roman" w:hAnsi="Times New Roman" w:cs="Times New Roman"/>
            <w:bCs/>
            <w:noProof/>
            <w:sz w:val="24"/>
            <w:szCs w:val="24"/>
          </w:rPr>
          <w:t>Table 3.5 Number of Research Samples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_Toc209703365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53</w:t>
        </w:r>
        <w:r w:rsidR="00775AE4" w:rsidRPr="007E7CB6">
          <w:rPr>
            <w:rFonts w:ascii="Times New Roman" w:hAnsi="Times New Roman" w:cs="Times New Roman"/>
            <w:bCs/>
            <w:noProof/>
            <w:webHidden/>
            <w:sz w:val="24"/>
            <w:szCs w:val="24"/>
          </w:rPr>
          <w:fldChar w:fldCharType="end"/>
        </w:r>
      </w:hyperlink>
    </w:p>
    <w:p w14:paraId="427A2538" w14:textId="5F545199"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6" w:history="1">
        <w:r w:rsidR="00775AE4" w:rsidRPr="007E7CB6">
          <w:rPr>
            <w:rStyle w:val="Hyperlink"/>
            <w:rFonts w:ascii="Times New Roman" w:hAnsi="Times New Roman" w:cs="Times New Roman"/>
            <w:bCs/>
            <w:noProof/>
            <w:sz w:val="24"/>
            <w:szCs w:val="24"/>
          </w:rPr>
          <w:t>Table 4.1 List of Research Objects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_Toc209703366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62</w:t>
        </w:r>
        <w:r w:rsidR="00775AE4" w:rsidRPr="007E7CB6">
          <w:rPr>
            <w:rFonts w:ascii="Times New Roman" w:hAnsi="Times New Roman" w:cs="Times New Roman"/>
            <w:bCs/>
            <w:noProof/>
            <w:webHidden/>
            <w:sz w:val="24"/>
            <w:szCs w:val="24"/>
          </w:rPr>
          <w:fldChar w:fldCharType="end"/>
        </w:r>
      </w:hyperlink>
    </w:p>
    <w:p w14:paraId="62F2A49E" w14:textId="51A0A2A2"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7" w:history="1">
        <w:r w:rsidR="00775AE4" w:rsidRPr="007E7CB6">
          <w:rPr>
            <w:rStyle w:val="Hyperlink"/>
            <w:rFonts w:ascii="Times New Roman" w:hAnsi="Times New Roman" w:cs="Times New Roman"/>
            <w:bCs/>
            <w:noProof/>
            <w:sz w:val="24"/>
            <w:szCs w:val="24"/>
          </w:rPr>
          <w:t>Table 4.2 Descriptive Statistical Analysis Result</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_Toc209703367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63</w:t>
        </w:r>
        <w:r w:rsidR="00775AE4" w:rsidRPr="007E7CB6">
          <w:rPr>
            <w:rFonts w:ascii="Times New Roman" w:hAnsi="Times New Roman" w:cs="Times New Roman"/>
            <w:bCs/>
            <w:noProof/>
            <w:webHidden/>
            <w:sz w:val="24"/>
            <w:szCs w:val="24"/>
          </w:rPr>
          <w:fldChar w:fldCharType="end"/>
        </w:r>
      </w:hyperlink>
    </w:p>
    <w:p w14:paraId="11A221FC" w14:textId="0A1CA772"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8" w:history="1">
        <w:r w:rsidR="00775AE4" w:rsidRPr="007E7CB6">
          <w:rPr>
            <w:rStyle w:val="Hyperlink"/>
            <w:rFonts w:ascii="Times New Roman" w:hAnsi="Times New Roman" w:cs="Times New Roman"/>
            <w:bCs/>
            <w:noProof/>
            <w:sz w:val="24"/>
            <w:szCs w:val="24"/>
          </w:rPr>
          <w:t>Table 4.3 Normality Test Results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_Toc209703368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65</w:t>
        </w:r>
        <w:r w:rsidR="00775AE4" w:rsidRPr="007E7CB6">
          <w:rPr>
            <w:rFonts w:ascii="Times New Roman" w:hAnsi="Times New Roman" w:cs="Times New Roman"/>
            <w:bCs/>
            <w:noProof/>
            <w:webHidden/>
            <w:sz w:val="24"/>
            <w:szCs w:val="24"/>
          </w:rPr>
          <w:fldChar w:fldCharType="end"/>
        </w:r>
      </w:hyperlink>
    </w:p>
    <w:p w14:paraId="13FE7932" w14:textId="133E0F33"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69" w:history="1">
        <w:r w:rsidR="00775AE4" w:rsidRPr="007E7CB6">
          <w:rPr>
            <w:rStyle w:val="Hyperlink"/>
            <w:rFonts w:ascii="Times New Roman" w:hAnsi="Times New Roman" w:cs="Times New Roman"/>
            <w:bCs/>
            <w:noProof/>
            <w:sz w:val="24"/>
            <w:szCs w:val="24"/>
          </w:rPr>
          <w:t>Table 4.4 Multicollinearity Test Results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_Toc209703369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68</w:t>
        </w:r>
        <w:r w:rsidR="00775AE4" w:rsidRPr="007E7CB6">
          <w:rPr>
            <w:rFonts w:ascii="Times New Roman" w:hAnsi="Times New Roman" w:cs="Times New Roman"/>
            <w:bCs/>
            <w:noProof/>
            <w:webHidden/>
            <w:sz w:val="24"/>
            <w:szCs w:val="24"/>
          </w:rPr>
          <w:fldChar w:fldCharType="end"/>
        </w:r>
      </w:hyperlink>
    </w:p>
    <w:p w14:paraId="247C32EE" w14:textId="1502CEE4"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0" w:history="1">
        <w:r w:rsidR="00775AE4" w:rsidRPr="007E7CB6">
          <w:rPr>
            <w:rStyle w:val="Hyperlink"/>
            <w:rFonts w:ascii="Times New Roman" w:hAnsi="Times New Roman" w:cs="Times New Roman"/>
            <w:bCs/>
            <w:noProof/>
            <w:sz w:val="24"/>
            <w:szCs w:val="24"/>
          </w:rPr>
          <w:t>Table 4.5 Autocorrelation Test Results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_Toc209703370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70</w:t>
        </w:r>
        <w:r w:rsidR="00775AE4" w:rsidRPr="007E7CB6">
          <w:rPr>
            <w:rFonts w:ascii="Times New Roman" w:hAnsi="Times New Roman" w:cs="Times New Roman"/>
            <w:bCs/>
            <w:noProof/>
            <w:webHidden/>
            <w:sz w:val="24"/>
            <w:szCs w:val="24"/>
          </w:rPr>
          <w:fldChar w:fldCharType="end"/>
        </w:r>
      </w:hyperlink>
    </w:p>
    <w:p w14:paraId="4BBA9E0A" w14:textId="34A1B765"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1" w:history="1">
        <w:r w:rsidR="00775AE4" w:rsidRPr="007E7CB6">
          <w:rPr>
            <w:rStyle w:val="Hyperlink"/>
            <w:rFonts w:ascii="Times New Roman" w:hAnsi="Times New Roman" w:cs="Times New Roman"/>
            <w:bCs/>
            <w:noProof/>
            <w:sz w:val="24"/>
            <w:szCs w:val="24"/>
          </w:rPr>
          <w:t>Table 4.6 F Test Results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_Toc209703371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71</w:t>
        </w:r>
        <w:r w:rsidR="00775AE4" w:rsidRPr="007E7CB6">
          <w:rPr>
            <w:rFonts w:ascii="Times New Roman" w:hAnsi="Times New Roman" w:cs="Times New Roman"/>
            <w:bCs/>
            <w:noProof/>
            <w:webHidden/>
            <w:sz w:val="24"/>
            <w:szCs w:val="24"/>
          </w:rPr>
          <w:fldChar w:fldCharType="end"/>
        </w:r>
      </w:hyperlink>
    </w:p>
    <w:p w14:paraId="514DCDB5" w14:textId="5AEA1809"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2" w:history="1">
        <w:r w:rsidR="00775AE4" w:rsidRPr="007E7CB6">
          <w:rPr>
            <w:rStyle w:val="Hyperlink"/>
            <w:rFonts w:ascii="Times New Roman" w:hAnsi="Times New Roman" w:cs="Times New Roman"/>
            <w:bCs/>
            <w:noProof/>
            <w:sz w:val="24"/>
            <w:szCs w:val="24"/>
          </w:rPr>
          <w:t xml:space="preserve">Table 4.7 Coefficient of Determination Test </w:t>
        </w:r>
        <w:r w:rsidR="00775AE4" w:rsidRPr="007E7CB6">
          <w:rPr>
            <w:rStyle w:val="Hyperlink"/>
            <w:rFonts w:ascii="Times New Roman" w:eastAsia="Times New Roman" w:hAnsi="Times New Roman" w:cs="Times New Roman"/>
            <w:bCs/>
            <w:noProof/>
            <w:sz w:val="24"/>
            <w:szCs w:val="24"/>
          </w:rPr>
          <w:t>(R²)</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_Toc209703372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72</w:t>
        </w:r>
        <w:r w:rsidR="00775AE4" w:rsidRPr="007E7CB6">
          <w:rPr>
            <w:rFonts w:ascii="Times New Roman" w:hAnsi="Times New Roman" w:cs="Times New Roman"/>
            <w:bCs/>
            <w:noProof/>
            <w:webHidden/>
            <w:sz w:val="24"/>
            <w:szCs w:val="24"/>
          </w:rPr>
          <w:fldChar w:fldCharType="end"/>
        </w:r>
      </w:hyperlink>
    </w:p>
    <w:p w14:paraId="30D97E0F" w14:textId="29CEB1A5"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3" w:history="1">
        <w:r w:rsidR="00775AE4" w:rsidRPr="007E7CB6">
          <w:rPr>
            <w:rStyle w:val="Hyperlink"/>
            <w:rFonts w:ascii="Times New Roman" w:hAnsi="Times New Roman" w:cs="Times New Roman"/>
            <w:bCs/>
            <w:noProof/>
            <w:sz w:val="24"/>
            <w:szCs w:val="24"/>
          </w:rPr>
          <w:t>Table 4.8 Multiple Linear Regression Analysis</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_Toc209703373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73</w:t>
        </w:r>
        <w:r w:rsidR="00775AE4" w:rsidRPr="007E7CB6">
          <w:rPr>
            <w:rFonts w:ascii="Times New Roman" w:hAnsi="Times New Roman" w:cs="Times New Roman"/>
            <w:bCs/>
            <w:noProof/>
            <w:webHidden/>
            <w:sz w:val="24"/>
            <w:szCs w:val="24"/>
          </w:rPr>
          <w:fldChar w:fldCharType="end"/>
        </w:r>
      </w:hyperlink>
    </w:p>
    <w:p w14:paraId="22C5CF1B" w14:textId="04E15E1E"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4" w:history="1">
        <w:r w:rsidR="00775AE4" w:rsidRPr="007E7CB6">
          <w:rPr>
            <w:rStyle w:val="Hyperlink"/>
            <w:rFonts w:ascii="Times New Roman" w:hAnsi="Times New Roman" w:cs="Times New Roman"/>
            <w:bCs/>
            <w:noProof/>
            <w:sz w:val="24"/>
            <w:szCs w:val="24"/>
          </w:rPr>
          <w:t>Table 4.9 Hypothesis Test Model 1</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_Toc209703374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75</w:t>
        </w:r>
        <w:r w:rsidR="00775AE4" w:rsidRPr="007E7CB6">
          <w:rPr>
            <w:rFonts w:ascii="Times New Roman" w:hAnsi="Times New Roman" w:cs="Times New Roman"/>
            <w:bCs/>
            <w:noProof/>
            <w:webHidden/>
            <w:sz w:val="24"/>
            <w:szCs w:val="24"/>
          </w:rPr>
          <w:fldChar w:fldCharType="end"/>
        </w:r>
      </w:hyperlink>
    </w:p>
    <w:p w14:paraId="19A7077E" w14:textId="5991D05A"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bCs/>
          <w:noProof/>
          <w:sz w:val="24"/>
          <w:szCs w:val="24"/>
          <w:lang w:val="en-US"/>
        </w:rPr>
      </w:pPr>
      <w:hyperlink w:anchor="_Toc209703375" w:history="1">
        <w:r w:rsidR="00775AE4" w:rsidRPr="007E7CB6">
          <w:rPr>
            <w:rStyle w:val="Hyperlink"/>
            <w:rFonts w:ascii="Times New Roman" w:hAnsi="Times New Roman" w:cs="Times New Roman"/>
            <w:bCs/>
            <w:noProof/>
            <w:sz w:val="24"/>
            <w:szCs w:val="24"/>
          </w:rPr>
          <w:t>Table 4.10 Hypothesis Test Model 2</w:t>
        </w:r>
        <w:r w:rsidR="00775AE4" w:rsidRPr="007E7CB6">
          <w:rPr>
            <w:rFonts w:ascii="Times New Roman" w:hAnsi="Times New Roman" w:cs="Times New Roman"/>
            <w:bCs/>
            <w:noProof/>
            <w:webHidden/>
            <w:sz w:val="24"/>
            <w:szCs w:val="24"/>
          </w:rPr>
          <w:tab/>
        </w:r>
        <w:r w:rsidR="00775AE4" w:rsidRPr="007E7CB6">
          <w:rPr>
            <w:rFonts w:ascii="Times New Roman" w:hAnsi="Times New Roman" w:cs="Times New Roman"/>
            <w:bCs/>
            <w:noProof/>
            <w:webHidden/>
            <w:sz w:val="24"/>
            <w:szCs w:val="24"/>
          </w:rPr>
          <w:fldChar w:fldCharType="begin"/>
        </w:r>
        <w:r w:rsidR="00775AE4" w:rsidRPr="007E7CB6">
          <w:rPr>
            <w:rFonts w:ascii="Times New Roman" w:hAnsi="Times New Roman" w:cs="Times New Roman"/>
            <w:bCs/>
            <w:noProof/>
            <w:webHidden/>
            <w:sz w:val="24"/>
            <w:szCs w:val="24"/>
          </w:rPr>
          <w:instrText xml:space="preserve"> PAGEREF _Toc209703375 \h </w:instrText>
        </w:r>
        <w:r w:rsidR="00775AE4" w:rsidRPr="007E7CB6">
          <w:rPr>
            <w:rFonts w:ascii="Times New Roman" w:hAnsi="Times New Roman" w:cs="Times New Roman"/>
            <w:bCs/>
            <w:noProof/>
            <w:webHidden/>
            <w:sz w:val="24"/>
            <w:szCs w:val="24"/>
          </w:rPr>
        </w:r>
        <w:r w:rsidR="00775AE4" w:rsidRPr="007E7CB6">
          <w:rPr>
            <w:rFonts w:ascii="Times New Roman" w:hAnsi="Times New Roman" w:cs="Times New Roman"/>
            <w:bCs/>
            <w:noProof/>
            <w:webHidden/>
            <w:sz w:val="24"/>
            <w:szCs w:val="24"/>
          </w:rPr>
          <w:fldChar w:fldCharType="separate"/>
        </w:r>
        <w:r w:rsidR="00FD5B7D">
          <w:rPr>
            <w:rFonts w:ascii="Times New Roman" w:hAnsi="Times New Roman" w:cs="Times New Roman"/>
            <w:bCs/>
            <w:noProof/>
            <w:webHidden/>
            <w:sz w:val="24"/>
            <w:szCs w:val="24"/>
          </w:rPr>
          <w:t>77</w:t>
        </w:r>
        <w:r w:rsidR="00775AE4" w:rsidRPr="007E7CB6">
          <w:rPr>
            <w:rFonts w:ascii="Times New Roman" w:hAnsi="Times New Roman" w:cs="Times New Roman"/>
            <w:bCs/>
            <w:noProof/>
            <w:webHidden/>
            <w:sz w:val="24"/>
            <w:szCs w:val="24"/>
          </w:rPr>
          <w:fldChar w:fldCharType="end"/>
        </w:r>
      </w:hyperlink>
    </w:p>
    <w:p w14:paraId="3CEDD7D9" w14:textId="37D72798" w:rsidR="00153781" w:rsidRPr="007E7CB6" w:rsidRDefault="00DB71A5" w:rsidP="00775AE4">
      <w:pPr>
        <w:spacing w:line="360" w:lineRule="auto"/>
        <w:jc w:val="both"/>
        <w:rPr>
          <w:rFonts w:ascii="Times New Roman" w:eastAsia="Times New Roman" w:hAnsi="Times New Roman" w:cs="Times New Roman"/>
          <w:bCs/>
          <w:sz w:val="24"/>
          <w:szCs w:val="24"/>
        </w:rPr>
      </w:pPr>
      <w:r w:rsidRPr="007E7CB6">
        <w:rPr>
          <w:rFonts w:ascii="Times New Roman" w:eastAsia="Times New Roman" w:hAnsi="Times New Roman" w:cs="Times New Roman"/>
          <w:bCs/>
          <w:sz w:val="24"/>
          <w:szCs w:val="24"/>
        </w:rPr>
        <w:fldChar w:fldCharType="end"/>
      </w:r>
    </w:p>
    <w:p w14:paraId="0B7E61B3" w14:textId="77777777" w:rsidR="00153781" w:rsidRPr="007E7CB6" w:rsidRDefault="00153781" w:rsidP="00D324E7">
      <w:pPr>
        <w:rPr>
          <w:rFonts w:ascii="Times New Roman" w:eastAsia="Times New Roman" w:hAnsi="Times New Roman" w:cs="Times New Roman"/>
          <w:b/>
          <w:sz w:val="24"/>
          <w:szCs w:val="24"/>
        </w:rPr>
      </w:pPr>
    </w:p>
    <w:p w14:paraId="0A76B68B" w14:textId="77777777" w:rsidR="00153781" w:rsidRPr="007E7CB6" w:rsidRDefault="00153781">
      <w:pPr>
        <w:jc w:val="center"/>
        <w:rPr>
          <w:rFonts w:ascii="Times New Roman" w:eastAsia="Times New Roman" w:hAnsi="Times New Roman" w:cs="Times New Roman"/>
          <w:b/>
          <w:sz w:val="24"/>
          <w:szCs w:val="24"/>
        </w:rPr>
      </w:pPr>
    </w:p>
    <w:p w14:paraId="0745B3EA" w14:textId="77777777" w:rsidR="00153781" w:rsidRPr="007E7CB6" w:rsidRDefault="00153781">
      <w:pPr>
        <w:jc w:val="center"/>
        <w:rPr>
          <w:rFonts w:ascii="Times New Roman" w:eastAsia="Times New Roman" w:hAnsi="Times New Roman" w:cs="Times New Roman"/>
          <w:b/>
          <w:sz w:val="24"/>
          <w:szCs w:val="24"/>
        </w:rPr>
      </w:pPr>
    </w:p>
    <w:p w14:paraId="1813BB14" w14:textId="77777777" w:rsidR="00153781" w:rsidRPr="007E7CB6" w:rsidRDefault="00153781">
      <w:pPr>
        <w:jc w:val="center"/>
        <w:rPr>
          <w:rFonts w:ascii="Times New Roman" w:eastAsia="Times New Roman" w:hAnsi="Times New Roman" w:cs="Times New Roman"/>
          <w:b/>
          <w:sz w:val="24"/>
          <w:szCs w:val="24"/>
        </w:rPr>
      </w:pPr>
    </w:p>
    <w:p w14:paraId="47FCA20A" w14:textId="77777777" w:rsidR="00153781" w:rsidRPr="007E7CB6" w:rsidRDefault="00153781">
      <w:pPr>
        <w:jc w:val="center"/>
        <w:rPr>
          <w:rFonts w:ascii="Times New Roman" w:eastAsia="Times New Roman" w:hAnsi="Times New Roman" w:cs="Times New Roman"/>
          <w:b/>
          <w:sz w:val="24"/>
          <w:szCs w:val="24"/>
        </w:rPr>
      </w:pPr>
    </w:p>
    <w:p w14:paraId="41E1472E" w14:textId="77777777" w:rsidR="00153781" w:rsidRPr="007E7CB6" w:rsidRDefault="00153781">
      <w:pPr>
        <w:jc w:val="center"/>
        <w:rPr>
          <w:rFonts w:ascii="Times New Roman" w:eastAsia="Times New Roman" w:hAnsi="Times New Roman" w:cs="Times New Roman"/>
          <w:b/>
          <w:sz w:val="24"/>
          <w:szCs w:val="24"/>
        </w:rPr>
      </w:pPr>
    </w:p>
    <w:p w14:paraId="7A74789D" w14:textId="77777777" w:rsidR="00153781" w:rsidRPr="007E7CB6" w:rsidRDefault="00153781">
      <w:pPr>
        <w:jc w:val="center"/>
        <w:rPr>
          <w:rFonts w:ascii="Times New Roman" w:eastAsia="Times New Roman" w:hAnsi="Times New Roman" w:cs="Times New Roman"/>
          <w:b/>
          <w:sz w:val="24"/>
          <w:szCs w:val="24"/>
        </w:rPr>
      </w:pPr>
    </w:p>
    <w:p w14:paraId="6144151F" w14:textId="77777777" w:rsidR="00153781" w:rsidRPr="007E7CB6" w:rsidRDefault="00153781">
      <w:pPr>
        <w:jc w:val="center"/>
        <w:rPr>
          <w:rFonts w:ascii="Times New Roman" w:eastAsia="Times New Roman" w:hAnsi="Times New Roman" w:cs="Times New Roman"/>
          <w:b/>
          <w:sz w:val="24"/>
          <w:szCs w:val="24"/>
        </w:rPr>
      </w:pPr>
    </w:p>
    <w:p w14:paraId="0BEB2A4B" w14:textId="77777777" w:rsidR="00153781" w:rsidRPr="007E7CB6" w:rsidRDefault="00153781">
      <w:pPr>
        <w:jc w:val="center"/>
        <w:rPr>
          <w:rFonts w:ascii="Times New Roman" w:eastAsia="Times New Roman" w:hAnsi="Times New Roman" w:cs="Times New Roman"/>
          <w:b/>
          <w:sz w:val="24"/>
          <w:szCs w:val="24"/>
        </w:rPr>
      </w:pPr>
    </w:p>
    <w:p w14:paraId="57C24587" w14:textId="77777777" w:rsidR="00153781" w:rsidRPr="007E7CB6" w:rsidRDefault="00153781">
      <w:pPr>
        <w:jc w:val="center"/>
        <w:rPr>
          <w:rFonts w:ascii="Times New Roman" w:eastAsia="Times New Roman" w:hAnsi="Times New Roman" w:cs="Times New Roman"/>
          <w:b/>
          <w:sz w:val="24"/>
          <w:szCs w:val="24"/>
        </w:rPr>
      </w:pPr>
    </w:p>
    <w:p w14:paraId="719D0917" w14:textId="77777777" w:rsidR="00153781" w:rsidRPr="007E7CB6" w:rsidRDefault="00153781" w:rsidP="00775AE4">
      <w:pPr>
        <w:rPr>
          <w:rFonts w:ascii="Times New Roman" w:eastAsia="Times New Roman" w:hAnsi="Times New Roman" w:cs="Times New Roman"/>
          <w:b/>
          <w:sz w:val="24"/>
          <w:szCs w:val="24"/>
        </w:rPr>
      </w:pPr>
    </w:p>
    <w:p w14:paraId="30729B63" w14:textId="77777777" w:rsidR="00153781" w:rsidRPr="007E7CB6" w:rsidRDefault="00153781">
      <w:pPr>
        <w:jc w:val="center"/>
        <w:rPr>
          <w:rFonts w:ascii="Times New Roman" w:eastAsia="Times New Roman" w:hAnsi="Times New Roman" w:cs="Times New Roman"/>
          <w:b/>
          <w:sz w:val="24"/>
          <w:szCs w:val="24"/>
        </w:rPr>
        <w:sectPr w:rsidR="00153781" w:rsidRPr="007E7CB6" w:rsidSect="00B023B1">
          <w:headerReference w:type="default" r:id="rId20"/>
          <w:footerReference w:type="default" r:id="rId21"/>
          <w:headerReference w:type="first" r:id="rId22"/>
          <w:footerReference w:type="first" r:id="rId23"/>
          <w:pgSz w:w="11906" w:h="16838"/>
          <w:pgMar w:top="2268" w:right="1701" w:bottom="1701" w:left="2268" w:header="720" w:footer="737" w:gutter="0"/>
          <w:pgNumType w:fmt="lowerRoman"/>
          <w:cols w:space="720"/>
          <w:titlePg/>
        </w:sectPr>
      </w:pPr>
    </w:p>
    <w:p w14:paraId="587324B3" w14:textId="63E46587" w:rsidR="00D324E7" w:rsidRPr="007E7CB6" w:rsidRDefault="00D324E7">
      <w:pPr>
        <w:pStyle w:val="Heading1"/>
        <w:spacing w:before="0" w:after="0" w:line="480" w:lineRule="auto"/>
        <w:jc w:val="center"/>
        <w:rPr>
          <w:rFonts w:ascii="Times New Roman" w:eastAsia="Times New Roman" w:hAnsi="Times New Roman" w:cs="Times New Roman"/>
          <w:b/>
          <w:bCs/>
          <w:sz w:val="28"/>
          <w:szCs w:val="28"/>
        </w:rPr>
      </w:pPr>
      <w:bookmarkStart w:id="6" w:name="_Toc210744205"/>
      <w:r w:rsidRPr="007E7CB6">
        <w:rPr>
          <w:rFonts w:ascii="Times New Roman" w:eastAsia="Times New Roman" w:hAnsi="Times New Roman" w:cs="Times New Roman"/>
          <w:b/>
          <w:sz w:val="24"/>
          <w:szCs w:val="24"/>
        </w:rPr>
        <w:lastRenderedPageBreak/>
        <w:t>LIST OF FIGURES</w:t>
      </w:r>
      <w:bookmarkEnd w:id="6"/>
    </w:p>
    <w:p w14:paraId="4C17D504" w14:textId="5798E044" w:rsidR="00D324E7" w:rsidRPr="007E7CB6" w:rsidRDefault="00D324E7" w:rsidP="00D324E7">
      <w:pPr>
        <w:jc w:val="right"/>
        <w:rPr>
          <w:rFonts w:ascii="Times New Roman" w:hAnsi="Times New Roman" w:cs="Times New Roman"/>
          <w:b/>
          <w:bCs/>
          <w:sz w:val="24"/>
          <w:szCs w:val="24"/>
        </w:rPr>
      </w:pPr>
      <w:r w:rsidRPr="007E7CB6">
        <w:rPr>
          <w:rFonts w:ascii="Times New Roman" w:hAnsi="Times New Roman" w:cs="Times New Roman"/>
          <w:b/>
          <w:bCs/>
          <w:sz w:val="24"/>
          <w:szCs w:val="24"/>
        </w:rPr>
        <w:t>Pages</w:t>
      </w:r>
    </w:p>
    <w:p w14:paraId="614F398E" w14:textId="09CA41AF" w:rsidR="00775AE4" w:rsidRPr="007E7CB6" w:rsidRDefault="00DB71A5"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r w:rsidRPr="007E7CB6">
        <w:rPr>
          <w:rFonts w:ascii="Times New Roman" w:hAnsi="Times New Roman" w:cs="Times New Roman"/>
          <w:sz w:val="24"/>
          <w:szCs w:val="24"/>
        </w:rPr>
        <w:fldChar w:fldCharType="begin"/>
      </w:r>
      <w:r w:rsidRPr="007E7CB6">
        <w:rPr>
          <w:rFonts w:ascii="Times New Roman" w:hAnsi="Times New Roman" w:cs="Times New Roman"/>
          <w:sz w:val="24"/>
          <w:szCs w:val="24"/>
        </w:rPr>
        <w:instrText xml:space="preserve"> TOC \h \z \c "Figure" </w:instrText>
      </w:r>
      <w:r w:rsidRPr="007E7CB6">
        <w:rPr>
          <w:rFonts w:ascii="Times New Roman" w:hAnsi="Times New Roman" w:cs="Times New Roman"/>
          <w:sz w:val="24"/>
          <w:szCs w:val="24"/>
        </w:rPr>
        <w:fldChar w:fldCharType="separate"/>
      </w:r>
      <w:hyperlink r:id="rId24" w:anchor="_Toc209703561" w:history="1">
        <w:r w:rsidR="00775AE4" w:rsidRPr="007E7CB6">
          <w:rPr>
            <w:rStyle w:val="Hyperlink"/>
            <w:rFonts w:ascii="Times New Roman" w:hAnsi="Times New Roman" w:cs="Times New Roman"/>
            <w:noProof/>
            <w:sz w:val="24"/>
            <w:szCs w:val="24"/>
          </w:rPr>
          <w:t>Figure 1.1 Graph of Carbon Emissions Increase in Indonesia</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_Toc209703561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16</w:t>
        </w:r>
        <w:r w:rsidR="00775AE4" w:rsidRPr="007E7CB6">
          <w:rPr>
            <w:rFonts w:ascii="Times New Roman" w:hAnsi="Times New Roman" w:cs="Times New Roman"/>
            <w:noProof/>
            <w:webHidden/>
            <w:sz w:val="24"/>
            <w:szCs w:val="24"/>
          </w:rPr>
          <w:fldChar w:fldCharType="end"/>
        </w:r>
      </w:hyperlink>
    </w:p>
    <w:p w14:paraId="375FF226" w14:textId="3DFD3F7C"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25" w:anchor="_Toc209703562" w:history="1">
        <w:r w:rsidR="00775AE4" w:rsidRPr="007E7CB6">
          <w:rPr>
            <w:rStyle w:val="Hyperlink"/>
            <w:rFonts w:ascii="Times New Roman" w:hAnsi="Times New Roman" w:cs="Times New Roman"/>
            <w:noProof/>
            <w:sz w:val="24"/>
            <w:szCs w:val="24"/>
          </w:rPr>
          <w:t>Figure 1.2 Carbon Emissions by Sector</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_Toc209703562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23</w:t>
        </w:r>
        <w:r w:rsidR="00775AE4" w:rsidRPr="007E7CB6">
          <w:rPr>
            <w:rFonts w:ascii="Times New Roman" w:hAnsi="Times New Roman" w:cs="Times New Roman"/>
            <w:noProof/>
            <w:webHidden/>
            <w:sz w:val="24"/>
            <w:szCs w:val="24"/>
          </w:rPr>
          <w:fldChar w:fldCharType="end"/>
        </w:r>
      </w:hyperlink>
    </w:p>
    <w:p w14:paraId="76D9756A" w14:textId="434A4E84"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26" w:anchor="_Toc209703563" w:history="1">
        <w:r w:rsidR="00775AE4" w:rsidRPr="007E7CB6">
          <w:rPr>
            <w:rStyle w:val="Hyperlink"/>
            <w:rFonts w:ascii="Times New Roman" w:hAnsi="Times New Roman" w:cs="Times New Roman"/>
            <w:noProof/>
            <w:sz w:val="24"/>
            <w:szCs w:val="24"/>
          </w:rPr>
          <w:t>Figure 2.1 Conceptual Framework</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_Toc209703563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39</w:t>
        </w:r>
        <w:r w:rsidR="00775AE4" w:rsidRPr="007E7CB6">
          <w:rPr>
            <w:rFonts w:ascii="Times New Roman" w:hAnsi="Times New Roman" w:cs="Times New Roman"/>
            <w:noProof/>
            <w:webHidden/>
            <w:sz w:val="24"/>
            <w:szCs w:val="24"/>
          </w:rPr>
          <w:fldChar w:fldCharType="end"/>
        </w:r>
      </w:hyperlink>
    </w:p>
    <w:p w14:paraId="0F7A6D01" w14:textId="33629B31"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27" w:anchor="_Toc209703564" w:history="1">
        <w:r w:rsidR="00775AE4" w:rsidRPr="007E7CB6">
          <w:rPr>
            <w:rStyle w:val="Hyperlink"/>
            <w:rFonts w:ascii="Times New Roman" w:hAnsi="Times New Roman" w:cs="Times New Roman"/>
            <w:noProof/>
            <w:sz w:val="24"/>
            <w:szCs w:val="24"/>
          </w:rPr>
          <w:t>Figure 2.2 Research Model</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_Toc209703564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45</w:t>
        </w:r>
        <w:r w:rsidR="00775AE4" w:rsidRPr="007E7CB6">
          <w:rPr>
            <w:rFonts w:ascii="Times New Roman" w:hAnsi="Times New Roman" w:cs="Times New Roman"/>
            <w:noProof/>
            <w:webHidden/>
            <w:sz w:val="24"/>
            <w:szCs w:val="24"/>
          </w:rPr>
          <w:fldChar w:fldCharType="end"/>
        </w:r>
      </w:hyperlink>
    </w:p>
    <w:p w14:paraId="66B47ED3" w14:textId="38F27864"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28" w:anchor="_Toc209703565" w:history="1">
        <w:r w:rsidR="00775AE4" w:rsidRPr="007E7CB6">
          <w:rPr>
            <w:rStyle w:val="Hyperlink"/>
            <w:rFonts w:ascii="Times New Roman" w:hAnsi="Times New Roman" w:cs="Times New Roman"/>
            <w:noProof/>
            <w:sz w:val="24"/>
            <w:szCs w:val="24"/>
          </w:rPr>
          <w:t>Figure 4.1 Histogram Graph</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_Toc209703565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66</w:t>
        </w:r>
        <w:r w:rsidR="00775AE4" w:rsidRPr="007E7CB6">
          <w:rPr>
            <w:rFonts w:ascii="Times New Roman" w:hAnsi="Times New Roman" w:cs="Times New Roman"/>
            <w:noProof/>
            <w:webHidden/>
            <w:sz w:val="24"/>
            <w:szCs w:val="24"/>
          </w:rPr>
          <w:fldChar w:fldCharType="end"/>
        </w:r>
      </w:hyperlink>
    </w:p>
    <w:p w14:paraId="35725F16" w14:textId="564580CB"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29" w:anchor="_Toc209703566" w:history="1">
        <w:r w:rsidR="00775AE4" w:rsidRPr="007E7CB6">
          <w:rPr>
            <w:rStyle w:val="Hyperlink"/>
            <w:rFonts w:ascii="Times New Roman" w:hAnsi="Times New Roman" w:cs="Times New Roman"/>
            <w:noProof/>
            <w:sz w:val="24"/>
            <w:szCs w:val="24"/>
          </w:rPr>
          <w:t>Figure 4.2 Normal P-Plot Graph</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_Toc209703566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67</w:t>
        </w:r>
        <w:r w:rsidR="00775AE4" w:rsidRPr="007E7CB6">
          <w:rPr>
            <w:rFonts w:ascii="Times New Roman" w:hAnsi="Times New Roman" w:cs="Times New Roman"/>
            <w:noProof/>
            <w:webHidden/>
            <w:sz w:val="24"/>
            <w:szCs w:val="24"/>
          </w:rPr>
          <w:fldChar w:fldCharType="end"/>
        </w:r>
      </w:hyperlink>
    </w:p>
    <w:p w14:paraId="7FB6A12F" w14:textId="736CCEAD" w:rsidR="00775AE4" w:rsidRPr="007E7CB6" w:rsidRDefault="00000000" w:rsidP="00775AE4">
      <w:pPr>
        <w:pStyle w:val="TableofFigures"/>
        <w:tabs>
          <w:tab w:val="right" w:leader="dot" w:pos="7927"/>
        </w:tabs>
        <w:spacing w:line="360" w:lineRule="auto"/>
        <w:jc w:val="both"/>
        <w:rPr>
          <w:rFonts w:ascii="Times New Roman" w:eastAsiaTheme="minorEastAsia" w:hAnsi="Times New Roman" w:cs="Times New Roman"/>
          <w:noProof/>
          <w:sz w:val="24"/>
          <w:szCs w:val="24"/>
          <w:lang w:val="en-US"/>
        </w:rPr>
      </w:pPr>
      <w:hyperlink r:id="rId30" w:anchor="_Toc209703567" w:history="1">
        <w:r w:rsidR="00775AE4" w:rsidRPr="007E7CB6">
          <w:rPr>
            <w:rStyle w:val="Hyperlink"/>
            <w:rFonts w:ascii="Times New Roman" w:hAnsi="Times New Roman" w:cs="Times New Roman"/>
            <w:noProof/>
            <w:sz w:val="24"/>
            <w:szCs w:val="24"/>
          </w:rPr>
          <w:t>Figure 4.3 Heteroscedasticity Test Results</w:t>
        </w:r>
        <w:r w:rsidR="00775AE4" w:rsidRPr="007E7CB6">
          <w:rPr>
            <w:rFonts w:ascii="Times New Roman" w:hAnsi="Times New Roman" w:cs="Times New Roman"/>
            <w:noProof/>
            <w:webHidden/>
            <w:sz w:val="24"/>
            <w:szCs w:val="24"/>
          </w:rPr>
          <w:tab/>
        </w:r>
        <w:r w:rsidR="00775AE4" w:rsidRPr="007E7CB6">
          <w:rPr>
            <w:rFonts w:ascii="Times New Roman" w:hAnsi="Times New Roman" w:cs="Times New Roman"/>
            <w:noProof/>
            <w:webHidden/>
            <w:sz w:val="24"/>
            <w:szCs w:val="24"/>
          </w:rPr>
          <w:fldChar w:fldCharType="begin"/>
        </w:r>
        <w:r w:rsidR="00775AE4" w:rsidRPr="007E7CB6">
          <w:rPr>
            <w:rFonts w:ascii="Times New Roman" w:hAnsi="Times New Roman" w:cs="Times New Roman"/>
            <w:noProof/>
            <w:webHidden/>
            <w:sz w:val="24"/>
            <w:szCs w:val="24"/>
          </w:rPr>
          <w:instrText xml:space="preserve"> PAGEREF _Toc209703567 \h </w:instrText>
        </w:r>
        <w:r w:rsidR="00775AE4" w:rsidRPr="007E7CB6">
          <w:rPr>
            <w:rFonts w:ascii="Times New Roman" w:hAnsi="Times New Roman" w:cs="Times New Roman"/>
            <w:noProof/>
            <w:webHidden/>
            <w:sz w:val="24"/>
            <w:szCs w:val="24"/>
          </w:rPr>
        </w:r>
        <w:r w:rsidR="00775AE4" w:rsidRPr="007E7CB6">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69</w:t>
        </w:r>
        <w:r w:rsidR="00775AE4" w:rsidRPr="007E7CB6">
          <w:rPr>
            <w:rFonts w:ascii="Times New Roman" w:hAnsi="Times New Roman" w:cs="Times New Roman"/>
            <w:noProof/>
            <w:webHidden/>
            <w:sz w:val="24"/>
            <w:szCs w:val="24"/>
          </w:rPr>
          <w:fldChar w:fldCharType="end"/>
        </w:r>
      </w:hyperlink>
    </w:p>
    <w:p w14:paraId="1EE07EC6" w14:textId="1C52923F" w:rsidR="00DB71A5" w:rsidRPr="007E7CB6" w:rsidRDefault="00DB71A5" w:rsidP="00775AE4">
      <w:pPr>
        <w:spacing w:line="360" w:lineRule="auto"/>
        <w:jc w:val="both"/>
        <w:rPr>
          <w:rFonts w:ascii="Times New Roman" w:hAnsi="Times New Roman" w:cs="Times New Roman"/>
          <w:sz w:val="24"/>
          <w:szCs w:val="24"/>
        </w:rPr>
      </w:pPr>
      <w:r w:rsidRPr="007E7CB6">
        <w:rPr>
          <w:rFonts w:ascii="Times New Roman" w:hAnsi="Times New Roman" w:cs="Times New Roman"/>
          <w:sz w:val="24"/>
          <w:szCs w:val="24"/>
        </w:rPr>
        <w:fldChar w:fldCharType="end"/>
      </w:r>
    </w:p>
    <w:p w14:paraId="64A2F58E" w14:textId="5AB33694" w:rsidR="00D324E7" w:rsidRPr="007E7CB6" w:rsidRDefault="00D324E7" w:rsidP="00D324E7">
      <w:pPr>
        <w:rPr>
          <w:rFonts w:ascii="Times New Roman" w:hAnsi="Times New Roman" w:cs="Times New Roman"/>
          <w:b/>
          <w:bCs/>
          <w:sz w:val="24"/>
          <w:szCs w:val="24"/>
        </w:rPr>
      </w:pPr>
    </w:p>
    <w:p w14:paraId="2841BE7C" w14:textId="7D35520A" w:rsidR="00D324E7" w:rsidRPr="007E7CB6" w:rsidRDefault="00D324E7" w:rsidP="00D324E7">
      <w:pPr>
        <w:rPr>
          <w:rFonts w:ascii="Times New Roman" w:hAnsi="Times New Roman" w:cs="Times New Roman"/>
          <w:b/>
          <w:bCs/>
          <w:sz w:val="24"/>
          <w:szCs w:val="24"/>
        </w:rPr>
      </w:pPr>
    </w:p>
    <w:p w14:paraId="01995647" w14:textId="728F9305" w:rsidR="00D324E7" w:rsidRPr="007E7CB6" w:rsidRDefault="00D324E7" w:rsidP="00D324E7">
      <w:pPr>
        <w:rPr>
          <w:rFonts w:ascii="Times New Roman" w:hAnsi="Times New Roman" w:cs="Times New Roman"/>
          <w:b/>
          <w:bCs/>
          <w:sz w:val="24"/>
          <w:szCs w:val="24"/>
        </w:rPr>
      </w:pPr>
    </w:p>
    <w:p w14:paraId="09080D9F" w14:textId="14FF53DF" w:rsidR="00D324E7" w:rsidRPr="007E7CB6" w:rsidRDefault="00D324E7" w:rsidP="00D324E7">
      <w:pPr>
        <w:rPr>
          <w:rFonts w:ascii="Times New Roman" w:hAnsi="Times New Roman" w:cs="Times New Roman"/>
          <w:b/>
          <w:bCs/>
          <w:sz w:val="24"/>
          <w:szCs w:val="24"/>
        </w:rPr>
      </w:pPr>
    </w:p>
    <w:p w14:paraId="224153F3" w14:textId="3F3E651F" w:rsidR="00D324E7" w:rsidRPr="007E7CB6" w:rsidRDefault="00D324E7" w:rsidP="00D324E7">
      <w:pPr>
        <w:rPr>
          <w:rFonts w:ascii="Times New Roman" w:hAnsi="Times New Roman" w:cs="Times New Roman"/>
          <w:b/>
          <w:bCs/>
          <w:sz w:val="24"/>
          <w:szCs w:val="24"/>
        </w:rPr>
      </w:pPr>
    </w:p>
    <w:p w14:paraId="57BA39EA" w14:textId="1E4CB62E" w:rsidR="00D324E7" w:rsidRPr="007E7CB6" w:rsidRDefault="00D324E7" w:rsidP="00D324E7">
      <w:pPr>
        <w:rPr>
          <w:rFonts w:ascii="Times New Roman" w:hAnsi="Times New Roman" w:cs="Times New Roman"/>
          <w:b/>
          <w:bCs/>
          <w:sz w:val="24"/>
          <w:szCs w:val="24"/>
        </w:rPr>
      </w:pPr>
    </w:p>
    <w:p w14:paraId="7FF5B2F6" w14:textId="0FDF86AC" w:rsidR="00D324E7" w:rsidRPr="007E7CB6" w:rsidRDefault="00D324E7" w:rsidP="00D324E7">
      <w:pPr>
        <w:rPr>
          <w:rFonts w:ascii="Times New Roman" w:hAnsi="Times New Roman" w:cs="Times New Roman"/>
          <w:b/>
          <w:bCs/>
          <w:sz w:val="24"/>
          <w:szCs w:val="24"/>
        </w:rPr>
      </w:pPr>
    </w:p>
    <w:p w14:paraId="0D3E3F57" w14:textId="2810B1B1" w:rsidR="00D324E7" w:rsidRPr="007E7CB6" w:rsidRDefault="00D324E7" w:rsidP="00D324E7">
      <w:pPr>
        <w:rPr>
          <w:rFonts w:ascii="Times New Roman" w:hAnsi="Times New Roman" w:cs="Times New Roman"/>
          <w:b/>
          <w:bCs/>
          <w:sz w:val="24"/>
          <w:szCs w:val="24"/>
        </w:rPr>
      </w:pPr>
    </w:p>
    <w:p w14:paraId="237D98E9" w14:textId="245FF2AC" w:rsidR="00D324E7" w:rsidRPr="007E7CB6" w:rsidRDefault="00D324E7" w:rsidP="00D324E7">
      <w:pPr>
        <w:rPr>
          <w:rFonts w:ascii="Times New Roman" w:hAnsi="Times New Roman" w:cs="Times New Roman"/>
          <w:b/>
          <w:bCs/>
          <w:sz w:val="24"/>
          <w:szCs w:val="24"/>
        </w:rPr>
      </w:pPr>
    </w:p>
    <w:p w14:paraId="0FED63AA" w14:textId="2115268F" w:rsidR="00D324E7" w:rsidRPr="007E7CB6" w:rsidRDefault="00D324E7" w:rsidP="00D324E7">
      <w:pPr>
        <w:rPr>
          <w:rFonts w:ascii="Times New Roman" w:hAnsi="Times New Roman" w:cs="Times New Roman"/>
          <w:b/>
          <w:bCs/>
          <w:sz w:val="24"/>
          <w:szCs w:val="24"/>
        </w:rPr>
      </w:pPr>
    </w:p>
    <w:p w14:paraId="4374FF76" w14:textId="7A791E97" w:rsidR="00D324E7" w:rsidRPr="007E7CB6" w:rsidRDefault="00D324E7" w:rsidP="00D324E7">
      <w:pPr>
        <w:rPr>
          <w:rFonts w:ascii="Times New Roman" w:hAnsi="Times New Roman" w:cs="Times New Roman"/>
          <w:b/>
          <w:bCs/>
          <w:sz w:val="24"/>
          <w:szCs w:val="24"/>
        </w:rPr>
      </w:pPr>
    </w:p>
    <w:p w14:paraId="13978710" w14:textId="37251C32" w:rsidR="00D324E7" w:rsidRPr="007E7CB6" w:rsidRDefault="00D324E7" w:rsidP="00D324E7">
      <w:pPr>
        <w:rPr>
          <w:rFonts w:ascii="Times New Roman" w:hAnsi="Times New Roman" w:cs="Times New Roman"/>
          <w:b/>
          <w:bCs/>
          <w:sz w:val="24"/>
          <w:szCs w:val="24"/>
        </w:rPr>
      </w:pPr>
    </w:p>
    <w:p w14:paraId="25B78A86" w14:textId="0D4A00CA" w:rsidR="00D324E7" w:rsidRPr="007E7CB6" w:rsidRDefault="00D324E7" w:rsidP="00D324E7">
      <w:pPr>
        <w:rPr>
          <w:rFonts w:ascii="Times New Roman" w:hAnsi="Times New Roman" w:cs="Times New Roman"/>
          <w:b/>
          <w:bCs/>
          <w:sz w:val="24"/>
          <w:szCs w:val="24"/>
        </w:rPr>
      </w:pPr>
    </w:p>
    <w:p w14:paraId="6B0CEB25" w14:textId="69A5D942" w:rsidR="00D324E7" w:rsidRPr="007E7CB6" w:rsidRDefault="00D324E7" w:rsidP="00D324E7">
      <w:pPr>
        <w:rPr>
          <w:rFonts w:ascii="Times New Roman" w:hAnsi="Times New Roman" w:cs="Times New Roman"/>
          <w:b/>
          <w:bCs/>
          <w:sz w:val="24"/>
          <w:szCs w:val="24"/>
        </w:rPr>
      </w:pPr>
    </w:p>
    <w:p w14:paraId="1A8CABB2" w14:textId="21A382AA" w:rsidR="00D324E7" w:rsidRPr="007E7CB6" w:rsidRDefault="00D324E7" w:rsidP="00D324E7">
      <w:pPr>
        <w:rPr>
          <w:rFonts w:ascii="Times New Roman" w:hAnsi="Times New Roman" w:cs="Times New Roman"/>
          <w:b/>
          <w:bCs/>
          <w:sz w:val="24"/>
          <w:szCs w:val="24"/>
        </w:rPr>
      </w:pPr>
    </w:p>
    <w:p w14:paraId="18D873AD" w14:textId="42DA6500" w:rsidR="00D324E7" w:rsidRPr="007E7CB6" w:rsidRDefault="00D324E7" w:rsidP="00D324E7">
      <w:pPr>
        <w:rPr>
          <w:rFonts w:ascii="Times New Roman" w:hAnsi="Times New Roman" w:cs="Times New Roman"/>
          <w:b/>
          <w:bCs/>
          <w:sz w:val="24"/>
          <w:szCs w:val="24"/>
        </w:rPr>
      </w:pPr>
    </w:p>
    <w:p w14:paraId="4F6190D5" w14:textId="6CFE216E" w:rsidR="00D324E7" w:rsidRPr="007E7CB6" w:rsidRDefault="00D324E7" w:rsidP="00D324E7">
      <w:pPr>
        <w:rPr>
          <w:rFonts w:ascii="Times New Roman" w:hAnsi="Times New Roman" w:cs="Times New Roman"/>
          <w:b/>
          <w:bCs/>
          <w:sz w:val="24"/>
          <w:szCs w:val="24"/>
        </w:rPr>
      </w:pPr>
    </w:p>
    <w:p w14:paraId="6C5561EF" w14:textId="229AFA19" w:rsidR="00D324E7" w:rsidRPr="007E7CB6" w:rsidRDefault="00D324E7" w:rsidP="00D324E7">
      <w:pPr>
        <w:rPr>
          <w:rFonts w:ascii="Times New Roman" w:hAnsi="Times New Roman" w:cs="Times New Roman"/>
          <w:b/>
          <w:bCs/>
          <w:sz w:val="24"/>
          <w:szCs w:val="24"/>
        </w:rPr>
      </w:pPr>
    </w:p>
    <w:p w14:paraId="2E7956B1" w14:textId="7FFF9452" w:rsidR="00D324E7" w:rsidRPr="007E7CB6" w:rsidRDefault="00D324E7" w:rsidP="00D324E7">
      <w:pPr>
        <w:rPr>
          <w:rFonts w:ascii="Times New Roman" w:hAnsi="Times New Roman" w:cs="Times New Roman"/>
          <w:b/>
          <w:bCs/>
          <w:sz w:val="24"/>
          <w:szCs w:val="24"/>
        </w:rPr>
      </w:pPr>
    </w:p>
    <w:p w14:paraId="0AEA0DB2" w14:textId="501C1B89" w:rsidR="00D324E7" w:rsidRPr="007E7CB6" w:rsidRDefault="00D324E7" w:rsidP="00D324E7">
      <w:pPr>
        <w:rPr>
          <w:rFonts w:ascii="Times New Roman" w:hAnsi="Times New Roman" w:cs="Times New Roman"/>
          <w:b/>
          <w:bCs/>
          <w:sz w:val="24"/>
          <w:szCs w:val="24"/>
        </w:rPr>
      </w:pPr>
    </w:p>
    <w:p w14:paraId="6159479C" w14:textId="391D1AA4" w:rsidR="00D324E7" w:rsidRPr="007E7CB6" w:rsidRDefault="00D324E7" w:rsidP="00D324E7">
      <w:pPr>
        <w:rPr>
          <w:rFonts w:ascii="Times New Roman" w:hAnsi="Times New Roman" w:cs="Times New Roman"/>
          <w:b/>
          <w:bCs/>
          <w:sz w:val="24"/>
          <w:szCs w:val="24"/>
        </w:rPr>
      </w:pPr>
    </w:p>
    <w:p w14:paraId="2C93DFCB" w14:textId="3FFD3CE6" w:rsidR="00D324E7" w:rsidRPr="007E7CB6" w:rsidRDefault="00D324E7" w:rsidP="00D324E7">
      <w:pPr>
        <w:rPr>
          <w:rFonts w:ascii="Times New Roman" w:hAnsi="Times New Roman" w:cs="Times New Roman"/>
          <w:b/>
          <w:bCs/>
          <w:sz w:val="24"/>
          <w:szCs w:val="24"/>
        </w:rPr>
      </w:pPr>
    </w:p>
    <w:p w14:paraId="71160856" w14:textId="754AC1B3" w:rsidR="00D324E7" w:rsidRPr="007E7CB6" w:rsidRDefault="00D324E7" w:rsidP="00D324E7">
      <w:pPr>
        <w:rPr>
          <w:rFonts w:ascii="Times New Roman" w:hAnsi="Times New Roman" w:cs="Times New Roman"/>
          <w:b/>
          <w:bCs/>
          <w:sz w:val="24"/>
          <w:szCs w:val="24"/>
        </w:rPr>
      </w:pPr>
    </w:p>
    <w:p w14:paraId="4FF5F6F9" w14:textId="2A108D8B" w:rsidR="00D324E7" w:rsidRPr="007E7CB6" w:rsidRDefault="00D324E7" w:rsidP="00D324E7">
      <w:pPr>
        <w:rPr>
          <w:rFonts w:ascii="Times New Roman" w:hAnsi="Times New Roman" w:cs="Times New Roman"/>
          <w:b/>
          <w:bCs/>
          <w:sz w:val="24"/>
          <w:szCs w:val="24"/>
        </w:rPr>
      </w:pPr>
    </w:p>
    <w:p w14:paraId="3FA41842" w14:textId="15437212" w:rsidR="00D324E7" w:rsidRPr="007E7CB6" w:rsidRDefault="00D324E7" w:rsidP="00D324E7">
      <w:pPr>
        <w:rPr>
          <w:rFonts w:ascii="Times New Roman" w:hAnsi="Times New Roman" w:cs="Times New Roman"/>
          <w:b/>
          <w:bCs/>
          <w:sz w:val="24"/>
          <w:szCs w:val="24"/>
        </w:rPr>
      </w:pPr>
    </w:p>
    <w:p w14:paraId="700C83F2" w14:textId="77777777" w:rsidR="00D324E7" w:rsidRPr="007E7CB6" w:rsidRDefault="00D324E7" w:rsidP="00D324E7">
      <w:pPr>
        <w:rPr>
          <w:rFonts w:ascii="Times New Roman" w:hAnsi="Times New Roman" w:cs="Times New Roman"/>
          <w:b/>
          <w:bCs/>
          <w:sz w:val="24"/>
          <w:szCs w:val="24"/>
        </w:rPr>
      </w:pPr>
    </w:p>
    <w:p w14:paraId="37BFEB53" w14:textId="554F260A"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7" w:name="_Toc210744206"/>
      <w:r w:rsidRPr="007E7CB6">
        <w:rPr>
          <w:rFonts w:ascii="Times New Roman" w:eastAsia="Times New Roman" w:hAnsi="Times New Roman" w:cs="Times New Roman"/>
          <w:b/>
          <w:sz w:val="24"/>
          <w:szCs w:val="24"/>
        </w:rPr>
        <w:lastRenderedPageBreak/>
        <w:t>LIST OF ABBREVIATIONS</w:t>
      </w:r>
      <w:bookmarkEnd w:id="7"/>
    </w:p>
    <w:p w14:paraId="58B39822" w14:textId="6F83E6D3"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CBAM</w:t>
      </w:r>
      <w:r w:rsidRPr="007E7CB6">
        <w:rPr>
          <w:rFonts w:ascii="Times New Roman" w:eastAsia="Times New Roman" w:hAnsi="Times New Roman" w:cs="Times New Roman"/>
          <w:sz w:val="24"/>
          <w:szCs w:val="24"/>
        </w:rPr>
        <w:tab/>
      </w:r>
      <w:r w:rsidR="00580E14"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Carbon Border Adjustment Mechanism</w:t>
      </w:r>
    </w:p>
    <w:p w14:paraId="7CE0270A"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CED</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Carbon Emissions Disclosure</w:t>
      </w:r>
    </w:p>
    <w:p w14:paraId="3E46B0E8"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ESG</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Environmental, Social, and Governance</w:t>
      </w:r>
    </w:p>
    <w:p w14:paraId="38FD7AF0"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ETF</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Enhanced Transparency Framework</w:t>
      </w:r>
    </w:p>
    <w:p w14:paraId="6F622E0A"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GA</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Accounting</w:t>
      </w:r>
    </w:p>
    <w:p w14:paraId="248D2235"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GCS</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Capital Structure</w:t>
      </w:r>
    </w:p>
    <w:p w14:paraId="5566065F"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GHC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Human Capital</w:t>
      </w:r>
    </w:p>
    <w:p w14:paraId="460F506A"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GIC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Intellectual Capital</w:t>
      </w:r>
    </w:p>
    <w:p w14:paraId="548CCD8B"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Relational Capital</w:t>
      </w:r>
    </w:p>
    <w:p w14:paraId="38B641EF"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GSC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Green Structural Capital</w:t>
      </w:r>
    </w:p>
    <w:p w14:paraId="430C5201"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IPCC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Intergovernmental Panel on Climate Change</w:t>
      </w:r>
    </w:p>
    <w:p w14:paraId="4AB2C495"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NDC</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 xml:space="preserve">Nationally Determined Contributions </w:t>
      </w:r>
    </w:p>
    <w:p w14:paraId="472C6843"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NOAA</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National Oceanic and Atmospheric Administration</w:t>
      </w:r>
    </w:p>
    <w:p w14:paraId="0DA8ADE8"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PROPER</w:t>
      </w:r>
      <w:r w:rsidRPr="007E7CB6">
        <w:rPr>
          <w:rFonts w:ascii="Times New Roman" w:eastAsia="Times New Roman" w:hAnsi="Times New Roman" w:cs="Times New Roman"/>
          <w:sz w:val="24"/>
          <w:szCs w:val="24"/>
        </w:rPr>
        <w:tab/>
        <w:t>Program Penilaian Peringkat Kinerja Perusahaan</w:t>
      </w:r>
    </w:p>
    <w:p w14:paraId="1B244F69"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UNFCCC</w:t>
      </w:r>
      <w:r w:rsidRPr="007E7CB6">
        <w:rPr>
          <w:rFonts w:ascii="Times New Roman" w:eastAsia="Times New Roman" w:hAnsi="Times New Roman" w:cs="Times New Roman"/>
          <w:sz w:val="24"/>
          <w:szCs w:val="24"/>
        </w:rPr>
        <w:tab/>
        <w:t>United Nations Framework Convention on Climate Change</w:t>
      </w:r>
    </w:p>
    <w:p w14:paraId="5B07367A" w14:textId="77777777" w:rsidR="00153781" w:rsidRPr="007E7CB6" w:rsidRDefault="00000000">
      <w:pPr>
        <w:spacing w:line="36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WRI</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sz w:val="24"/>
          <w:szCs w:val="24"/>
        </w:rPr>
        <w:tab/>
        <w:t>World Research Institute</w:t>
      </w:r>
    </w:p>
    <w:p w14:paraId="3EC1BD2A" w14:textId="77777777" w:rsidR="00153781" w:rsidRPr="007E7CB6" w:rsidRDefault="00153781">
      <w:pPr>
        <w:spacing w:line="360" w:lineRule="auto"/>
        <w:jc w:val="both"/>
        <w:rPr>
          <w:rFonts w:ascii="Times New Roman" w:eastAsia="Times New Roman" w:hAnsi="Times New Roman" w:cs="Times New Roman"/>
          <w:sz w:val="24"/>
          <w:szCs w:val="24"/>
        </w:rPr>
      </w:pPr>
    </w:p>
    <w:p w14:paraId="2982BBBE" w14:textId="77777777" w:rsidR="00153781" w:rsidRPr="007E7CB6" w:rsidRDefault="00153781">
      <w:pPr>
        <w:rPr>
          <w:rFonts w:ascii="Times New Roman" w:hAnsi="Times New Roman" w:cs="Times New Roman"/>
        </w:rPr>
      </w:pPr>
    </w:p>
    <w:p w14:paraId="17692671" w14:textId="77777777" w:rsidR="00153781" w:rsidRPr="007E7CB6" w:rsidRDefault="00153781">
      <w:pPr>
        <w:rPr>
          <w:rFonts w:ascii="Times New Roman" w:hAnsi="Times New Roman" w:cs="Times New Roman"/>
        </w:rPr>
      </w:pPr>
    </w:p>
    <w:p w14:paraId="37F47C4B" w14:textId="77777777" w:rsidR="00153781" w:rsidRPr="007E7CB6" w:rsidRDefault="00153781">
      <w:pPr>
        <w:rPr>
          <w:rFonts w:ascii="Times New Roman" w:hAnsi="Times New Roman" w:cs="Times New Roman"/>
        </w:rPr>
      </w:pPr>
    </w:p>
    <w:p w14:paraId="39510869" w14:textId="77777777" w:rsidR="00153781" w:rsidRPr="007E7CB6" w:rsidRDefault="00153781">
      <w:pPr>
        <w:rPr>
          <w:rFonts w:ascii="Times New Roman" w:hAnsi="Times New Roman" w:cs="Times New Roman"/>
        </w:rPr>
      </w:pPr>
    </w:p>
    <w:p w14:paraId="74BC82B3" w14:textId="77777777" w:rsidR="00153781" w:rsidRPr="007E7CB6" w:rsidRDefault="00153781">
      <w:pPr>
        <w:rPr>
          <w:rFonts w:ascii="Times New Roman" w:hAnsi="Times New Roman" w:cs="Times New Roman"/>
        </w:rPr>
      </w:pPr>
    </w:p>
    <w:p w14:paraId="7EEF1611" w14:textId="77777777" w:rsidR="00153781" w:rsidRPr="007E7CB6" w:rsidRDefault="00153781">
      <w:pPr>
        <w:rPr>
          <w:rFonts w:ascii="Times New Roman" w:hAnsi="Times New Roman" w:cs="Times New Roman"/>
        </w:rPr>
      </w:pPr>
    </w:p>
    <w:p w14:paraId="352E92EC" w14:textId="77777777" w:rsidR="00153781" w:rsidRPr="007E7CB6" w:rsidRDefault="00153781">
      <w:pPr>
        <w:rPr>
          <w:rFonts w:ascii="Times New Roman" w:hAnsi="Times New Roman" w:cs="Times New Roman"/>
        </w:rPr>
      </w:pPr>
    </w:p>
    <w:p w14:paraId="56C72E3E" w14:textId="77777777" w:rsidR="00153781" w:rsidRPr="007E7CB6" w:rsidRDefault="00153781">
      <w:pPr>
        <w:rPr>
          <w:rFonts w:ascii="Times New Roman" w:hAnsi="Times New Roman" w:cs="Times New Roman"/>
        </w:rPr>
      </w:pPr>
    </w:p>
    <w:p w14:paraId="3245D771" w14:textId="12031EC0" w:rsidR="00153781" w:rsidRPr="007E7CB6" w:rsidRDefault="00153781">
      <w:pPr>
        <w:rPr>
          <w:rFonts w:ascii="Times New Roman" w:hAnsi="Times New Roman" w:cs="Times New Roman"/>
        </w:rPr>
      </w:pPr>
    </w:p>
    <w:p w14:paraId="1CBF5DE1" w14:textId="74814811" w:rsidR="00D05F57" w:rsidRPr="007E7CB6" w:rsidRDefault="00D05F57">
      <w:pPr>
        <w:rPr>
          <w:rFonts w:ascii="Times New Roman" w:hAnsi="Times New Roman" w:cs="Times New Roman"/>
        </w:rPr>
      </w:pPr>
    </w:p>
    <w:p w14:paraId="1EB6B162" w14:textId="61BFC428" w:rsidR="00D05F57" w:rsidRPr="007E7CB6" w:rsidRDefault="00D05F57">
      <w:pPr>
        <w:rPr>
          <w:rFonts w:ascii="Times New Roman" w:hAnsi="Times New Roman" w:cs="Times New Roman"/>
        </w:rPr>
      </w:pPr>
    </w:p>
    <w:p w14:paraId="14D51E48" w14:textId="77777777" w:rsidR="00D05F57" w:rsidRPr="007E7CB6" w:rsidRDefault="00D05F57">
      <w:pPr>
        <w:rPr>
          <w:rFonts w:ascii="Times New Roman" w:hAnsi="Times New Roman" w:cs="Times New Roman"/>
        </w:rPr>
      </w:pPr>
    </w:p>
    <w:p w14:paraId="3C66D880" w14:textId="77777777" w:rsidR="00153781" w:rsidRPr="007E7CB6" w:rsidRDefault="00153781">
      <w:pPr>
        <w:rPr>
          <w:rFonts w:ascii="Times New Roman" w:hAnsi="Times New Roman" w:cs="Times New Roman"/>
        </w:rPr>
      </w:pPr>
    </w:p>
    <w:p w14:paraId="508C8728" w14:textId="77777777" w:rsidR="00153781" w:rsidRPr="007E7CB6" w:rsidRDefault="00153781">
      <w:pPr>
        <w:rPr>
          <w:rFonts w:ascii="Times New Roman" w:hAnsi="Times New Roman" w:cs="Times New Roman"/>
        </w:rPr>
      </w:pPr>
    </w:p>
    <w:p w14:paraId="61ABF8B0" w14:textId="77777777" w:rsidR="00153781" w:rsidRPr="007E7CB6" w:rsidRDefault="00153781">
      <w:pPr>
        <w:rPr>
          <w:rFonts w:ascii="Times New Roman" w:hAnsi="Times New Roman" w:cs="Times New Roman"/>
        </w:rPr>
      </w:pPr>
    </w:p>
    <w:p w14:paraId="1D7055C0" w14:textId="77777777" w:rsidR="00153781" w:rsidRPr="007E7CB6" w:rsidRDefault="00153781">
      <w:pPr>
        <w:rPr>
          <w:rFonts w:ascii="Times New Roman" w:hAnsi="Times New Roman" w:cs="Times New Roman"/>
        </w:rPr>
      </w:pPr>
    </w:p>
    <w:p w14:paraId="79966A1B"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8" w:name="_Toc210744207"/>
      <w:r w:rsidRPr="007E7CB6">
        <w:rPr>
          <w:rFonts w:ascii="Times New Roman" w:eastAsia="Times New Roman" w:hAnsi="Times New Roman" w:cs="Times New Roman"/>
          <w:b/>
          <w:sz w:val="24"/>
          <w:szCs w:val="24"/>
        </w:rPr>
        <w:lastRenderedPageBreak/>
        <w:t>LIST OF APPENDICES</w:t>
      </w:r>
      <w:bookmarkEnd w:id="8"/>
    </w:p>
    <w:p w14:paraId="1A719954" w14:textId="77777777" w:rsidR="00153781" w:rsidRPr="007E7CB6" w:rsidRDefault="00000000" w:rsidP="00D05F57">
      <w:pPr>
        <w:jc w:val="right"/>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Pages</w:t>
      </w:r>
    </w:p>
    <w:p w14:paraId="402176E5" w14:textId="65A55E50" w:rsidR="002D12C3" w:rsidRPr="002D12C3" w:rsidRDefault="002D12C3"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r w:rsidRPr="002D12C3">
        <w:rPr>
          <w:rFonts w:ascii="Times New Roman" w:hAnsi="Times New Roman" w:cs="Times New Roman"/>
          <w:sz w:val="24"/>
          <w:szCs w:val="24"/>
        </w:rPr>
        <w:fldChar w:fldCharType="begin"/>
      </w:r>
      <w:r w:rsidRPr="002D12C3">
        <w:rPr>
          <w:rFonts w:ascii="Times New Roman" w:hAnsi="Times New Roman" w:cs="Times New Roman"/>
          <w:sz w:val="24"/>
          <w:szCs w:val="24"/>
        </w:rPr>
        <w:instrText xml:space="preserve"> TOC \h \z \c "Appendix" </w:instrText>
      </w:r>
      <w:r w:rsidRPr="002D12C3">
        <w:rPr>
          <w:rFonts w:ascii="Times New Roman" w:hAnsi="Times New Roman" w:cs="Times New Roman"/>
          <w:sz w:val="24"/>
          <w:szCs w:val="24"/>
        </w:rPr>
        <w:fldChar w:fldCharType="separate"/>
      </w:r>
      <w:hyperlink w:anchor="_Toc210649270" w:history="1">
        <w:r w:rsidRPr="002D12C3">
          <w:rPr>
            <w:rStyle w:val="Hyperlink"/>
            <w:rFonts w:ascii="Times New Roman" w:hAnsi="Times New Roman" w:cs="Times New Roman"/>
            <w:noProof/>
            <w:sz w:val="24"/>
            <w:szCs w:val="24"/>
          </w:rPr>
          <w:t>Appendix 1.  Company Sample List</w:t>
        </w:r>
        <w:r w:rsidRPr="002D12C3">
          <w:rPr>
            <w:rFonts w:ascii="Times New Roman" w:hAnsi="Times New Roman" w:cs="Times New Roman"/>
            <w:noProof/>
            <w:webHidden/>
            <w:sz w:val="24"/>
            <w:szCs w:val="24"/>
          </w:rPr>
          <w:tab/>
        </w:r>
        <w:r w:rsidRPr="002D12C3">
          <w:rPr>
            <w:rFonts w:ascii="Times New Roman" w:hAnsi="Times New Roman" w:cs="Times New Roman"/>
            <w:noProof/>
            <w:webHidden/>
            <w:sz w:val="24"/>
            <w:szCs w:val="24"/>
          </w:rPr>
          <w:fldChar w:fldCharType="begin"/>
        </w:r>
        <w:r w:rsidRPr="002D12C3">
          <w:rPr>
            <w:rFonts w:ascii="Times New Roman" w:hAnsi="Times New Roman" w:cs="Times New Roman"/>
            <w:noProof/>
            <w:webHidden/>
            <w:sz w:val="24"/>
            <w:szCs w:val="24"/>
          </w:rPr>
          <w:instrText xml:space="preserve"> PAGEREF _Toc210649270 \h </w:instrText>
        </w:r>
        <w:r w:rsidRPr="002D12C3">
          <w:rPr>
            <w:rFonts w:ascii="Times New Roman" w:hAnsi="Times New Roman" w:cs="Times New Roman"/>
            <w:noProof/>
            <w:webHidden/>
            <w:sz w:val="24"/>
            <w:szCs w:val="24"/>
          </w:rPr>
        </w:r>
        <w:r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98</w:t>
        </w:r>
        <w:r w:rsidRPr="002D12C3">
          <w:rPr>
            <w:rFonts w:ascii="Times New Roman" w:hAnsi="Times New Roman" w:cs="Times New Roman"/>
            <w:noProof/>
            <w:webHidden/>
            <w:sz w:val="24"/>
            <w:szCs w:val="24"/>
          </w:rPr>
          <w:fldChar w:fldCharType="end"/>
        </w:r>
      </w:hyperlink>
    </w:p>
    <w:p w14:paraId="5EDB098E" w14:textId="2D46B849"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1" w:history="1">
        <w:r w:rsidR="002D12C3" w:rsidRPr="002D12C3">
          <w:rPr>
            <w:rStyle w:val="Hyperlink"/>
            <w:rFonts w:ascii="Times New Roman" w:hAnsi="Times New Roman" w:cs="Times New Roman"/>
            <w:noProof/>
            <w:sz w:val="24"/>
            <w:szCs w:val="24"/>
          </w:rPr>
          <w:t>Appendix 2.  Green Accounting Calculation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_Toc210649271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99</w:t>
        </w:r>
        <w:r w:rsidR="002D12C3" w:rsidRPr="002D12C3">
          <w:rPr>
            <w:rFonts w:ascii="Times New Roman" w:hAnsi="Times New Roman" w:cs="Times New Roman"/>
            <w:noProof/>
            <w:webHidden/>
            <w:sz w:val="24"/>
            <w:szCs w:val="24"/>
          </w:rPr>
          <w:fldChar w:fldCharType="end"/>
        </w:r>
      </w:hyperlink>
    </w:p>
    <w:p w14:paraId="140A68AD" w14:textId="03282B79"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2" w:history="1">
        <w:r w:rsidR="002D12C3" w:rsidRPr="002D12C3">
          <w:rPr>
            <w:rStyle w:val="Hyperlink"/>
            <w:rFonts w:ascii="Times New Roman" w:hAnsi="Times New Roman" w:cs="Times New Roman"/>
            <w:noProof/>
            <w:sz w:val="24"/>
            <w:szCs w:val="24"/>
          </w:rPr>
          <w:t>Appendix 3.  Carbon Emission Disclosure Calculation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_Toc210649272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102</w:t>
        </w:r>
        <w:r w:rsidR="002D12C3" w:rsidRPr="002D12C3">
          <w:rPr>
            <w:rFonts w:ascii="Times New Roman" w:hAnsi="Times New Roman" w:cs="Times New Roman"/>
            <w:noProof/>
            <w:webHidden/>
            <w:sz w:val="24"/>
            <w:szCs w:val="24"/>
          </w:rPr>
          <w:fldChar w:fldCharType="end"/>
        </w:r>
      </w:hyperlink>
    </w:p>
    <w:p w14:paraId="6E5E7163" w14:textId="3DC21452"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3" w:history="1">
        <w:r w:rsidR="002D12C3" w:rsidRPr="002D12C3">
          <w:rPr>
            <w:rStyle w:val="Hyperlink"/>
            <w:rFonts w:ascii="Times New Roman" w:hAnsi="Times New Roman" w:cs="Times New Roman"/>
            <w:noProof/>
            <w:sz w:val="24"/>
            <w:szCs w:val="24"/>
          </w:rPr>
          <w:t>Appendix 4.  Green Capital Structure Calculation Results4</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_Toc210649273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104</w:t>
        </w:r>
        <w:r w:rsidR="002D12C3" w:rsidRPr="002D12C3">
          <w:rPr>
            <w:rFonts w:ascii="Times New Roman" w:hAnsi="Times New Roman" w:cs="Times New Roman"/>
            <w:noProof/>
            <w:webHidden/>
            <w:sz w:val="24"/>
            <w:szCs w:val="24"/>
          </w:rPr>
          <w:fldChar w:fldCharType="end"/>
        </w:r>
      </w:hyperlink>
    </w:p>
    <w:p w14:paraId="3830DA2D" w14:textId="614515A8"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4" w:history="1">
        <w:r w:rsidR="002D12C3" w:rsidRPr="002D12C3">
          <w:rPr>
            <w:rStyle w:val="Hyperlink"/>
            <w:rFonts w:ascii="Times New Roman" w:hAnsi="Times New Roman" w:cs="Times New Roman"/>
            <w:noProof/>
            <w:sz w:val="24"/>
            <w:szCs w:val="24"/>
          </w:rPr>
          <w:t>Appendix 5.  Firm Value Calculation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_Toc210649274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107</w:t>
        </w:r>
        <w:r w:rsidR="002D12C3" w:rsidRPr="002D12C3">
          <w:rPr>
            <w:rFonts w:ascii="Times New Roman" w:hAnsi="Times New Roman" w:cs="Times New Roman"/>
            <w:noProof/>
            <w:webHidden/>
            <w:sz w:val="24"/>
            <w:szCs w:val="24"/>
          </w:rPr>
          <w:fldChar w:fldCharType="end"/>
        </w:r>
      </w:hyperlink>
    </w:p>
    <w:p w14:paraId="452EC9E3" w14:textId="2BFC3582"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5" w:history="1">
        <w:r w:rsidR="002D12C3" w:rsidRPr="002D12C3">
          <w:rPr>
            <w:rStyle w:val="Hyperlink"/>
            <w:rFonts w:ascii="Times New Roman" w:hAnsi="Times New Roman" w:cs="Times New Roman"/>
            <w:noProof/>
            <w:sz w:val="24"/>
            <w:szCs w:val="24"/>
          </w:rPr>
          <w:t>Appendix 6.  Green Intellectual Capital Calculation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_Toc210649275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109</w:t>
        </w:r>
        <w:r w:rsidR="002D12C3" w:rsidRPr="002D12C3">
          <w:rPr>
            <w:rFonts w:ascii="Times New Roman" w:hAnsi="Times New Roman" w:cs="Times New Roman"/>
            <w:noProof/>
            <w:webHidden/>
            <w:sz w:val="24"/>
            <w:szCs w:val="24"/>
          </w:rPr>
          <w:fldChar w:fldCharType="end"/>
        </w:r>
      </w:hyperlink>
    </w:p>
    <w:p w14:paraId="2F03E5A1" w14:textId="059949A2"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6" w:history="1">
        <w:r w:rsidR="002D12C3" w:rsidRPr="002D12C3">
          <w:rPr>
            <w:rStyle w:val="Hyperlink"/>
            <w:rFonts w:ascii="Times New Roman" w:hAnsi="Times New Roman" w:cs="Times New Roman"/>
            <w:noProof/>
            <w:sz w:val="24"/>
            <w:szCs w:val="24"/>
          </w:rPr>
          <w:t>Appendix 7.  Data Tabulation</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_Toc210649276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111</w:t>
        </w:r>
        <w:r w:rsidR="002D12C3" w:rsidRPr="002D12C3">
          <w:rPr>
            <w:rFonts w:ascii="Times New Roman" w:hAnsi="Times New Roman" w:cs="Times New Roman"/>
            <w:noProof/>
            <w:webHidden/>
            <w:sz w:val="24"/>
            <w:szCs w:val="24"/>
          </w:rPr>
          <w:fldChar w:fldCharType="end"/>
        </w:r>
      </w:hyperlink>
    </w:p>
    <w:p w14:paraId="438D1500" w14:textId="7BFA8A26"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7" w:history="1">
        <w:r w:rsidR="002D12C3" w:rsidRPr="002D12C3">
          <w:rPr>
            <w:rStyle w:val="Hyperlink"/>
            <w:rFonts w:ascii="Times New Roman" w:hAnsi="Times New Roman" w:cs="Times New Roman"/>
            <w:noProof/>
            <w:sz w:val="24"/>
            <w:szCs w:val="24"/>
          </w:rPr>
          <w:t>Appendix 8.  Descriptive Statistical Test Results9</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_Toc210649277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113</w:t>
        </w:r>
        <w:r w:rsidR="002D12C3" w:rsidRPr="002D12C3">
          <w:rPr>
            <w:rFonts w:ascii="Times New Roman" w:hAnsi="Times New Roman" w:cs="Times New Roman"/>
            <w:noProof/>
            <w:webHidden/>
            <w:sz w:val="24"/>
            <w:szCs w:val="24"/>
          </w:rPr>
          <w:fldChar w:fldCharType="end"/>
        </w:r>
      </w:hyperlink>
    </w:p>
    <w:p w14:paraId="166B6DBB" w14:textId="7D99D9EF"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8" w:history="1">
        <w:r w:rsidR="002D12C3" w:rsidRPr="002D12C3">
          <w:rPr>
            <w:rStyle w:val="Hyperlink"/>
            <w:rFonts w:ascii="Times New Roman" w:hAnsi="Times New Roman" w:cs="Times New Roman"/>
            <w:noProof/>
            <w:sz w:val="24"/>
            <w:szCs w:val="24"/>
          </w:rPr>
          <w:t>Appendix 9.  Normality Test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_Toc210649278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113</w:t>
        </w:r>
        <w:r w:rsidR="002D12C3" w:rsidRPr="002D12C3">
          <w:rPr>
            <w:rFonts w:ascii="Times New Roman" w:hAnsi="Times New Roman" w:cs="Times New Roman"/>
            <w:noProof/>
            <w:webHidden/>
            <w:sz w:val="24"/>
            <w:szCs w:val="24"/>
          </w:rPr>
          <w:fldChar w:fldCharType="end"/>
        </w:r>
      </w:hyperlink>
    </w:p>
    <w:p w14:paraId="325D5269" w14:textId="554606E9"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79" w:history="1">
        <w:r w:rsidR="002D12C3" w:rsidRPr="002D12C3">
          <w:rPr>
            <w:rStyle w:val="Hyperlink"/>
            <w:rFonts w:ascii="Times New Roman" w:hAnsi="Times New Roman" w:cs="Times New Roman"/>
            <w:noProof/>
            <w:sz w:val="24"/>
            <w:szCs w:val="24"/>
          </w:rPr>
          <w:t>Appendix 10.  Histogram Chart</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_Toc210649279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114</w:t>
        </w:r>
        <w:r w:rsidR="002D12C3" w:rsidRPr="002D12C3">
          <w:rPr>
            <w:rFonts w:ascii="Times New Roman" w:hAnsi="Times New Roman" w:cs="Times New Roman"/>
            <w:noProof/>
            <w:webHidden/>
            <w:sz w:val="24"/>
            <w:szCs w:val="24"/>
          </w:rPr>
          <w:fldChar w:fldCharType="end"/>
        </w:r>
      </w:hyperlink>
    </w:p>
    <w:p w14:paraId="412F57D1" w14:textId="3655CA0D"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0" w:history="1">
        <w:r w:rsidR="002D12C3" w:rsidRPr="002D12C3">
          <w:rPr>
            <w:rStyle w:val="Hyperlink"/>
            <w:rFonts w:ascii="Times New Roman" w:hAnsi="Times New Roman" w:cs="Times New Roman"/>
            <w:noProof/>
            <w:sz w:val="24"/>
            <w:szCs w:val="24"/>
          </w:rPr>
          <w:t>Appendix 11.  Normal Chart of P-Plot</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_Toc210649280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114</w:t>
        </w:r>
        <w:r w:rsidR="002D12C3" w:rsidRPr="002D12C3">
          <w:rPr>
            <w:rFonts w:ascii="Times New Roman" w:hAnsi="Times New Roman" w:cs="Times New Roman"/>
            <w:noProof/>
            <w:webHidden/>
            <w:sz w:val="24"/>
            <w:szCs w:val="24"/>
          </w:rPr>
          <w:fldChar w:fldCharType="end"/>
        </w:r>
      </w:hyperlink>
    </w:p>
    <w:p w14:paraId="5048C651" w14:textId="568A6485"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1" w:history="1">
        <w:r w:rsidR="002D12C3" w:rsidRPr="002D12C3">
          <w:rPr>
            <w:rStyle w:val="Hyperlink"/>
            <w:rFonts w:ascii="Times New Roman" w:hAnsi="Times New Roman" w:cs="Times New Roman"/>
            <w:noProof/>
            <w:sz w:val="24"/>
            <w:szCs w:val="24"/>
          </w:rPr>
          <w:t>Appendix 12.  Multicollinearity Test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_Toc210649281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115</w:t>
        </w:r>
        <w:r w:rsidR="002D12C3" w:rsidRPr="002D12C3">
          <w:rPr>
            <w:rFonts w:ascii="Times New Roman" w:hAnsi="Times New Roman" w:cs="Times New Roman"/>
            <w:noProof/>
            <w:webHidden/>
            <w:sz w:val="24"/>
            <w:szCs w:val="24"/>
          </w:rPr>
          <w:fldChar w:fldCharType="end"/>
        </w:r>
      </w:hyperlink>
    </w:p>
    <w:p w14:paraId="12ECDFA7" w14:textId="0E9AF709"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2" w:history="1">
        <w:r w:rsidR="002D12C3" w:rsidRPr="002D12C3">
          <w:rPr>
            <w:rStyle w:val="Hyperlink"/>
            <w:rFonts w:ascii="Times New Roman" w:hAnsi="Times New Roman" w:cs="Times New Roman"/>
            <w:noProof/>
            <w:sz w:val="24"/>
            <w:szCs w:val="24"/>
          </w:rPr>
          <w:t>Appendix 13.  Heteroskedasticity Test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_Toc210649282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115</w:t>
        </w:r>
        <w:r w:rsidR="002D12C3" w:rsidRPr="002D12C3">
          <w:rPr>
            <w:rFonts w:ascii="Times New Roman" w:hAnsi="Times New Roman" w:cs="Times New Roman"/>
            <w:noProof/>
            <w:webHidden/>
            <w:sz w:val="24"/>
            <w:szCs w:val="24"/>
          </w:rPr>
          <w:fldChar w:fldCharType="end"/>
        </w:r>
      </w:hyperlink>
    </w:p>
    <w:p w14:paraId="244CD56C" w14:textId="2C4C907E"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3" w:history="1">
        <w:r w:rsidR="002D12C3" w:rsidRPr="002D12C3">
          <w:rPr>
            <w:rStyle w:val="Hyperlink"/>
            <w:rFonts w:ascii="Times New Roman" w:hAnsi="Times New Roman" w:cs="Times New Roman"/>
            <w:noProof/>
            <w:sz w:val="24"/>
            <w:szCs w:val="24"/>
          </w:rPr>
          <w:t>Appendix 14.  Autocorrelation Test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_Toc210649283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116</w:t>
        </w:r>
        <w:r w:rsidR="002D12C3" w:rsidRPr="002D12C3">
          <w:rPr>
            <w:rFonts w:ascii="Times New Roman" w:hAnsi="Times New Roman" w:cs="Times New Roman"/>
            <w:noProof/>
            <w:webHidden/>
            <w:sz w:val="24"/>
            <w:szCs w:val="24"/>
          </w:rPr>
          <w:fldChar w:fldCharType="end"/>
        </w:r>
      </w:hyperlink>
    </w:p>
    <w:p w14:paraId="32A45C36" w14:textId="69A0DA4B"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4" w:history="1">
        <w:r w:rsidR="002D12C3" w:rsidRPr="002D12C3">
          <w:rPr>
            <w:rStyle w:val="Hyperlink"/>
            <w:rFonts w:ascii="Times New Roman" w:hAnsi="Times New Roman" w:cs="Times New Roman"/>
            <w:noProof/>
            <w:sz w:val="24"/>
            <w:szCs w:val="24"/>
          </w:rPr>
          <w:t>Appendix 15.  F Test Results (Model Feasibility)</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_Toc210649284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116</w:t>
        </w:r>
        <w:r w:rsidR="002D12C3" w:rsidRPr="002D12C3">
          <w:rPr>
            <w:rFonts w:ascii="Times New Roman" w:hAnsi="Times New Roman" w:cs="Times New Roman"/>
            <w:noProof/>
            <w:webHidden/>
            <w:sz w:val="24"/>
            <w:szCs w:val="24"/>
          </w:rPr>
          <w:fldChar w:fldCharType="end"/>
        </w:r>
      </w:hyperlink>
    </w:p>
    <w:p w14:paraId="6672647F" w14:textId="5D40D99C"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5" w:history="1">
        <w:r w:rsidR="002D12C3" w:rsidRPr="002D12C3">
          <w:rPr>
            <w:rStyle w:val="Hyperlink"/>
            <w:rFonts w:ascii="Times New Roman" w:hAnsi="Times New Roman" w:cs="Times New Roman"/>
            <w:noProof/>
            <w:sz w:val="24"/>
            <w:szCs w:val="24"/>
          </w:rPr>
          <w:t>Appendix 16.  Determination Coefficient Test Results (R²)</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_Toc210649285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116</w:t>
        </w:r>
        <w:r w:rsidR="002D12C3" w:rsidRPr="002D12C3">
          <w:rPr>
            <w:rFonts w:ascii="Times New Roman" w:hAnsi="Times New Roman" w:cs="Times New Roman"/>
            <w:noProof/>
            <w:webHidden/>
            <w:sz w:val="24"/>
            <w:szCs w:val="24"/>
          </w:rPr>
          <w:fldChar w:fldCharType="end"/>
        </w:r>
      </w:hyperlink>
    </w:p>
    <w:p w14:paraId="4D865705" w14:textId="59B6C739"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6" w:history="1">
        <w:r w:rsidR="002D12C3" w:rsidRPr="002D12C3">
          <w:rPr>
            <w:rStyle w:val="Hyperlink"/>
            <w:rFonts w:ascii="Times New Roman" w:hAnsi="Times New Roman" w:cs="Times New Roman"/>
            <w:noProof/>
            <w:sz w:val="24"/>
            <w:szCs w:val="24"/>
          </w:rPr>
          <w:t>Appendix 17.  Multiple Linear Regression Analysis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_Toc210649286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117</w:t>
        </w:r>
        <w:r w:rsidR="002D12C3" w:rsidRPr="002D12C3">
          <w:rPr>
            <w:rFonts w:ascii="Times New Roman" w:hAnsi="Times New Roman" w:cs="Times New Roman"/>
            <w:noProof/>
            <w:webHidden/>
            <w:sz w:val="24"/>
            <w:szCs w:val="24"/>
          </w:rPr>
          <w:fldChar w:fldCharType="end"/>
        </w:r>
      </w:hyperlink>
    </w:p>
    <w:p w14:paraId="35C53076" w14:textId="7A5D11D2"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7" w:history="1">
        <w:r w:rsidR="002D12C3" w:rsidRPr="002D12C3">
          <w:rPr>
            <w:rStyle w:val="Hyperlink"/>
            <w:rFonts w:ascii="Times New Roman" w:hAnsi="Times New Roman" w:cs="Times New Roman"/>
            <w:noProof/>
            <w:sz w:val="24"/>
            <w:szCs w:val="24"/>
          </w:rPr>
          <w:t>Appendix 18.  t Test Results (Hypothesis Test)</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_Toc210649287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117</w:t>
        </w:r>
        <w:r w:rsidR="002D12C3" w:rsidRPr="002D12C3">
          <w:rPr>
            <w:rFonts w:ascii="Times New Roman" w:hAnsi="Times New Roman" w:cs="Times New Roman"/>
            <w:noProof/>
            <w:webHidden/>
            <w:sz w:val="24"/>
            <w:szCs w:val="24"/>
          </w:rPr>
          <w:fldChar w:fldCharType="end"/>
        </w:r>
      </w:hyperlink>
    </w:p>
    <w:p w14:paraId="68E0E9F1" w14:textId="096C3EE8" w:rsidR="002D12C3" w:rsidRPr="002D12C3" w:rsidRDefault="00000000" w:rsidP="002D12C3">
      <w:pPr>
        <w:pStyle w:val="TableofFigures"/>
        <w:tabs>
          <w:tab w:val="right" w:leader="dot" w:pos="7927"/>
        </w:tabs>
        <w:spacing w:line="360" w:lineRule="auto"/>
        <w:rPr>
          <w:rFonts w:ascii="Times New Roman" w:eastAsiaTheme="minorEastAsia" w:hAnsi="Times New Roman" w:cs="Times New Roman"/>
          <w:noProof/>
          <w:sz w:val="24"/>
          <w:szCs w:val="24"/>
          <w:lang w:val="en-US"/>
        </w:rPr>
      </w:pPr>
      <w:hyperlink w:anchor="_Toc210649288" w:history="1">
        <w:r w:rsidR="002D12C3" w:rsidRPr="002D12C3">
          <w:rPr>
            <w:rStyle w:val="Hyperlink"/>
            <w:rFonts w:ascii="Times New Roman" w:hAnsi="Times New Roman" w:cs="Times New Roman"/>
            <w:noProof/>
            <w:sz w:val="24"/>
            <w:szCs w:val="24"/>
          </w:rPr>
          <w:t>Appendix 19.  Moderated Regression Analysis Test Results</w:t>
        </w:r>
        <w:r w:rsidR="002D12C3" w:rsidRPr="002D12C3">
          <w:rPr>
            <w:rFonts w:ascii="Times New Roman" w:hAnsi="Times New Roman" w:cs="Times New Roman"/>
            <w:noProof/>
            <w:webHidden/>
            <w:sz w:val="24"/>
            <w:szCs w:val="24"/>
          </w:rPr>
          <w:tab/>
        </w:r>
        <w:r w:rsidR="002D12C3" w:rsidRPr="002D12C3">
          <w:rPr>
            <w:rFonts w:ascii="Times New Roman" w:hAnsi="Times New Roman" w:cs="Times New Roman"/>
            <w:noProof/>
            <w:webHidden/>
            <w:sz w:val="24"/>
            <w:szCs w:val="24"/>
          </w:rPr>
          <w:fldChar w:fldCharType="begin"/>
        </w:r>
        <w:r w:rsidR="002D12C3" w:rsidRPr="002D12C3">
          <w:rPr>
            <w:rFonts w:ascii="Times New Roman" w:hAnsi="Times New Roman" w:cs="Times New Roman"/>
            <w:noProof/>
            <w:webHidden/>
            <w:sz w:val="24"/>
            <w:szCs w:val="24"/>
          </w:rPr>
          <w:instrText xml:space="preserve"> PAGEREF _Toc210649288 \h </w:instrText>
        </w:r>
        <w:r w:rsidR="002D12C3" w:rsidRPr="002D12C3">
          <w:rPr>
            <w:rFonts w:ascii="Times New Roman" w:hAnsi="Times New Roman" w:cs="Times New Roman"/>
            <w:noProof/>
            <w:webHidden/>
            <w:sz w:val="24"/>
            <w:szCs w:val="24"/>
          </w:rPr>
        </w:r>
        <w:r w:rsidR="002D12C3" w:rsidRPr="002D12C3">
          <w:rPr>
            <w:rFonts w:ascii="Times New Roman" w:hAnsi="Times New Roman" w:cs="Times New Roman"/>
            <w:noProof/>
            <w:webHidden/>
            <w:sz w:val="24"/>
            <w:szCs w:val="24"/>
          </w:rPr>
          <w:fldChar w:fldCharType="separate"/>
        </w:r>
        <w:r w:rsidR="00FD5B7D">
          <w:rPr>
            <w:rFonts w:ascii="Times New Roman" w:hAnsi="Times New Roman" w:cs="Times New Roman"/>
            <w:noProof/>
            <w:webHidden/>
            <w:sz w:val="24"/>
            <w:szCs w:val="24"/>
          </w:rPr>
          <w:t>118</w:t>
        </w:r>
        <w:r w:rsidR="002D12C3" w:rsidRPr="002D12C3">
          <w:rPr>
            <w:rFonts w:ascii="Times New Roman" w:hAnsi="Times New Roman" w:cs="Times New Roman"/>
            <w:noProof/>
            <w:webHidden/>
            <w:sz w:val="24"/>
            <w:szCs w:val="24"/>
          </w:rPr>
          <w:fldChar w:fldCharType="end"/>
        </w:r>
      </w:hyperlink>
    </w:p>
    <w:p w14:paraId="2FB8F5C6" w14:textId="177BC2E8" w:rsidR="00153781" w:rsidRPr="002D12C3" w:rsidRDefault="002D12C3" w:rsidP="002D12C3">
      <w:pPr>
        <w:spacing w:line="360" w:lineRule="auto"/>
        <w:rPr>
          <w:rFonts w:ascii="Times New Roman" w:hAnsi="Times New Roman" w:cs="Times New Roman"/>
          <w:sz w:val="24"/>
          <w:szCs w:val="24"/>
        </w:rPr>
      </w:pPr>
      <w:r w:rsidRPr="002D12C3">
        <w:rPr>
          <w:rFonts w:ascii="Times New Roman" w:hAnsi="Times New Roman" w:cs="Times New Roman"/>
          <w:sz w:val="24"/>
          <w:szCs w:val="24"/>
        </w:rPr>
        <w:fldChar w:fldCharType="end"/>
      </w:r>
    </w:p>
    <w:p w14:paraId="65B987F7" w14:textId="77777777" w:rsidR="00153781" w:rsidRPr="007E7CB6" w:rsidRDefault="00153781">
      <w:pPr>
        <w:rPr>
          <w:rFonts w:ascii="Times New Roman" w:hAnsi="Times New Roman" w:cs="Times New Roman"/>
        </w:rPr>
      </w:pPr>
    </w:p>
    <w:p w14:paraId="19A2032C" w14:textId="77777777" w:rsidR="00153781" w:rsidRPr="007E7CB6" w:rsidRDefault="00153781">
      <w:pPr>
        <w:rPr>
          <w:rFonts w:ascii="Times New Roman" w:hAnsi="Times New Roman" w:cs="Times New Roman"/>
        </w:rPr>
      </w:pPr>
    </w:p>
    <w:p w14:paraId="77606CCC" w14:textId="77777777" w:rsidR="00153781" w:rsidRPr="007E7CB6" w:rsidRDefault="00153781">
      <w:pPr>
        <w:rPr>
          <w:rFonts w:ascii="Times New Roman" w:hAnsi="Times New Roman" w:cs="Times New Roman"/>
        </w:rPr>
      </w:pPr>
    </w:p>
    <w:p w14:paraId="493AC8B1" w14:textId="77777777" w:rsidR="00153781" w:rsidRPr="007E7CB6" w:rsidRDefault="00153781">
      <w:pPr>
        <w:rPr>
          <w:rFonts w:ascii="Times New Roman" w:hAnsi="Times New Roman" w:cs="Times New Roman"/>
        </w:rPr>
      </w:pPr>
    </w:p>
    <w:p w14:paraId="6F320E6E" w14:textId="77777777" w:rsidR="00153781" w:rsidRPr="007E7CB6" w:rsidRDefault="00153781">
      <w:pPr>
        <w:rPr>
          <w:rFonts w:ascii="Times New Roman" w:hAnsi="Times New Roman" w:cs="Times New Roman"/>
        </w:rPr>
      </w:pPr>
    </w:p>
    <w:p w14:paraId="6E6093E2" w14:textId="77777777" w:rsidR="00153781" w:rsidRPr="007E7CB6" w:rsidRDefault="00153781">
      <w:pPr>
        <w:rPr>
          <w:rFonts w:ascii="Times New Roman" w:hAnsi="Times New Roman" w:cs="Times New Roman"/>
        </w:rPr>
      </w:pPr>
    </w:p>
    <w:p w14:paraId="0A16441C" w14:textId="77777777" w:rsidR="00153781" w:rsidRPr="007E7CB6" w:rsidRDefault="00153781">
      <w:pPr>
        <w:rPr>
          <w:rFonts w:ascii="Times New Roman" w:hAnsi="Times New Roman" w:cs="Times New Roman"/>
        </w:rPr>
      </w:pPr>
    </w:p>
    <w:p w14:paraId="133F9528" w14:textId="77777777" w:rsidR="00153781" w:rsidRPr="007E7CB6" w:rsidRDefault="00153781">
      <w:pPr>
        <w:rPr>
          <w:rFonts w:ascii="Times New Roman" w:hAnsi="Times New Roman" w:cs="Times New Roman"/>
        </w:rPr>
      </w:pPr>
    </w:p>
    <w:p w14:paraId="0C641FAE" w14:textId="77777777" w:rsidR="00153781" w:rsidRPr="007E7CB6" w:rsidRDefault="00153781">
      <w:pPr>
        <w:rPr>
          <w:rFonts w:ascii="Times New Roman" w:hAnsi="Times New Roman" w:cs="Times New Roman"/>
        </w:rPr>
        <w:sectPr w:rsidR="00153781" w:rsidRPr="007E7CB6" w:rsidSect="00D324E7">
          <w:footerReference w:type="default" r:id="rId31"/>
          <w:footerReference w:type="first" r:id="rId32"/>
          <w:pgSz w:w="11906" w:h="16838"/>
          <w:pgMar w:top="2268" w:right="1701" w:bottom="1701" w:left="2268" w:header="720" w:footer="737" w:gutter="0"/>
          <w:pgNumType w:fmt="lowerRoman"/>
          <w:cols w:space="720"/>
          <w:titlePg/>
        </w:sectPr>
      </w:pPr>
    </w:p>
    <w:p w14:paraId="78200F14"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9" w:name="_Toc210744208"/>
      <w:r w:rsidRPr="007E7CB6">
        <w:rPr>
          <w:rFonts w:ascii="Times New Roman" w:eastAsia="Times New Roman" w:hAnsi="Times New Roman" w:cs="Times New Roman"/>
          <w:b/>
          <w:sz w:val="24"/>
          <w:szCs w:val="24"/>
        </w:rPr>
        <w:lastRenderedPageBreak/>
        <w:t>CHAPTER I</w:t>
      </w:r>
      <w:bookmarkEnd w:id="9"/>
    </w:p>
    <w:p w14:paraId="00EF6D4D" w14:textId="77777777" w:rsidR="00153781" w:rsidRPr="007E7CB6" w:rsidRDefault="00000000">
      <w:pPr>
        <w:pStyle w:val="Heading1"/>
        <w:spacing w:before="0" w:after="0" w:line="480" w:lineRule="auto"/>
        <w:jc w:val="center"/>
        <w:rPr>
          <w:rFonts w:ascii="Times New Roman" w:eastAsia="Times New Roman" w:hAnsi="Times New Roman" w:cs="Times New Roman"/>
          <w:b/>
        </w:rPr>
      </w:pPr>
      <w:bookmarkStart w:id="10" w:name="_heading=h.qcfhd0ckuglp" w:colFirst="0" w:colLast="0"/>
      <w:bookmarkStart w:id="11" w:name="_Toc209602797"/>
      <w:bookmarkStart w:id="12" w:name="_Toc209604756"/>
      <w:bookmarkStart w:id="13" w:name="_Toc209703192"/>
      <w:bookmarkStart w:id="14" w:name="_Toc210742387"/>
      <w:bookmarkStart w:id="15" w:name="_Toc210744209"/>
      <w:bookmarkEnd w:id="10"/>
      <w:r w:rsidRPr="007E7CB6">
        <w:rPr>
          <w:rFonts w:ascii="Times New Roman" w:eastAsia="Times New Roman" w:hAnsi="Times New Roman" w:cs="Times New Roman"/>
          <w:b/>
          <w:sz w:val="24"/>
          <w:szCs w:val="24"/>
        </w:rPr>
        <w:t>INTRODUCTION</w:t>
      </w:r>
      <w:bookmarkEnd w:id="11"/>
      <w:bookmarkEnd w:id="12"/>
      <w:bookmarkEnd w:id="13"/>
      <w:bookmarkEnd w:id="14"/>
      <w:bookmarkEnd w:id="15"/>
    </w:p>
    <w:p w14:paraId="7C40E056" w14:textId="77777777" w:rsidR="00153781" w:rsidRPr="007E7CB6" w:rsidRDefault="00000000">
      <w:pPr>
        <w:pStyle w:val="Heading2"/>
        <w:spacing w:line="480" w:lineRule="auto"/>
        <w:rPr>
          <w:rFonts w:ascii="Times New Roman" w:eastAsia="Times New Roman" w:hAnsi="Times New Roman" w:cs="Times New Roman"/>
          <w:sz w:val="24"/>
          <w:szCs w:val="24"/>
        </w:rPr>
      </w:pPr>
      <w:bookmarkStart w:id="16" w:name="_Toc210744210"/>
      <w:r w:rsidRPr="007E7CB6">
        <w:rPr>
          <w:rFonts w:ascii="Times New Roman" w:eastAsia="Times New Roman" w:hAnsi="Times New Roman" w:cs="Times New Roman"/>
          <w:b/>
          <w:sz w:val="24"/>
          <w:szCs w:val="24"/>
        </w:rPr>
        <w:t>1.1</w:t>
      </w:r>
      <w:r w:rsidRPr="007E7CB6">
        <w:rPr>
          <w:rFonts w:ascii="Times New Roman" w:eastAsia="Times New Roman" w:hAnsi="Times New Roman" w:cs="Times New Roman"/>
          <w:b/>
          <w:sz w:val="24"/>
          <w:szCs w:val="24"/>
        </w:rPr>
        <w:tab/>
        <w:t>Background</w:t>
      </w:r>
      <w:bookmarkEnd w:id="16"/>
    </w:p>
    <w:p w14:paraId="5FEB3A61" w14:textId="2FD3E508"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Global environmental issues are increasingly becoming a major concern worldwide, with impacts being felt in various sectors. In recent years, sustainability has become a major focus in the business world, especially amid growing awareness of the impact of climate change. According to the</w:t>
      </w:r>
      <w:r w:rsidR="0082052F"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FhNTVkYWEtMGRkNy00NzVmLThmNGUtY2UzMWZhNjI5MTZhIiwicHJvcGVydGllcyI6eyJub3RlSW5kZXgiOjB9LCJpc0VkaXRlZCI6ZmFsc2UsIm1hbnVhbE92ZXJyaWRlIjp7ImlzTWFudWFsbHlPdmVycmlkZGVuIjp0cnVlLCJjaXRlcHJvY1RleHQiOiIoPGk+V01PIENvbmZpcm1zIDIwMjQgYXMgV2FybWVzdCBZZWFyIG9uIFJlY29yZCBhdCBhYm91dCAxLjU1wrBDIGFib3ZlIFByZS1JbmR1c3RyaWFsIExldmVsPC9pPiwgbi5kLikiLCJtYW51YWxPdmVycmlkZVRleHQiOiIoV29ybGQgTWV0ZW9yb2xvZ2ljYWwgT3JnYW5pemF0aW9uLCAyMDI0In0sImNpdGF0aW9uSXRlbXMiOlt7ImlkIjoiYmFmZDA2OGUtMzg0Yy0zMmE4LTg1ZjItZDE2MjJiNWIwOWZiIiwiaXRlbURhdGEiOnsidHlwZSI6IndlYnBhZ2UiLCJpZCI6ImJhZmQwNjhlLTM4NGMtMzJhOC04NWYyLWQxNjIyYjViMDlmYiIsInRpdGxlIjoiV01PIGNvbmZpcm1zIDIwMjQgYXMgd2FybWVzdCB5ZWFyIG9uIHJlY29yZCBhdCBhYm91dCAxLjU1wrBDIGFib3ZlIHByZS1pbmR1c3RyaWFsIGxldmVsIiwiYWNjZXNzZWQiOnsiZGF0ZS1wYXJ0cyI6W1syMDI1LDksMjRdXX0sIlVSTCI6Imh0dHBzOi8vd21vLmludC9uZXdzL21lZGlhLWNlbnRyZS93bW8tY29uZmlybXMtMjAyNC13YXJtZXN0LXllYXItcmVjb3JkLWFib3V0LTE1NWRlZ2MtYWJvdmUtcHJlLWluZHVzdHJpYWwtbGV2ZWw/dXRtX3NvdXJjZT1jaGF0Z3B0LmNvbSIsImNvbnRhaW5lci10aXRsZS1zaG9ydCI6IiJ9LCJpc1RlbXBvcmFyeSI6ZmFsc2UsInN1cHByZXNzLWF1dGhvciI6ZmFsc2UsImNvbXBvc2l0ZSI6ZmFsc2UsImF1dGhvci1vbmx5IjpmYWxzZX1dfQ=="/>
          <w:id w:val="-648901411"/>
          <w:placeholder>
            <w:docPart w:val="DefaultPlaceholder_-1854013440"/>
          </w:placeholder>
        </w:sdtPr>
        <w:sdtContent>
          <w:r w:rsidR="00AD6D10" w:rsidRPr="007E7CB6">
            <w:rPr>
              <w:rFonts w:ascii="Times New Roman" w:eastAsia="Times New Roman" w:hAnsi="Times New Roman" w:cs="Times New Roman"/>
              <w:color w:val="000000"/>
              <w:sz w:val="24"/>
            </w:rPr>
            <w:t>(World Meteorological Organization, 2024</w:t>
          </w:r>
        </w:sdtContent>
      </w:sdt>
      <w:r w:rsidR="0082052F"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the year 2024 was the warmest year on record, with global surface temperatures reaching about 1.55°C above pre-industrial levels (1850–1900). The Intergovernmental Panel on Climate Change</w:t>
      </w:r>
      <w:r w:rsidR="0082052F"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reported that during the period 2011–2020, global surface temperatures were already about 1.1°C higher than in the pre-industrial era. This confirms the long-term warming trend, with 2011–2020 being the hottest decade since records began. Looking ahead, if greenhouse gas emissions are not significantly reduced, projections indicate that global temperatures could rise by around 2.1°C to 3°C by the end of the 21st century under an intermediate emissions pathway (SSP2-4.5), far exceeding the 1.5 °C limit recommended by scientists to minimize the impacts of climate change</w:t>
      </w:r>
      <w:r w:rsidR="0082052F"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VlMjM5YmQtOTVlMC00ODQwLTgwYmUtNzk5YTc0ZmRiNzI1IiwicHJvcGVydGllcyI6eyJub3RlSW5kZXgiOjB9LCJpc0VkaXRlZCI6ZmFsc2UsIm1hbnVhbE92ZXJyaWRlIjp7ImlzTWFudWFsbHlPdmVycmlkZGVuIjp0cnVlLCJjaXRlcHJvY1RleHQiOiIoQ2FsdmluIGV0IGFsLiwgMjAyMykiLCJtYW51YWxPdmVycmlkZVRleHQiOiIoSVBDQywgMjAyMykifSwiY2l0YXRpb25JdGVtcyI6W3siaWQiOiIyYjlkMzdiMy04YmRjLTMwYTMtYmE0YS03OTg4YjFkMzVkMGQiLCJpdGVtRGF0YSI6eyJ0eXBlIjoicmVwb3J0IiwiaWQiOiIyYjlkMzdiMy04YmRjLTMwYTMtYmE0YS03OTg4YjFkMzVkMGQ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Q2FsdmluIiwiZ2l2ZW4iOiJLYXRoZXJpbmUiLCJwYXJzZS1uYW1lcyI6ZmFsc2UsImRyb3BwaW5nLXBhcnRpY2xlIjoiIiwibm9uLWRyb3BwaW5nLXBhcnRpY2xlIjoiIn0seyJmYW1pbHkiOiJEYXNndXB0YSIsImdpdmVuIjoiRGlwYWsiLCJwYXJzZS1uYW1lcyI6ZmFsc2UsImRyb3BwaW5nLXBhcnRpY2xlIjoiIiwibm9uLWRyb3BwaW5nLXBhcnRpY2xlIjoiIn0seyJmYW1pbHkiOiJLcmlubmVyIiwiZ2l2ZW4iOiJHZXJoYXJkIiwicGFyc2UtbmFtZXMiOmZhbHNlLCJkcm9wcGluZy1wYXJ0aWNsZSI6IiIsIm5vbi1kcm9wcGluZy1wYXJ0aWNsZSI6IiJ9LHsiZmFtaWx5IjoiTXVraGVyamkiLCJnaXZlbiI6IkFkaXRpIiwicGFyc2UtbmFtZXMiOmZhbHNlLCJkcm9wcGluZy1wYXJ0aWNsZSI6IiIsIm5vbi1kcm9wcGluZy1wYXJ0aWNsZSI6IiJ9LHsiZmFtaWx5IjoiVGhvcm5lIiwiZ2l2ZW4iOiJQZXRlciBXLiIsInBhcnNlLW5hbWVzIjpmYWxzZSwiZHJvcHBpbmctcGFydGljbGUiOiIiLCJub24tZHJvcHBpbmctcGFydGljbGUiOiIifSx7ImZhbWlseSI6IlRyaXNvcyIsImdpdmVuIjoiQ2hyaXN0b3BoZXIiLCJwYXJzZS1uYW1lcyI6ZmFsc2UsImRyb3BwaW5nLXBhcnRpY2xlIjoiIiwibm9uLWRyb3BwaW5nLXBhcnRpY2xlIjoiIn0seyJmYW1pbHkiOiJSb21lcm8iLCJnaXZlbiI6Ikpvc8OpIiwicGFyc2UtbmFtZXMiOmZhbHNlLCJkcm9wcGluZy1wYXJ0aWNsZSI6IiIsIm5vbi1kcm9wcGluZy1wYXJ0aWNsZSI6IiJ9LHsiZmFtaWx5IjoiQWxkdW5jZSIsImdpdmVuIjoiUGF1bGluYSIsInBhcnNlLW5hbWVzIjpmYWxzZSwiZHJvcHBpbmctcGFydGljbGUiOiIiLCJub24tZHJvcHBpbmctcGFydGljbGUiOiIifSx7ImZhbWlseSI6IkJhcnJldHQiLCJnaXZlbiI6IktvIiwicGFyc2UtbmFtZXMiOmZhbHNlLCJkcm9wcGluZy1wYXJ0aWNsZSI6IiIsIm5vbi1kcm9wcGluZy1wYXJ0aWNsZSI6IiJ9LHsiZmFtaWx5IjoiQmxhbmNvIiwiZ2l2ZW4iOiJHYWJyaWVsIiwicGFyc2UtbmFtZXMiOmZhbHNlLCJkcm9wcGluZy1wYXJ0aWNsZSI6IiIsIm5vbi1kcm9wcGluZy1wYXJ0aWNsZSI6IiJ9LHsiZmFtaWx5IjoiQ2hldW5nIiwiZ2l2ZW4iOiJXaWxsaWFtIFcuTC4iLCJwYXJzZS1uYW1lcyI6ZmFsc2UsImRyb3BwaW5nLXBhcnRpY2xlIjoiIiwibm9uLWRyb3BwaW5nLXBhcnRpY2xlIjoiIn0seyJmYW1pbHkiOiJDb25ub3JzIiwiZ2l2ZW4iOiJTYXJhaCIsInBhcnNlLW5hbWVzIjpmYWxzZSwiZHJvcHBpbmctcGFydGljbGUiOiIiLCJub24tZHJvcHBpbmctcGFydGljbGUiOiIifSx7ImZhbWlseSI6IkRlbnRvbiIsImdpdmVuIjoiRmF0aW1hIiwicGFyc2UtbmFtZXMiOmZhbHNlLCJkcm9wcGluZy1wYXJ0aWNsZSI6IiIsIm5vbi1kcm9wcGluZy1wYXJ0aWNsZSI6IiJ9LHsiZmFtaWx5IjoiRGlvbmd1ZS1OaWFuZyIsImdpdmVuIjoiQcOvZGEiLCJwYXJzZS1uYW1lcyI6ZmFsc2UsImRyb3BwaW5nLXBhcnRpY2xlIjoiIiwibm9uLWRyb3BwaW5nLXBhcnRpY2xlIjoiIn0seyJmYW1pbHkiOiJEb2RtYW4iLCJnaXZlbiI6IkRhdmlkIiwicGFyc2UtbmFtZXMiOmZhbHNlLCJkcm9wcGluZy1wYXJ0aWNsZSI6IiIsIm5vbi1kcm9wcGluZy1wYXJ0aWNsZSI6IiJ9LHsiZmFtaWx5IjoiR2Fyc2NoYWdlbiIsImdpdmVuIjoiTWF0dGhpYXMiLCJwYXJzZS1uYW1lcyI6ZmFsc2UsImRyb3BwaW5nLXBhcnRpY2xlIjoiIiwibm9uLWRyb3BwaW5nLXBhcnRpY2xlIjoiIn0seyJmYW1pbHkiOiJHZWRlbiIsImdpdmVuIjoiT2xpdmVyIiwicGFyc2UtbmFtZXMiOmZhbHNlLCJkcm9wcGluZy1wYXJ0aWNsZSI6IiIsIm5vbi1kcm9wcGluZy1wYXJ0aWNsZSI6IiJ9LHsiZmFtaWx5IjoiSGF5d2FyZCIsImdpdmVuIjoiQnJvbnd5biIsInBhcnNlLW5hbWVzIjpmYWxzZSwiZHJvcHBpbmctcGFydGljbGUiOiIiLCJub24tZHJvcHBpbmctcGFydGljbGUiOiIifSx7ImZhbWlseSI6IkpvbmVzIiwiZ2l2ZW4iOiJDaHJpc3RvcGhlciIsInBhcnNlLW5hbWVzIjpmYWxzZSwiZHJvcHBpbmctcGFydGljbGUiOiIiLCJub24tZHJvcHBpbmctcGFydGljbGUiOiIifSx7ImZhbWlseSI6IkpvdHpvIiwiZ2l2ZW4iOiJGcmFuayIsInBhcnNlLW5hbWVzIjpmYWxzZSwiZHJvcHBpbmctcGFydGljbGUiOiIiLCJub24tZHJvcHBpbmctcGFydGljbGUiOiIifSx7ImZhbWlseSI6IktydWciLCJnaXZlbiI6IlRoZWxtYSIsInBhcnNlLW5hbWVzIjpmYWxzZSwiZHJvcHBpbmctcGFydGljbGUiOiIiLCJub24tZHJvcHBpbmctcGFydGljbGUiOiIifSx7ImZhbWlseSI6Ikxhc2NvIiwiZ2l2ZW4iOiJSb2RlbCIsInBhcnNlLW5hbWVzIjpmYWxzZSwiZHJvcHBpbmctcGFydGljbGUiOiIiLCJub24tZHJvcHBpbmctcGFydGljbGUiOiIifSx7ImZhbWlseSI6IkxlZSIsImdpdmVuIjoiWXVuZS1ZaSIsInBhcnNlLW5hbWVzIjpmYWxzZSwiZHJvcHBpbmctcGFydGljbGUiOiIiLCJub24tZHJvcHBpbmctcGFydGljbGUiOiIifSx7ImZhbWlseSI6Ik1hc3Nvbi1EZWxtb3R0ZSIsImdpdmVuIjoiVmFsw6lyaWUiLCJwYXJzZS1uYW1lcyI6ZmFsc2UsImRyb3BwaW5nLXBhcnRpY2xlIjoiIiwibm9uLWRyb3BwaW5nLXBhcnRpY2xlIjoiIn0seyJmYW1pbHkiOiJNZWluc2hhdXNlbiIsImdpdmVuIjoiTWFsdGUiLCJwYXJzZS1uYW1lcyI6ZmFsc2UsImRyb3BwaW5nLXBhcnRpY2xlIjoiIiwibm9uLWRyb3BwaW5nLXBhcnRpY2xlIjoiIn0seyJmYW1pbHkiOiJNaW50ZW5iZWNrIiwiZ2l2ZW4iOiJLYXRqYSIsInBhcnNlLW5hbWVzIjpmYWxzZSwiZHJvcHBpbmctcGFydGljbGUiOiIiLCJub24tZHJvcHBpbmctcGFydGljbGUiOiIifSx7ImZhbWlseSI6Ik1va3NzaXQiLCJnaXZlbiI6IkFiZGFsYWgiLCJwYXJzZS1uYW1lcyI6ZmFsc2UsImRyb3BwaW5nLXBhcnRpY2xlIjoiIiwibm9uLWRyb3BwaW5nLXBhcnRpY2xlIjoiIn0seyJmYW1pbHkiOiJPdHRvIiwiZ2l2ZW4iOiJGcmllZGVyaWtlIEUuTC4iLCJwYXJzZS1uYW1lcyI6ZmFsc2UsImRyb3BwaW5nLXBhcnRpY2xlIjoiIiwibm9uLWRyb3BwaW5nLXBhcnRpY2xlIjoiIn0seyJmYW1pbHkiOiJQYXRoYWsiLCJnaXZlbiI6Ik1pbmFs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lDDtnJ0bmVyIiwiZ2l2ZW4iOiJIYW5zLU90dG8iLCJwYXJzZS1uYW1lcyI6ZmFsc2UsImRyb3BwaW5nLXBhcnRpY2xlIjoiIiwibm9uLWRyb3BwaW5nLXBhcnRpY2xlIjoiIn0seyJmYW1pbHkiOiJSZXZpIiwiZ2l2ZW4iOiJBcm9tYXIiLCJwYXJzZS1uYW1lcyI6ZmFsc2UsImRyb3BwaW5nLXBhcnRpY2xlIjoiIiwibm9uLWRyb3BwaW5nLXBhcnRpY2xlIjoiIn0seyJmYW1pbHkiOiJSb2JlcnRzIiwiZ2l2ZW4iOiJEZWJyYSBDLiIsInBhcnNlLW5hbWVzIjpmYWxzZSwiZHJvcHBpbmctcGFydGljbGUiOiIiLCJub24tZHJvcHBpbmctcGFydGljbGUiOiIifSx7ImZhbWlseSI6IlJveSIsImdpdmVuIjoiSm95YXNocmVlIiwicGFyc2UtbmFtZXMiOmZhbHNlLCJkcm9wcGluZy1wYXJ0aWNsZSI6IiIsIm5vbi1kcm9wcGluZy1wYXJ0aWNsZSI6IiJ9LHsiZmFtaWx5IjoiUnVhbmUiLCJnaXZlbiI6IkFsZXggQy4iLCJwYXJzZS1uYW1lcyI6ZmFsc2UsImRyb3BwaW5nLXBhcnRpY2xlIjoiIiwibm9uLWRyb3BwaW5nLXBhcnRpY2xlIjoiIn0seyJmYW1pbHkiOiJTa2VhIiwiZ2l2ZW4iOiJKaW0iLCJwYXJzZS1uYW1lcyI6ZmFsc2UsImRyb3BwaW5nLXBhcnRpY2xlIjoiIiwibm9uLWRyb3BwaW5nLXBhcnRpY2xlIjoiIn0seyJmYW1pbHkiOiJTaHVrbGEiLCJnaXZlbiI6IlByaXlhZGFyc2hpIFIuIiwicGFyc2UtbmFtZXMiOmZhbHNlLCJkcm9wcGluZy1wYXJ0aWNsZSI6IiIsIm5vbi1kcm9wcGluZy1wYXJ0aWNsZSI6IiJ9LHsiZmFtaWx5IjoiU2xhZGUiLCJnaXZlbiI6IlJhcGhhZWwiLCJwYXJzZS1uYW1lcyI6ZmFsc2UsImRyb3BwaW5nLXBhcnRpY2xlIjoiIiwibm9uLWRyb3BwaW5nLXBhcnRpY2xlIjoiIn0seyJmYW1pbHkiOiJTbGFuZ2VuIiwiZ2l2ZW4iOiJBaW3DqWUiLCJwYXJzZS1uYW1lcyI6ZmFsc2UsImRyb3BwaW5nLXBhcnRpY2xlIjoiIiwibm9uLWRyb3BwaW5nLXBhcnRpY2xlIjoiIn0seyJmYW1pbHkiOiJTb2tvbmEiLCJnaXZlbiI6IllvdWJhIiwicGFyc2UtbmFtZXMiOmZhbHNlLCJkcm9wcGluZy1wYXJ0aWNsZSI6IiIsIm5vbi1kcm9wcGluZy1wYXJ0aWNsZSI6IiJ9LHsiZmFtaWx5IjoiU8O2cmVuc3NvbiIsImdpdmVuIjoiQW5uYSBBLiIsInBhcnNlLW5hbWVzIjpmYWxzZSwiZHJvcHBpbmctcGFydGljbGUiOiIiLCJub24tZHJvcHBpbmctcGFydGljbGUiOiIifSx7ImZhbWlseSI6IlRpZ25vciIsImdpdmVuIjoiTWVsaW5kYSIsInBhcnNlLW5hbWVzIjpmYWxzZSwiZHJvcHBpbmctcGFydGljbGUiOiIiLCJub24tZHJvcHBpbmctcGFydGljbGUiOiIifSx7ImZhbWlseSI6IlZ1dXJlbiIsImdpdmVuIjoiRGV0bGVmIiwicGFyc2UtbmFtZXMiOmZhbHNlLCJkcm9wcGluZy1wYXJ0aWNsZSI6IiIsIm5vbi1kcm9wcGluZy1wYXJ0aWNsZSI6InZhbiJ9LHsiZmFtaWx5IjoiV2VpIiwiZ2l2ZW4iOiJZaS1NaW5nIiwicGFyc2UtbmFtZXMiOmZhbHNlLCJkcm9wcGluZy1wYXJ0aWNsZSI6IiIsIm5vbi1kcm9wcGluZy1wYXJ0aWNsZSI6IiJ9LHsiZmFtaWx5IjoiV2lua2xlciIsImdpdmVuIjoiSGFyYWxkIiwicGFyc2UtbmFtZXMiOmZhbHNlLCJkcm9wcGluZy1wYXJ0aWNsZSI6IiIsIm5vbi1kcm9wcGluZy1wYXJ0aWNsZSI6IiJ9LHsiZmFtaWx5IjoiWmhhaSIsImdpdmVuIjoiUGFubWFvIiwicGFyc2UtbmFtZXMiOmZhbHNlLCJkcm9wcGluZy1wYXJ0aWNsZSI6IiIsIm5vbi1kcm9wcGluZy1wYXJ0aWNsZSI6IiJ9LHsiZmFtaWx5IjoiWm9tbWVycyIsImdpdmVuIjoiWmludGEiLCJwYXJzZS1uYW1lcyI6ZmFsc2UsImRyb3BwaW5nLXBhcnRpY2xlIjoiIiwibm9uLWRyb3BwaW5nLXBhcnRpY2xlIjoiIn0seyJmYW1pbHkiOiJIb3VyY2FkZSIsImdpdmVuIjoiSmVhbi1DaGFybGVzIiwicGFyc2UtbmFtZXMiOmZhbHNlLCJkcm9wcGluZy1wYXJ0aWNsZSI6IiIsIm5vbi1kcm9wcGluZy1wYXJ0aWNsZSI6IiJ9LHsiZmFtaWx5IjoiSm9obnNvbiIsImdpdmVuIjoiRnJhbmNpcyBYLiIsInBhcnNlLW5hbWVzIjpmYWxzZSwiZHJvcHBpbmctcGFydGljbGUiOiIiLCJub24tZHJvcHBpbmctcGFydGljbGUiOiIifSx7ImZhbWlseSI6IlBhY2hhdXJpIiwiZ2l2ZW4iOiJTaG9uYWxpIiwicGFyc2UtbmFtZXMiOmZhbHNlLCJkcm9wcGluZy1wYXJ0aWNsZSI6IiIsIm5vbi1kcm9wcGluZy1wYXJ0aWNsZSI6IiJ9LHsiZmFtaWx5IjoiU2ltcHNvbiIsImdpdmVuIjoiTmljaG9sYXMgUC4iLCJwYXJzZS1uYW1lcyI6ZmFsc2UsImRyb3BwaW5nLXBhcnRpY2xlIjoiIiwibm9uLWRyb3BwaW5nLXBhcnRpY2xlIjoiIn0seyJmYW1pbHkiOiJTaW5naCIsImdpdmVuIjoiQ2hhbmRuaSIsInBhcnNlLW5hbWVzIjpmYWxzZSwiZHJvcHBpbmctcGFydGljbGUiOiIiLCJub24tZHJvcHBpbmctcGFydGljbGUiOiIifSx7ImZhbWlseSI6IlRob21hcyIsImdpdmVuIjoiQWRlbGxlIiwicGFyc2UtbmFtZXMiOmZhbHNlLCJkcm9wcGluZy1wYXJ0aWNsZSI6IiIsIm5vbi1kcm9wcGluZy1wYXJ0aWNsZSI6IiJ9LHsiZmFtaWx5IjoiVG90aW4iLCJnaXZlbiI6IkVkbW9uZCIsInBhcnNlLW5hbWVzIjpmYWxzZSwiZHJvcHBpbmctcGFydGljbGUiOiIiLCJub24tZHJvcHBpbmctcGFydGljbGUiOiIifSx7ImZhbWlseSI6IkFsZWdyw61hIiwiZ2l2ZW4iOiJBbmRyw6lzIiwicGFyc2UtbmFtZXMiOmZhbHNlLCJkcm9wcGluZy1wYXJ0aWNsZSI6IiIsIm5vbi1kcm9wcGluZy1wYXJ0aWNsZSI6IiJ9LHsiZmFtaWx5IjoiQXJtb3VyIiwiZ2l2ZW4iOiJLeWxlIiwicGFyc2UtbmFtZXMiOmZhbHNlLCJkcm9wcGluZy1wYXJ0aWNsZSI6IiIsIm5vbi1kcm9wcGluZy1wYXJ0aWNsZSI6IiJ9LHsiZmFtaWx5IjoiQmVkbmFyLUZyaWVkbCIsImdpdmVuIjoiQmlyZ2l0IiwicGFyc2UtbmFtZXMiOmZhbHNlLCJkcm9wcGluZy1wYXJ0aWNsZSI6IiIsIm5vbi1kcm9wcGluZy1wYXJ0aWNsZSI6IiJ9LHsiZmFtaWx5IjoiQmxvayIsImdpdmVuIjoiS29ybmVsaXMiLCJwYXJzZS1uYW1lcyI6ZmFsc2UsImRyb3BwaW5nLXBhcnRpY2xlIjoiIiwibm9uLWRyb3BwaW5nLXBhcnRpY2xlIjoiIn0seyJmYW1pbHkiOiJDaXNzw6kiLCJnaXZlbiI6Ikd1w6lsYWRpbyIsInBhcnNlLW5hbWVzIjpmYWxzZSwiZHJvcHBpbmctcGFydGljbGUiOiIiLCJub24tZHJvcHBpbmctcGFydGljbGUiOiIifSx7ImZhbWlseSI6IkRlbnRlbmVyIiwiZ2l2ZW4iOiJGcmFuayIsInBhcnNlLW5hbWVzIjpmYWxzZSwiZHJvcHBpbmctcGFydGljbGUiOiIiLCJub24tZHJvcHBpbmctcGFydGljbGUiOiIifSx7ImZhbWlseSI6IkVyaWtzZW4iLCJnaXZlbiI6IlNpcmkiLCJwYXJzZS1uYW1lcyI6ZmFsc2UsImRyb3BwaW5nLXBhcnRpY2xlIjoiIiwibm9uLWRyb3BwaW5nLXBhcnRpY2xlIjoiIn0seyJmYW1pbHkiOiJGaXNjaGVyIiwiZ2l2ZW4iOiJFcmljaCIsInBhcnNlLW5hbWVzIjpmYWxzZSwiZHJvcHBpbmctcGFydGljbGUiOiIiLCJub24tZHJvcHBpbmctcGFydGljbGUiOiIifSx7ImZhbWlseSI6Ikdhcm5lciIsImdpdmVuIjoiR3JlZ29yeSIsInBhcnNlLW5hbWVzIjpmYWxzZSwiZHJvcHBpbmctcGFydGljbGUiOiIiLCJub24tZHJvcHBpbmctcGFydGljbGUiOiIifSx7ImZhbWlseSI6Ikd1aXZhcmNoIiwiZ2l2ZW4iOiJDw6lsaW5lIiwicGFyc2UtbmFtZXMiOmZhbHNlLCJkcm9wcGluZy1wYXJ0aWNsZSI6IiIsIm5vbi1kcm9wcGluZy1wYXJ0aWNsZSI6IiJ9LHsiZmFtaWx5IjoiSGFhc25vb3QiLCJnaXZlbiI6Ik1hcmpvbGlqbiIsInBhcnNlLW5hbWVzIjpmYWxzZSwiZHJvcHBpbmctcGFydGljbGUiOiIiLCJub24tZHJvcHBpbmctcGFydGljbGUiOiIifSx7ImZhbWlseSI6IkhhbnNlbiIsImdpdmVuIjoiR2Vycml0IiwicGFyc2UtbmFtZXMiOmZhbHNlLCJkcm9wcGluZy1wYXJ0aWNsZSI6IiIsIm5vbi1kcm9wcGluZy1wYXJ0aWNsZSI6IiJ9LHsiZmFtaWx5IjoiSGF1c2VyIiwiZ2l2ZW4iOiJNYXRoaWFzIiwicGFyc2UtbmFtZXMiOmZhbHNlLCJkcm9wcGluZy1wYXJ0aWNsZSI6IiIsIm5vbi1kcm9wcGluZy1wYXJ0aWNsZSI6IiJ9LHsiZmFtaWx5IjoiSGF3a2lucyIsImdpdmVuIjoiRWQiLCJwYXJzZS1uYW1lcyI6ZmFsc2UsImRyb3BwaW5nLXBhcnRpY2xlIjoiIiwibm9uLWRyb3BwaW5nLXBhcnRpY2xlIjoiIn0seyJmYW1pbHkiOiJIZXJtYW5zIiwiZ2l2ZW4iOiJUaW0iLCJwYXJzZS1uYW1lcyI6ZmFsc2UsImRyb3BwaW5nLXBhcnRpY2xlIjoiIiwibm9uLWRyb3BwaW5nLXBhcnRpY2xlIjoiIn0seyJmYW1pbHkiOiJLb3BwIiwiZ2l2ZW4iOiJSb2JlcnQiLCJwYXJzZS1uYW1lcyI6ZmFsc2UsImRyb3BwaW5nLXBhcnRpY2xlIjoiIiwibm9uLWRyb3BwaW5nLXBhcnRpY2xlIjoiIn0seyJmYW1pbHkiOiJMZXByaW5jZS1SaW5ndWV0IiwiZ2l2ZW4iOiJOb8OrbWllIiwicGFyc2UtbmFtZXMiOmZhbHNlLCJkcm9wcGluZy1wYXJ0aWNsZSI6IiIsIm5vbi1kcm9wcGluZy1wYXJ0aWNsZSI6IiJ9LHsiZmFtaWx5IjoiTGV3aXMiLCJnaXZlbiI6IkphcmVkIiwicGFyc2UtbmFtZXMiOmZhbHNlLCJkcm9wcGluZy1wYXJ0aWNsZSI6IiIsIm5vbi1kcm9wcGluZy1wYXJ0aWNsZSI6IiJ9LHsiZmFtaWx5IjoiTGV5IiwiZ2l2ZW4iOiJEZWJvcmEiLCJwYXJzZS1uYW1lcyI6ZmFsc2UsImRyb3BwaW5nLXBhcnRpY2xlIjoiIiwibm9uLWRyb3BwaW5nLXBhcnRpY2xlIjoiIn0seyJmYW1pbHkiOiJMdWRkZW4iLCJnaXZlbiI6IkNobG/DqSIsInBhcnNlLW5hbWVzIjpmYWxzZSwiZHJvcHBpbmctcGFydGljbGUiOiIiLCJub24tZHJvcHBpbmctcGFydGljbGUiOiIifSx7ImZhbWlseSI6Ik5pYW1pciIsImdpdmVuIjoiTGVpbGEiLCJwYXJzZS1uYW1lcyI6ZmFsc2UsImRyb3BwaW5nLXBhcnRpY2xlIjoiIiwibm9uLWRyb3BwaW5nLXBhcnRpY2xlIjoiIn0seyJmYW1pbHkiOiJOaWNob2xscyIsImdpdmVuIjoiWmViZWRlZSIsInBhcnNlLW5hbWVzIjpmYWxzZSwiZHJvcHBpbmctcGFydGljbGUiOiIiLCJub24tZHJvcHBpbmctcGFydGljbGUiOiIifSx7ImZhbWlseSI6IlNvbWUiLCJnaXZlbiI6IlNocmV5YSIsInBhcnNlLW5hbWVzIjpmYWxzZSwiZHJvcHBpbmctcGFydGljbGUiOiIiLCJub24tZHJvcHBpbmctcGFydGljbGUiOiIifSx7ImZhbWlseSI6IlN6b3BhIiwiZ2l2ZW4iOiJTb3BoaWUiLCJwYXJzZS1uYW1lcyI6ZmFsc2UsImRyb3BwaW5nLXBhcnRpY2xlIjoiIiwibm9uLWRyb3BwaW5nLXBhcnRpY2xlIjoiIn0seyJmYW1pbHkiOiJUcmV3aW4iLCJnaXZlbiI6IkJsYWlyIiwicGFyc2UtbmFtZXMiOmZhbHNlLCJkcm9wcGluZy1wYXJ0aWNsZSI6IiIsIm5vbi1kcm9wcGluZy1wYXJ0aWNsZSI6IiJ9LHsiZmFtaWx5IjoiV2lqc3QiLCJnaXZlbiI6Ikthai1JdmFyIiwicGFyc2UtbmFtZXMiOmZhbHNlLCJkcm9wcGluZy1wYXJ0aWNsZSI6IiIsIm5vbi1kcm9wcGluZy1wYXJ0aWNsZSI6InZhbiBkZXIifSx7ImZhbWlseSI6IldpbnRlciIsImdpdmVuIjoiR3VuZHVsYSIsInBhcnNlLW5hbWVzIjpmYWxzZSwiZHJvcHBpbmctcGFydGljbGUiOiIiLCJub24tZHJvcHBpbmctcGFydGljbGUiOiIifSx7ImZhbWlseSI6IldpdHRpbmciLCJnaXZlbiI6Ik1heGltaWxpYW4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UsInN1cHByZXNzLWF1dGhvciI6ZmFsc2UsImNvbXBvc2l0ZSI6ZmFsc2UsImF1dGhvci1vbmx5IjpmYWxzZX1dfQ=="/>
          <w:id w:val="99461455"/>
          <w:placeholder>
            <w:docPart w:val="FF3D22A343064149863648635EF6842F"/>
          </w:placeholder>
        </w:sdtPr>
        <w:sdtContent>
          <w:r w:rsidR="00AD6D10" w:rsidRPr="007E7CB6">
            <w:rPr>
              <w:rFonts w:ascii="Times New Roman" w:eastAsia="Times New Roman" w:hAnsi="Times New Roman" w:cs="Times New Roman"/>
              <w:color w:val="000000"/>
              <w:sz w:val="24"/>
              <w:szCs w:val="24"/>
            </w:rPr>
            <w:t>(IPCC, 2023)</w:t>
          </w:r>
        </w:sdtContent>
      </w:sdt>
    </w:p>
    <w:p w14:paraId="22FE3E56" w14:textId="6673051F" w:rsidR="00153781" w:rsidRPr="007E7CB6" w:rsidRDefault="00000000" w:rsidP="0082052F">
      <w:pPr>
        <w:spacing w:line="480" w:lineRule="auto"/>
        <w:ind w:firstLine="720"/>
        <w:jc w:val="both"/>
        <w:rPr>
          <w:rFonts w:ascii="Times New Roman" w:eastAsia="Times New Roman" w:hAnsi="Times New Roman" w:cs="Times New Roman"/>
          <w:sz w:val="28"/>
          <w:szCs w:val="28"/>
        </w:rPr>
      </w:pPr>
      <w:r w:rsidRPr="007E7CB6">
        <w:rPr>
          <w:rFonts w:ascii="Times New Roman" w:eastAsia="Times New Roman" w:hAnsi="Times New Roman" w:cs="Times New Roman"/>
          <w:sz w:val="24"/>
          <w:szCs w:val="24"/>
        </w:rPr>
        <w:t>Based on data from</w:t>
      </w:r>
      <w:r w:rsidR="0082052F"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TY4MjkwZDAtNDJjNi00NWYwLTlhM2ItNDQxMTUwMjUxZTAzIiwicHJvcGVydGllcyI6eyJub3RlSW5kZXgiOjB9LCJpc0VkaXRlZCI6ZmFsc2UsIm1hbnVhbE92ZXJyaWRlIjp7ImlzTWFudWFsbHlPdmVycmlkZGVuIjpmYWxzZSwiY2l0ZXByb2NUZXh0IjoiKE91ciBXb3JsZCBpbiBEYXRhLCAyMDI0KSIsIm1hbnVhbE92ZXJyaWRlVGV4dCI6IiJ9LCJjaXRhdGlvbkl0ZW1zIjpbeyJpZCI6IjFiMmUwODYwLWQ2Y2ItMzE5ZC1hMjIwLWIxNWUwMjA1MTc5ZiIsIml0ZW1EYXRhIjp7InR5cGUiOiJ3ZWJwYWdlIiwiaWQiOiIxYjJlMDg2MC1kNmNiLTMxOWQtYTIyMC1iMTVlMDIwNTE3OWYiLCJ0aXRsZSI6IkNP4oKCIGFuZCBHcmVlbmhvdXNlIEdhcyBFbWlzc2lvbnMiLCJhdXRob3IiOlt7ImZhbWlseSI6Ik91ciBXb3JsZCBpbiBEYXRhIiwiZ2l2ZW4iOiIiLCJwYXJzZS1uYW1lcyI6ZmFsc2UsImRyb3BwaW5nLXBhcnRpY2xlIjoiIiwibm9uLWRyb3BwaW5nLXBhcnRpY2xlIjoiIn1dLCJhY2Nlc3NlZCI6eyJkYXRlLXBhcnRzIjpbWzIwMjUsNiwxOV1dfSwiVVJMIjoiaHR0cHM6Ly9vdXJ3b3JsZGluZGF0YS5vcmcvY28yLWFuZC1ncmVlbmhvdXNlLWdhcy1lbWlzc2lvbnMiLCJpc3N1ZWQiOnsiZGF0ZS1wYXJ0cyI6W1syMDI0XV19LCJjb250YWluZXItdGl0bGUtc2hvcnQiOiIifSwiaXNUZW1wb3JhcnkiOmZhbHNlLCJzdXBwcmVzcy1hdXRob3IiOmZhbHNlLCJjb21wb3NpdGUiOmZhbHNlLCJhdXRob3Itb25seSI6ZmFsc2V9XX0="/>
          <w:id w:val="-782110737"/>
          <w:placeholder>
            <w:docPart w:val="DefaultPlaceholder_-1854013440"/>
          </w:placeholder>
        </w:sdtPr>
        <w:sdtContent>
          <w:r w:rsidR="00AD6D10" w:rsidRPr="007E7CB6">
            <w:rPr>
              <w:rFonts w:ascii="Times New Roman" w:eastAsia="Times New Roman" w:hAnsi="Times New Roman" w:cs="Times New Roman"/>
              <w:color w:val="000000"/>
              <w:sz w:val="24"/>
              <w:szCs w:val="24"/>
            </w:rPr>
            <w:t>(Our World in Data, 2024)</w:t>
          </w:r>
        </w:sdtContent>
      </w:sdt>
      <w:r w:rsidR="0082052F"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Indonesia’s share of global CO₂ emissions has recently been around 1.5–2%. Regulatory mechanisms such as the EU’s Carbon Border Adjustment Mechanism (CBAM) are being implemented to ensure that imports reflect embedded carbon emissions, which places pressure on companies that export carbon-intensive goods. To prepare for these kinds of risks, companies are increasingly required to enhance their supply chain </w:t>
      </w:r>
      <w:r w:rsidR="0082052F" w:rsidRPr="007E7CB6">
        <w:rPr>
          <w:rFonts w:ascii="Times New Roman" w:hAnsi="Times New Roman" w:cs="Times New Roman"/>
          <w:noProof/>
        </w:rPr>
        <w:lastRenderedPageBreak/>
        <w:drawing>
          <wp:anchor distT="114300" distB="114300" distL="114300" distR="114300" simplePos="0" relativeHeight="251659264" behindDoc="0" locked="0" layoutInCell="1" hidden="0" allowOverlap="1" wp14:anchorId="788CB4E0" wp14:editId="0277C415">
            <wp:simplePos x="0" y="0"/>
            <wp:positionH relativeFrom="margin">
              <wp:posOffset>690880</wp:posOffset>
            </wp:positionH>
            <wp:positionV relativeFrom="margin">
              <wp:posOffset>645323</wp:posOffset>
            </wp:positionV>
            <wp:extent cx="3657600" cy="3048000"/>
            <wp:effectExtent l="0" t="0" r="0" b="0"/>
            <wp:wrapSquare wrapText="bothSides" distT="114300" distB="114300" distL="114300" distR="11430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657600" cy="3048000"/>
                    </a:xfrm>
                    <a:prstGeom prst="rect">
                      <a:avLst/>
                    </a:prstGeom>
                    <a:ln/>
                  </pic:spPr>
                </pic:pic>
              </a:graphicData>
            </a:graphic>
          </wp:anchor>
        </w:drawing>
      </w:r>
      <w:r w:rsidRPr="007E7CB6">
        <w:rPr>
          <w:rFonts w:ascii="Times New Roman" w:eastAsia="Times New Roman" w:hAnsi="Times New Roman" w:cs="Times New Roman"/>
          <w:sz w:val="24"/>
          <w:szCs w:val="24"/>
        </w:rPr>
        <w:t xml:space="preserve">transparency and adopt environmental reporting practices, and there is growing </w:t>
      </w:r>
      <w:r w:rsidR="0082052F" w:rsidRPr="007E7CB6">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3078C6C4" wp14:editId="6B71F76C">
                <wp:simplePos x="0" y="0"/>
                <wp:positionH relativeFrom="column">
                  <wp:posOffset>690880</wp:posOffset>
                </wp:positionH>
                <wp:positionV relativeFrom="paragraph">
                  <wp:posOffset>3726765</wp:posOffset>
                </wp:positionV>
                <wp:extent cx="36576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22CEF39B" w14:textId="6D2AFED2" w:rsidR="00D324E7" w:rsidRDefault="00D324E7" w:rsidP="00D05F57">
                            <w:pPr>
                              <w:pStyle w:val="Caption"/>
                              <w:spacing w:after="0" w:line="276" w:lineRule="auto"/>
                              <w:jc w:val="center"/>
                              <w:rPr>
                                <w:rFonts w:ascii="Times New Roman" w:hAnsi="Times New Roman" w:cs="Times New Roman"/>
                                <w:b/>
                                <w:bCs/>
                                <w:color w:val="000000" w:themeColor="text1"/>
                                <w:sz w:val="22"/>
                                <w:szCs w:val="22"/>
                              </w:rPr>
                            </w:pPr>
                            <w:bookmarkStart w:id="17" w:name="_Toc209703561"/>
                            <w:r w:rsidRPr="00D324E7">
                              <w:rPr>
                                <w:rFonts w:ascii="Times New Roman" w:hAnsi="Times New Roman" w:cs="Times New Roman"/>
                                <w:b/>
                                <w:bCs/>
                                <w:color w:val="000000" w:themeColor="text1"/>
                                <w:sz w:val="22"/>
                                <w:szCs w:val="22"/>
                              </w:rPr>
                              <w:t xml:space="preserve">Figure </w:t>
                            </w:r>
                            <w:r w:rsidRPr="00D324E7">
                              <w:rPr>
                                <w:rFonts w:ascii="Times New Roman" w:hAnsi="Times New Roman" w:cs="Times New Roman"/>
                                <w:b/>
                                <w:bCs/>
                                <w:color w:val="000000" w:themeColor="text1"/>
                                <w:sz w:val="22"/>
                                <w:szCs w:val="22"/>
                              </w:rPr>
                              <w:fldChar w:fldCharType="begin"/>
                            </w:r>
                            <w:r w:rsidRPr="00D324E7">
                              <w:rPr>
                                <w:rFonts w:ascii="Times New Roman" w:hAnsi="Times New Roman" w:cs="Times New Roman"/>
                                <w:b/>
                                <w:bCs/>
                                <w:color w:val="000000" w:themeColor="text1"/>
                                <w:sz w:val="22"/>
                                <w:szCs w:val="22"/>
                              </w:rPr>
                              <w:instrText xml:space="preserve"> SEQ Figure \* ARABIC </w:instrText>
                            </w:r>
                            <w:r w:rsidRPr="00D324E7">
                              <w:rPr>
                                <w:rFonts w:ascii="Times New Roman" w:hAnsi="Times New Roman" w:cs="Times New Roman"/>
                                <w:b/>
                                <w:bCs/>
                                <w:color w:val="000000" w:themeColor="text1"/>
                                <w:sz w:val="22"/>
                                <w:szCs w:val="22"/>
                              </w:rPr>
                              <w:fldChar w:fldCharType="separate"/>
                            </w:r>
                            <w:r w:rsidR="00FD5B7D">
                              <w:rPr>
                                <w:rFonts w:ascii="Times New Roman" w:hAnsi="Times New Roman" w:cs="Times New Roman"/>
                                <w:b/>
                                <w:bCs/>
                                <w:noProof/>
                                <w:color w:val="000000" w:themeColor="text1"/>
                                <w:sz w:val="22"/>
                                <w:szCs w:val="22"/>
                              </w:rPr>
                              <w:t>1</w:t>
                            </w:r>
                            <w:r w:rsidRPr="00D324E7">
                              <w:rPr>
                                <w:rFonts w:ascii="Times New Roman" w:hAnsi="Times New Roman" w:cs="Times New Roman"/>
                                <w:b/>
                                <w:bCs/>
                                <w:color w:val="000000" w:themeColor="text1"/>
                                <w:sz w:val="22"/>
                                <w:szCs w:val="22"/>
                              </w:rPr>
                              <w:fldChar w:fldCharType="end"/>
                            </w:r>
                            <w:r w:rsidRPr="00D324E7">
                              <w:rPr>
                                <w:rFonts w:ascii="Times New Roman" w:hAnsi="Times New Roman" w:cs="Times New Roman"/>
                                <w:b/>
                                <w:bCs/>
                                <w:color w:val="000000" w:themeColor="text1"/>
                                <w:sz w:val="22"/>
                                <w:szCs w:val="22"/>
                              </w:rPr>
                              <w:t>.</w:t>
                            </w:r>
                            <w:r>
                              <w:rPr>
                                <w:rFonts w:ascii="Times New Roman" w:hAnsi="Times New Roman" w:cs="Times New Roman"/>
                                <w:b/>
                                <w:bCs/>
                                <w:color w:val="000000" w:themeColor="text1"/>
                                <w:sz w:val="22"/>
                                <w:szCs w:val="22"/>
                              </w:rPr>
                              <w:t>1 Graph of Carbon Emissions Increase in Indonesia</w:t>
                            </w:r>
                            <w:bookmarkEnd w:id="17"/>
                          </w:p>
                          <w:p w14:paraId="59287B07" w14:textId="4497857B" w:rsidR="00D324E7" w:rsidRPr="00D324E7" w:rsidRDefault="00D324E7" w:rsidP="00D324E7">
                            <w:pPr>
                              <w:spacing w:line="240" w:lineRule="auto"/>
                              <w:jc w:val="center"/>
                              <w:rPr>
                                <w:rFonts w:ascii="Times New Roman" w:hAnsi="Times New Roman" w:cs="Times New Roman"/>
                                <w:i/>
                                <w:iCs/>
                              </w:rPr>
                            </w:pPr>
                            <w:r>
                              <w:rPr>
                                <w:rFonts w:ascii="Times New Roman" w:hAnsi="Times New Roman" w:cs="Times New Roman"/>
                                <w:i/>
                                <w:iCs/>
                              </w:rPr>
                              <w:t>Source: Our World in Data,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078C6C4" id="_x0000_t202" coordsize="21600,21600" o:spt="202" path="m,l,21600r21600,l21600,xe">
                <v:stroke joinstyle="miter"/>
                <v:path gradientshapeok="t" o:connecttype="rect"/>
              </v:shapetype>
              <v:shape id="Text Box 1" o:spid="_x0000_s1028" type="#_x0000_t202" style="position:absolute;left:0;text-align:left;margin-left:54.4pt;margin-top:293.45pt;width:4in;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n/GgIAAD8EAAAOAAAAZHJzL2Uyb0RvYy54bWysU8Fu2zAMvQ/YPwi6L05SNBu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w3i9uPiymFJMUWN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g8TPh4AAAAAsBAAAPAAAAZHJzL2Rvd25yZXYueG1sTI/BTsMwEETvSPyD&#10;tUhcELWBEEKIU1UVHOBSEXrh5sbbOBDbke204e/ZnuA4s6PZN9VytgM7YIi9dxJuFgIYutbr3nUS&#10;th8v1wWwmJTTavAOJfxghGV9flapUvuje8dDkzpGJS6WSoJJaSw5j61Bq+LCj+jotvfBqkQydFwH&#10;daRyO/BbIXJuVe/og1Ejrg22381kJWyyz425mvbPb6vsLrxup3X+1TVSXl7MqydgCef0F4YTPqFD&#10;TUw7Pzkd2UBaFISeJNwX+SMwSuRFRs7u5DwI4HXF/2+ofwEAAP//AwBQSwECLQAUAAYACAAAACEA&#10;toM4kv4AAADhAQAAEwAAAAAAAAAAAAAAAAAAAAAAW0NvbnRlbnRfVHlwZXNdLnhtbFBLAQItABQA&#10;BgAIAAAAIQA4/SH/1gAAAJQBAAALAAAAAAAAAAAAAAAAAC8BAABfcmVscy8ucmVsc1BLAQItABQA&#10;BgAIAAAAIQDK3in/GgIAAD8EAAAOAAAAAAAAAAAAAAAAAC4CAABkcnMvZTJvRG9jLnhtbFBLAQIt&#10;ABQABgAIAAAAIQAg8TPh4AAAAAsBAAAPAAAAAAAAAAAAAAAAAHQEAABkcnMvZG93bnJldi54bWxQ&#10;SwUGAAAAAAQABADzAAAAgQUAAAAA&#10;" stroked="f">
                <v:textbox style="mso-fit-shape-to-text:t" inset="0,0,0,0">
                  <w:txbxContent>
                    <w:p w14:paraId="22CEF39B" w14:textId="6D2AFED2" w:rsidR="00D324E7" w:rsidRDefault="00D324E7" w:rsidP="00D05F57">
                      <w:pPr>
                        <w:pStyle w:val="Caption"/>
                        <w:spacing w:after="0" w:line="276" w:lineRule="auto"/>
                        <w:jc w:val="center"/>
                        <w:rPr>
                          <w:rFonts w:ascii="Times New Roman" w:hAnsi="Times New Roman" w:cs="Times New Roman"/>
                          <w:b/>
                          <w:bCs/>
                          <w:color w:val="000000" w:themeColor="text1"/>
                          <w:sz w:val="22"/>
                          <w:szCs w:val="22"/>
                        </w:rPr>
                      </w:pPr>
                      <w:bookmarkStart w:id="18" w:name="_Toc209703561"/>
                      <w:r w:rsidRPr="00D324E7">
                        <w:rPr>
                          <w:rFonts w:ascii="Times New Roman" w:hAnsi="Times New Roman" w:cs="Times New Roman"/>
                          <w:b/>
                          <w:bCs/>
                          <w:color w:val="000000" w:themeColor="text1"/>
                          <w:sz w:val="22"/>
                          <w:szCs w:val="22"/>
                        </w:rPr>
                        <w:t xml:space="preserve">Figure </w:t>
                      </w:r>
                      <w:r w:rsidRPr="00D324E7">
                        <w:rPr>
                          <w:rFonts w:ascii="Times New Roman" w:hAnsi="Times New Roman" w:cs="Times New Roman"/>
                          <w:b/>
                          <w:bCs/>
                          <w:color w:val="000000" w:themeColor="text1"/>
                          <w:sz w:val="22"/>
                          <w:szCs w:val="22"/>
                        </w:rPr>
                        <w:fldChar w:fldCharType="begin"/>
                      </w:r>
                      <w:r w:rsidRPr="00D324E7">
                        <w:rPr>
                          <w:rFonts w:ascii="Times New Roman" w:hAnsi="Times New Roman" w:cs="Times New Roman"/>
                          <w:b/>
                          <w:bCs/>
                          <w:color w:val="000000" w:themeColor="text1"/>
                          <w:sz w:val="22"/>
                          <w:szCs w:val="22"/>
                        </w:rPr>
                        <w:instrText xml:space="preserve"> SEQ Figure \* ARABIC </w:instrText>
                      </w:r>
                      <w:r w:rsidRPr="00D324E7">
                        <w:rPr>
                          <w:rFonts w:ascii="Times New Roman" w:hAnsi="Times New Roman" w:cs="Times New Roman"/>
                          <w:b/>
                          <w:bCs/>
                          <w:color w:val="000000" w:themeColor="text1"/>
                          <w:sz w:val="22"/>
                          <w:szCs w:val="22"/>
                        </w:rPr>
                        <w:fldChar w:fldCharType="separate"/>
                      </w:r>
                      <w:r w:rsidR="00FD5B7D">
                        <w:rPr>
                          <w:rFonts w:ascii="Times New Roman" w:hAnsi="Times New Roman" w:cs="Times New Roman"/>
                          <w:b/>
                          <w:bCs/>
                          <w:noProof/>
                          <w:color w:val="000000" w:themeColor="text1"/>
                          <w:sz w:val="22"/>
                          <w:szCs w:val="22"/>
                        </w:rPr>
                        <w:t>1</w:t>
                      </w:r>
                      <w:r w:rsidRPr="00D324E7">
                        <w:rPr>
                          <w:rFonts w:ascii="Times New Roman" w:hAnsi="Times New Roman" w:cs="Times New Roman"/>
                          <w:b/>
                          <w:bCs/>
                          <w:color w:val="000000" w:themeColor="text1"/>
                          <w:sz w:val="22"/>
                          <w:szCs w:val="22"/>
                        </w:rPr>
                        <w:fldChar w:fldCharType="end"/>
                      </w:r>
                      <w:r w:rsidRPr="00D324E7">
                        <w:rPr>
                          <w:rFonts w:ascii="Times New Roman" w:hAnsi="Times New Roman" w:cs="Times New Roman"/>
                          <w:b/>
                          <w:bCs/>
                          <w:color w:val="000000" w:themeColor="text1"/>
                          <w:sz w:val="22"/>
                          <w:szCs w:val="22"/>
                        </w:rPr>
                        <w:t>.</w:t>
                      </w:r>
                      <w:r>
                        <w:rPr>
                          <w:rFonts w:ascii="Times New Roman" w:hAnsi="Times New Roman" w:cs="Times New Roman"/>
                          <w:b/>
                          <w:bCs/>
                          <w:color w:val="000000" w:themeColor="text1"/>
                          <w:sz w:val="22"/>
                          <w:szCs w:val="22"/>
                        </w:rPr>
                        <w:t>1 Graph of Carbon Emissions Increase in Indonesia</w:t>
                      </w:r>
                      <w:bookmarkEnd w:id="18"/>
                    </w:p>
                    <w:p w14:paraId="59287B07" w14:textId="4497857B" w:rsidR="00D324E7" w:rsidRPr="00D324E7" w:rsidRDefault="00D324E7" w:rsidP="00D324E7">
                      <w:pPr>
                        <w:spacing w:line="240" w:lineRule="auto"/>
                        <w:jc w:val="center"/>
                        <w:rPr>
                          <w:rFonts w:ascii="Times New Roman" w:hAnsi="Times New Roman" w:cs="Times New Roman"/>
                          <w:i/>
                          <w:iCs/>
                        </w:rPr>
                      </w:pPr>
                      <w:r>
                        <w:rPr>
                          <w:rFonts w:ascii="Times New Roman" w:hAnsi="Times New Roman" w:cs="Times New Roman"/>
                          <w:i/>
                          <w:iCs/>
                        </w:rPr>
                        <w:t>Source: Our World in Data, 2024</w:t>
                      </w:r>
                    </w:p>
                  </w:txbxContent>
                </v:textbox>
                <w10:wrap type="square"/>
              </v:shape>
            </w:pict>
          </mc:Fallback>
        </mc:AlternateContent>
      </w:r>
      <w:r w:rsidRPr="007E7CB6">
        <w:rPr>
          <w:rFonts w:ascii="Times New Roman" w:eastAsia="Times New Roman" w:hAnsi="Times New Roman" w:cs="Times New Roman"/>
          <w:sz w:val="24"/>
          <w:szCs w:val="24"/>
        </w:rPr>
        <w:t>investment interest in renewable energy and lower-carbon technologies.</w:t>
      </w:r>
      <w:bookmarkStart w:id="19" w:name="_heading=h.8fzcuk26af4q" w:colFirst="0" w:colLast="0"/>
      <w:bookmarkStart w:id="20" w:name="_heading=h.5li7jco0dgmr" w:colFirst="0" w:colLast="0"/>
      <w:bookmarkEnd w:id="19"/>
      <w:bookmarkEnd w:id="20"/>
    </w:p>
    <w:p w14:paraId="65EF2230" w14:textId="77777777" w:rsidR="00153781" w:rsidRPr="007E7CB6" w:rsidRDefault="00000000">
      <w:pPr>
        <w:spacing w:before="200"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Globally, regulations have been strengthened to ensure reporting and management of environmental impacts by countries. The United Nations Framework Convention on Climate Change (UNFCCC) through the 2015 Paris Agreement requires each country to prepare, submit, and update Nationally Determined Contributions (NDCs) every five years to reduce greenhouse gas emissions, with all parties having submitted at least their initial NDCs. The Enhanced Transparency Framework (ETF) under the Paris Agreement requires the submission of biennial transparency reports (BTR) starting in 2024 and external assessment through technical and multilateral means to monitor NDC progress. The Global Carbon Budget 2024 notes that CO₂ emissions from fossil fuels are expected to reach 37.4 gigatons in 2024, an increase of about 0.8% over the previous year. </w:t>
      </w:r>
      <w:r w:rsidRPr="007E7CB6">
        <w:rPr>
          <w:rFonts w:ascii="Times New Roman" w:eastAsia="Times New Roman" w:hAnsi="Times New Roman" w:cs="Times New Roman"/>
          <w:sz w:val="24"/>
          <w:szCs w:val="24"/>
        </w:rPr>
        <w:lastRenderedPageBreak/>
        <w:t xml:space="preserve">At the regional level, the European Union, through the European Green Deal, is strengthening mechanisms such as the EU Emissions Trading System (EU ETS), which requires certain facilities (companies in covered sectors) to obtain emission allowances so that their emissions remain within certain limits. </w:t>
      </w:r>
    </w:p>
    <w:p w14:paraId="21FF7FE1" w14:textId="77777777" w:rsidR="00153781" w:rsidRPr="007E7CB6" w:rsidRDefault="00000000">
      <w:pPr>
        <w:spacing w:line="480" w:lineRule="auto"/>
        <w:ind w:firstLine="720"/>
        <w:jc w:val="both"/>
        <w:rPr>
          <w:rFonts w:ascii="Times New Roman" w:eastAsia="Times New Roman" w:hAnsi="Times New Roman" w:cs="Times New Roman"/>
          <w:sz w:val="24"/>
          <w:szCs w:val="24"/>
        </w:rPr>
      </w:pPr>
      <w:bookmarkStart w:id="21" w:name="_heading=h.9ck024b3fzgb" w:colFirst="0" w:colLast="0"/>
      <w:bookmarkEnd w:id="21"/>
      <w:r w:rsidRPr="007E7CB6">
        <w:rPr>
          <w:rFonts w:ascii="Times New Roman" w:eastAsia="Times New Roman" w:hAnsi="Times New Roman" w:cs="Times New Roman"/>
          <w:sz w:val="24"/>
          <w:szCs w:val="24"/>
        </w:rPr>
        <w:t>As business activity in Indonesia increases, public demand for products continues to grow. However, this increase also has a negative impact on the environment, particularly in the form of increased carbon emissions generated from various company operations. This situation increases pressure on companies to be more responsible for the environmental impact they cause in order to maintain business sustainability. In addition, pressure from stakeholders, both individuals and groups, is increasingly forcing companies to fulfill their social obligations and responsibilities.</w:t>
      </w:r>
    </w:p>
    <w:p w14:paraId="61D9988D" w14:textId="4A395460" w:rsidR="00153781" w:rsidRPr="007E7CB6" w:rsidRDefault="00000000">
      <w:pPr>
        <w:spacing w:line="480" w:lineRule="auto"/>
        <w:ind w:firstLine="720"/>
        <w:jc w:val="both"/>
        <w:rPr>
          <w:rFonts w:ascii="Times New Roman" w:eastAsia="Times New Roman" w:hAnsi="Times New Roman" w:cs="Times New Roman"/>
          <w:sz w:val="24"/>
          <w:szCs w:val="24"/>
        </w:rPr>
      </w:pPr>
      <w:bookmarkStart w:id="22" w:name="_heading=h.ta20nb7rq1vr" w:colFirst="0" w:colLast="0"/>
      <w:bookmarkEnd w:id="22"/>
      <w:r w:rsidRPr="007E7CB6">
        <w:rPr>
          <w:rFonts w:ascii="Times New Roman" w:eastAsia="Times New Roman" w:hAnsi="Times New Roman" w:cs="Times New Roman"/>
          <w:sz w:val="24"/>
          <w:szCs w:val="24"/>
        </w:rPr>
        <w:t>Research by</w:t>
      </w:r>
      <w:r w:rsidR="0082052F"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cyYmNhMjQtNmExMS00ZWVjLTk1MjYtMzMzNjZmYmRhMmRkIiwicHJvcGVydGllcyI6eyJub3RlSW5kZXgiOjB9LCJpc0VkaXRlZCI6ZmFsc2UsIm1hbnVhbE92ZXJyaWRlIjp7ImlzTWFudWFsbHlPdmVycmlkZGVuIjpmYWxzZSwiY2l0ZXByb2NUZXh0IjoiKFl1bnVzIGV0IGFsLiwgMjAyMCkiLCJtYW51YWxPdmVycmlkZVRleHQiOiIifSwiY2l0YXRpb25JdGVtcyI6W3siaWQiOiI2M2Y2MTJiYS1mNTgyLTM3OTgtOTY5NS1kZjM0Mzc1NzA1OWIiLCJpdGVtRGF0YSI6eyJ0eXBlIjoiYXJ0aWNsZS1qb3VybmFsIiwiaWQiOiI2M2Y2MTJiYS1mNTgyLTM3OTgtOTY5NS1kZjM0Mzc1NzA1OWIiLCJ0aXRsZSI6IkltcGFjdCBvZiBzdGFrZWhvbGRlciBwcmVzc3VyZSBvbiB0aGUgYWRvcHRpb24gb2YgY2FyYm9uIG1hbmFnZW1lbnQgc3RyYXRlZ2llczogRXZpZGVuY2UgZnJvbSBBdXN0cmFsaWEiLCJhdXRob3IiOlt7ImZhbWlseSI6Ill1bnVzIiwiZ2l2ZW4iOiJTb21haXlhIiwicGFyc2UtbmFtZXMiOmZhbHNlLCJkcm9wcGluZy1wYXJ0aWNsZSI6IiIsIm5vbi1kcm9wcGluZy1wYXJ0aWNsZSI6IiJ9LHsiZmFtaWx5IjoiRWxpamlkby1UZW4iLCJnaXZlbiI6IkV2YW5nZWxpbmUgTy4iLCJwYXJzZS1uYW1lcyI6ZmFsc2UsImRyb3BwaW5nLXBhcnRpY2xlIjoiIiwibm9uLWRyb3BwaW5nLXBhcnRpY2xlIjoiIn0seyJmYW1pbHkiOiJBYmhheWF3YW5zYSIsImdpdmVuIjoiU3ViaGFzaCIsInBhcnNlLW5hbWVzIjpmYWxzZSwiZHJvcHBpbmctcGFydGljbGUiOiIiLCJub24tZHJvcHBpbmctcGFydGljbGUiOiIifV0sImNvbnRhaW5lci10aXRsZSI6IlN1c3RhaW5hYmlsaXR5IEFjY291bnRpbmcsIE1hbmFnZW1lbnQgYW5kIFBvbGljeSBKb3VybmFsIiwiRE9JIjoiMTAuMTEwOC9TQU1QSi0wNC0yMDE5LTAxMzUiLCJJU1NOIjoiMjA0MDgwM1giLCJpc3N1ZWQiOnsiZGF0ZS1wYXJ0cyI6W1syMDIwLDExLDVdXX0sInBhZ2UiOiIxMTg5LTEyMTIiLCJhYnN0cmFjdCI6IlB1cnBvc2U6IFRoaXMgcGFwZXIgYWltcyB0byBleGFtaW5lIHdoZXRoZXIgdGhlIHBlcmNlaXZlZCBwcmVzc3VyZXMgZnJvbSBzdGFrZWhvbGRlcnMgd2l0aCBoaWdoIHBvdGVudGlhbCB0byBjb29wZXJhdGUgYW5kL29yIHRocmVhdGVuIHRoZSBmaXJt4oCZcyBzdXJ2aXZhbCBhZmZlY3QgdGhlIGRlY2lzaW9uIHRvIGFkb3B0IGNhcmJvbiBtYW5hZ2VtZW50IHN0cmF0ZWdpZXMgKENNU3MpLiBEZXNpZ24vbWV0aG9kb2xvZ3kvYXBwcm9hY2g6IEEgbG9naXN0aWMgcGFuZWwgcmVncmVzc2lvbiBtb2RlbCBpcyBlc3RpbWF0ZWQgdXNpbmcgbG9uZ2l0dWRpbmFsIGRhdGEgZnJvbSBBdXN0cmFsaWHigJlzIFRvcC0yMDAgbGlzdGVkIGZpcm1zIG92ZXIgc2V2ZW4geWVhcnMgZnJvbSAyMDA5IHRvIDIwMTUuIFRoZSBhdXRob3JzIHRlc3QgdGhlIGZpcm3igJlzIHByb3BlbnNpdHkgdG8gYWRvcHQgQ01TcyBjb25kaXRpb25lZCBvbiB0aGUgaW5mbHVlbmNlIG9mIGZvdXIgZ3JvdXBzIG9mIHN0YWtlaG9sZGVyczogdGhlIHJlZ3VsYXRvcnMsIGluc3RpdHV0aW9uYWwgaW52ZXN0b3JzLCBtZWRpYSBhbmQgY3JlZGl0b3JzLiBEYXRhIG9uIENNU3MgYWRvcHRlZCBieSBmaXJtcyBhcmUgc291cmNlZCBmcm9tIFRob21zb24gUmV1dGVycyBBU1NFVDQgZGF0YWJhc2UsIHRoZSBDYXJib24gRGlzY2xvc3VyZSBQcm9qZWN0IHN1cnZleSwgYW5udWFsIHJlcG9ydHMsIGNvbXBhbnkgd2Vic2l0ZXMgYW5kIHN1c3RhaW5hYmlsaXR5IHJlcG9ydHMuIEZpbmRpbmdzOiBUaGUgYXV0aG9ycyBzaG93IHRoYXQgc3Rha2Vob2xkZXIgcHJlc3N1cmVzIGFyZSBhc3NvY2lhdGVkIG5vdCBvbmx5IHdpdGggdGhlIGFkb3B0aW9uIG9yIG5vbi1hZG9wdGlvbiBvZiBDTVNzIGJ1dCBhbHNvIHdpdGggdGhlIHR5cGUgb2YgQ01TcyBhZG9wdGVkLiBUaHJlZSB0eXBlcyBvZiBDTVNzIGFyZSBpZGVudGlmaWVkLCBuYW1lbHksIGNvbXBlbnNhdGlvbiwgcmVkdWN0aW9uIGFuZCBpbm5vdmF0aW9uIHN0cmF0ZWdpZXMuIFRoZSBmaW5kaW5ncyByZXZlYWwgdGhhdCBDTVMgYWRvcHRpb24gYW5kIHRoZSBmaXJtc+KAmSBwcm9wZW5zaXR5IHRvIGFkb3B0IGNvbXBlbnNhdGlvbiBhbmQgcmVkdWN0aW9uIHN0cmF0ZWdpZXMgYXJlIHNpZ25pZmljYW50bHkgcmVsYXRlZCB0byBwZXJjZWl2ZWQgcHJlc3N1cmVzIGZyb20gdGhlIHJlZ3VsYXRvcnMsIG1lZGlhIGFuZCBjcmVkaXRvcnMuIFdoaWxlIHByZXNzdXJlIGZyb20gdGhlIHJlZ3VsYXRvcnMgaXMgYWxzbyBhc3NvY2lhdGVkIHdpdGggdGhlIGZpcm1z4oCZIHByb3BlbnNpdHkgdG8gYWRvcHQgaW5ub3ZhdGlvbiBzdHJhdGVnaWVzLCBhIG1vcmUgYWR2YW5jZWQgdHlwZSBvZiBDTVNzLCB0aGUgcG90ZW50aWFsIHByZXNzdXJlIGZyb20gdGhlIG1lZGlhIGFuZCBjcmVkaXRvcnMgYXJlIG5vdCBzaWduaWZpY2FudGx5IHJlbGF0ZWQuIFByYWN0aWNhbCBpbXBsaWNhdGlvbnM6IFRoZSBmaW5kaW5ncyBpbXBseSB0aGF0IGEgZmlybeKAmXMgYWRvcHRpb24gb2YgQ01TcyBpcyBub3QgbWVyZWx5IGFib3V0IG1hbmFnaW5nIHN0YWtlaG9sZGVycyBpbiB0aGUgcmVndWxhdG9yeSBzcGhlcmUgYnV0IGFsc28gYWJvdXQgdGFraW5nIGludG8gYWNjb3VudCB0aGUgcGVyY2VpdmVkIHByZXNzdXJlcyBmcm9tIG5vbi1yZWd1bGF0b3J5IHN0YWtlaG9sZGVycyBhbmQgdGhlIGNvbnRleHQtZGVwZW5kZW50IG5hdHVyZSBvZiB0aGVpciBpbmZsdWVuY2VzLiBUaGUgYXV0aG9ycyBzaG93IHRoYXQgYnkgaW5mbHVlbmNpbmcgdGhlIHZvbHVudGFyeSBkaXNjbG9zdXJlIG9mIGNhcmJvbiBlbWlzc2lvbnMsIHRoZSBnb3Zlcm5tZW50IGNvbnRpbnVlcyB0byBiZSBlZmZlY3RpdmUgaW4gZW5jb3VyYWdpbmcgZmlybXMgdG8gdGFrZSBhY3Rpb24gb24gY2xpbWF0ZSBjaGFuZ2UgZGVzcGl0ZSB0aGUgYWJvbGl0aW9uIG9mIHRoZSBjYXJib24gdGF4IGluIEF1c3RyYWxpYS4gU29jaWFsIGltcGxpY2F0aW9uczogVGhpcyBzdHVkeSBoaWdobGlnaHRzIHRoYXQsIGFwYXJ0IGZyb20gYSBoZWF2eS1oYW5kZWQgYXBwcm9hY2gsIHJlZ3VsYXRvcnMgY2FuIGFkb3B0IHNvZnRlciBmb3JtcyBvZiByZWd1bGF0aW9uIHN1Y2ggYXMgdGhlIE5hdGlvbmFsIEdyZWVuaG91c2UgYW5kIEVuZXJneSBSZXBvcnRpbmcgKE5HRVIpIEFjdCBhbmQgYSBsZXNzIGludmFzaXZlLCBzdGFrZWhvbGRlci1kcml2ZW4gYXBwcm9hY2ggdG8gZW5jb3VyYWdlIGZpcm1zIHRvIGFkb3B0IENNU3MgYW5kIHRoZXJlYnkgd29yayB0b3dhcmRzIGNsaW1hdGUgY2hhbmdlIG1pdGlnYXRpb24uIE9yaWdpbmFsaXR5L3ZhbHVlOiBUaGlzIHN0dWR5IGV4dGVuZHMgdGhlIGxpdGVyYXR1cmUgYnkgc2hvd2luZyB0aGF0IHBlcmNlaXZlZCBwcmVzc3VyZSBmcm9tIHNvbWUgc3Rha2Vob2xkZXJzIGZvdW5kIHRvIGJlIGluZmx1ZW50aWFsIGluIHJlbGF0aW9uIHRvIHNvbWUgY29ycG9yYXRlIGRlY2lzaW9ucyAoc3VjaCBhcyBlbnZpcm9ubWVudGFsIHN0cmF0ZWd5IGFkb3B0aW9uIGFuZCBjbGltYXRlLWNoYW5nZS1yZWxhdGVkIGRpc2Nsb3N1cmUpIG1heSBub3QgbmVjZXNzYXJpbHkgYmUgaW5mbHVlbnRpYWwgaW4gcmVsYXRpb24gdG8gQ01TIGFkb3B0aW9uLiIsInB1Ymxpc2hlciI6IkVtZXJhbGQgR3JvdXAgSG9sZGluZ3MgTHRkLiIsImlzc3VlIjoiNyIsInZvbHVtZSI6IjExIiwiY29udGFpbmVyLXRpdGxlLXNob3J0IjoiIn0sImlzVGVtcG9yYXJ5IjpmYWxzZSwic3VwcHJlc3MtYXV0aG9yIjpmYWxzZSwiY29tcG9zaXRlIjpmYWxzZSwiYXV0aG9yLW9ubHkiOmZhbHNlfV19"/>
          <w:id w:val="1463221688"/>
          <w:placeholder>
            <w:docPart w:val="DefaultPlaceholder_-1854013440"/>
          </w:placeholder>
        </w:sdtPr>
        <w:sdtContent>
          <w:r w:rsidR="00AD6D10" w:rsidRPr="007E7CB6">
            <w:rPr>
              <w:rFonts w:ascii="Times New Roman" w:eastAsia="Times New Roman" w:hAnsi="Times New Roman" w:cs="Times New Roman"/>
              <w:color w:val="000000"/>
              <w:sz w:val="24"/>
              <w:szCs w:val="24"/>
            </w:rPr>
            <w:t>(Yunus et al., 2020)</w:t>
          </w:r>
        </w:sdtContent>
      </w:sdt>
      <w:r w:rsidRPr="007E7CB6">
        <w:rPr>
          <w:rFonts w:ascii="Times New Roman" w:eastAsia="Times New Roman" w:hAnsi="Times New Roman" w:cs="Times New Roman"/>
          <w:sz w:val="24"/>
          <w:szCs w:val="24"/>
        </w:rPr>
        <w:t xml:space="preserve"> shows that companies facing pressure from stakeholders tend to increase their level of carbon emissions disclosure. This reflects the significant role of external oversight, particularly from regulators and investors, in promoting corporate environmental transparency. A study by</w:t>
      </w:r>
      <w:r w:rsidR="0082052F"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zU5YzEzMzMtMzIyOC00MDc1LTgyZTEtMWQzNjNlZDUwYmIzIiwicHJvcGVydGllcyI6eyJub3RlSW5kZXgiOjB9LCJpc0VkaXRlZCI6ZmFsc2UsIm1hbnVhbE92ZXJyaWRlIjp7ImlzTWFudWFsbHlPdmVycmlkZGVuIjpmYWxzZSwiY2l0ZXByb2NUZXh0IjoiKFdpZGFnZG8gZXQgYWwuLCAyMDIzKSIsIm1hbnVhbE92ZXJyaWRlVGV4dCI6IiJ9LCJjaXRhdGlvbkl0ZW1zIjpbeyJpZCI6IjU4OWExMzY0LTVmYjQtMzhkZC1iY2Y5LTU0ZTFhYjhkZGRhNCIsIml0ZW1EYXRhIjp7InR5cGUiOiJwYXBlci1jb25mZXJlbmNlIiwiaWQiOiI1ODlhMTM2NC01ZmI0LTM4ZGQtYmNmOS01NGUxYWI4ZGRkYTQiLCJ0aXRsZSI6IkRvZXMgY2FyYm9uIGVtaXNzaW9uIGRpc2Nsb3N1cmUgYW5kIGVudmlyb25tZW50YWwgcGVyZm9ybWFuY2UgaW5jcmVhc2UgZmlybSB2YWx1ZT8gRXZpZGVuY2UgZnJvbSBoaWdobHkgZW1pdHRlZCBpbmR1c3RyeSBpbiBJbmRvbmVzaWEiLCJhdXRob3IiOlt7ImZhbWlseSI6IldpZGFnZG8iLCJnaXZlbiI6IkFyaSBLdW5jYXJhIiwicGFyc2UtbmFtZXMiOmZhbHNlLCJkcm9wcGluZy1wYXJ0aWNsZSI6IiIsIm5vbi1kcm9wcGluZy1wYXJ0aWNsZSI6IiJ9LHsiZmFtaWx5IjoiSWthIiwiZ2l2ZW4iOiJTaXRpIFJvY2htYWgiLCJwYXJzZS1uYW1lcyI6ZmFsc2UsImRyb3BwaW5nLXBhcnRpY2xlIjoiIiwibm9uLWRyb3BwaW5nLXBhcnRpY2xlIjoiIn0seyJmYW1pbHkiOiJOZW5pIiwiZ2l2ZW4iOiJNYXJpYSBGZWJpYW5hIiwicGFyc2UtbmFtZXMiOmZhbHNlLCJkcm9wcGluZy1wYXJ0aWNsZSI6IiIsIm5vbi1kcm9wcGluZy1wYXJ0aWNsZSI6IiJ9LHsiZmFtaWx5IjoiSGFzdGhvcm8iLCJnaXZlbiI6IkhhbmRva28gQXJ3aSIsInBhcnNlLW5hbWVzIjpmYWxzZSwiZHJvcHBpbmctcGFydGljbGUiOiIiLCJub24tZHJvcHBpbmctcGFydGljbGUiOiIifSx7ImZhbWlseSI6IldpZGlhd2F0aSIsImdpdmVuIjoiIiwicGFyc2UtbmFtZXMiOmZhbHNlLCJkcm9wcGluZy1wYXJ0aWNsZSI6IiIsIm5vbi1kcm9wcGluZy1wYXJ0aWNsZSI6IiJ9XSwiY29udGFpbmVyLXRpdGxlIjoiRTNTIFdlYiBvZiBDb25mZXJlbmNlcyIsIkRPSSI6IjEwLjEwNTEvZTNzY29uZi8yMDIzNDY3MDQwMDIiLCJJU1NOIjoiMjI2NzEyNDIiLCJpc3N1ZWQiOnsiZGF0ZS1wYXJ0cyI6W1syMDIzLDEyLDIwXV19LCJhYnN0cmFjdCI6IldoZXRoZXIgaW52ZXN0b3JzIHRha2UgaW50byBhY2NvdW50IHRoZSBjb21wYW55J3MgaW5mb3JtYXRpb24gcmVsYXRlZCB0byBjYXJib24gZW1pc3Npb24gbWl0aWdhdGlvbiBhbmQgdGhlIGNvbXBhbnkncyBlbnZpcm9ubWVudGFsIHJhbmtpbmcgaW4gdGhlaXIgaW52ZXN0bWVudCBkZWNpc2lvbnMgaXMgYW4gaW50ZXJlc3RpbmcgcmVzZWFyY2ggYXZlbnVlLiBUaGUgb2JqZWN0aXZlIG9mIHRoaXMgc3R1ZHkgaXMgdHdvZm9sZC4gRmlyc3QsIGl0IHRlc3RzIHdoZXRoZXIgdGhlIGxldmVsIG9mIGNhcmJvbiBlbWlzc2lvbnMgZGlzY2xvc3VyZSBkaWZmZXJzIGJ5IGluZHVzdHJ5IHNlY3Rvci4gU2Vjb25kLCBpdCBleGFtaW5lcyB3aGV0aGVyIGNhcmJvbiBlbWlzc2lvbiBkaXNjbG9zdXJlcyBhcyByZXBvcnRlZCBieSBjb21wYW5pZXMgYW5kIHRoZWlyIGVudmlyb25tZW50YWwgcGVyZm9ybWFuY2UgYWZmZWN0IHRoZSB2YWx1ZSBvZiB0aGUgZmlybS4gVGhpcyBzdHVkeSB1dGlsaXplcyAxMDIgY29tcGFuaWVzIGluIDIwMjIgdGhhdCBhcmUgaW5jbHVkZWQgaW4gaGlnaGx5IHBvbGx1dGluZyBpbmR1c3RyaWVzIGFzIGEgc2FtcGxlLCB3aGljaCBpcyBkaXZpZGVkIGludG8gNCBkaWZmZXJlbnQgc2VjdG9yczogY29uc3VtZXIgZ29vZHMsIGVuZXJneSwgYmFzaWMgaW5kdXN0cnksIGFuZCBtaXNjZWxsYW5lb3VzIGluZHVzdHJ5LiBUaGUgcmVzdWx0cyBvZiB0aGUgYW5hbHlzaXMgb2YgdmFyaWFuY2UgKEFOT1ZBKSB0ZXN0IHJldmVhbCB0aGF0IHRoZSBleHRlbnQgb2YgY2FyYm9uIGVtaXNzaW9ucyByZXBvcnRpbmcgaXMgZGlmZmVyZW50IGFjcm9zcyBpbmR1c3RyeSBzZWN0b3JzLiBNZWFud2hpbGUsIHRoZSBtdWx0aXZhcmlhdGUgcmVncmVzc2lvbiByZXN1bHRzIHJldmVhbCB0aGF0IGNhcmJvbiBlbWlzc2lvbiBkaXNjbG9zdXJlcyBwb3NpdGl2ZWx5IGluZmx1ZW5jZSB0aGUgdmFsdWUgb2YgdGhlIGZpcm0uIEVudmlyb25tZW50YWwgcGVyZm9ybWFuY2UsIGhvd2V2ZXIsIGRvZXMgbm90IGltcGFjdCBmaXJtIHZhbHVlLiBUaGlzIHN0dWR5IGluZm9ybXMgdGhlIGNvbXBhbnkncyBtYW5hZ2VtZW50IHRoYXQgcHJvbW90aW5nIGhpZ2hlciBsZXZlbHMgb2YgY2FyYm9uIGVtaXNzaW9uIG1pdGlnYXRpb24gYW5kIHJlcG9ydGluZyB3b3VsZCBib29zdCB0aGUgY29tcGFueSdzIHJlcHV0YXRpb24sIHdoaWNoIHdvdWxkIGluIHR1cm4gaW5jcmVhc2UgaXRzIHZhbHVlLiIsInB1Ymxpc2hlciI6IkVEUCBTY2llbmNlcyIsInZvbHVtZSI6IjQ2NyIsImNvbnRhaW5lci10aXRsZS1zaG9ydCI6IiJ9LCJpc1RlbXBvcmFyeSI6ZmFsc2UsInN1cHByZXNzLWF1dGhvciI6ZmFsc2UsImNvbXBvc2l0ZSI6ZmFsc2UsImF1dGhvci1vbmx5IjpmYWxzZX1dfQ=="/>
          <w:id w:val="-1304311688"/>
          <w:placeholder>
            <w:docPart w:val="DefaultPlaceholder_-1854013440"/>
          </w:placeholder>
        </w:sdtPr>
        <w:sdtContent>
          <w:r w:rsidR="00AD6D10" w:rsidRPr="007E7CB6">
            <w:rPr>
              <w:rFonts w:ascii="Times New Roman" w:eastAsia="Times New Roman" w:hAnsi="Times New Roman" w:cs="Times New Roman"/>
              <w:color w:val="000000"/>
              <w:sz w:val="24"/>
              <w:szCs w:val="24"/>
            </w:rPr>
            <w:t>(Widagdo et al., 2023)</w:t>
          </w:r>
        </w:sdtContent>
      </w:sdt>
      <w:r w:rsidRPr="007E7CB6">
        <w:rPr>
          <w:rFonts w:ascii="Times New Roman" w:eastAsia="Times New Roman" w:hAnsi="Times New Roman" w:cs="Times New Roman"/>
          <w:sz w:val="24"/>
          <w:szCs w:val="24"/>
        </w:rPr>
        <w:t xml:space="preserve"> shows that companies that disclose their carbon emissions and demonstrate good environmental performance tend to have higher firm values. Therefore, optimizing firm value through disclosure and environmental strategies is becoming increasingly important in the face of global pressure on climate change issues.</w:t>
      </w:r>
    </w:p>
    <w:p w14:paraId="73BE53CD" w14:textId="0B27DAF3" w:rsidR="00153781" w:rsidRPr="007E7CB6" w:rsidRDefault="00000000">
      <w:pPr>
        <w:spacing w:line="480" w:lineRule="auto"/>
        <w:ind w:firstLine="720"/>
        <w:jc w:val="both"/>
        <w:rPr>
          <w:rFonts w:ascii="Times New Roman" w:eastAsia="Times New Roman" w:hAnsi="Times New Roman" w:cs="Times New Roman"/>
          <w:sz w:val="24"/>
          <w:szCs w:val="24"/>
        </w:rPr>
      </w:pPr>
      <w:bookmarkStart w:id="23" w:name="_heading=h.f40vq4e0l5bf" w:colFirst="0" w:colLast="0"/>
      <w:bookmarkEnd w:id="23"/>
      <w:r w:rsidRPr="007E7CB6">
        <w:rPr>
          <w:rFonts w:ascii="Times New Roman" w:eastAsia="Times New Roman" w:hAnsi="Times New Roman" w:cs="Times New Roman"/>
          <w:sz w:val="24"/>
          <w:szCs w:val="24"/>
        </w:rPr>
        <w:t xml:space="preserve">Firm value represents the market's perception of the company's ability to create long-term economic value, as reflected in its share price, future cash flows, </w:t>
      </w:r>
      <w:r w:rsidRPr="007E7CB6">
        <w:rPr>
          <w:rFonts w:ascii="Times New Roman" w:eastAsia="Times New Roman" w:hAnsi="Times New Roman" w:cs="Times New Roman"/>
          <w:sz w:val="24"/>
          <w:szCs w:val="24"/>
        </w:rPr>
        <w:lastRenderedPageBreak/>
        <w:t>and strategic competitiveness. In recent years, non-financial aspects have gained increasing attention, particularly those related to corporate environmental and social responsibility. This is reflected in green accounting reporting, carbon emissions disclosure, and capital structures related to sustainability. Research b</w:t>
      </w:r>
      <w:r w:rsidR="00E3537D" w:rsidRPr="007E7CB6">
        <w:rPr>
          <w:rFonts w:ascii="Times New Roman" w:eastAsia="Times New Roman" w:hAnsi="Times New Roman" w:cs="Times New Roman"/>
          <w:sz w:val="24"/>
          <w:szCs w:val="24"/>
        </w:rPr>
        <w:t xml:space="preserve">y </w:t>
      </w:r>
      <w:sdt>
        <w:sdtPr>
          <w:rPr>
            <w:rFonts w:ascii="Times New Roman" w:eastAsia="Times New Roman" w:hAnsi="Times New Roman" w:cs="Times New Roman"/>
            <w:color w:val="000000"/>
            <w:sz w:val="24"/>
            <w:szCs w:val="24"/>
          </w:rPr>
          <w:tag w:val="MENDELEY_CITATION_v3_eyJjaXRhdGlvbklEIjoiTUVOREVMRVlfQ0lUQVRJT05fNmY2ZWUxOWItYjkzMC00YjEzLTg2NzYtMzc0YWVmZjA4ODM3IiwicHJvcGVydGllcyI6eyJub3RlSW5kZXgiOjB9LCJpc0VkaXRlZCI6ZmFsc2UsIm1hbnVhbE92ZXJyaWRlIjp7ImlzTWFudWFsbHlPdmVycmlkZGVuIjpmYWxzZSwiY2l0ZXByb2NUZXh0IjoiKE5hc2VlciBldCBhbC4sIDIwMjQpIiwibWFudWFsT3ZlcnJpZGVUZXh0IjoiIn0sImNpdGF0aW9uSXRlbXMiOlt7ImlkIjoiZTM1YTM2MWUtYWVhYS0zNjU5LWE4YzAtNDJhNmJhODljYWFjIiwiaXRlbURhdGEiOnsidHlwZSI6ImFydGljbGUtam91cm5hbCIsImlkIjoiZTM1YTM2MWUtYWVhYS0zNjU5LWE4YzAtNDJhNmJhODljYWFjIiwidGl0bGUiOiJGaXJtIGNsaW1hdGUgY2hhbmdlIHJpc2sgYW5kIGZpbmFuY2lhbCBmbGV4aWJpbGl0eTogRHJpdmVycyBvZiBFU0cgcGVyZm9ybWFuY2UgYW5kIGZpcm0gdmFsdWUiLCJhdXRob3IiOlt7ImZhbWlseSI6Ik5hc2VlciIsImdpdmVuIjoiTWlyemEgTXVoYW1tYWQiLCJwYXJzZS1uYW1lcyI6ZmFsc2UsImRyb3BwaW5nLXBhcnRpY2xlIjoiIiwibm9uLWRyb3BwaW5nLXBhcnRpY2xlIjoiIn0seyJmYW1pbHkiOiJLaGFuIiwiZ2l2ZW4iOiJNdWhhbW1hZCBBc2lmIiwicGFyc2UtbmFtZXMiOmZhbHNlLCJkcm9wcGluZy1wYXJ0aWNsZSI6IiIsIm5vbi1kcm9wcGluZy1wYXJ0aWNsZSI6IiJ9LHsiZmFtaWx5IjoiQmFnaCIsImdpdmVuIjoiVGFudmVlciIsInBhcnNlLW5hbWVzIjpmYWxzZSwiZHJvcHBpbmctcGFydGljbGUiOiIiLCJub24tZHJvcHBpbmctcGFydGljbGUiOiIifSx7ImZhbWlseSI6Ikd1byIsImdpdmVuIjoiWW9uZ3NoZW5nIiwicGFyc2UtbmFtZXMiOmZhbHNlLCJkcm9wcGluZy1wYXJ0aWNsZSI6IiIsIm5vbi1kcm9wcGluZy1wYXJ0aWNsZSI6IiJ9LHsiZmFtaWx5IjoiWmh1IiwiZ2l2ZW4iOiJYaWFveGlhbiIsInBhcnNlLW5hbWVzIjpmYWxzZSwiZHJvcHBpbmctcGFydGljbGUiOiIiLCJub24tZHJvcHBpbmctcGFydGljbGUiOiIifV0sImNvbnRhaW5lci10aXRsZSI6IkJvcnNhIElzdGFuYnVsIFJldmlldyIsIkRPSSI6IjEwLjEwMTYvai5iaXIuMjAyMy4xMS4wMDMiLCJJU1NOIjoiMjIxNDg0NjkiLCJpc3N1ZWQiOnsiZGF0ZS1wYXJ0cyI6W1syMDI0LDEsMV1dfSwicGFnZSI6IjEwNi0xMTciLCJhYnN0cmFjdCI6IlRoaXMgc3R1ZHkgaW52ZXN0aWdhdGVzIGhvdyBhIGZpcm0ncyBjbGltYXRlIGNoYW5nZSByaXNrIChGQ0NSKSBhbmQgZmluYW5jaWFsIGZsZXhpYmlsaXR5IChGSUZMKSBhZmZlY3QgaXRzIHZhbHVlIGFuZCBlbnZpcm9ubWVudGFsLCBzb2NpYWwsIGFuZCBnb3Zlcm5hbmNlIChFU0cpIHBlcmZvcm1hbmNlLiBXZSB1c2UgZGF0YSBmcm9tIHB1YmxpY2x5IGxpc3RlZCBVUyBmaXJtcyBmb3IgMjAxMuKAkzIwMjEuIFdlIGVtcGxveWVkIGZvdXIgZXN0aW1hdGlvbiBtZXRob2RzOiBib290c3RyYXAgcXVhbnRpbGUgcmVncmVzc2lvbiwgZmVhc2libGUgZ2VuZXJhbGlzZWQgbGVhc3Qgc3F1YXJlcywgYSBnZW5lcmFsaXNlZCBtZXRob2Qgb2YgbW9tZW50cywgYW5kIGZpeGVkIGVmZmVjdHMgd2l0aCBEcmlzY29sbC1LcmFheSBzdGFuZGFyZCBlcnJvcnMuIE91ciBtYWluIGZpbmRpbmdzIGluZGljYXRlIHRoYXQgY2xpbWF0ZSBjaGFuZ2UgcmlzayBoYXMgYSBuZWdhdGl2ZSBlZmZlY3Qgb24gZmlybSB2YWx1ZSBhbmQgYSBwb3NpdGl2ZSBlZmZlY3Qgb24gRVNHIHBlcmZvcm1hbmNlIGFuZCB0aGF0IGZpbmFuY2lhbCBmbGV4aWJpbGl0eSBtb2RlcmF0ZXMgdGhlc2UgZWZmZWN0cyBieSByZWR1Y2luZyByaXNrIGFuZCBlbmhhbmNpbmcgdmFsdWUuIFRoZXNlIHJlc3VsdHMgYXJlIHJvYnVzdCBhZ2FpbnN0IGFsdGVybmF0aXZlIG1lYXN1cmVzIGFuZCBlc3RpbWF0aW9uIHRlY2huaXF1ZXMuIE91ciBzdHVkeSBwcm92aWRlcyBub3ZlbCBpbnNpZ2h0cyBpbnRvIHRoZSBpbmZsdWVuY2Ugb2YgY2xpbWF0ZSByaXNrIGFuZCBmaW5hbmNpYWwgZmxleGliaWxpdHkgb24gZmlybSB2YWx1ZSBhbmQgRVNHIHBlcmZvcm1hbmNlLiBXZSBhbHNvIGRpc2N1c3MgdGhlIGltcGxpY2F0aW9ucyBvZiBvdXIgcmVzdWx0cyBmb3IgYWNhZGVtaWNzLCBwcmFjdGl0aW9uZXJzLCBhbmQgcG9saWN5bWFrZXJzLiIsInB1Ymxpc2hlciI6IkJvcnNhIElzdGFuYnVsIEFub25pbSBTaXJrZXRpIiwiaXNzdWUiOiIxIiwidm9sdW1lIjoiMjQiLCJjb250YWluZXItdGl0bGUtc2hvcnQiOiIifSwiaXNUZW1wb3JhcnkiOmZhbHNlLCJzdXBwcmVzcy1hdXRob3IiOmZhbHNlLCJjb21wb3NpdGUiOmZhbHNlLCJhdXRob3Itb25seSI6ZmFsc2V9XX0="/>
          <w:id w:val="-1389486170"/>
          <w:placeholder>
            <w:docPart w:val="DefaultPlaceholder_-1854013440"/>
          </w:placeholder>
        </w:sdtPr>
        <w:sdtContent>
          <w:r w:rsidR="00AD6D10" w:rsidRPr="007E7CB6">
            <w:rPr>
              <w:rFonts w:ascii="Times New Roman" w:eastAsia="Times New Roman" w:hAnsi="Times New Roman" w:cs="Times New Roman"/>
              <w:color w:val="000000"/>
              <w:sz w:val="24"/>
              <w:szCs w:val="24"/>
            </w:rPr>
            <w:t>(Naseer et al., 2024)</w:t>
          </w:r>
        </w:sdtContent>
      </w:sdt>
      <w:r w:rsidRPr="007E7CB6">
        <w:rPr>
          <w:rFonts w:ascii="Times New Roman" w:eastAsia="Times New Roman" w:hAnsi="Times New Roman" w:cs="Times New Roman"/>
          <w:sz w:val="24"/>
          <w:szCs w:val="24"/>
        </w:rPr>
        <w:t xml:space="preserve"> shows that companies with greater financial flexibility tend to be able to reduce climate risk, improve ESG performance, and ultimately achieve better firm value. This study emphasizes that financial flexibility through adaptive capital structures supports transparency and sustainability practices that appeal to investors focused on ESG criteria.</w:t>
      </w:r>
    </w:p>
    <w:p w14:paraId="67A1E5F8" w14:textId="079BCB3E" w:rsidR="00153781" w:rsidRPr="007E7CB6" w:rsidRDefault="00000000">
      <w:pPr>
        <w:spacing w:line="480" w:lineRule="auto"/>
        <w:ind w:firstLine="720"/>
        <w:jc w:val="both"/>
        <w:rPr>
          <w:rFonts w:ascii="Times New Roman" w:eastAsia="Times New Roman" w:hAnsi="Times New Roman" w:cs="Times New Roman"/>
          <w:sz w:val="24"/>
          <w:szCs w:val="24"/>
        </w:rPr>
      </w:pPr>
      <w:bookmarkStart w:id="24" w:name="_heading=h.apfyef87i7j" w:colFirst="0" w:colLast="0"/>
      <w:bookmarkEnd w:id="24"/>
      <w:r w:rsidRPr="007E7CB6">
        <w:rPr>
          <w:rFonts w:ascii="Times New Roman" w:eastAsia="Times New Roman" w:hAnsi="Times New Roman" w:cs="Times New Roman"/>
          <w:sz w:val="24"/>
          <w:szCs w:val="24"/>
        </w:rPr>
        <w:t>Green accounting is a tool that enables companies to manage and report environmental impacts financially by integrating environmental costs into financial reporting systems. This approach increases corporate transparency and accountability for operational activities that impact the environment, as well as increasing firm value</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U2NzZkNDQtNDRjYy00ZGYxLTkxZTUtN2I2ZjIxMWUxYjBi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
          <w:id w:val="-1653208443"/>
          <w:placeholder>
            <w:docPart w:val="DefaultPlaceholder_-1854013440"/>
          </w:placeholder>
        </w:sdtPr>
        <w:sdtContent>
          <w:r w:rsidR="00AD6D10" w:rsidRPr="007E7CB6">
            <w:rPr>
              <w:rFonts w:ascii="Times New Roman" w:eastAsia="Times New Roman" w:hAnsi="Times New Roman" w:cs="Times New Roman"/>
              <w:color w:val="000000"/>
              <w:sz w:val="24"/>
              <w:szCs w:val="24"/>
            </w:rPr>
            <w:t>(Albitar et al., 2020)</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Green accounting helps companies evaluate the environmental impact on firm value, ensuring that business decisions are not only profit-oriented but also sustainable. In line with the Nationally Determined Contributions (NDCs) and Paris Agreement targets, green accounting supports the creation of a holistic reporting system to encourage more environmentally friendly business transformation.</w:t>
      </w:r>
      <w:r w:rsidRPr="007E7CB6">
        <w:rPr>
          <w:rFonts w:ascii="Times New Roman" w:eastAsia="Times New Roman" w:hAnsi="Times New Roman" w:cs="Times New Roman"/>
          <w:color w:val="000000"/>
          <w:sz w:val="24"/>
          <w:szCs w:val="24"/>
        </w:rPr>
        <w:t xml:space="preserve"> </w:t>
      </w:r>
    </w:p>
    <w:p w14:paraId="490036BB" w14:textId="457902F8" w:rsidR="00153781" w:rsidRPr="007E7CB6" w:rsidRDefault="00000000">
      <w:pPr>
        <w:spacing w:line="480" w:lineRule="auto"/>
        <w:ind w:firstLine="720"/>
        <w:jc w:val="both"/>
        <w:rPr>
          <w:rFonts w:ascii="Times New Roman" w:eastAsia="Times New Roman" w:hAnsi="Times New Roman" w:cs="Times New Roman"/>
          <w:sz w:val="24"/>
          <w:szCs w:val="24"/>
        </w:rPr>
      </w:pPr>
      <w:bookmarkStart w:id="25" w:name="_heading=h.dbzcbvlnksdx" w:colFirst="0" w:colLast="0"/>
      <w:bookmarkEnd w:id="25"/>
      <w:r w:rsidRPr="007E7CB6">
        <w:rPr>
          <w:rFonts w:ascii="Times New Roman" w:eastAsia="Times New Roman" w:hAnsi="Times New Roman" w:cs="Times New Roman"/>
          <w:sz w:val="24"/>
          <w:szCs w:val="24"/>
        </w:rPr>
        <w:t>Research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GM1NjE5ODctMWJhNy00MzQ3LTgwMTUtNWM5NTBiNmMyZjYxIiwicHJvcGVydGllcyI6eyJub3RlSW5kZXgiOjB9LCJpc0VkaXRlZCI6ZmFsc2UsIm1hbnVhbE92ZXJyaWRlIjp7ImlzTWFudWFsbHlPdmVycmlkZGVuIjpmYWxzZSwiY2l0ZXByb2NUZXh0IjoiKFMuIEtoYW4gJiMzODsgR3VwdGEsIDIwMjMpIiwibWFudWFsT3ZlcnJpZGVUZXh0IjoiIn0sImNpdGF0aW9uSXRlbXMiOlt7ImlkIjoiOTg5NDVjNTgtNzRkNy0zMjNjLWJhMGUtZTYyODJlMTFhNmRhIiwiaXRlbURhdGEiOnsidHlwZSI6ImFydGljbGUtam91cm5hbCIsImlkIjoiOTg5NDVjNTgtNzRkNy0zMjNjLWJhMGUtZTYyODJlMTFhNmRhIiwidGl0bGUiOiJUaGUgaW50ZXJwbGF5IG9mIHN1c3RhaW5hYmlsaXR5LCBjb3Jwb3JhdGUgZ3JlZW4gYWNjb3VudGluZyBhbmQgZmlybSBmaW5hbmNpYWwgcGVyZm9ybWFuY2U6IGEgbWV0YS1hbmFseXRpY2FsIGludmVzdGlnYXRpb24iLCJhdXRob3IiOlt7ImZhbWlseSI6IktoYW4iLCJnaXZlbiI6IlNoYWl6eSIsInBhcnNlLW5hbWVzIjpmYWxzZSwiZHJvcHBpbmctcGFydGljbGUiOiIiLCJub24tZHJvcHBpbmctcGFydGljbGUiOiIifSx7ImZhbWlseSI6Ikd1cHRhIiwiZ2l2ZW4iOiJTZWVtYSIsInBhcnNlLW5hbWVzIjpmYWxzZSwiZHJvcHBpbmctcGFydGljbGUiOiIiLCJub24tZHJvcHBpbmctcGFydGljbGUiOiIifV0sImNvbnRhaW5lci10aXRsZSI6IlN1c3RhaW5hYmlsaXR5IEFjY291bnRpbmcsIE1hbmFnZW1lbnQgYW5kIFBvbGljeSBKb3VybmFsIiwiYWNjZXNzZWQiOnsiZGF0ZS1wYXJ0cyI6W1syMDI1LDYsMTldXX0sIkRPSSI6IjEwLjExMDgvU0FNUEotMDEtMjAyMi0wMDE2L0ZVTEwvWE1MIiwiSVNTTiI6IjIwNDA4MDNYIiwiaXNzdWVkIjp7ImRhdGUtcGFydHMiOltbMjAyMywxMCwzMF1dfSwicGFnZSI6IjEwMzgtMTA2NiIsImFic3RyYWN0IjoiUHVycG9zZTogVGhpcyBzdHVkeSB1c2VzIGEgbWV0YS1hbmFseXNpcyBhcHByb2FjaCB0byBhbmFseXNlIHRoZSBpbXBhY3Qgb2YgYXBwbHlpbmcgY29ycG9yYXRlIGdyZWVuIGFjY291bnRpbmcgcHJhY3RpY2VzIGFzIHZpdGFsIHN1c3RhaW5hYmxlIGRldmVsb3BtZW50IHRvb2xzIG9uIGZpcm0gcGVyZm9ybWFuY2UuIFRoaXMgc3R1ZHkgYWltcyB0byBleGFtaW5lIHRoZSBtb2RlcmF0aW5nIGVmZmVjdHMgb2YgY291bnRyeS1zcGVjaWZpYyB2YXJpYWJsZXMgYW5kIGNoYXJhY3RlcmlzdGljcyBvbiB0aGUgYXNzb2NpYXRpb24gYmV0d2VlbiBjb3Jwb3JhdGUgZ3JlZW4gYWNjb3VudGluZyBhbmQgZmlybSBwZXJmb3JtYW5jZS4gRGVzaWduL21ldGhvZG9sb2d5L2FwcHJvYWNoOiBUaHJlZSBkYXRhYmFzZXMgd2VyZSB1c2VkIGZvciBhIG1ldGEtYW5hbHlzaXMgb2YgNjggaW5kZXBlbmRlbnQgc3R1ZGllcyBpbnZvbHZpbmcgMTksNjI1IHN1YmplY3RzIGNvbmR1Y3RlZCBvdmVyIDI1IHllYXJzIGZyb20gMTk5NiB0byAyMDIwLiBGaW5kaW5nczogVGhlIHJlc3VsdHMgc2hvdyB0aGF0IGNvcnBvcmF0ZSBncmVlbiBhY2NvdW50aW5nIHBvc2l0aXZlbHkgYWZmZWN0cyBmaXJtIHBlcmZvcm1hbmNlLCBidXQgY291bnRyeS1zcGVjaWZpYyB2YXJpYWJsZXMgZG8gbm90IG1vZGVyYXRlIHRoaXMgYXNzb2NpYXRpb24uIFRoZSBwb3NpdGl2ZSBhc3NvY2lhdGlvbiBiZXR3ZWVuIGNvcnBvcmF0ZSBncmVlbiBhY2NvdW50aW5nIGFuZCBmaXJtIHBlcmZvcm1hbmNlIHdhcyBlbmhhbmNlZCB3aGVuIGl0IHdhcyBtZWFzdXJlZCBpbiB0ZXJtcyBvZiBlbnZpcm9ubWVudGFsIGNvc3RzLiBTdWJncm91cCBhbmFseXNlcyByZXZlYWxlZCB0aGF0IHN0dWR5IGNoYXJhY3RlcmlzdGljcyBhcmUgc2lnbmlmaWNhbnQgc291cmNlIG9mIGhldGVyb2dlbmVpdHkgaW4gdGhlIGNvcnBvcmF0ZSBncmVlbiBhY2NvdW50aW5nIGluZGljYXRvcnMtZmlybSBwZXJmb3JtYW5jZSBhc3NvY2lhdGlvbi4gUHJhY3RpY2FsIGltcGxpY2F0aW9uczogVGhlIGZpbmRpbmdzIHN1Z2dlc3QgdGhhdCBmaXJtcyBzaG91bGQgc3RyYXRlZ2lzZSB0byBpbnRlZ3JhdGUgZW52aXJvbm1lbnRhbCBjb3N0cyBpbnRvIHRoZWlyIHJlc3BlY3RpdmUgZmluYW5jaWFsIGFjY291bnRpbmcgZnJhbWV3b3Jrcywgd2hpY2ggd291bGQgaGVscCBtYW5hZ2VycyBqdXN0aWZ5IHRoZSBjb250cmlidXRpb24gb2YgdGhlaXIgZmlybXMgdG93YXJkcyBlbnZpcm9ubWVudGFsIHByb3RlY3Rpb24uIFNvY2lhbCBpbXBsaWNhdGlvbnM6IEFjY2Vzc2luZyBhY2N1cmF0ZSBhbmQgdGltZWx5IGluZm9ybWF0aW9uIG9uIGNvcnBvcmF0ZSBlbnZpcm9ubWVudGFsIGZ1bmN0aW9uaW5nIGNhbiBhc3Npc3QgbmF0aW9uYWwgcG9saWN5bWFrZXJzIGluIGZyYW1pbmcgYXBwcm9wcmlhdGUgbGVnaXNsYXRpb24gb24gZW52aXJvbm1lbnRhbCBwcm90ZWN0aW9uIGFuZCBzdXN0YWluYWJsZSBkZXZlbG9wbWVudC4gT3JpZ2luYWxpdHkvdmFsdWU6IEFsdGhvdWdoIG1ldGEtYW5hbHlzaXMgaGFzIGJlZW4gdXNlZCBwcmV2aW91c2x5IGluIGFjY291bnRpbmcgcmVzZWFyY2ggKEd1dGhyaWUgYW5kIE11cnRoeSwgMjAwOTsgQWxjb3VmZmUgZXQgYWwuLCAyMDE5KSwgdG8gdGhlIGJlc3Qgb2YgdGhlIGF1dGhvcnPigJkga25vd2xlZGdlLCB0aGlzIGlzIHRoZSBmaXJzdCBzdHVkeSB0byB1c2UgYSBtZXRhLWFuYWx5dGljYWwgdGVjaG5pcXVlIHRvIGV4YW1pbmUgdGhlIGltcGFjdCBvZiBjb3Jwb3JhdGUgZ3JlZW4gYWNjb3VudGluZyBvbiBmaXJtIHBlcmZvcm1hbmNlLiIsInB1Ymxpc2hlciI6IkVtZXJhbGQgUHVibGlzaGluZyIsImlzc3VlIjoiNSIsInZvbHVtZSI6IjE1IiwiY29udGFpbmVyLXRpdGxlLXNob3J0IjoiIn0sImlzVGVtcG9yYXJ5IjpmYWxzZSwic3VwcHJlc3MtYXV0aG9yIjpmYWxzZSwiY29tcG9zaXRlIjpmYWxzZSwiYXV0aG9yLW9ubHkiOmZhbHNlfV19"/>
          <w:id w:val="1824859876"/>
          <w:placeholder>
            <w:docPart w:val="DefaultPlaceholder_-1854013440"/>
          </w:placeholder>
        </w:sdtPr>
        <w:sdtContent>
          <w:r w:rsidR="00AD6D10" w:rsidRPr="007E7CB6">
            <w:rPr>
              <w:rFonts w:ascii="Times New Roman" w:eastAsia="Times New Roman" w:hAnsi="Times New Roman" w:cs="Times New Roman"/>
              <w:color w:val="000000"/>
              <w:sz w:val="24"/>
            </w:rPr>
            <w:t>(S. Khan &amp; Gupta, 2023)</w:t>
          </w:r>
        </w:sdtContent>
      </w:sdt>
      <w:r w:rsidRPr="007E7CB6">
        <w:rPr>
          <w:rFonts w:ascii="Times New Roman" w:eastAsia="Times New Roman" w:hAnsi="Times New Roman" w:cs="Times New Roman"/>
          <w:sz w:val="24"/>
          <w:szCs w:val="24"/>
        </w:rPr>
        <w:t xml:space="preserve"> shows that green accounting practices have a positive effect on corporate financial performance, which can ultimately increase firm value. A study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DVkNmZkN2EtNjliMi00MTY5LWE1NzAtNmYwMjdlNjk3M2IyIiwicHJvcGVydGllcyI6eyJub3RlSW5kZXgiOjB9LCJpc0VkaXRlZCI6ZmFsc2UsIm1hbnVhbE92ZXJyaWRlIjp7ImlzTWFudWFsbHlPdmVycmlkZGVuIjpmYWxzZSwiY2l0ZXByb2NUZXh0IjoiKEtsYWHDn2VuIGV0IGFsLiwgMjAyNCkiLCJtYW51YWxPdmVycmlkZVRleHQiOiIifSwiY2l0YXRpb25JdGVtcyI6W3siaWQiOiI3NzFjZTI1Yy03OGFkLTNjMDQtYTUwNy1jYjQwYTkzMGZjZDYiLCJpdGVtRGF0YSI6eyJ0eXBlIjoiYXJ0aWNsZS1qb3VybmFsIiwiaWQiOiI3NzFjZTI1Yy03OGFkLTNjMDQtYTUwNy1jYjQwYTkzMGZjZDYiLCJ0aXRsZSI6IkFzc2Vzc2luZyBjb3Jwb3JhdGUgY2xpbWF0ZSBhY3Rpb246IENvcnBvcmF0ZSBjbGltYXRlIHBvbGljaWVzIGFuZCBjb21wYW55LWxldmVsIGVtaXNzaW9uIHJlZHVjdGlvbnMiLCJhdXRob3IiOlt7ImZhbWlseSI6IktsYWHDn2VuIiwiZ2l2ZW4iOiJMZW5hIiwicGFyc2UtbmFtZXMiOmZhbHNlLCJkcm9wcGluZy1wYXJ0aWNsZSI6IiIsIm5vbi1kcm9wcGluZy1wYXJ0aWNsZSI6IiJ9LHsiZmFtaWx5IjoiTG9obcO8bGxlciIsImdpdmVuIjoiQ2hyaXN0aWFuIiwicGFyc2UtbmFtZXMiOmZhbHNlLCJkcm9wcGluZy1wYXJ0aWNsZSI6IiIsIm5vbi1kcm9wcGluZy1wYXJ0aWNsZSI6IiJ9LHsiZmFtaWx5IjoiU3RlZmZlbiIsImdpdmVuIjoiQmphcm5lIiwicGFyc2UtbmFtZXMiOmZhbHNlLCJkcm9wcGluZy1wYXJ0aWNsZSI6IiIsIm5vbi1kcm9wcGluZy1wYXJ0aWNsZSI6IiJ9XSwiY29udGFpbmVyLXRpdGxlIjoiUExPUyBDbGltYXRlIiwiRE9JIjoiMTAuMTM3MS9qb3VybmFsLnBjbG0uMDAwMDQ1OCIsIklTU04iOiIyNzY3MzIwMCIsImlzc3VlZCI6eyJkYXRlLXBhcnRzIjpbWzIwMjQsMTEsMV1dfSwiYWJzdHJhY3QiOiJQcml2YXRlIGludmVzdG1lbnQgZGVjaXNpb25zIGFyZSBleHBlY3RlZCB0byBwbGF5IGEgZGVjaXNpdmUgcm9sZSBpbiByZWRpcmVjdGluZyBjYXBpdGFsIGZsb3dzIGluIGxpbmUgd2l0aCB0aGUgUGFyaXMgQWdyZWVtZW50LiBUaGUgZmluYW5jaWFsIHNlY3RvciBhbmQgcG9saWN5bWFrZXJzIGhhdmUgZW1waGFzaXplZCB0aGUgcm9sZSBvZiBjb3Jwb3JhdGUgY2xpbWF0ZSBhY3Rpb24gYW5kIGNsaW1hdGUtcmVsYXRlZCBkaXNjbG9zdXJlLCBpbmNsdWRpbmcgYmFja3dhcmQtbG9va2luZyBlbWlzc2lvbnMgZmlndXJlcyBhbmQgZm9yd2FyZC1sb29raW5nIGluZm9ybWF0aW9uIG9uIGNvcnBvcmF0ZSBjbGltYXRlIHBvbGljaWVzIHRvIGVuYWJsZSBpbnZlc3RvcnMgdG8gcmVhbGxvY2F0ZSBjYXBpdGFsIHRvIGZpcm1zIHdpdGggcHJvbWlzaW5nIGVtaXNzaW9uIHJlZHVjdGlvbiBwYXRod2F5cy4gSG93ZXZlciwgdGhlcmUgaXMgYXQgYmVzdCBpbmNvbmNsdXNpdmUgZXZpZGVuY2Ugb24gdGhlIHJlbGF0aW9uc2hpcCBiZXR3ZWVuIGNvcnBvcmF0ZSBjbGltYXRlIHBvbGljaWVzIGFuZCBzdWJzZXF1ZW50IGNvbXBhbnktbGV2ZWwgZW1pc3Npb24gcmVkdWN0aW9ucy4gUHJldmlvdXMgcmVzZWFyY2ggd2FzIGxpbWl0ZWQgYnkgc21hbGwgc2FtcGxlIHNpemVzIGFuZCBzaG9ydCBvYnNlcnZhdGlvbiBwZXJpb2RzLCBpbXBlZGluZyB0aGUgYW5hbHlzaXMgb2YgdGltZS1sYWdnZWQgZWZmZWN0cyBvciB0aGUgaW5jbHVzaW9uIG9mIGNvbXBhbnktbGV2ZWwgZml4ZWQgZWZmZWN0cy4gVG8gb3ZlcmNvbWUgdGhlc2Ugc2hvcnRjb21pbmdzLCB3ZSBkcmF3IG9uIGEgbmV3IGRhdGFzZXQgd2l0aCAxNywxOTggb2JzZXJ2YXRpb25zIGZyb20gMSw3NDkgY29tcGFuaWVzIHRoYXQgZGlzY2xvc2VkIHRoZWlyIGNvcnBvcmF0ZSBjbGltYXRlIHBvbGljaWVzIGJldHdlZW4gMjAxMCBhbmQgMjAyMi4gV2hpbGUgb3VyIHJlc3VsdHMgc2hvdyBvbmx5IGEgd2VhayBsaW5rIGJldHdlZW4gaW5kaXZpZHVhbCBwb2xpY2llcyBhbmQgY29tcGFueS1sZXZlbCBlbWlzc2lvbnMsIHdlIGZpbmQgc29tZSBldmlkZW5jZSBmb3IgYW4gaW1wcm92ZWQgY2xpbWF0ZSBwZXJmb3JtYW5jZSBmb3IgYWJzb2x1dGUgZW1pc3Npb25zIGZvciBjb21wYW5pZXMgdGhhdCBpbnRyb2R1Y2VkIGEgY29tcHJlaGVuc2l2ZSBjb3Jwb3JhdGUgY2xpbWF0ZSBwb2xpY3kgbWl4LiBUaGlzIGlzIGluIGxpbmUgd2l0aCBwdWJsaWMgcG9saWN5IHJlc2VhcmNoIHRoYXQgaGFzIGZvdW5kIGNvbXByZWhlbnNpdmVuZXNzIHRvIGJlIGFuIGltcG9ydGFudCBkaW1lbnNpb24gZm9yIHB1YmxpYyBwb2xpY3kgbWl4ZXMgYW5kIGVtcGhhc2l6ZXMgdGhlIHJvbGUgb2YgYSBtaXggb2YgY29ycG9yYXRlIGNsaW1hdGUgcG9saWNpZXMgcmF0aGVyIHRoYW4gcmVseWluZyBvbiBpbmRpdmlkdWFsIG1lYXN1cmVzLiIsInB1Ymxpc2hlciI6IlB1YmxpYyBMaWJyYXJ5IG9mIFNjaWVuY2UiLCJpc3N1ZSI6IjExIiwidm9sdW1lIjoiMyIsImNvbnRhaW5lci10aXRsZS1zaG9ydCI6IiJ9LCJpc1RlbXBvcmFyeSI6ZmFsc2UsInN1cHByZXNzLWF1dGhvciI6ZmFsc2UsImNvbXBvc2l0ZSI6ZmFsc2UsImF1dGhvci1vbmx5IjpmYWxzZX1dfQ=="/>
          <w:id w:val="773991019"/>
          <w:placeholder>
            <w:docPart w:val="DefaultPlaceholder_-1854013440"/>
          </w:placeholder>
        </w:sdtPr>
        <w:sdtContent>
          <w:r w:rsidR="00AD6D10" w:rsidRPr="007E7CB6">
            <w:rPr>
              <w:rFonts w:ascii="Times New Roman" w:eastAsia="Times New Roman" w:hAnsi="Times New Roman" w:cs="Times New Roman"/>
              <w:color w:val="000000"/>
              <w:sz w:val="24"/>
              <w:szCs w:val="24"/>
            </w:rPr>
            <w:t>(Klaaßen et al., 2024)</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also found that companies that consistently improve climate transparency, particularly carbon emissions </w:t>
      </w:r>
      <w:r w:rsidRPr="007E7CB6">
        <w:rPr>
          <w:rFonts w:ascii="Times New Roman" w:eastAsia="Times New Roman" w:hAnsi="Times New Roman" w:cs="Times New Roman"/>
          <w:sz w:val="24"/>
          <w:szCs w:val="24"/>
        </w:rPr>
        <w:lastRenderedPageBreak/>
        <w:t>disclosure, tend to see an increase in market value and reputation. However, research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FlMTc4NTgtZTJhMy00NGQyLWFmNzEtZTBkMWEzOGUxN2FiIiwicHJvcGVydGllcyI6eyJub3RlSW5kZXgiOjB9LCJpc0VkaXRlZCI6ZmFsc2UsIm1hbnVhbE92ZXJyaWRlIjp7ImlzTWFudWFsbHlPdmVycmlkZGVuIjpmYWxzZSwiY2l0ZXByb2NUZXh0IjoiKEFsYWlrYSAmIzM4OyBGaXJtYW5zeWFoLCAyMDI0KSIsIm1hbnVhbE92ZXJyaWRlVGV4dCI6IiJ9LCJjaXRhdGlvbkl0ZW1zIjpbeyJpZCI6Ijc4MzRlMzBlLWQwNDYtMzg0Yi1hYmE1LTI4MDc4OGI0ZjVmZSIsIml0ZW1EYXRhIjp7InR5cGUiOiJhcnRpY2xlLWpvdXJuYWwiLCJpZCI6Ijc4MzRlMzBlLWQwNDYtMzg0Yi1hYmE1LTI4MDc4OGI0ZjVmZSIsInRpdGxlIjoiVW52ZWlsaW5nIFRoZSBJbXBhY3Qgb2YgR3JlZW4gQWNjb3VudGluZyBhbmQgU3VzdGFpbmFiaWxpdHkgRGlzY2xvc3VyZSBPbiBUaGUgRmlybSBWYWx1ZSIsImF1dGhvciI6W3siZmFtaWx5IjoiQWxhaWthIiwiZ2l2ZW4iOiJBYmR1bGxhaCBBeml6IiwicGFyc2UtbmFtZXMiOmZhbHNlLCJkcm9wcGluZy1wYXJ0aWNsZSI6IiIsIm5vbi1kcm9wcGluZy1wYXJ0aWNsZSI6IiJ9LHsiZmFtaWx5IjoiRmlybWFuc3lhaCIsImdpdmVuIjoiQW1yaWUiLCJwYXJzZS1uYW1lcyI6ZmFsc2UsImRyb3BwaW5nLXBhcnRpY2xlIjoiIiwibm9uLWRyb3BwaW5nLXBhcnRpY2xlIjoiIn1dLCJjb250YWluZXItdGl0bGUiOiJKb3VybmFsIG9mIEdvdmVybmFuY2UgUmlzayBNYW5hZ2VtZW50IENvbXBsaWFuY2UgYW5kIFN1c3RhaW5hYmlsaXR5IiwiRE9JIjoiMTAuMzEwOTgvamdyY3MudjRpMi4yNDM2IiwiSVNTTiI6IjI3NzYtOTY1OCIsIlVSTCI6Imh0dHBzOi8vam91cm5hbHMucmVzZWFyY2hzeW5lcmd5cHJlc3MuY29tL2luZGV4LnBocC9qZ3Jjcy9hcnRpY2xlL3ZpZXcvMjQzNiIsImlzc3VlZCI6eyJkYXRlLXBhcnRzIjpbWzIwMjQsMTAsMzFdXX0sInBhZ2UiOiI2NC03OCIsImFic3RyYWN0IjoiPHA+VGhpcyBzdHVkeSBleGFtaW5lZCB0aGUgaW1wYWN0IG9mIGdyZWVuIGFjY291bnRpbmcgYW5kIHN1c3RhaW5hYmlsaXR5IGRpc2Nsb3N1cmUgb24gZmlybSB2YWx1ZSBpbiB0aGUgSW5kb25lc2lhbiBwYWxtIG9pbCBpbmR1c3RyeS4gVGhlIG9iamVjdGl2ZSB3YXMgdG8gZW1waXJpY2FsbHkgYXNzZXNzIGhvdyBlbnZpcm9ubWVudGFsIHBlcmZvcm1hbmNlIG1lYXN1cmVkIGJ5IFBST1BFUiBhbmQgc3VzdGFpbmFiaWxpdHkgcmVwb3J0cyBhZmZlY3RzIGZpcm0gdmFsdWUuIFVzaW5nIHF1YW50aXRhdGl2ZSByZXNlYXJjaCBtZXRob2RzLCB0aGUgc3R1ZHkgYW5hbHl6ZWQgZGF0YSBmcm9tIDEyNCBwYWxtIG9pbCBjb21wYW55IG9ic2VydmF0aW9ucyBsaXN0ZWQgb24gdGhlIEluZG9uZXNpYSBTdG9jayBFeGNoYW5nZSBmcm9tIDIwMTggdG8gMjAyMi4gVGhlIHJlc2VhcmNoIHZhcmlhYmxlcyBpbmNsdWRlZCBmaXJtIHZhbHVlIHByb3hpZWQgYnkgVG9iaW7igJlzIFEsIGdyZWVuIGFjY291bnRpbmcgcHJveGllZCBieSBQUk9QRVIgc2NvcmVzLCBhbmQgc3VzdGFpbmFiaWxpdHkgZGlzY2xvc3VyZSBpbmRleGVkIGZyb20gdGhlIGNvbXBhbmllc+KAmSBzdXN0YWluYWJpbGl0eSByZXBvcnRzLiBUaGUgc3R1ZHkgYWxzbyBpbmNsdWRlZCBwcm9maXRhYmlsaXR5LCBmaXJtIHNpemUsIGFuZCBsZXZlcmFnZSBhcyBjb250cm9sIHZhcmlhYmxlcy4gVGhlIHJlc3VsdHMgaW5kaWNhdGVkIHRoYXQgZ3JlZW4gYWNjb3VudGluZyBoYWQgYSBuZWdhdGl2ZSBpbXBhY3Qgb24gZmlybSB2YWx1ZSwgc3VnZ2VzdGluZyB0aGF0IGVudmlyb25tZW50YWwgY29tcGxpYW5jZSBpbXBvc2VzIHNob3J0LXRlcm0gZmluYW5jaWFsIGJ1cmRlbnMgb24gY29tcGFuaWVzLiBIb3dldmVyLCBzdXN0YWluYWJpbGl0eSBkaXNjbG9zdXJlIGRpZCBub3Qgc2lnbmlmaWNhbnRseSBpbmZsdWVuY2UgZmlybSB2YWx1ZSwgaW5kaWNhdGluZyB0aGF0IGludmVzdG9ycyBpbiB0aGUgcGFsbSBvaWwgaW5kdXN0cnkgbWF5IHByaW9yaXRpemUgc2hvcnQtdGVybSBmaW5hbmNpYWwgcGVyZm9ybWFuY2Ugb3ZlciBsb25nLXRlcm0gc3VzdGFpbmFiaWxpdHkgY29uc2lkZXJhdGlvbnMuIFRoZXNlIGZpbmRpbmdzIGNvbnRyaWJ1dGUgdG8gdGhlIGxpdGVyYXR1cmUgb24gY29ycG9yYXRlIGdvdmVybmFuY2UgYW5kIHN1c3RhaW5hYmlsaXR5LCBwYXJ0aWN1bGFybHkgaW4gaW5kdXN0cmllcyB3aXRoIGhpZ2ggZW52aXJvbm1lbnRhbCBpbXBhY3QsIGxpa2UgcGFsbSBvaWwuPC9wPiIsImlzc3VlIjoiMiIsInZvbHVtZSI6IjQiLCJjb250YWluZXItdGl0bGUtc2hvcnQiOiIifSwiaXNUZW1wb3JhcnkiOmZhbHNlLCJzdXBwcmVzcy1hdXRob3IiOmZhbHNlLCJjb21wb3NpdGUiOmZhbHNlLCJhdXRob3Itb25seSI6ZmFsc2V9XX0="/>
          <w:id w:val="1419830446"/>
          <w:placeholder>
            <w:docPart w:val="DefaultPlaceholder_-1854013440"/>
          </w:placeholder>
        </w:sdtPr>
        <w:sdtContent>
          <w:r w:rsidR="00AD6D10" w:rsidRPr="007E7CB6">
            <w:rPr>
              <w:rFonts w:ascii="Times New Roman" w:eastAsia="Times New Roman" w:hAnsi="Times New Roman" w:cs="Times New Roman"/>
              <w:color w:val="000000"/>
              <w:sz w:val="24"/>
            </w:rPr>
            <w:t>(Alaika &amp; Firmansyah, 2024)</w:t>
          </w:r>
        </w:sdtContent>
      </w:sdt>
      <w:r w:rsidRPr="007E7CB6">
        <w:rPr>
          <w:rFonts w:ascii="Times New Roman" w:eastAsia="Times New Roman" w:hAnsi="Times New Roman" w:cs="Times New Roman"/>
          <w:sz w:val="24"/>
          <w:szCs w:val="24"/>
        </w:rPr>
        <w:t xml:space="preserve"> on the palm oil industry in Indonesia reveals that green accounting practices actually have a negative impact on firm value due to the high cost of environmental compliance, while sustainability disclosure does not show a significant effect. These findings confirm that the effectiveness of green accounting on firm value can vary according to industry sector and geographical context.</w:t>
      </w:r>
    </w:p>
    <w:p w14:paraId="28408365" w14:textId="0F105BFF" w:rsidR="00153781" w:rsidRPr="007E7CB6" w:rsidRDefault="00000000">
      <w:pPr>
        <w:spacing w:line="480" w:lineRule="auto"/>
        <w:ind w:firstLine="720"/>
        <w:jc w:val="both"/>
        <w:rPr>
          <w:rFonts w:ascii="Times New Roman" w:eastAsia="Times New Roman" w:hAnsi="Times New Roman" w:cs="Times New Roman"/>
          <w:sz w:val="24"/>
          <w:szCs w:val="24"/>
        </w:rPr>
      </w:pPr>
      <w:bookmarkStart w:id="26" w:name="_heading=h.w0khqexhtnkn" w:colFirst="0" w:colLast="0"/>
      <w:bookmarkEnd w:id="26"/>
      <w:r w:rsidRPr="007E7CB6">
        <w:rPr>
          <w:rFonts w:ascii="Times New Roman" w:eastAsia="Times New Roman" w:hAnsi="Times New Roman" w:cs="Times New Roman"/>
          <w:sz w:val="24"/>
          <w:szCs w:val="24"/>
        </w:rPr>
        <w:t>Carbon emission disclosure is a key aspect in improving corporate transparency regarding the environmental impact of its operational activities. Carbon emission disclosure provides an overview of how companies manage environmental risks and demonstrates their commitment to sustainable business practices. Research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A5MGYwOTQtNDVkNi00ZjM1LWI3ZTgtZTYwNDQwMjhiYmNhIiwicHJvcGVydGllcyI6eyJub3RlSW5kZXgiOjB9LCJpc0VkaXRlZCI6ZmFsc2UsIm1hbnVhbE92ZXJyaWRlIjp7ImlzTWFudWFsbHlPdmVycmlkZGVuIjpmYWxzZSwiY2l0ZXByb2NUZXh0IjoiKEppYW5nIGV0IGFsLiwgMjAyMSkiLCJtYW51YWxPdmVycmlkZVRleHQiOiIifSwiY2l0YXRpb25JdGVtcyI6W3siaWQiOiIwZDQ0YjU3NC1kNTUwLTNiYzQtYjZlOS05NzM4YWMyMWZiNzMiLCJpdGVtRGF0YSI6eyJ0eXBlIjoiYXJ0aWNsZS1qb3VybmFsIiwiaWQiOiIwZDQ0YjU3NC1kNTUwLTNiYzQtYjZlOS05NzM4YWMyMWZiNzMiLCJ0aXRsZSI6IlRoZSB2YWx1ZSByZWxldmFuY2Ugb2YgY29ycG9yYXRlIHZvbHVudGFyeSBjYXJib24gZGlzY2xvc3VyZTogRXZpZGVuY2UgZnJvbSB0aGUgVW5pdGVkIFN0YXRlcyBhbmQgQlJJQyBjb3VudHJpZXMiLCJhdXRob3IiOlt7ImZhbWlseSI6IkppYW5nIiwiZ2l2ZW4iOiJZYW4iLCJwYXJzZS1uYW1lcyI6ZmFsc2UsImRyb3BwaW5nLXBhcnRpY2xlIjoiIiwibm9uLWRyb3BwaW5nLXBhcnRpY2xlIjoiIn0seyJmYW1pbHkiOiJMdW8iLCJnaXZlbiI6IkxlIiwicGFyc2UtbmFtZXMiOmZhbHNlLCJkcm9wcGluZy1wYXJ0aWNsZSI6IiIsIm5vbi1kcm9wcGluZy1wYXJ0aWNsZSI6IiJ9LHsiZmFtaWx5IjoiWHUiLCJnaXZlbiI6IkppYW4gRmVuZyIsInBhcnNlLW5hbWVzIjpmYWxzZSwiZHJvcHBpbmctcGFydGljbGUiOiIiLCJub24tZHJvcHBpbmctcGFydGljbGUiOiIifSx7ImZhbWlseSI6IlNoYW8iLCJnaXZlbiI6IlhpYW8gUnVpIiwicGFyc2UtbmFtZXMiOmZhbHNlLCJkcm9wcGluZy1wYXJ0aWNsZSI6IiIsIm5vbi1kcm9wcGluZy1wYXJ0aWNsZSI6IiJ9XSwiY29udGFpbmVyLXRpdGxlIjoiSm91cm5hbCBvZiBDb250ZW1wb3JhcnkgQWNjb3VudGluZyBhbmQgRWNvbm9taWNzIiwiRE9JIjoiMTAuMTAxNi9qLmpjYWUuMjAyMS4xMDAyNzkiLCJJU1NOIjoiMTgxNTU2NjkiLCJpc3N1ZWQiOnsiZGF0ZS1wYXJ0cyI6W1syMDIxLDEyLDFdXX0sImFic3RyYWN0IjoiT3VyIHN0dWR5IGZvY3VzZXMgb24gdGhlIHZhbHVlIHJlbGV2YW5jZSBvZiBjb3Jwb3JhdGUgdm9sdW50YXJ5IGNhcmJvbiBkaXNjbG9zdXJlLiBPdXIgc2FtcGxlIGluY2x1ZGVzIGZpcm1zIGZyb20gdGhlIFVuaXRlZCBTdGF0ZXMgKGxpc3RlZCBpbiB0aGUgUyZQIDUwMCkgYW5kIGZpcm1zIGZyb20gQnJhemlsLCBSdXNzaWEsIEluZGlhLCBhbmQgQ2hpbmEgdGhhdCBhcmUgdGFyZ2V0ZWQgYnkgdGhlIENEUC4gV2UgZXhhbWluZSB3aGV0aGVyIHRoZSBjYXBpdGFsIG1hcmtldCByZXdhcmRzIGZpcm1z4oCZIHZvbHVudGFyeSBjYXJib24gZGlzY2xvc3VyZS4gVm9sdW50YXJ5IGNhcmJvbiBkaXNjbG9zdXJlIGlzIG1lYXN1cmVkIGFzIGZpcm1z4oCZIHByb3BlbnNpdHkgdG8gdm9sdW50YXJpbHkgZGlzY2xvc2UgY2FyYm9uIGluZm9ybWF0aW9uIGFuZCB0aGUgY29tcHJlaGVuc2l2ZW5lc3MgYW5kIHF1YWxpdHkgb2YgdGhlaXIgZGlzY2xvc3VyZS4gV2UgZmluZCB0aGF0IGZpcm1zIHdpdGggZ3JlYXRlciBjYXJib24gZGlzY2xvc3VyZSBoYXZlIGhpZ2hlciBmaXJtIHZhbHVlLiBGdXJ0aGVybW9yZSwgdGhlIHBvc2l0aXZlIGFzc29jaWF0aW9uIGJldHdlZW4gZmlybSB2YWx1ZSBhbmQgdm9sdW50YXJ5IGNhcmJvbiBkaXNjbG9zdXJlIGlzIHN0cm9uZ2VyIGluIGRldmVsb3BpbmcgY291bnRyaWVzLiBXZSBhbHNvIGZpbmQgdGhhdCBsYXJnZSBlbWl0dGVycyB3aXRoIHN1ZmZpY2llbnQgY2FyYm9uIGRpc2Nsb3N1cmUgZXhwZXJpZW5jZSBhIGxlc3MgbmVnYXRpdmUgdmFsdWF0aW9uIHRoYW4gZmlybXMgd2l0aCBpbmFkZXF1YXRlIGNhcmJvbiBkaXNjbG9zdXJlLiBGdXJ0aGVybW9yZSwgYSBzdWJjb21wb25lbnQgYW5hbHlzaXMgc3VnZ2VzdHMgdGhhdCB0aGUgZGlzY2xvc3VyZSBvZiBzcGVjaWZpYyB0eXBlcyBvZiBjbGltYXRlIHJpc2sgYW5kIG9wcG9ydHVuaXR5IGlzIHJld2FyZGVkIGJ5IGludmVzdG9ycyBhbmQgY2FuIG1pdGlnYXRlIHRoZSB2YWx1YXRpb24gcGVuYWx0eSBvZiBjYXJib24gZW1pc3Npb25zLiBUaGVzZSByZXN1bHRzIGhhdmUgaW1wb3J0YW50IGltcGxpY2F0aW9ucyBmb3IgY29tcGFuaWVzLCBpbnZlc3RvcnMsIGFuZCByZWd1bGF0b3JzLiBPdXIgYW5hbHlzZXMgZW5oYW5jZSB1bmRlcnN0YW5kaW5nIG9mIHRoZSBjb25zZXF1ZW5jZXMgb2Ygdm9sdW50YXJ5IGNhcmJvbiByZXBvcnRpbmcsIHdoaWNoIGVucmljaGVzIHRoZSByZXBvcnRpbmcgb2YgY3VycmVudCBmaW5hbmNpYWwgaW5mb3JtYXRpb24uIiwicHVibGlzaGVyIjoiRWxzZXZpZXIgTHRkIiwiaXNzdWUiOiIzIiwidm9sdW1lIjoiMTciLCJjb250YWluZXItdGl0bGUtc2hvcnQiOiIifSwiaXNUZW1wb3JhcnkiOmZhbHNlLCJzdXBwcmVzcy1hdXRob3IiOmZhbHNlLCJjb21wb3NpdGUiOmZhbHNlLCJhdXRob3Itb25seSI6ZmFsc2V9XX0="/>
          <w:id w:val="-1741012887"/>
          <w:placeholder>
            <w:docPart w:val="DefaultPlaceholder_-1854013440"/>
          </w:placeholder>
        </w:sdtPr>
        <w:sdtContent>
          <w:r w:rsidR="00AD6D10" w:rsidRPr="007E7CB6">
            <w:rPr>
              <w:rFonts w:ascii="Times New Roman" w:eastAsia="Times New Roman" w:hAnsi="Times New Roman" w:cs="Times New Roman"/>
              <w:color w:val="000000"/>
              <w:sz w:val="24"/>
              <w:szCs w:val="24"/>
            </w:rPr>
            <w:t>(Jiang et al., 2021)</w:t>
          </w:r>
        </w:sdtContent>
      </w:sdt>
      <w:r w:rsidRPr="007E7CB6">
        <w:rPr>
          <w:rFonts w:ascii="Times New Roman" w:eastAsia="Times New Roman" w:hAnsi="Times New Roman" w:cs="Times New Roman"/>
          <w:sz w:val="24"/>
          <w:szCs w:val="24"/>
        </w:rPr>
        <w:t xml:space="preserve"> shows that voluntary carbon emission disclosure has a positive relationship with firm value. These findings indicate that transparency in carbon emission disclosure can increase investor confidence and ultimately increase firm value. However, the effectiveness of carbon emission disclosure on firm value can vary depending on the industry sector and geographical context. A study by </w:t>
      </w:r>
      <w:sdt>
        <w:sdtPr>
          <w:rPr>
            <w:rFonts w:ascii="Times New Roman" w:eastAsia="Times New Roman" w:hAnsi="Times New Roman" w:cs="Times New Roman"/>
            <w:color w:val="000000"/>
            <w:sz w:val="24"/>
            <w:szCs w:val="24"/>
          </w:rPr>
          <w:tag w:val="MENDELEY_CITATION_v3_eyJjaXRhdGlvbklEIjoiTUVOREVMRVlfQ0lUQVRJT05fMjY1OWMwZGUtN2Q3MS00MDg1LWFmOTktNDEwYjI2OGViZjU5IiwicHJvcGVydGllcyI6eyJub3RlSW5kZXgiOjB9LCJpc0VkaXRlZCI6ZmFsc2UsIm1hbnVhbE92ZXJyaWRlIjp7ImlzTWFudWFsbHlPdmVycmlkZGVuIjpmYWxzZSwiY2l0ZXByb2NUZXh0IjoiKEt1cm5pYSBldCBhbC4sIDIwMjEpIiwibWFudWFsT3ZlcnJpZGVUZXh0IjoiIn0sImNpdGF0aW9uSXRlbXMiOlt7ImlkIjoiNTgyZDFjODYtMzZiYS0zNDE0LWEwNTctZDIxMWY4NzczMGU0IiwiaXRlbURhdGEiOnsidHlwZSI6ImFydGljbGUtam91cm5hbCIsImlkIjoiNTgyZDFjODYtMzZiYS0zNDE0LWEwNTctZDIxMWY4NzczMGU0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LCJzdXBwcmVzcy1hdXRob3IiOmZhbHNlLCJjb21wb3NpdGUiOmZhbHNlLCJhdXRob3Itb25seSI6ZmFsc2V9XX0="/>
          <w:id w:val="-458266085"/>
          <w:placeholder>
            <w:docPart w:val="DefaultPlaceholder_-1854013440"/>
          </w:placeholder>
        </w:sdtPr>
        <w:sdtContent>
          <w:r w:rsidR="00AD6D10" w:rsidRPr="007E7CB6">
            <w:rPr>
              <w:rFonts w:ascii="Times New Roman" w:eastAsia="Times New Roman" w:hAnsi="Times New Roman" w:cs="Times New Roman"/>
              <w:color w:val="000000"/>
              <w:sz w:val="24"/>
              <w:szCs w:val="24"/>
            </w:rPr>
            <w:t>(Kurnia et al., 2021)</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comparing manufacturing companies in Indonesia and Australia found that carbon emissions disclosure increased firm value in Indonesia but had no significant effect in Australia. This shows that factors such as implementation costs and investor perceptions of carbon emissions disclosure can influence its impact on firm value.</w:t>
      </w:r>
    </w:p>
    <w:p w14:paraId="4DFD7CE7" w14:textId="690E539F" w:rsidR="00153781" w:rsidRPr="007E7CB6" w:rsidRDefault="00000000">
      <w:pPr>
        <w:spacing w:line="480" w:lineRule="auto"/>
        <w:ind w:firstLine="720"/>
        <w:jc w:val="both"/>
        <w:rPr>
          <w:rFonts w:ascii="Times New Roman" w:eastAsia="Times New Roman" w:hAnsi="Times New Roman" w:cs="Times New Roman"/>
          <w:sz w:val="24"/>
          <w:szCs w:val="24"/>
        </w:rPr>
      </w:pPr>
      <w:bookmarkStart w:id="27" w:name="_heading=h.c6l3pqb1zefs" w:colFirst="0" w:colLast="0"/>
      <w:bookmarkEnd w:id="27"/>
      <w:r w:rsidRPr="007E7CB6">
        <w:rPr>
          <w:rFonts w:ascii="Times New Roman" w:eastAsia="Times New Roman" w:hAnsi="Times New Roman" w:cs="Times New Roman"/>
          <w:sz w:val="24"/>
          <w:szCs w:val="24"/>
        </w:rPr>
        <w:t xml:space="preserve">Capital structure refers to the composition of a company's funding, which consists of debt and equity, with the aim of minimizing the cost of capital while </w:t>
      </w:r>
      <w:r w:rsidRPr="007E7CB6">
        <w:rPr>
          <w:rFonts w:ascii="Times New Roman" w:eastAsia="Times New Roman" w:hAnsi="Times New Roman" w:cs="Times New Roman"/>
          <w:sz w:val="24"/>
          <w:szCs w:val="24"/>
        </w:rPr>
        <w:lastRenderedPageBreak/>
        <w:t>maximizing the value of the company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GRmNTY2OWMtNzY4YS00ODExLTk5NmQtYTVlMTQ1NjdlOWUxIiwicHJvcGVydGllcyI6eyJub3RlSW5kZXgiOjB9LCJpc0VkaXRlZCI6ZmFsc2UsIm1hbnVhbE92ZXJyaWRlIjp7ImlzTWFudWFsbHlPdmVycmlkZGVuIjpmYWxzZSwiY2l0ZXByb2NUZXh0IjoiKE15ZXJzICYjMzg7IE1haml1ZiwgMTk4MSkiLCJtYW51YWxPdmVycmlkZVRleHQiOiIifSwiY2l0YXRpb25JdGVtcyI6W3siaWQiOiJjMjQ2ZTc5ZS1mZDkyLTNhMzUtOTZhNy0wNjYyMGEwYTVlZjMiLCJpdGVtRGF0YSI6eyJ0eXBlIjoicmVwb3J0IiwiaWQiOiJjMjQ2ZTc5ZS1mZDkyLTNhMzUtOTZhNy0wNjYyMGEwYTVlZjMiLCJ0aXRsZSI6IkNPUlBPUkFURSBGSU5BTkNJTkcgQU5EIElOVkVTVE1FTlQgREVDSVNJT05TIFdIRU4gRklSTVMgSEFWRSBJTkZPUk1BVElPTiBUSEUgSU5WRVNUT1JTIERPIE5PVCBIQVZFIiwiYXV0aG9yIjpbeyJmYW1pbHkiOiJNeWVycyIsImdpdmVuIjoiU3Rld2FydCBDIiwicGFyc2UtbmFtZXMiOmZhbHNlLCJkcm9wcGluZy1wYXJ0aWNsZSI6IiIsIm5vbi1kcm9wcGluZy1wYXJ0aWNsZSI6IiJ9LHsiZmFtaWx5IjoiTWFqaXVmIiwiZ2l2ZW4iOiJOaWNob2xhcyBTIiwicGFyc2UtbmFtZXMiOmZhbHNlLCJkcm9wcGluZy1wYXJ0aWNsZSI6IiIsIm5vbi1kcm9wcGluZy1wYXJ0aWNsZSI6IiJ9XSwiaXNzdWVkIjp7ImRhdGUtcGFydHMiOltbMTk4MV1dfSwiY29udGFpbmVyLXRpdGxlLXNob3J0IjoiIn0sImlzVGVtcG9yYXJ5IjpmYWxzZSwic3VwcHJlc3MtYXV0aG9yIjpmYWxzZSwiY29tcG9zaXRlIjpmYWxzZSwiYXV0aG9yLW9ubHkiOmZhbHNlfV19"/>
          <w:id w:val="1765113565"/>
          <w:placeholder>
            <w:docPart w:val="DefaultPlaceholder_-1854013440"/>
          </w:placeholder>
        </w:sdtPr>
        <w:sdtContent>
          <w:r w:rsidR="00AD6D10" w:rsidRPr="007E7CB6">
            <w:rPr>
              <w:rFonts w:ascii="Times New Roman" w:eastAsia="Times New Roman" w:hAnsi="Times New Roman" w:cs="Times New Roman"/>
              <w:color w:val="000000"/>
              <w:sz w:val="24"/>
            </w:rPr>
            <w:t>(Myers &amp; Majiuf, 1981)</w:t>
          </w:r>
        </w:sdtContent>
      </w:sdt>
      <w:r w:rsidR="00E3537D" w:rsidRPr="007E7CB6">
        <w:rPr>
          <w:rFonts w:ascii="Times New Roman" w:eastAsia="Times New Roman" w:hAnsi="Times New Roman" w:cs="Times New Roman"/>
          <w:sz w:val="24"/>
          <w:szCs w:val="24"/>
        </w:rPr>
        <w:t>. S</w:t>
      </w:r>
      <w:r w:rsidRPr="007E7CB6">
        <w:rPr>
          <w:rFonts w:ascii="Times New Roman" w:eastAsia="Times New Roman" w:hAnsi="Times New Roman" w:cs="Times New Roman"/>
          <w:sz w:val="24"/>
          <w:szCs w:val="24"/>
        </w:rPr>
        <w:t>tructure plays an important role in determining the value of a company through financial efficiency and risk management. In the context of sustainability, the concept of green capital structure has emerged, which refers to corporate financing that supports environmentally friendly projects, such as green bonds or green financing. This approach not only considers capital cost efficiency, but also the environmental impact of financing decisions. Companies with a healthy capital structure are more flexible in supporting sustainability initiatives, thereby enhancing their competitiveness and reputation. Research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ZhMDQ5NjMtMTQ4My00M2YxLTlhOGQtZjU0ZjY5MDYyOWY5IiwicHJvcGVydGllcyI6eyJub3RlSW5kZXgiOjB9LCJpc0VkaXRlZCI6ZmFsc2UsIm1hbnVhbE92ZXJyaWRlIjp7ImlzTWFudWFsbHlPdmVycmlkZGVuIjpmYWxzZSwiY2l0ZXByb2NUZXh0IjoiKEJ1aSBldCBhbC4sIDIwMjMpIiwibWFudWFsT3ZlcnJpZGVUZXh0IjoiIn0sImNpdGF0aW9uSXRlbXMiOlt7ImlkIjoiZWU4N2IwZjMtYTIzZS0zMWYyLTlmNWItNjQ5Yzg0YzAxNzBmIiwiaXRlbURhdGEiOnsidHlwZSI6ImFydGljbGUtam91cm5hbCIsImlkIjoiZWU4N2IwZjMtYTIzZS0zMWYyLTlmNWItNjQ5Yzg0YzAxNzBmIiwidGl0bGUiOiJUaGUgRWZmZWN0IG9mIENhcGl0YWwgU3RydWN0dXJlIG9uIEZpcm0gVmFsdWU6IEEgU3R1ZHkgb2YgQ29tcGFuaWVzIExpc3RlZCBvbiB0aGUgVmlldG5hbWVzZSBTdG9jayBNYXJrZXQiLCJhdXRob3IiOlt7ImZhbWlseSI6IkJ1aSIsImdpdmVuIjoiVGhpIE5nb2MiLCJwYXJzZS1uYW1lcyI6ZmFsc2UsImRyb3BwaW5nLXBhcnRpY2xlIjoiIiwibm9uLWRyb3BwaW5nLXBhcnRpY2xlIjoiIn0seyJmYW1pbHkiOiJOZ3V5ZW4iLCJnaXZlbiI6Ilh1YW4gSHVuZyIsInBhcnNlLW5hbWVzIjpmYWxzZSwiZHJvcHBpbmctcGFydGljbGUiOiIiLCJub24tZHJvcHBpbmctcGFydGljbGUiOiIifSx7ImZhbWlseSI6IlBoYW0iLCJnaXZlbiI6IktpZXUgVHJhbmciLCJwYXJzZS1uYW1lcyI6ZmFsc2UsImRyb3BwaW5nLXBhcnRpY2xlIjoiIiwibm9uLWRyb3BwaW5nLXBhcnRpY2xlIjoiIn1dLCJjb250YWluZXItdGl0bGUiOiJJbnRlcm5hdGlvbmFsIEpvdXJuYWwgb2YgRmluYW5jaWFsIFN0dWRpZXMiLCJET0kiOiIxMC4zMzkwL2lqZnMxMTAzMDEwMCIsIklTU04iOiIyMjI3NzA3MiIsImlzc3VlZCI6eyJkYXRlLXBhcnRzIjpbWzIwMjMsOSwxXV19LCJhYnN0cmFjdCI6IlRoaXMgcmVzZWFyY2ggaW52ZXN0aWdhdGVzIHRoZSByZWxhdGlvbnNoaXAgYmV0d2VlbiBjYXBpdGFsIHN0cnVjdHVyZSBhbmQgZmlybSB2YWx1ZSBmb3IgY29tcGFuaWVzIGxpc3RlZCBvbiB0aGUgVmlldG5hbWVzZSBzdG9jayBtYXJrZXQuIFRoZSBzdHVkeSB1dGlsaXplcyBkYXRhIGZyb20gYXVkaXRlZCBmaW5hbmNpYWwgc3RhdGVtZW50cyBvZiA3NjkgY29tcGFuaWVzIHNwYW5uaW5nIGZyb20gMjAxMiB0byAyMDIyLCBhbW91bnRpbmcgdG8gODQ1OSBvYnNlcnZhdGlvbnMuIEVtcGxveWluZyB2YXJpb3VzIGVzdGltYXRpb24gbWV0aG9kcywgc3VjaCBhcyBvcmRpbmFyeSBsZWFzdCBzcXVhcmVzIChPTFMpLCBmaXhlZCBlZmZlY3RzIG1vZGVsIChGRU0pLCByYW5kb20gZWZmZWN0cyBtb2RlbCAoUkVNKSwgYW5kIGdlbmVyYWxpemVkIGxlYXN0IHNxdWFyZXMgKEdMUyksIHRoZSBpbXBhY3Qgb2YgY2FwaXRhbCBzdHJ1Y3R1cmUgb24ga2V5IGZpbmFuY2lhbCBpbmRpY2F0b3JzLCBuYW1lbHksIHJldHVybiBvbiBhc3NldHMgKFJPQSksIHJldHVybiBvbiBlcXVpdHkgKFJPRSksIGFuZCBUb2JpbuKAmXMgUSwgaXMgYXNzZXNzZWQuIFRoZSBmaW5kaW5ncyBpbmRpY2F0ZSB0aGF0IHRoZSBkZWJ0IHJhdGlvIGV4aGliaXRzIGEgcG9zaXRpdmUgaW5mbHVlbmNlIG9uIFJPQSwgUk9FLCBhbmQgVG9iaW7igJlzIFEsIHdpdGggVG9iaW7igJlzIFEgZGlzcGxheWluZyB0aGUgbW9zdCBwcm9ub3VuY2VkIGltcGFjdCAoMC40NTApIGFuZCBST0Egc2hvd2luZyB0aGUgd2Vha2VzdCBpbXBhY3QgKDAuMDExKS4gSG93ZXZlciwgdGhlIGxvbmctdGVybSBkZWJ0IHJhdGlvIGRvZXMgbm90IHNpZ25pZmljYW50bHkgYWZmZWN0IGZpcm0gdmFsdWUuIEludGVyZXN0aW5nbHksIGJvdGggc2hvcnQtdGVybSBhbmQgbG9uZy10ZXJtIGRlYnQgcmF0aW9zIGhhdmUgbmVnYXRpdmUgZWZmZWN0cyBvbiBST0EsIFJPRSwgYW5kIFRvYmlu4oCZcyBRLCB3aXRoIHRoZSBtb3N0IHN1YnN0YW50aWFsIGltcGFjdCBvbiBUb2JpbuKAmXMgUSByZWR1Y3Rpb24gKDAuNTYyKS4gQmFzZWQgb24gdGhlc2UgcmVzZWFyY2ggb3V0Y29tZXMsIHRoZSBhdXRob3JzIG9mZmVyIHZhbHVhYmxlIHJlY29tbWVuZGF0aW9ucyB0byBjb21wYW5pZXMsIGludmVzdG9ycywgYnVzaW5lc3MgbGVhZGVycywgYW5kIHBvbGljeW1ha2VycyB0byBtYWtlIGluZm9ybWVkIGRlY2lzaW9ucyBpbiBzZWxlY3RpbmcgYW4gb3B0aW1hbCBhbmQgc2Vuc2libGUgY2FwaXRhbCBzdHJ1Y3R1cmUuIiwicHVibGlzaGVyIjoiTXVsdGlkaXNjaXBsaW5hcnkgRGlnaXRhbCBQdWJsaXNoaW5nIEluc3RpdHV0ZSAoTURQSSkiLCJpc3N1ZSI6IjMiLCJ2b2x1bWUiOiIxMSIsImNvbnRhaW5lci10aXRsZS1zaG9ydCI6IiJ9LCJpc1RlbXBvcmFyeSI6ZmFsc2UsInN1cHByZXNzLWF1dGhvciI6ZmFsc2UsImNvbXBvc2l0ZSI6ZmFsc2UsImF1dGhvci1vbmx5IjpmYWxzZX1dfQ=="/>
          <w:id w:val="-1426646287"/>
          <w:placeholder>
            <w:docPart w:val="DefaultPlaceholder_-1854013440"/>
          </w:placeholder>
        </w:sdtPr>
        <w:sdtContent>
          <w:r w:rsidR="00AD6D10" w:rsidRPr="007E7CB6">
            <w:rPr>
              <w:rFonts w:ascii="Times New Roman" w:eastAsia="Times New Roman" w:hAnsi="Times New Roman" w:cs="Times New Roman"/>
              <w:color w:val="000000"/>
              <w:sz w:val="24"/>
              <w:szCs w:val="24"/>
            </w:rPr>
            <w:t>(Bui et al., 2023)</w:t>
          </w:r>
        </w:sdtContent>
      </w:sdt>
      <w:r w:rsidRPr="007E7CB6">
        <w:rPr>
          <w:rFonts w:ascii="Times New Roman" w:eastAsia="Times New Roman" w:hAnsi="Times New Roman" w:cs="Times New Roman"/>
          <w:sz w:val="24"/>
          <w:szCs w:val="24"/>
        </w:rPr>
        <w:t xml:space="preserve"> shows that green capital structure has a significant positive effect on firm value, while a study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c1Y2NmMzMtMTU2NS00MzI3LWIyMmQtMzRiMjUxOWViNTE0IiwicHJvcGVydGllcyI6eyJub3RlSW5kZXgiOjB9LCJpc0VkaXRlZCI6ZmFsc2UsIm1hbnVhbE92ZXJyaWRlIjp7ImlzTWFudWFsbHlPdmVycmlkZGVuIjpmYWxzZSwiY2l0ZXByb2NUZXh0IjoiKEZlYnJpYW50aSBldCBhbC4sIDIwMjQpIiwibWFudWFsT3ZlcnJpZGVUZXh0IjoiIn0sImNpdGF0aW9uSXRlbXMiOlt7ImlkIjoiMzUxOWRiYzktMTg0ZC0zYzQzLTk1YjAtM2M2MDA4MDIyMTE2IiwiaXRlbURhdGEiOnsidHlwZSI6ImFydGljbGUtam91cm5hbCIsImlkIjoiMzUxOWRiYzktMTg0ZC0zYzQzLTk1YjAtM2M2MDA4MDIyMTE2IiwidGl0bGUiOiJEZXRlcm1pbmFudHMgb2YgQ2FwaXRhbCBTdHJ1Y3R1cmUgYW5kIHRoZSBFZmZlY3Qgb24gRmlybSBWYWx1ZTogRXZpZGVuY2UgZnJvbSBJbmRvbmVzaWEiLCJhdXRob3IiOlt7ImZhbWlseSI6IkZlYnJpYW50aSIsImdpdmVuIjoiU3VrbWEiLCJwYXJzZS1uYW1lcyI6ZmFsc2UsImRyb3BwaW5nLXBhcnRpY2xlIjoiIiwibm9uLWRyb3BwaW5nLXBhcnRpY2xlIjoiIn0seyJmYW1pbHkiOiJHaXJpYXRpIiwiZ2l2ZW4iOiIiLCJwYXJzZS1uYW1lcyI6ZmFsc2UsImRyb3BwaW5nLXBhcnRpY2xlIjoiIiwibm9uLWRyb3BwaW5nLXBhcnRpY2xlIjoiIn0seyJmYW1pbHkiOiJNYWxpbmkiLCJnaXZlbiI6IkhlbG1hIiwicGFyc2UtbmFtZXMiOmZhbHNlLCJkcm9wcGluZy1wYXJ0aWNsZSI6IiIsIm5vbi1kcm9wcGluZy1wYXJ0aWNsZSI6IiJ9LHsiZmFtaWx5IjoiV2VuZHkiLCJnaXZlbiI6IiIsInBhcnNlLW5hbWVzIjpmYWxzZSwiZHJvcHBpbmctcGFydGljbGUiOiIiLCJub24tZHJvcHBpbmctcGFydGljbGUiOiIifV0sImNvbnRhaW5lci10aXRsZSI6IkFzaWFuIEpvdXJuYWwgb2YgRWNvbm9taWNzLCBCdXNpbmVzcyBhbmQgQWNjb3VudGluZyIsIkRPSSI6IjEwLjk3MzQvYWplYmEvMjAyNC92MjRpNjEzNzAiLCJpc3N1ZWQiOnsiZGF0ZS1wYXJ0cyI6W1syMDI0LDYsMl1dfSwicGFnZSI6IjQwNy00MjEiLCJhYnN0cmFjdCI6IkFpbXM6IFRvIGFuYWx5emUgdGhlIGluZmx1ZW5jZSBvZiBtYWNyb2Vjb25vbWljIGZhY3RvcnMgKEdEUCBHcm93dGgpIGFuZCBtaWNyb2Vjb25vbWljIGZhY3RvcnMgKFRhbmdpYmlsaXR5IGFuZCBQcm9maXRhYmlsaXR5KSBvbiBjb21wYW55IHZhbHVlIChUb2JpbidzIFEpLCBhcyB3ZWxsIGFzIGV4YW1pbmUgdGhlIG1lZGlhdGluZyByb2xlIG9mIGNhcGl0YWwgc3RydWN0dXJlIChJbnRlcmVzdC1iZWFyaW5nIGRlYnQpLiBTdHVkeSBEZXNpZ246IFRoZSBkZXNpZ24gb2YgdGhlIHN0dWR5IGlzIHF1YW50aXRhdGl2ZSByZXNlYXJjaCB3aXRoIGEgcGFuZWwgZGF0YSByZWdyZXNzaW9uIGFwcHJvYWNoIGFuZCBwYXRoIGFuYWx5c2lzIHRvIGV4YW1pbmUgdGhlIHJlbGF0aW9uc2hpcCBiZXR3ZWVuIG1hY3JvIGFuZCBtaWNybyBlY29ub21pYyB2YXJpYWJsZXMgb24gZmlybSB2YWx1ZSwgYXMgd2VsbCBhcyB0aGUgbWVkaWF0aW5nIHJvbGUgb2YgY2FwaXRhbCBzdHJ1Y3R1cmUgaW4gdGhlIHJlbGF0aW9uc2hpcC4uIFBsYWNlIGFuZCBEdXJhdGlvbiBvZiBTdHVkeTogQ29tcGFuaWVzIGluY2x1ZGVkIGluIHRoZSBLb21wYXMgMTAwIGluZGV4IGxpc3RlZCBvbiB0aGUgSW5kb25lc2lhIFN0b2NrIEV4Y2hhbmdlIGZvciB0aGUgcGVyaW9kIDIwMTgtMjAyMi4gTWV0aG9kb2xvZ3k6IFRoaXMgc3R1ZHkgdXNlcyBhIHBvcHVsYXRpb24gb2YgY29tcGFuaWVzIGxpc3RlZCBpbiB0aGUgS29tcGFzIDEwMCBpbmRleCBvbiB0aGUgSW5kb25lc2lhIFN0b2NrIEV4Y2hhbmdlIGZvciB0aGUgcGVyaW9kIDIwMTgtMjAyMiBhbmQgdGFrZXMgYSBzYW1wbGUgb2YgNzAgY29tcGFuaWVzIHRoYXQgbWVldCB0aGUgY3JpdGVyaWEgd2l0aCBwdXJwb3NpdmUgc2FtcGxpbmcgbWV0aG9kLiBBIHF1YW50aXRhdGl2ZSBhcHByb2FjaCBpcyB1c2VkIGJ5IGFuYWx5emluZyBwYW5lbCBkYXRhIHRocm91Z2ggcGFuZWwgZGF0YSByZWdyZXNzaW9uIHRvIHRlc3QgdGhlIGVmZmVjdCBvZiBpbmRlcGVuZGVudCB2YXJpYWJsZXMgKEdEUCBHcm93dGgsIFRhbmdpYmlsaXR5LCBhbmQgUHJvZml0YWJpbGl0eSkgb24gdGhlIGRlcGVuZGVudCB2YXJpYWJsZSAoRmlybSBWYWx1ZSkgYW5kIHRoZSBtZWRpYXRpbmcgdmFyaWFibGUgKENhcGl0YWwgU3RydWN0dXJlKSwgYXMgd2VsbCBhcyBwYXRoIGFuYWx5c2lzIHdpdGggdGhlIFNvYmVsIHRlc3QgdG8gdGVzdCB0aGUgbWVkaWF0aW5nIHJvbGUgb2YgQ2FwaXRhbCBTdHJ1Y3R1cmUgaW4gdGhlIHJlbGF0aW9uc2hpcCBiZXR3ZWVuIHRoZSBpbmRlcGVuZGVudCB2YXJpYWJsZSBhbmQgdGhlIGRlcGVuZGVudCB2YXJpYWJsZS4gUmVzdWx0czogVGhlIHJlZ3Jlc3Npb24gYW5hbHlzaXMgc2hvd2VkIHRoYXQgR0RQIGhhZCBubyBzaWduaWZpY2FudCBpbXBhY3Qgb24gZWl0aGVyIGNhcGl0YWwgc3RydWN0dXJlIG9yIGZpcm0gdmFsdWUuIEhvd2V2ZXIsIGNvbXBhbnktc3BlY2lmaWMgZmFjdG9ycyBsaWtlIHRhbmdpYmlsaXR5IGFuZCBwcm9maXRhYmlsaXR5IHdlcmUgdGhlIG1haW4gZGV0ZXJtaW5hbnRzLiBUYW5naWJpbGl0eSBwb3NpdGl2ZWx5IGluZmx1ZW5jZWQgY2FwaXRhbCBzdHJ1Y3R1cmUsIHdoaWxlIHByb2ZpdGFiaWxpdHkgaGFkIGEgbmVnYXRpdmUgZWZmZWN0LiBUYW5naWJpbGl0eSBuZWdhdGl2ZWx5IGFmZmVjdGVkIGZpcm0gdmFsdWUsIGFuZCBjYXBpdGFsIHN0cnVjdHVyZSBpdHNlbGYgY29ycmVsYXRlZCBuZWdhdGl2ZWx5IHdpdGggZmlybSB2YWx1ZS4gQ2FwaXRhbCBzdHJ1Y3R1cmUgd2FzIG9ubHkgc2lnbmlmaWNhbnQgYXMgYSBtZWRpYXRpbmcgdmFyaWFibGUgaW4gdGhlIHJlbGF0aW9uc2hpcCBiZXR3ZWVuIHByb2ZpdGFiaWxpdHkgYW5kIGZpcm0gdmFsdWUuIENvbmNsdXNpb246IE1hY3JvZWNvbm9taWMgaW5kaWNhdG9ycyBzdWNoIGFzIEdEUCBoYXZlIGxpbWl0ZWQgZXhwbGFuYXRvcnkgcG93ZXIgb24gY2FwaXRhbCBzdHJ1Y3R1cmUgYW5kIGZpcm0gdmFsdWUsIHdoZXJlYXMgZmlybS1zcGVjaWZpYyBmYWN0b3JzIGxpa2UgYXNzZXQgdGFuZ2liaWxpdHkgYW5kIHByb2ZpdGFiaWxpdHkgYXJlIGNydWNpYWwgZGV0ZXJtaW5hbnRzIG9mIG9wdGltYWwgY2FwaXRhbCBzdHJ1Y3R1cmUgYW5kIHZhbHVlIG1heGltaXphdGlvbi4gRnVydGhlciBzdHVkaWVzIHNob3VsZCB1dGlsaXplIGFsdGVybmF0aXZlIG1hY3JvZWNvbm9taWMgcHJveGllcyB3aXRoIGhpZ2hlciBzZW5zaXRpdml0eSwgbGlrZSBpbnRlcmVzdCByYXRlcyBhbmQgaW5mbGF0aW9uLCBicm9hZGVuIHRoZSBzYW1wbGUgc2NvcGUgdG8gaW5jb3Jwb3JhdGUgU01FcyBhbG9uZ3NpZGUgbGFyZ2UgY29ycG9yYXRpb25zLCBjb250cm9sIGZvciByZWxldmFudCBmaXJtLWxldmVsIGNoYXJhY3RlcmlzdGljcywgZXh0ZW5kIHRoZSB0aW1lIGhvcml6b24sIGFuZCBsZXZlcmFnZSBzb3BoaXN0aWNhdGVkIGFuYWx5dGljYWwgdGVjaG5pcXVlcyBzdWNoIGFzIHN0cnVjdHVyYWwgZXF1YXRpb24gbW9kZWxpbmcuIiwicHVibGlzaGVyIjoiU2NpZW5jZWRvbWFpbiBJbnRlcm5hdGlvbmFsIiwiaXNzdWUiOiI2Iiwidm9sdW1lIjoiMjQiLCJjb250YWluZXItdGl0bGUtc2hvcnQiOiIifSwiaXNUZW1wb3JhcnkiOmZhbHNlLCJzdXBwcmVzcy1hdXRob3IiOmZhbHNlLCJjb21wb3NpdGUiOmZhbHNlLCJhdXRob3Itb25seSI6ZmFsc2V9XX0="/>
          <w:id w:val="-1905825721"/>
          <w:placeholder>
            <w:docPart w:val="DefaultPlaceholder_-1854013440"/>
          </w:placeholder>
        </w:sdtPr>
        <w:sdtContent>
          <w:r w:rsidR="00AD6D10" w:rsidRPr="007E7CB6">
            <w:rPr>
              <w:rFonts w:ascii="Times New Roman" w:eastAsia="Times New Roman" w:hAnsi="Times New Roman" w:cs="Times New Roman"/>
              <w:color w:val="000000"/>
              <w:sz w:val="24"/>
              <w:szCs w:val="24"/>
            </w:rPr>
            <w:t>(Febrianti et al., 2024)</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finds that green capital structure actually has a negative impact on firm value.</w:t>
      </w:r>
    </w:p>
    <w:p w14:paraId="10AD8123" w14:textId="6B382E5E" w:rsidR="00153781" w:rsidRPr="007E7CB6" w:rsidRDefault="00000000">
      <w:pPr>
        <w:spacing w:line="480" w:lineRule="auto"/>
        <w:ind w:firstLine="720"/>
        <w:jc w:val="both"/>
        <w:rPr>
          <w:rFonts w:ascii="Times New Roman" w:eastAsia="Times New Roman" w:hAnsi="Times New Roman" w:cs="Times New Roman"/>
          <w:sz w:val="24"/>
          <w:szCs w:val="24"/>
        </w:rPr>
      </w:pPr>
      <w:bookmarkStart w:id="28" w:name="_heading=h.9zc1jovb7na5" w:colFirst="0" w:colLast="0"/>
      <w:bookmarkEnd w:id="28"/>
      <w:r w:rsidRPr="007E7CB6">
        <w:rPr>
          <w:rFonts w:ascii="Times New Roman" w:eastAsia="Times New Roman" w:hAnsi="Times New Roman" w:cs="Times New Roman"/>
          <w:sz w:val="24"/>
          <w:szCs w:val="24"/>
        </w:rPr>
        <w:t xml:space="preserve">Firm value is determined not only by profitability but also by sustainability aspects. A report </w:t>
      </w:r>
      <w:sdt>
        <w:sdtPr>
          <w:rPr>
            <w:rFonts w:ascii="Times New Roman" w:eastAsia="Times New Roman" w:hAnsi="Times New Roman" w:cs="Times New Roman"/>
            <w:color w:val="000000"/>
            <w:sz w:val="24"/>
            <w:szCs w:val="24"/>
          </w:rPr>
          <w:tag w:val="MENDELEY_CITATION_v3_eyJjaXRhdGlvbklEIjoiTUVOREVMRVlfQ0lUQVRJT05fMzk2M2Y1NGMtOGVlNy00ZTE0LTg2ZmQtODFlMWQ1OWE2YTBiIiwicHJvcGVydGllcyI6eyJub3RlSW5kZXgiOjB9LCJpc0VkaXRlZCI6ZmFsc2UsIm1hbnVhbE92ZXJyaWRlIjp7ImlzTWFudWFsbHlPdmVycmlkZGVuIjpmYWxzZSwiY2l0ZXByb2NUZXh0IjoiKE1vcm5pbmdzdGFyLCAyMDI0KSIsIm1hbnVhbE92ZXJyaWRlVGV4dCI6IiJ9LCJjaXRhdGlvbkl0ZW1zIjpbeyJpZCI6IjU4NTllZDQwLTA2NGYtMzdmYi1hNjgyLWM5YzhhZjg3Y2QxOCIsIml0ZW1EYXRhIjp7InR5cGUiOiJ3ZWJwYWdlIiwiaWQiOiI1ODU5ZWQ0MC0wNjRmLTM3ZmItYTY4Mi1jOWM4YWY4N2NkMTgiLCJ0aXRsZSI6IkVTRyBJbnZlc3RpbmcgVHJlbmRzOiBBIFF1YWxpdGF0aXZlIExvb2sgSW50byBJbnZlc3RvciBQZXJjZXB0aW9uIiwiYXV0aG9yIjpbeyJmYW1pbHkiOiJNb3JuaW5nc3RhciIsImdpdmVuIjoiIiwicGFyc2UtbmFtZXMiOmZhbHNlLCJkcm9wcGluZy1wYXJ0aWNsZSI6IiIsIm5vbi1kcm9wcGluZy1wYXJ0aWNsZSI6IiJ9XSwiYWNjZXNzZWQiOnsiZGF0ZS1wYXJ0cyI6W1syMDI1LDYsMTldXX0sIlVSTCI6Imh0dHBzOi8vd3d3Lm1vcm5pbmdzdGFyLmNvbS92aWV3cy9lc2ctaW52ZXN0aW5nLXRyZW5kcyIsImlzc3VlZCI6eyJkYXRlLXBhcnRzIjpbWzIwMjRdXX0sImNvbnRhaW5lci10aXRsZS1zaG9ydCI6IiJ9LCJpc1RlbXBvcmFyeSI6ZmFsc2UsInN1cHByZXNzLWF1dGhvciI6ZmFsc2UsImNvbXBvc2l0ZSI6ZmFsc2UsImF1dGhvci1vbmx5IjpmYWxzZX1dfQ=="/>
          <w:id w:val="-341167323"/>
          <w:placeholder>
            <w:docPart w:val="DefaultPlaceholder_-1854013440"/>
          </w:placeholder>
        </w:sdtPr>
        <w:sdtContent>
          <w:r w:rsidR="00AD6D10" w:rsidRPr="007E7CB6">
            <w:rPr>
              <w:rFonts w:ascii="Times New Roman" w:eastAsia="Times New Roman" w:hAnsi="Times New Roman" w:cs="Times New Roman"/>
              <w:color w:val="000000"/>
              <w:sz w:val="24"/>
              <w:szCs w:val="24"/>
            </w:rPr>
            <w:t>(Morningstar, 2024)</w:t>
          </w:r>
        </w:sdtContent>
      </w:sdt>
      <w:r w:rsidRPr="007E7CB6">
        <w:rPr>
          <w:rFonts w:ascii="Times New Roman" w:eastAsia="Times New Roman" w:hAnsi="Times New Roman" w:cs="Times New Roman"/>
          <w:sz w:val="24"/>
          <w:szCs w:val="24"/>
        </w:rPr>
        <w:t xml:space="preserve"> notes that ESG-based investment funds have experienced significant growth, confirming that firm value is influenced by transparency and sustainability practices implemented by companies. At the global level, regulations such as the European Union's Carbon Border Adjustment Mechanism (CBAM) encourage companies to increase the transparency of their carbon emissions in order to remain competitive in the international market. However, increased sustainability does not always correlate directly with an increase in firm value, indicating that other factors such as green intellectual capital can moderate this effect.</w:t>
      </w:r>
    </w:p>
    <w:p w14:paraId="6B3FDFAC" w14:textId="7C4BBE71" w:rsidR="00153781" w:rsidRPr="007E7CB6" w:rsidRDefault="00000000">
      <w:pPr>
        <w:spacing w:line="480" w:lineRule="auto"/>
        <w:ind w:firstLine="720"/>
        <w:jc w:val="both"/>
        <w:rPr>
          <w:rFonts w:ascii="Times New Roman" w:eastAsia="Times New Roman" w:hAnsi="Times New Roman" w:cs="Times New Roman"/>
          <w:sz w:val="24"/>
          <w:szCs w:val="24"/>
        </w:rPr>
      </w:pPr>
      <w:bookmarkStart w:id="29" w:name="_heading=h.55aw8h69ewp" w:colFirst="0" w:colLast="0"/>
      <w:bookmarkEnd w:id="29"/>
      <w:r w:rsidRPr="007E7CB6">
        <w:rPr>
          <w:rFonts w:ascii="Times New Roman" w:eastAsia="Times New Roman" w:hAnsi="Times New Roman" w:cs="Times New Roman"/>
          <w:sz w:val="24"/>
          <w:szCs w:val="24"/>
        </w:rPr>
        <w:lastRenderedPageBreak/>
        <w:t>Green intellectual capital (GIC) is a sustainability-based intellectual asset that encompasses knowledge, technology, and human resource competencies in supporting environmentally friendly business practices. This concept is important for companies because it plays a role in driving green innovation, improving operational efficiency, and building a positive reputation that attracts environmentally conscious investors and consumers. A study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WVlZmM2ZTUtZTg3Yy00YmFhLTk4NTMtYzA1MzkzOGRhNTU1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
          <w:id w:val="-946923218"/>
          <w:placeholder>
            <w:docPart w:val="DefaultPlaceholder_-1854013440"/>
          </w:placeholder>
        </w:sdtPr>
        <w:sdtContent>
          <w:r w:rsidR="00AD6D10" w:rsidRPr="007E7CB6">
            <w:rPr>
              <w:rFonts w:ascii="Times New Roman" w:eastAsia="Times New Roman" w:hAnsi="Times New Roman" w:cs="Times New Roman"/>
              <w:color w:val="000000"/>
              <w:sz w:val="24"/>
            </w:rPr>
            <w:t>(Alnaim &amp; Metwally, 2024)</w:t>
          </w:r>
        </w:sdtContent>
      </w:sdt>
      <w:r w:rsidRPr="007E7CB6">
        <w:rPr>
          <w:rFonts w:ascii="Times New Roman" w:eastAsia="Times New Roman" w:hAnsi="Times New Roman" w:cs="Times New Roman"/>
          <w:sz w:val="24"/>
          <w:szCs w:val="24"/>
        </w:rPr>
        <w:t xml:space="preserve"> shows that GIC contributes positively to a company's environmental performance through the optimization of knowledge-based resources and environmentally friendly technologies. Although this study focuses on environmental performance, its implications show that the application of GIC also has the potential to increase the attractiveness of sustainability-oriented investors and support an increase in firm value.</w:t>
      </w:r>
    </w:p>
    <w:p w14:paraId="0C74C006" w14:textId="0B168C60" w:rsidR="00153781" w:rsidRPr="007E7CB6" w:rsidRDefault="00000000">
      <w:pPr>
        <w:spacing w:line="480" w:lineRule="auto"/>
        <w:ind w:firstLine="720"/>
        <w:jc w:val="both"/>
        <w:rPr>
          <w:rFonts w:ascii="Times New Roman" w:eastAsia="Times New Roman" w:hAnsi="Times New Roman" w:cs="Times New Roman"/>
          <w:sz w:val="24"/>
          <w:szCs w:val="24"/>
        </w:rPr>
      </w:pPr>
      <w:bookmarkStart w:id="30" w:name="_heading=h.fflfmhclip9b" w:colFirst="0" w:colLast="0"/>
      <w:bookmarkEnd w:id="30"/>
      <w:r w:rsidRPr="007E7CB6">
        <w:rPr>
          <w:rFonts w:ascii="Times New Roman" w:eastAsia="Times New Roman" w:hAnsi="Times New Roman" w:cs="Times New Roman"/>
          <w:sz w:val="24"/>
          <w:szCs w:val="24"/>
        </w:rPr>
        <w:t xml:space="preserve">In addition to contributing directly to firm value, Green Intellectual Capital (GIC) also has the potential to act as a moderating variable that strengthens the relationship between green accounting, carbon emission disclosure, and green capital structure with firm value. Companies with green-oriented human resources and intellectual assets tend to be more innovative and adaptive in responding to environmental regulations and market pressures. </w:t>
      </w:r>
      <w:sdt>
        <w:sdtPr>
          <w:rPr>
            <w:rFonts w:ascii="Times New Roman" w:eastAsia="Times New Roman" w:hAnsi="Times New Roman" w:cs="Times New Roman"/>
            <w:color w:val="000000"/>
            <w:sz w:val="24"/>
            <w:szCs w:val="24"/>
          </w:rPr>
          <w:tag w:val="MENDELEY_CITATION_v3_eyJjaXRhdGlvbklEIjoiTUVOREVMRVlfQ0lUQVRJT05fNjVkMGZmODktN2I5ZC00YWMxLTk0ZjctZWY2NWZkYTNmN2U3IiwicHJvcGVydGllcyI6eyJub3RlSW5kZXgiOjB9LCJpc0VkaXRlZCI6ZmFsc2UsIm1hbnVhbE92ZXJyaWRlIjp7ImlzTWFudWFsbHlPdmVycmlkZGVuIjpmYWxzZSwiY2l0ZXByb2NUZXh0IjoiKExpdSBldCBhbC4sIDIwMjIpIiwibWFudWFsT3ZlcnJpZGVUZXh0IjoiIn0sImNpdGF0aW9uSXRlbXMiOlt7ImlkIjoiMmU4MjM3NGYtOWRiYi0zNjgyLWE5NmItOGQyYWU4YzcwOGFlIiwiaXRlbURhdGEiOnsidHlwZSI6ImFydGljbGUtam91cm5hbCIsImlkIjoiMmU4MjM3NGYtOWRiYi0zNjgyLWE5NmItOGQyYWU4YzcwOGFlIiwidGl0bGUiOiJUaGUgRWZmZWN0cyBvZiBHcmVlbiBJbnRlbGxlY3R1YWwgQ2FwaXRhbCBvbiBHcmVlbiBJbm5vdmF0aW9uOiBBIEdyZWVuIFN1cHBseSBDaGFpbiBJbnRlZ3JhdGlvbiBQZXJzcGVjdGl2ZSIsImF1dGhvciI6W3siZmFtaWx5IjoiTGl1IiwiZ2l2ZW4iOiJEYW5waW5nIiwicGFyc2UtbmFtZXMiOmZhbHNlLCJkcm9wcGluZy1wYXJ0aWNsZSI6IiIsIm5vbi1kcm9wcGluZy1wYXJ0aWNsZSI6IiJ9LHsiZmFtaWx5IjoiWXUiLCJnaXZlbiI6IlhpYW8iLCJwYXJzZS1uYW1lcyI6ZmFsc2UsImRyb3BwaW5nLXBhcnRpY2xlIjoiIiwibm9uLWRyb3BwaW5nLXBhcnRpY2xlIjoiIn0seyJmYW1pbHkiOiJIdWFuZyIsImdpdmVuIjoiTWVpIiwicGFyc2UtbmFtZXMiOmZhbHNlLCJkcm9wcGluZy1wYXJ0aWNsZSI6IiIsIm5vbi1kcm9wcGluZy1wYXJ0aWNsZSI6IiJ9LHsiZmFtaWx5IjoiWWFuZyIsImdpdmVuIjoiU2hhb2h1YSIsInBhcnNlLW5hbWVzIjpmYWxzZSwiZHJvcHBpbmctcGFydGljbGUiOiIiLCJub24tZHJvcHBpbmctcGFydGljbGUiOiIifSx7ImZhbWlseSI6IklzYSIsImdpdmVuIjoiU2FsbWkgTW9oZCIsInBhcnNlLW5hbWVzIjpmYWxzZSwiZHJvcHBpbmctcGFydGljbGUiOiIiLCJub24tZHJvcHBpbmctcGFydGljbGUiOiIifSx7ImZhbWlseSI6Ikh1IiwiZ2l2ZW4iOiJNYW8iLCJwYXJzZS1uYW1lcyI6ZmFsc2UsImRyb3BwaW5nLXBhcnRpY2xlIjoiIiwibm9uLWRyb3BwaW5nLXBhcnRpY2xlIjoiIn1dLCJjb250YWluZXItdGl0bGUiOiJGcm9udGllcnMgaW4gUHN5Y2hvbG9neSIsImNvbnRhaW5lci10aXRsZS1zaG9ydCI6IkZyb250IFBzeWNob2wiLCJET0kiOiIxMC4zMzg5L2Zwc3lnLjIwMjIuODMwNzE2IiwiSVNTTiI6IjE2NjQxMDc4IiwiaXNzdWVkIjp7ImRhdGUtcGFydHMiOltbMjAyMiw2LDI4XV19LCJhYnN0cmFjdCI6IlRvIGRlbW9uc3RyYXRlIGhvdyBncmVlbiBpbm5vdmF0aW9uIChHSSkgZWZmZWN0aXZlbHkgb2NjdXJzLCB0aGlzIHN0dWR5IGV4YW1pbmVzIHRoZSBlZmZlY3RzIG9mIGdyZWVuIGludGVsbGVjdHVhbCBjYXBpdGFsIChHSUMpIG9uIEdJIGZyb20gdGhlIHBlcnNwZWN0aXZlIG9mIGdyZWVuIHN1cHBseSBjaGFpbiBpbnRlZ3JhdGlvbiAoR1NDSSkuIEJhc2VkIG9uIGEgbmF0dXJhbC1yZXNvdXJjZS1iYXNlZCB2aWV3IGFuZCBrbm93bGVkZ2UtYmFzZWQgdmlldywgdGhlIGF1dGhvcnMgY29uc3RydWN0ZWQgYW4gaW50ZXJtZWRpYXJ5IG1vZGVsIG9mIEdJQy1HU0NJLUdJLCBhbmQgYW5hbHl6ZWQgdGhlIGVmZmVjdHMgb2YgZ3JlZW4gYWJzb3JwdGl2ZSBhYmlsaXR5IChHQUEpIGFuZCByZWxhdGlvbnNoaXAgbGVhcm5pbmcgYWJpbGl0eSAoUkxBKSBhcyBtb2RlcmF0b3JzLiBBbiBlbXBpcmljYWwgc3VydmV5IG9mIDMyOCBDaGluZXNlIG1hbnVmYWN0dXJpbmcgY29tcGFuaWVzIHdhcyBjb25kdWN0ZWQuIE91ciByZXN1bHRzIGluZGljYXRlIHRoYXQgdGhyZWUgZGltZW5zaW9ucyBvZiBHSUMgcG9zaXRpdmVseSBpbXBhY3QgR0kuIFRoZSBtZWRpYXRpbmcgZWZmZWN0cyBvZiBpbnRlcm5hbCBhbmQgZXh0ZXJuYWwgR1NDSSBleGlzdCBpbiB0aGUgcmVsYXRpb25zaGlwIGJldHdlZW4gR0lDIGFuZCBHSS4gVGhlIG1vZGVyYXRpbmcgZWZmZWN0cyBvZiBHQUEgYW5kIFJMQSBpbiB0aGVzZSBlZmZlY3RzIHdlcmUgYWxzbyB2ZXJpZmllZC4gT3VyIHN0dWR5IHByb3ZpZGVzIGZ1cnRoZXIgZW1waXJpY2FsIGV2aWRlbmNlIGZvciB0aGUgcmVsYXRpb25zaGlwIGJldHdlZW4gR0lDIGFuZCBHSSwgaGlnaGxpZ2h0cyB0aGUgZWZmZWN0cyBvZiBjb21wYW5pZXPigJkgaW50ZXJuYWwgYW5kIGV4dGVybmFsIGFiaWxpdGllcyBvbiBHSSwgYW5kIHN1Z2dlc3RzIG5ldyB3YXlzIGFuZCBpbXBsZW1lbnRhdGlvbiBjb250ZXh0cyBmb3IgR0kuIiwicHVibGlzaGVyIjoiRnJvbnRpZXJzIE1lZGlhIFMuQS4iLCJ2b2x1bWUiOiIxMyJ9LCJpc1RlbXBvcmFyeSI6ZmFsc2UsInN1cHByZXNzLWF1dGhvciI6ZmFsc2UsImNvbXBvc2l0ZSI6ZmFsc2UsImF1dGhvci1vbmx5IjpmYWxzZX1dfQ=="/>
          <w:id w:val="1034698196"/>
          <w:placeholder>
            <w:docPart w:val="DefaultPlaceholder_-1854013440"/>
          </w:placeholder>
        </w:sdtPr>
        <w:sdtContent>
          <w:r w:rsidR="00AD6D10" w:rsidRPr="007E7CB6">
            <w:rPr>
              <w:rFonts w:ascii="Times New Roman" w:eastAsia="Times New Roman" w:hAnsi="Times New Roman" w:cs="Times New Roman"/>
              <w:color w:val="000000"/>
              <w:sz w:val="24"/>
              <w:szCs w:val="24"/>
            </w:rPr>
            <w:t>(Liu et al., 2022)</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empirically prove that GIC encourages green innovation, which is supported by the organization's ability to absorb environmental knowledge, establish collaborations with supply chain partners, and implement green supply chain integration that bridges the transformation of GIC into value-added innovation for the company.</w:t>
      </w:r>
      <w:r w:rsidRPr="007E7CB6">
        <w:rPr>
          <w:rFonts w:ascii="Times New Roman" w:eastAsia="Times New Roman" w:hAnsi="Times New Roman" w:cs="Times New Roman"/>
          <w:color w:val="000000"/>
          <w:sz w:val="24"/>
          <w:szCs w:val="24"/>
        </w:rPr>
        <w:t xml:space="preserve"> </w:t>
      </w:r>
    </w:p>
    <w:p w14:paraId="75F76770" w14:textId="4F470718" w:rsidR="00153781" w:rsidRPr="007E7CB6" w:rsidRDefault="00000000">
      <w:pPr>
        <w:spacing w:line="480" w:lineRule="auto"/>
        <w:ind w:firstLine="720"/>
        <w:jc w:val="both"/>
        <w:rPr>
          <w:rFonts w:ascii="Times New Roman" w:eastAsia="Times New Roman" w:hAnsi="Times New Roman" w:cs="Times New Roman"/>
          <w:sz w:val="24"/>
          <w:szCs w:val="24"/>
        </w:rPr>
      </w:pPr>
      <w:bookmarkStart w:id="31" w:name="_heading=h.qqt4dtg9ly5" w:colFirst="0" w:colLast="0"/>
      <w:bookmarkEnd w:id="31"/>
      <w:r w:rsidRPr="007E7CB6">
        <w:rPr>
          <w:rFonts w:ascii="Times New Roman" w:eastAsia="Times New Roman" w:hAnsi="Times New Roman" w:cs="Times New Roman"/>
          <w:sz w:val="24"/>
          <w:szCs w:val="24"/>
        </w:rPr>
        <w:lastRenderedPageBreak/>
        <w:t xml:space="preserve">The studies by </w:t>
      </w:r>
      <w:sdt>
        <w:sdtPr>
          <w:rPr>
            <w:rFonts w:ascii="Times New Roman" w:eastAsia="Times New Roman" w:hAnsi="Times New Roman" w:cs="Times New Roman"/>
            <w:color w:val="000000"/>
            <w:sz w:val="24"/>
            <w:szCs w:val="24"/>
          </w:rPr>
          <w:tag w:val="MENDELEY_CITATION_v3_eyJjaXRhdGlvbklEIjoiTUVOREVMRVlfQ0lUQVRJT05fZTBjZWJkNDktY2Y2NC00N2RjLWJjNWItZjg5OTA1OTViNmQ4IiwicHJvcGVydGllcyI6eyJub3RlSW5kZXgiOjB9LCJpc0VkaXRlZCI6ZmFsc2UsIm1hbnVhbE92ZXJyaWRlIjp7ImlzTWFudWFsbHlPdmVycmlkZGVuIjpmYWxzZSwiY2l0ZXByb2NUZXh0IjoiKEt1bWFyIGV0IGFsLiwgMjAyNSkiLCJtYW51YWxPdmVycmlkZVRleHQiOiIifSwiY2l0YXRpb25JdGVtcyI6W3siaWQiOiIyNTY5ZDI4Mi0zMjcyLTNjMTUtYTJiYi1lMzNmZTgyYWFiMmEiLCJpdGVtRGF0YSI6eyJ0eXBlIjoiYXJ0aWNsZS1qb3VybmFsIiwiaWQiOiIyNTY5ZDI4Mi0zMjcyLTNjMTUtYTJiYi1lMzNmZTgyYWFiMmEiLCJ0aXRsZSI6IkxpbmtpbmcgZ3JlZW4gaW50ZWxsZWN0dWFsIGNhcGl0YWwgYW5kIGZpcm0gcGVyZm9ybWFuY2UgdGhyb3VnaCBncmVlbiBpbm5vdmF0aW9uIGFuZCBlbnZpcm9ubWVudGFsIHBlcmZvcm1hbmNlIGluIHNtYWxsIGFuZCBtZWRpdW0tc2l6ZWQgZW50ZXJwcmlzZXMiLCJhdXRob3IiOlt7ImZhbWlseSI6Ikt1bWFyIiwiZ2l2ZW4iOiJKaXRlbmRlciIsInBhcnNlLW5hbWVzIjpmYWxzZSwiZHJvcHBpbmctcGFydGljbGUiOiIiLCJub24tZHJvcHBpbmctcGFydGljbGUiOiIifSx7ImZhbWlseSI6IlJhbmkiLCJnaXZlbiI6IlZpbmtpIiwicGFyc2UtbmFtZXMiOmZhbHNlLCJkcm9wcGluZy1wYXJ0aWNsZSI6IiIsIm5vbi1kcm9wcGluZy1wYXJ0aWNsZSI6IiJ9LHsiZmFtaWx5IjoiUmFuaSIsImdpdmVuIjoiTWFuanUiLCJwYXJzZS1uYW1lcyI6ZmFsc2UsImRyb3BwaW5nLXBhcnRpY2xlIjoiIiwibm9uLWRyb3BwaW5nLXBhcnRpY2xlIjoiIn0seyJmYW1pbHkiOiJSYW5pIiwiZ2l2ZW4iOiJHYXJpbWEiLCJwYXJzZS1uYW1lcyI6ZmFsc2UsImRyb3BwaW5nLXBhcnRpY2xlIjoiIiwibm9uLWRyb3BwaW5nLXBhcnRpY2xlIjoiIn1dLCJjb250YWluZXItdGl0bGUiOiJKb3VybmFsIG9mIEludGVsbGVjdHVhbCBDYXBpdGFsIiwiYWNjZXNzZWQiOnsiZGF0ZS1wYXJ0cyI6W1syMDI1LDYsMTldXX0sIkRPSSI6IjEwLjExMDgvSklDLTEwLTIwMjQtMDM0NS9GVUxML1hNTCIsIklTU04iOiIxNzU4NzQ2OCIsImlzc3VlZCI6eyJkYXRlLXBhcnRzIjpbWzIwMjVdXX0sInBhZ2UiOiI2NzAtNjkwIiwiYWJzdHJhY3QiOiJQdXJwb3NlOiBHcmVlbiBpbnRlbGxlY3R1YWwgY2FwaXRhbCBpcyBicm9hZGx5IGFja25vd2xlZGdlZCBhcyBhbiBpbnZhbHVhYmxlIHJlc291cmNlIGZvciBhdHRhaW5pbmcgYSBzdHJhdGVnaWMgYWR2YW50YWdlIGZvciBlbnRlcnByaXNlcy4gVGhpcyBhcnRpY2xlIGRldmVsb3BzIGEgbm92ZWwgdGhlb3JldGljYWwgZnJhbWV3b3JrIHRvIGFzc2VzcyB0aGUgaW1wYWN0IG9mIGdyZWVuIGludGVsbGVjdHVhbCBjYXBpdGFsIG9uIGZpcm1z4oCZIHBlcmZvcm1hbmNlIHRocm91Z2ggZ3JlZW4gaW5ub3ZhdGlvbiBhbmQgZW52aXJvbm1lbnRhbCBwZXJmb3JtYW5jZSwgY29uc2lkZXJpbmcgdGhlIOKAnG5hdHVyYWwgcmVzb3VyY2UtYmFzZWQgdmlldyAoTlJCVinigJ0gdGhlb3J5LiBEZXNpZ24vbWV0aG9kb2xvZ3kvYXBwcm9hY2g6IFRoaXMgcGFwZXIgYXBwbGllZCBhIOKAnHF1YW50aXRhdGl2ZSByZXNlYXJjaCBkZXNpZ27igJ0gd2l0aCBhIHNhbXBsZSBvZiA0MDUgbWFuYWdlcnMgYW5kIG93bmVycyBvZiDigJxzbWFsbCBhbmQgbWVkaXVtIGVudGVycHJpc2Vz4oCdIChTTUVzKSBmcm9tIE5DUiAoSW5kaWEpLiBUaGUgZGF0YSB3ZXJlIGFuYWx5emVkIHRocm91Z2ggdGhlIOKAnGNvdmFyaWFuY2UtYmFzZWQgc3RydWN0dXJhbCBlcXVhdGlvbiBtb2RlbGluZyAoUExTLVNFTSnigJ0gdGVjaG5pcXVlLiBGaW5kaW5nczogVGhlIG91dGNvbWVzIHNob3dlZCB0aGF0IGdyZWVuIGh1bWFuIGNhcGl0YWwgYW5kIGdyZWVuIHN0cnVjdHVyYWwgY2FwaXRhbCBzdWJzdGFudGlhbGx5IGltcGFjdCBncmVlbiBpbm5vdmF0aW9uIGFuZCBlbnZpcm9ubWVudGFsIHBlcmZvcm1hbmNlLiBOZXZlcnRoZWxlc3MsIGdyZWVuIHJlbGF0aW9uYWwgY2FwaXRhbCBuZWdhdGl2ZWx5IGFmZmVjdHMgZ3JlZW4gaW5ub3ZhdGlvbiBhbmQgZW52aXJvbm1lbnRhbCBwZXJmb3JtYW5jZS4gQWRkaXRpb25hbGx5LCBncmVlbiBpbm5vdmF0aW9uIGFuZCBlbnZpcm9ubWVudGFsIHBlcmZvcm1hbmNlIHNpZ25pZmljYW50bHkgaW5mbHVlbmNlIGZpcm0gKG1hcmtldCBhbmQgZmluYW5jaWFsKSBwZXJmb3JtYW5jZS4gUHJhY3RpY2FsIGltcGxpY2F0aW9uczogVGhpcyBhcnRpY2xlIGRlbGl2ZXJzIGZydWl0ZnVsIGFuZCBhY3Rpb25hYmxlIGluc2lnaHRzIGZvciBTTUUgbWFuYWdlcnMsIG93bmVycywgYWNhZGVtaWNpYW5zIGFuZCBwb2xpY3ltYWtlcnMgaW4gbWVhc3VyaW5nIGEgZmlybeKAmXMgY2FwYWJpbGl0eSB0byB0cmFuc2xhdGUgcmVzb3VyY2VzIGludG8gZ3JlZW4gaW50ZWxsZWN0dWFsIGNhcGl0YWwgZnJvbSB0aGUg4oCcSW5kdXN0cmlhbCBSZXZvbHV0aW9uIDQuMOKAnSB2aWV3cG9pbnQgdG8gZW1wb3dlciBpdHMgaW5ub3ZhdGlvbiwgZW52aXJvbm1lbnRhbCBhbmQgZmlybSBwZXJmb3JtYW5jZS4gT3JpZ2luYWxpdHkvdmFsdWU6IFRoZSBzdHVkeSBwaW9uZWVyZWQgdGhlIGV4cGxvcmF0aW9uIG9mIHRoZSBkaWZmZXJlbnQgcm9sZXMgb2YgZ3JlZW4gaW50ZWxsZWN0dWFsIGNhcGl0YWwgYW5kIGdyZWVuIGlubm92YXRpb24gaW4gaW1wcm92aW5nIGVudmlyb25tZW50YWwgYW5kIGZpcm0gKOKAnG1hcmtldCBhbmQgZmluYW5jaWFs4oCdKSBwZXJmb3JtYW5jZS4gQWRkaXRpb25hbGx5LCB0byB0aGUgcmVzZWFyY2hlcnPigJkgYmVzdCBrbm93bGVkZ2UsIG5vIGZvcm1lciByZXNlYXJjaCBoYXMgZWFybGllciBjYXRlZ29yaXplZCB0aGUgZmlybSBwZXJmb3JtYW5jZSBpbnRvIOKAnG1hcmtldCBhbmQgZmluYW5jaWFsIHBlcmZvcm1hbmNlLOKAnSBhcyBvdXRsaW5lZCBpbiB0aGlzIHJlc2VhcmNoLCB0aGVyZWJ5IGNvbnRyaWJ1dGluZyBub3ZlbCBpbnNpZ2h0cyB0byB0aGUgZmllbGQgb2YgaW50ZWxsZWN0dWFsIGNhcGl0YWwuIiwicHVibGlzaGVyIjoiRW1lcmFsZCBQdWJsaXNoaW5nIiwiaXNzdWUiOiIzIiwidm9sdW1lIjoiMjYiLCJjb250YWluZXItdGl0bGUtc2hvcnQiOiIifSwiaXNUZW1wb3JhcnkiOmZhbHNlLCJzdXBwcmVzcy1hdXRob3IiOmZhbHNlLCJjb21wb3NpdGUiOmZhbHNlLCJhdXRob3Itb25seSI6ZmFsc2V9XX0="/>
          <w:id w:val="1429935150"/>
          <w:placeholder>
            <w:docPart w:val="DefaultPlaceholder_-1854013440"/>
          </w:placeholder>
        </w:sdtPr>
        <w:sdtContent>
          <w:r w:rsidR="00AD6D10" w:rsidRPr="007E7CB6">
            <w:rPr>
              <w:rFonts w:ascii="Times New Roman" w:eastAsia="Times New Roman" w:hAnsi="Times New Roman" w:cs="Times New Roman"/>
              <w:color w:val="000000"/>
              <w:sz w:val="24"/>
              <w:szCs w:val="24"/>
            </w:rPr>
            <w:t>(Kumar et al., 2025)</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and </w:t>
      </w:r>
      <w:sdt>
        <w:sdtPr>
          <w:rPr>
            <w:rFonts w:ascii="Times New Roman" w:eastAsia="Times New Roman" w:hAnsi="Times New Roman" w:cs="Times New Roman"/>
            <w:color w:val="000000"/>
            <w:sz w:val="24"/>
            <w:szCs w:val="24"/>
          </w:rPr>
          <w:tag w:val="MENDELEY_CITATION_v3_eyJjaXRhdGlvbklEIjoiTUVOREVMRVlfQ0lUQVRJT05fZmU5ZTRhN2ItMjMwMi00ZDc5LWI2NzAtNTZkODgyOTk4NTk2IiwicHJvcGVydGllcyI6eyJub3RlSW5kZXgiOjB9LCJpc0VkaXRlZCI6ZmFsc2UsIm1hbnVhbE92ZXJyaWRlIjp7ImlzTWFudWFsbHlPdmVycmlkZGVuIjpmYWxzZSwiY2l0ZXByb2NUZXh0IjoiKExlZeKAmSBldCBhbC4sIDIwMjApIiwibWFudWFsT3ZlcnJpZGVUZXh0IjoiIn0sImNpdGF0aW9uSXRlbXMiOlt7ImlkIjoiYWJmYzA1YTktZTVkMS0zYTk3LTgzNGItOTMzMzY2MGJhOTg3IiwiaXRlbURhdGEiOnsidHlwZSI6ImFydGljbGUtam91cm5hbCIsImlkIjoiYWJmYzA1YTktZTVkMS0zYTk3LTgzNGItOTMzMzY2MGJhOTg3IiwidGl0bGUiOiJJbnRlbGxlY3R1YWwgY2FwaXRhbCBmb3IgZ3JlZW4gYWNjb3VudGluZyBpbiBhZ3JpYnVzaW5lc3MiLCJhdXRob3IiOlt7ImZhbWlseSI6IkxlZeKAmSIsImdpdmVuIjoiSHNpdSBZdSIsInBhcnNlLW5hbWVzIjpmYWxzZSwiZHJvcHBpbmctcGFydGljbGUiOiIiLCJub24tZHJvcHBpbmctcGFydGljbGUiOiIifSx7ImZhbWlseSI6IkxpdSIsImdpdmVuIjoiQ2hpIEZhbmciLCJwYXJzZS1uYW1lcyI6ZmFsc2UsImRyb3BwaW5nLXBhcnRpY2xlIjoiIiwibm9uLWRyb3BwaW5nLXBhcnRpY2xlIjoiIn0seyJmYW1pbHkiOiJZYWluIiwiZ2l2ZW4iOiJZdSBTaGVuZyIsInBhcnNlLW5hbWVzIjpmYWxzZSwiZHJvcHBpbmctcGFydGljbGUiOiIiLCJub24tZHJvcHBpbmctcGFydGljbGUiOiIifSx7ImZhbWlseSI6IkxpbiIsImdpdmVuIjoiQ2hpZW4gSG8iLCJwYXJzZS1uYW1lcyI6ZmFsc2UsImRyb3BwaW5nLXBhcnRpY2xlIjoiIiwibm9uLWRyb3BwaW5nLXBhcnRpY2xlIjoiIn1dLCJjb250YWluZXItdGl0bGUiOiJJbnRlcm5hdGlvbmFsIEZvb2QgYW5kIEFncmlidXNpbmVzcyBNYW5hZ2VtZW50IFJldmlldyIsIkRPSSI6IjEwLjIyNDM0L0lGQU1SMjAyMC4wMDI4IiwiSVNTTiI6IjE1NTkyNDQ4IiwiaXNzdWVkIjp7ImRhdGUtcGFydHMiOltbMjAyMF1dfSwicGFnZSI6Ijc1OS03NjUiLCJhYnN0cmFjdCI6IkFncmlidXNpbmVzcyBvcmdhbml6YXRpb25zIGhhdmUgZ2FpbmVkIGFuIHVuZGVyc3RhbmRpbmcgb2YgdGhlIG5lZWQgdG8gcHJvbW90ZSBlbnZpcm9ubWVudGFsbHkgZnJpZW5kbHkgYWN0aW9ucyBmb3IgdGhlIHByZXNlbnQgYW5kIHRoZSBmdXR1cmUuIEdyZWVuIGFjY291bnRpbmcgKEdBKSBvciBlbnZpcm9ubWVudGFsIGFjY291bnRpbmcgaXMgYSBuZXcgYnJhbmNoIG9mIGFjY291bnRpbmcgdGhhdCBhdHRlbXB0cyB0byBmYWN0b3IgY29zdHMgcmVsYXRlZCB0byB0aGUgZW52aXJvbm1lbnQgaW50byB0aGUgZmluYW5jaWFsIHJlc3VsdHMgb2YgdmFyaW91cyBvcGVyYXRpb25zLiBUaGUgY29uY2VwdCBvZiBpbnRlbGxlY3R1YWwgY2FwaXRhbCAoSUMpIGRlc2NyaWJlcyBhbGwgdGhlIHJlc291cmNlcyBvciBjYXBpdGFsIHRoYXQgZGV0ZXJtaW5lcyBhbiBvcmdhbml6YXRpb27igJlzIHZhbHVlIGFuZCBjb21wZXRpdGl2ZW5lc3MuIFRoZSBpbXBsZW1lbnRhdGlvbiBvZiBHQSBwcmluY2lwbGVzIGluIGFuIGFncmlidXNpbmVzcyBvcmdhbml6YXRpb24gaXMgYSBjcm9zcy1kaXNjaXBsaW5hcnkgd29yayB0aGF0IGVudGFpbHMgc3VzdGFpbmFiaWxpdHksIGFjY291bnRpbmcsIGFuZCBvdGhlciBmaWVsZHMgb2YgcmVzZWFyY2guIFRodXMsIGNvbXBldGVudCBmYXJtZXJzIChodW1hbiBjYXBpdGFsKSwgZ29vZCByZWxhdGlvbnNoaXBzIHdpdGggc3Rha2Vob2xkZXJzIChyZWxhdGlvbmFsIGNhcGl0YWwpLCBzdHJ1Y3R1cmFsIGNoYW5nZXMgKG9yZ2FuaXphdGlvbmFsIGNhcGl0YWwpLCBhbmQgaW5ub3ZhdGl2ZW5lc3MgKGlubm92YXRpb24gY2FwaXRhbCkgYWxsIG9mIHdoaWNoIGFyZSBjb25jZXB0cyBvZiBJQyBhcmUgbmVlZGVkIGZvciB0aGUgaW1wbGVtZW50YXRpb24gb2YgZW52aXJvbm1lbnRhbCBzdXN0YWluYWJpbGl0eSBwb2xpY2llcyBhbmQgcHJvY2VkdXJlcyB3aXRoaW4gYW4gb3JnYW5pemF0aW9uLiBUaGlzIGNvbmNlcHR1YWwgcGFwZXIgZXhwbG9yZXMga2V5IHN1Y2Nlc3MgZmFjdG9ycyBmb3IgdGhlIEdBIGZyb20gdGhlIElDIHBlcnNwZWN0aXZlLiBXZSBwcm9wb3NlZCB0aGF0LCBmb3IgZGlmZmVyZW50IHJlYXNvbnMgYW5kIGxvZ2ljLCB0aGUgaHVtYW4sIGN1c3RvbWVyLCBvcmdhbml6YXRpb25hbCwgaW5ub3ZhdGlvbiwgYW5kIHByb2Nlc3MgY2FwaXRhbHMgYWxsIHBsYXkgcm9sZXMgYXMga2V5IHN1Y2Nlc3MgZmFjdG9ycyBmb3IgZ29vZCBpbXBsZW1lbnRhdGlvbiBvZiBHQSBpbiBhZ3JpYnVzaW5lc3MuIiwicHVibGlzaGVyIjoiV2FnZW5pbmdlbiBBY2FkZW1pYyBQdWJsaXNoZXJzIiwiaXNzdWUiOiI0Iiwidm9sdW1lIjoiMjMiLCJjb250YWluZXItdGl0bGUtc2hvcnQiOiIifSwiaXNUZW1wb3JhcnkiOmZhbHNlLCJzdXBwcmVzcy1hdXRob3IiOmZhbHNlLCJjb21wb3NpdGUiOmZhbHNlLCJhdXRob3Itb25seSI6ZmFsc2V9XX0="/>
          <w:id w:val="15196065"/>
          <w:placeholder>
            <w:docPart w:val="DefaultPlaceholder_-1854013440"/>
          </w:placeholder>
        </w:sdtPr>
        <w:sdtContent>
          <w:r w:rsidR="00AD6D10" w:rsidRPr="007E7CB6">
            <w:rPr>
              <w:rFonts w:ascii="Times New Roman" w:eastAsia="Times New Roman" w:hAnsi="Times New Roman" w:cs="Times New Roman"/>
              <w:color w:val="000000"/>
              <w:sz w:val="24"/>
              <w:szCs w:val="24"/>
            </w:rPr>
            <w:t>(Lee’ et al., 2020)</w:t>
          </w:r>
        </w:sdtContent>
      </w:sdt>
      <w:r w:rsidR="00E3537D"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emphasize that the effective implementation of green accounting is greatly influenced by GIC elements such as green human capital, green relational capital, and green structural capital, as these three aspects enable companies to integrate sustainability principles into their business processes and improve their environmental performance and firm value. The research by</w:t>
      </w:r>
      <w:r w:rsidR="00E3537D"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ExZmQ1NTgtOGIwYy00ZGU1LWJjMzUtM2E5OWEzZTM1MTIzIiwicHJvcGVydGllcyI6eyJub3RlSW5kZXgiOjB9LCJpc0VkaXRlZCI6ZmFsc2UsIm1hbnVhbE92ZXJyaWRlIjp7ImlzTWFudWFsbHlPdmVycmlkZGVuIjpmYWxzZSwiY2l0ZXByb2NUZXh0IjoiKFNldGlhbmEgJiMzODsgQXJpZWZ0aWFyYSwgMjAyMykiLCJtYW51YWxPdmVycmlkZVRleHQiOiIifSwiY2l0YXRpb25JdGVtcyI6W3siaWQiOiIxNzVjODc2My1lNGJjLTMwMjUtODJiOS1iYzI3N2M2NTU2NzciLCJpdGVtRGF0YSI6eyJ0eXBlIjoicmVwb3J0IiwiaWQiOiIxNzVjODc2My1lNGJjLTMwMjUtODJiOS1iYzI3N2M2NTU2NzciLCJ0aXRsZSI6IkNBUkJPTiBFTUlTU0lPTiBESVNDTE9TVVJFIEFORCBHUkVFTiBJTlRFTExFQ1RVQUwgQ0FQSVRBTDogVEhFIEVGRkVDVCBPTiBGSVJNIFZBTFVFIiwiYXV0aG9yIjpbeyJmYW1pbHkiOiJTZXRpYW5hIiwiZ2l2ZW4iOiJBbmFuZGl0YSIsInBhcnNlLW5hbWVzIjpmYWxzZSwiZHJvcHBpbmctcGFydGljbGUiOiIiLCJub24tZHJvcHBpbmctcGFydGljbGUiOiIifSx7ImZhbWlseSI6IkFyaWVmdGlhcmEiLCJnaXZlbiI6IkRpYW53aWNha3Npa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
          <w:id w:val="1220470099"/>
          <w:placeholder>
            <w:docPart w:val="DefaultPlaceholder_-1854013440"/>
          </w:placeholder>
        </w:sdtPr>
        <w:sdtContent>
          <w:r w:rsidR="00AD6D10" w:rsidRPr="007E7CB6">
            <w:rPr>
              <w:rFonts w:ascii="Times New Roman" w:eastAsia="Times New Roman" w:hAnsi="Times New Roman" w:cs="Times New Roman"/>
              <w:color w:val="000000"/>
              <w:sz w:val="24"/>
            </w:rPr>
            <w:t>(Setiana &amp; Arieftiara, 2023)</w:t>
          </w:r>
        </w:sdtContent>
      </w:sdt>
      <w:r w:rsidRPr="007E7CB6">
        <w:rPr>
          <w:rFonts w:ascii="Times New Roman" w:eastAsia="Times New Roman" w:hAnsi="Times New Roman" w:cs="Times New Roman"/>
          <w:sz w:val="24"/>
          <w:szCs w:val="24"/>
        </w:rPr>
        <w:t xml:space="preserve"> found that GIC plays a significant role as a moderating variable that strengthens the relationship between green accounting and carbon emission disclosure on firm value. However, different results were found in</w:t>
      </w:r>
      <w:r w:rsidR="002E0B84"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zAzNWQ0YmUtNTUzOS00NWE4LThjODItN2Y0NTZkMjIwOTgzIiwicHJvcGVydGllcyI6eyJub3RlSW5kZXgiOjB9LCJpc0VkaXRlZCI6ZmFsc2UsIm1hbnVhbE92ZXJyaWRlIjp7ImlzTWFudWFsbHlPdmVycmlkZGVuIjpmYWxzZSwiY2l0ZXByb2NUZXh0IjoiKEppcmFrcmFpc2lyaSBldCBhbC4sIDIwMjEpIiwibWFudWFsT3ZlcnJpZGVUZXh0IjoiIn0sImNpdGF0aW9uSXRlbXMiOlt7ImlkIjoiZGFhNGE1MTktNWE5NC0zYzYxLWE0MGUtNWY0OTE2NGI2OWI2IiwiaXRlbURhdGEiOnsidHlwZSI6ImFydGljbGUtam91cm5hbCIsImlkIjoiZGFhNGE1MTktNWE5NC0zYzYxLWE0MGUtNWY0OTE2NGI2OWI2IiwidGl0bGUiOiJUcmFuc2xhdGluZyBncmVlbiBzdHJhdGVnaWMgaW50ZW50IGludG8gZ3JlZW4gcHJvY2VzcyBpbm5vdmF0aW9uIHBlcmZvcm1hbmNlOiB0aGUgcm9sZSBvZiBncmVlbiBpbnRlbGxlY3R1YWwgY2FwaXRhbCIsImF1dGhvciI6W3siZmFtaWx5IjoiSmlyYWtyYWlzaXJpIiwiZ2l2ZW4iOiJKaXJhcG9sIiwicGFyc2UtbmFtZXMiOmZhbHNlLCJkcm9wcGluZy1wYXJ0aWNsZSI6IiIsIm5vbi1kcm9wcGluZy1wYXJ0aWNsZSI6IiJ9LHsiZmFtaWx5IjoiQmFkaXIiLCJnaXZlbiI6Ill1b3NyZSBGLiIsInBhcnNlLW5hbWVzIjpmYWxzZSwiZHJvcHBpbmctcGFydGljbGUiOiIiLCJub24tZHJvcHBpbmctcGFydGljbGUiOiIifSx7ImZhbWlseSI6IkZyYW5rIiwiZ2l2ZW4iOiJCasO2cm4iLCJwYXJzZS1uYW1lcyI6ZmFsc2UsImRyb3BwaW5nLXBhcnRpY2xlIjoiIiwibm9uLWRyb3BwaW5nLXBhcnRpY2xlIjoiIn1dLCJjb250YWluZXItdGl0bGUiOiJKb3VybmFsIG9mIEludGVsbGVjdHVhbCBDYXBpdGFsIiwiRE9JIjoiMTAuMTEwOC9KSUMtMDgtMjAyMC0wMjc3IiwiSVNTTiI6IjE3NTg3NDY4IiwiaXNzdWVkIjp7ImRhdGUtcGFydHMiOltbMjAyMV1dfSwicGFnZSI6IjQzLTY3IiwiYWJzdHJhY3QiOiJQdXJwb3NlOiBNYW55IGZpcm1zIHN0cnVnZ2xlIHRvIGltcGxlbWVudCBzdHJhdGVnaWVzIHRoYXQgY2FuIHN1Y2Nlc3NmdWxseSBlbmhhbmNlIHRoZSBlbnZpcm9ubWVudGFsIHN1c3RhaW5hYmlsaXR5IG9mIHRoZWlyIHByb2Nlc3Nlcy4gRHJhd2luZyBvbiB0aGUgdGhlb3JpZXMgb2YgZ3JlZW4gaW50ZWxsZWN0dWFsIGNhcGl0YWwgYW5kIGNvbXBsZW1lbnRhcnkgYXNzZXRzLCB0aGlzIHN0dWR5IGRldmVsb3BzIGEgbW9kZWwgZGVzY3JpYmluZyB0aGUgbWVjaGFuaXNtIHdoZXJlYnkgZmlybXMgY2FuIHRyYW5zbGF0ZSBhIGdyZWVuIChpLmUuLCBlbnZpcm9ubWVudGFsKSBzdHJhdGVneSBpbnRvIGEgc3VwZXJpb3IgZ3JlZW4gcHJvY2VzcyBpbm5vdmF0aW9uIHBlcmZvcm1hbmNlIChHUElQKS4gRGVzaWduL21ldGhvZG9sb2d5L2FwcHJvYWNoOiBSZWdyZXNzaW9uIGFuYWx5c2lzIG9mIG11bHRpLXNvdXJjZSBzdXJ2ZXkgZGF0YSBjb2xsZWN0ZWQgZnJvbSA1MTQgbWFuYWdlcnMgYXQgMjU3IGZpcm1zICgyNTcgdG9wIG1hbmFnZW1lbnQgbWVtYmVycyBhbmQgMjU3IHNhZmV0eSBvciBlbnZpcm9ubWVudGFsIG1hbmFnZXJzKSB3YXMgdXNlZCB0byB0ZXN0IHRoZSBoeXBvdGhlc2VzLiBGaW5kaW5nczogQSBmaXJtJ3MgZ3JlZW4gc3RyYXRlZ2ljIGludGVudCBoYXMgcG9zaXRpdmUgZWZmZWN0cyBvbiB0aGUgdGhyZWUgYXNwZWN0cyBvZiBncmVlbiBpbnRlbGxlY3R1YWwgY2FwaXRhbCAoaS5lLiwgaHVtYW4sIG9yZ2FuaXphdGlvbmFsIGFuZCByZWxhdGlvbmFsIGNhcGl0YWwpLiBJbiB0dXJuLCB0aGVzZSB0aHJlZSBhc3BlY3RzIGhhdmUgcG9zaXRpdmUgZWZmZWN0cyBvbiBHUElQLiBNb3Jlb3ZlciwgZ3JlZW4gb3JnYW5pemF0aW9uYWwgY2FwaXRhbCBwb3NpdGl2ZWx5IG1vZGVyYXRlcyB0aGUgZWZmZWN0IG9mIGdyZWVuIHJlbGF0aW9uYWwgY2FwaXRhbCBvbiBHUElQLCB3aGVyZWFzIGl0IG5lZ2F0aXZlbHkgbW9kZXJhdGVzIHRoZSBlZmZlY3Qgb2YgaHVtYW4gY2FwaXRhbCBvbiBHUElQLiBSZXNlYXJjaCBsaW1pdGF0aW9ucy9pbXBsaWNhdGlvbnM6IEluIG9yZGVyIHRvIGltcGxlbWVudCBhIGdyZWVuIHN0cmF0ZWd5IHN1Y2Nlc3NmdWxseSwgZXNwZWNpYWxseSBpbiBwb2xsdXRlZCBpbmR1c3RyaWVzIHN1Y2ggYXMgdGhlIGNoZW1pY2FsIGluZHVzdHJ5LCBtYW5hZ2VycyBuZWVkIHRvIGRldmVsb3Agbm90IG9ubHkgdGhlIGZpcm0ncyB0YW5naWJsZSByZXNvdXJjZXMgYnV0IGFsc28gaXRzIGludGFuZ2libGUgcmVzb3VyY2VzLiBUaGUgbW9yZSB0aGV5IGludmVzdCBpbiBncmVlbiBvcmdhbml6YXRpb25hbCBjYXBpdGFsLCB0aGUgaGlnaGVyIHRoZSBsZXZlbCBvZiBHUElQIHRoYXQgY2FuIGJlIGFjaGlldmVkLiBPbiBhdmVyYWdlLCBhIGZpcm0ncyBncmVlbiBodW1hbiBjYXBpdGFsIGlzIG1vcmUgaW1wb3J0YW50IHRoYW4gaXRzIG9yZ2FuaXphdGlvbmFsIGFuZCByZWxhdGlvbmFsIGNhcGl0YWwuIE1vcmVvdmVyLCBpdHMgb3JnYW5pemF0aW9uYWwgY2FwaXRhbCBoZWxwcyBjYXB0dXJlIHRoZSBiZW5lZml0cyBvZiBpdHMgcmVsYXRpb25hbCBjYXBpdGFsLCBidXQgaXQgaW1wYWlycyB0aGUgY3JlYXRpdml0eSBvZiBpdHMgaHVtYW4gY2FwaXRhbC4gT3JpZ2luYWxpdHkvdmFsdWU6IFRoZSBhdXRob3JzIGNvbnRyaWJ1dGUgdG8gdGhlIGxpdGVyYXR1cmUgb24gZ3JlZW4gc3RyYXRlZ3kgaW1wbGVtZW50YXRpb24gYnkgc3VnZ2VzdGluZyB0aGF0IGdyZWVuIGludGVsbGVjdHVhbCBjYXBpdGFsIHBsYXlzIGEgbWVkaWF0aW5nIHJvbGUgaW4gdGhlIHJlbGF0aW9uc2hpcCBiZXR3ZWVuIGEgZmlybSdzIGdyZWVuIHN0cmF0ZWdpYyBpbnRlbnQgYW5kIEdQSVAuIiwicHVibGlzaGVyIjoiRW1lcmFsZCBHcm91cCBIb2xkaW5ncyBMdGQuIiwiaXNzdWUiOiI3Iiwidm9sdW1lIjoiMjIiLCJjb250YWluZXItdGl0bGUtc2hvcnQiOiIifSwiaXNUZW1wb3JhcnkiOmZhbHNlLCJzdXBwcmVzcy1hdXRob3IiOmZhbHNlLCJjb21wb3NpdGUiOmZhbHNlLCJhdXRob3Itb25seSI6ZmFsc2V9XX0="/>
          <w:id w:val="-1278947971"/>
          <w:placeholder>
            <w:docPart w:val="DefaultPlaceholder_-1854013440"/>
          </w:placeholder>
        </w:sdtPr>
        <w:sdtContent>
          <w:r w:rsidR="00AD6D10" w:rsidRPr="007E7CB6">
            <w:rPr>
              <w:rFonts w:ascii="Times New Roman" w:eastAsia="Times New Roman" w:hAnsi="Times New Roman" w:cs="Times New Roman"/>
              <w:color w:val="000000"/>
              <w:sz w:val="24"/>
              <w:szCs w:val="24"/>
            </w:rPr>
            <w:t>(Jirakraisiri et al., 2021)</w:t>
          </w:r>
        </w:sdtContent>
      </w:sdt>
      <w:r w:rsidRPr="007E7CB6">
        <w:rPr>
          <w:rFonts w:ascii="Times New Roman" w:eastAsia="Times New Roman" w:hAnsi="Times New Roman" w:cs="Times New Roman"/>
          <w:sz w:val="24"/>
          <w:szCs w:val="24"/>
        </w:rPr>
        <w:t xml:space="preserve"> and</w:t>
      </w:r>
      <w:r w:rsidR="002E0B84"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DRhYjU0NzUtM2RkNS00MWViLWFiZmYtMzgwMDhlM2Y1OTVlIiwicHJvcGVydGllcyI6eyJub3RlSW5kZXgiOjB9LCJpc0VkaXRlZCI6ZmFsc2UsIm1hbnVhbE92ZXJyaWRlIjp7ImlzTWFudWFsbHlPdmVycmlkZGVuIjpmYWxzZSwiY2l0ZXByb2NUZXh0IjoiKFJpeWFudGkgJiMzODsgTXVyd2FuaW5nc2FyaSwgMjAyMykiLCJtYW51YWxPdmVycmlkZVRleHQiOiIifSwiY2l0YXRpb25JdGVtcyI6W3siaWQiOiJlMjE0MDBmYS1hZGU4LTNmODMtYTkzNi04MmNmYjg3MjNlY2QiLCJpdGVtRGF0YSI6eyJ0eXBlIjoiYXJ0aWNsZS1qb3VybmFsIiwiaWQiOiJlMjE0MDBmYS1hZGU4LTNmODMtYTkzNi04MmNmYjg3MjNlY2QiLCJ0aXRsZSI6IkNPUlBPUkFURSBHT1ZFUk5BTkNFIFJPTEUgQVMgTU9ERVJBVElORyBHUkVFTiBJTlRFTExFQ1RVQUwgQ0FQSVRBTCBBTkQgR1JFRU4gQUNDT1VOVElORyBJTkZMVUVOQ0UgT04gU1VTVEFJTkFCTEUgRklOQU5DRSBJTVBMRU1FTlRBVElPTiIsImF1dGhvciI6W3siZmFtaWx5IjoiUml5YW50aSIsImdpdmVuIjoiWXVsaWEgRWthIiwicGFyc2UtbmFtZXMiOmZhbHNlLCJkcm9wcGluZy1wYXJ0aWNsZSI6IiIsIm5vbi1kcm9wcGluZy1wYXJ0aWNsZSI6IiJ9LHsiZmFtaWx5IjoiTXVyd2FuaW5nc2FyaSIsImdpdmVuIjoiRXR0eSIsInBhcnNlLW5hbWVzIjpmYWxzZSwiZHJvcHBpbmctcGFydGljbGUiOiIiLCJub24tZHJvcHBpbmctcGFydGljbGUiOiIifV0sIlVSTCI6Imh0dHA6Ly9kZXZvdGlvbi5ncmVlbnZlc3QuY28uaWQiLCJpc3N1ZWQiOnsiZGF0ZS1wYXJ0cyI6W1syMDIzXV19LCJjb250YWluZXItdGl0bGUtc2hvcnQiOiIifSwiaXNUZW1wb3JhcnkiOmZhbHNlLCJzdXBwcmVzcy1hdXRob3IiOmZhbHNlLCJjb21wb3NpdGUiOmZhbHNlLCJhdXRob3Itb25seSI6ZmFsc2V9XX0="/>
          <w:id w:val="694582678"/>
          <w:placeholder>
            <w:docPart w:val="DefaultPlaceholder_-1854013440"/>
          </w:placeholder>
        </w:sdtPr>
        <w:sdtContent>
          <w:r w:rsidR="00AD6D10" w:rsidRPr="007E7CB6">
            <w:rPr>
              <w:rFonts w:ascii="Times New Roman" w:eastAsia="Times New Roman" w:hAnsi="Times New Roman" w:cs="Times New Roman"/>
              <w:color w:val="000000"/>
              <w:sz w:val="24"/>
            </w:rPr>
            <w:t>(Riyanti &amp; Murwaningsari, 2023)</w:t>
          </w:r>
        </w:sdtContent>
      </w:sdt>
      <w:r w:rsidR="002E0B84"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which showed that GIC did not play a significant role as a moderating variable, and not all GIC elements strengthened the impact of sustainability, in some cases, they even weakened it. Therefore, this study was conducted to re-examine the role of GIC as a moderating variable with a newer period and approach in the context of energy sector companies in Indonesia.</w:t>
      </w:r>
    </w:p>
    <w:p w14:paraId="2F483BE9" w14:textId="6C9BD921" w:rsidR="00153781" w:rsidRPr="007E7CB6" w:rsidRDefault="00000000">
      <w:pPr>
        <w:spacing w:line="480" w:lineRule="auto"/>
        <w:ind w:firstLine="720"/>
        <w:jc w:val="both"/>
        <w:rPr>
          <w:rFonts w:ascii="Times New Roman" w:eastAsia="Times New Roman" w:hAnsi="Times New Roman" w:cs="Times New Roman"/>
          <w:sz w:val="24"/>
          <w:szCs w:val="24"/>
        </w:rPr>
      </w:pPr>
      <w:bookmarkStart w:id="32" w:name="_heading=h.1mseqn2uzmba" w:colFirst="0" w:colLast="0"/>
      <w:bookmarkEnd w:id="32"/>
      <w:r w:rsidRPr="007E7CB6">
        <w:rPr>
          <w:rFonts w:ascii="Times New Roman" w:eastAsia="Times New Roman" w:hAnsi="Times New Roman" w:cs="Times New Roman"/>
          <w:sz w:val="24"/>
          <w:szCs w:val="24"/>
        </w:rPr>
        <w:t>The energy sector contributes significantly to carbon emissions, making transparency in carbon disclosure, green accounting, and green capital structure crucial aspects. Investments in renewable energy projects and environmentally friendly technologies play an important role in companies' efforts to reduce their carbon footprint and improve the sustainability of their operations. The energy sector is a major contributor to global carbon emissions, with 75.7% of emissions</w:t>
      </w:r>
      <w:r w:rsidR="00FD5B7D">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lastRenderedPageBreak/>
        <w:t xml:space="preserve">coming from fossil-based activities, such as coal-fired power plants and oil and </w:t>
      </w:r>
      <w:r w:rsidRPr="007E7CB6">
        <w:rPr>
          <w:rFonts w:ascii="Times New Roman" w:eastAsia="Times New Roman" w:hAnsi="Times New Roman" w:cs="Times New Roman"/>
          <w:noProof/>
          <w:sz w:val="24"/>
          <w:szCs w:val="24"/>
        </w:rPr>
        <w:drawing>
          <wp:anchor distT="0" distB="0" distL="114300" distR="114300" simplePos="0" relativeHeight="251660288" behindDoc="0" locked="0" layoutInCell="1" hidden="0" allowOverlap="1" wp14:anchorId="36DA2D22" wp14:editId="67559814">
            <wp:simplePos x="0" y="0"/>
            <wp:positionH relativeFrom="margin">
              <wp:posOffset>691043</wp:posOffset>
            </wp:positionH>
            <wp:positionV relativeFrom="margin">
              <wp:posOffset>671810</wp:posOffset>
            </wp:positionV>
            <wp:extent cx="3657600" cy="3182112"/>
            <wp:effectExtent l="0" t="0" r="0" b="0"/>
            <wp:wrapSquare wrapText="bothSides" distT="0" distB="0" distL="114300" distR="114300"/>
            <wp:docPr id="1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3657600" cy="3182112"/>
                    </a:xfrm>
                    <a:prstGeom prst="rect">
                      <a:avLst/>
                    </a:prstGeom>
                    <a:ln/>
                  </pic:spPr>
                </pic:pic>
              </a:graphicData>
            </a:graphic>
          </wp:anchor>
        </w:drawing>
      </w:r>
      <w:r w:rsidRPr="007E7CB6">
        <w:rPr>
          <w:rFonts w:ascii="Times New Roman" w:eastAsia="Times New Roman" w:hAnsi="Times New Roman" w:cs="Times New Roman"/>
          <w:sz w:val="24"/>
          <w:szCs w:val="24"/>
        </w:rPr>
        <w:t>gas exploration</w:t>
      </w:r>
      <w:r w:rsidR="002E0B84"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VjNjg2YWMtYmY4NS00MjY5LTliZDUtMmEzYTYxYzYwMDEzIiwicHJvcGVydGllcyI6eyJub3RlSW5kZXgiOjB9LCJpc0VkaXRlZCI6ZmFsc2UsIm1hbnVhbE92ZXJyaWRlIjp7ImlzTWFudWFsbHlPdmVycmlkZGVuIjp0cnVlLCJjaXRlcHJvY1RleHQiOiIoV29ybGQgUmVzb3VyY2VzIGluc3RpdHVkZSwgMjAyNCkiLCJtYW51YWxPdmVycmlkZVRleHQiOiIoV29ybGQgUmVzb3VyY2VzIGluc3RpdHV0ZSwgMjAyNCkifSwiY2l0YXRpb25JdGVtcyI6W3siaWQiOiI2ZGQ5M2RhZS1mODUwLTM3MGQtOTVmMy1iMGEzNWFjOWUyOWYiLCJpdGVtRGF0YSI6eyJ0eXBlIjoid2VicGFnZSIsImlkIjoiNmRkOTNkYWUtZjg1MC0zNzBkLTk1ZjMtYjBhMzVhYzllMjlmIiwidGl0bGUiOiJXb3JsZCBHcmVlbmhvdXNlIEdhcyBFbWlzc2lvbnMgYnkgU2VjdG9yIiwiYXV0aG9yIjpbeyJmYW1pbHkiOiJXb3JsZCBSZXNvdXJjZXMgaW5zdGl0dWRlIiwiZ2l2ZW4iOiIiLCJwYXJzZS1uYW1lcyI6ZmFsc2UsImRyb3BwaW5nLXBhcnRpY2xlIjoiIiwibm9uLWRyb3BwaW5nLXBhcnRpY2xlIjoiIn1dLCJhY2Nlc3NlZCI6eyJkYXRlLXBhcnRzIjpbWzIwMjUsNiwxOV1dfSwiVVJMIjoiaHR0cHM6Ly93d3cud3JpLm9yZy9kYXRhL3dvcmxkLWdyZWVuaG91c2UtZ2FzLWVtaXNzaW9ucy1zZWN0b3ItMjAyMS1zdW5idXJzdC1jaGFydCIsImlzc3VlZCI6eyJkYXRlLXBhcnRzIjpbWzIwMjRdXX0sImNvbnRhaW5lci10aXRsZS1zaG9ydCI6IiJ9LCJpc1RlbXBvcmFyeSI6ZmFsc2UsInN1cHByZXNzLWF1dGhvciI6ZmFsc2UsImNvbXBvc2l0ZSI6ZmFsc2UsImF1dGhvci1vbmx5IjpmYWxzZX1dfQ=="/>
          <w:id w:val="-1814089107"/>
          <w:placeholder>
            <w:docPart w:val="DefaultPlaceholder_-1854013440"/>
          </w:placeholder>
        </w:sdtPr>
        <w:sdtContent>
          <w:r w:rsidR="00AD6D10" w:rsidRPr="007E7CB6">
            <w:rPr>
              <w:rFonts w:ascii="Times New Roman" w:eastAsia="Times New Roman" w:hAnsi="Times New Roman" w:cs="Times New Roman"/>
              <w:color w:val="000000"/>
              <w:sz w:val="24"/>
              <w:szCs w:val="24"/>
            </w:rPr>
            <w:t>(World Resources institute, 2024)</w:t>
          </w:r>
        </w:sdtContent>
      </w:sdt>
      <w:r w:rsidR="002E0B84" w:rsidRPr="007E7CB6">
        <w:rPr>
          <w:rFonts w:ascii="Times New Roman" w:eastAsia="Times New Roman" w:hAnsi="Times New Roman" w:cs="Times New Roman"/>
          <w:sz w:val="24"/>
          <w:szCs w:val="24"/>
        </w:rPr>
        <w:t>.</w:t>
      </w:r>
      <w:r w:rsidRPr="007E7CB6">
        <w:rPr>
          <w:rFonts w:ascii="Times New Roman" w:eastAsia="Times New Roman" w:hAnsi="Times New Roman" w:cs="Times New Roman"/>
          <w:sz w:val="24"/>
          <w:szCs w:val="24"/>
        </w:rPr>
        <w:t xml:space="preserve"> </w:t>
      </w:r>
    </w:p>
    <w:p w14:paraId="012F15D1"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p>
    <w:p w14:paraId="0664A0F0" w14:textId="77777777" w:rsidR="00153781" w:rsidRPr="007E7CB6" w:rsidRDefault="00000000">
      <w:pPr>
        <w:pBdr>
          <w:top w:val="nil"/>
          <w:left w:val="nil"/>
          <w:bottom w:val="nil"/>
          <w:right w:val="nil"/>
          <w:between w:val="nil"/>
        </w:pBdr>
        <w:spacing w:after="200" w:line="240" w:lineRule="auto"/>
        <w:rPr>
          <w:rFonts w:ascii="Times New Roman" w:hAnsi="Times New Roman" w:cs="Times New Roman"/>
          <w:i/>
          <w:color w:val="FFFFFF"/>
          <w:sz w:val="18"/>
          <w:szCs w:val="18"/>
        </w:rPr>
      </w:pPr>
      <w:r w:rsidRPr="007E7CB6">
        <w:rPr>
          <w:rFonts w:ascii="Times New Roman" w:hAnsi="Times New Roman" w:cs="Times New Roman"/>
          <w:i/>
          <w:color w:val="FFFFFF"/>
          <w:sz w:val="18"/>
          <w:szCs w:val="18"/>
        </w:rPr>
        <w:t>Gambar 2</w:t>
      </w:r>
    </w:p>
    <w:p w14:paraId="5D7EB888"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p>
    <w:p w14:paraId="617A1839"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p>
    <w:p w14:paraId="240022FE"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p>
    <w:p w14:paraId="344B2D69"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p>
    <w:p w14:paraId="4319E565" w14:textId="77777777" w:rsidR="00153781" w:rsidRPr="007E7CB6" w:rsidRDefault="00153781">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p>
    <w:p w14:paraId="53821BC6" w14:textId="77777777" w:rsidR="00153781" w:rsidRPr="007E7CB6" w:rsidRDefault="00153781">
      <w:pPr>
        <w:rPr>
          <w:rFonts w:ascii="Times New Roman" w:eastAsia="Times New Roman" w:hAnsi="Times New Roman" w:cs="Times New Roman"/>
          <w:sz w:val="24"/>
          <w:szCs w:val="24"/>
        </w:rPr>
      </w:pPr>
    </w:p>
    <w:p w14:paraId="41704ABB" w14:textId="77777777" w:rsidR="00153781" w:rsidRPr="007E7CB6" w:rsidRDefault="00153781">
      <w:pPr>
        <w:rPr>
          <w:rFonts w:ascii="Times New Roman" w:eastAsia="Times New Roman" w:hAnsi="Times New Roman" w:cs="Times New Roman"/>
          <w:sz w:val="24"/>
          <w:szCs w:val="24"/>
        </w:rPr>
      </w:pPr>
    </w:p>
    <w:p w14:paraId="0BEFAC92" w14:textId="77777777" w:rsidR="00153781" w:rsidRPr="007E7CB6" w:rsidRDefault="00153781">
      <w:pPr>
        <w:rPr>
          <w:rFonts w:ascii="Times New Roman" w:eastAsia="Times New Roman" w:hAnsi="Times New Roman" w:cs="Times New Roman"/>
          <w:sz w:val="24"/>
          <w:szCs w:val="24"/>
        </w:rPr>
      </w:pPr>
    </w:p>
    <w:p w14:paraId="04BC1F34" w14:textId="4237877D" w:rsidR="00153781" w:rsidRPr="007E7CB6" w:rsidRDefault="002E0B84">
      <w:pPr>
        <w:rPr>
          <w:rFonts w:ascii="Times New Roman" w:eastAsia="Times New Roman" w:hAnsi="Times New Roman" w:cs="Times New Roman"/>
          <w:sz w:val="24"/>
          <w:szCs w:val="24"/>
        </w:rPr>
      </w:pPr>
      <w:r w:rsidRPr="007E7CB6">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72E8BB5" wp14:editId="014C3A13">
                <wp:simplePos x="0" y="0"/>
                <wp:positionH relativeFrom="column">
                  <wp:posOffset>690880</wp:posOffset>
                </wp:positionH>
                <wp:positionV relativeFrom="paragraph">
                  <wp:posOffset>126528</wp:posOffset>
                </wp:positionV>
                <wp:extent cx="365760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1E66E3E4" w14:textId="0FBBBDED" w:rsidR="002E0B84" w:rsidRDefault="002E0B84" w:rsidP="002E0B84">
                            <w:pPr>
                              <w:pStyle w:val="Caption"/>
                              <w:spacing w:after="0"/>
                              <w:jc w:val="center"/>
                              <w:rPr>
                                <w:rFonts w:ascii="Times New Roman" w:hAnsi="Times New Roman" w:cs="Times New Roman"/>
                                <w:b/>
                                <w:bCs/>
                                <w:color w:val="000000" w:themeColor="text1"/>
                                <w:sz w:val="22"/>
                                <w:szCs w:val="22"/>
                              </w:rPr>
                            </w:pPr>
                            <w:bookmarkStart w:id="33" w:name="_Toc209703562"/>
                            <w:r w:rsidRPr="002E0B84">
                              <w:rPr>
                                <w:rFonts w:ascii="Times New Roman" w:hAnsi="Times New Roman" w:cs="Times New Roman"/>
                                <w:b/>
                                <w:bCs/>
                                <w:color w:val="000000" w:themeColor="text1"/>
                                <w:sz w:val="22"/>
                                <w:szCs w:val="22"/>
                              </w:rPr>
                              <w:t>Figure 1.</w:t>
                            </w:r>
                            <w:r w:rsidRPr="002E0B84">
                              <w:rPr>
                                <w:rFonts w:ascii="Times New Roman" w:hAnsi="Times New Roman" w:cs="Times New Roman"/>
                                <w:b/>
                                <w:bCs/>
                                <w:color w:val="000000" w:themeColor="text1"/>
                                <w:sz w:val="22"/>
                                <w:szCs w:val="22"/>
                              </w:rPr>
                              <w:fldChar w:fldCharType="begin"/>
                            </w:r>
                            <w:r w:rsidRPr="002E0B84">
                              <w:rPr>
                                <w:rFonts w:ascii="Times New Roman" w:hAnsi="Times New Roman" w:cs="Times New Roman"/>
                                <w:b/>
                                <w:bCs/>
                                <w:color w:val="000000" w:themeColor="text1"/>
                                <w:sz w:val="22"/>
                                <w:szCs w:val="22"/>
                              </w:rPr>
                              <w:instrText xml:space="preserve"> SEQ Figure \* ARABIC </w:instrText>
                            </w:r>
                            <w:r w:rsidRPr="002E0B84">
                              <w:rPr>
                                <w:rFonts w:ascii="Times New Roman" w:hAnsi="Times New Roman" w:cs="Times New Roman"/>
                                <w:b/>
                                <w:bCs/>
                                <w:color w:val="000000" w:themeColor="text1"/>
                                <w:sz w:val="22"/>
                                <w:szCs w:val="22"/>
                              </w:rPr>
                              <w:fldChar w:fldCharType="separate"/>
                            </w:r>
                            <w:r w:rsidR="00FD5B7D">
                              <w:rPr>
                                <w:rFonts w:ascii="Times New Roman" w:hAnsi="Times New Roman" w:cs="Times New Roman"/>
                                <w:b/>
                                <w:bCs/>
                                <w:noProof/>
                                <w:color w:val="000000" w:themeColor="text1"/>
                                <w:sz w:val="22"/>
                                <w:szCs w:val="22"/>
                              </w:rPr>
                              <w:t>2</w:t>
                            </w:r>
                            <w:r w:rsidRPr="002E0B84">
                              <w:rPr>
                                <w:rFonts w:ascii="Times New Roman" w:hAnsi="Times New Roman" w:cs="Times New Roman"/>
                                <w:b/>
                                <w:bCs/>
                                <w:color w:val="000000" w:themeColor="text1"/>
                                <w:sz w:val="22"/>
                                <w:szCs w:val="22"/>
                              </w:rPr>
                              <w:fldChar w:fldCharType="end"/>
                            </w:r>
                            <w:r>
                              <w:rPr>
                                <w:rFonts w:ascii="Times New Roman" w:hAnsi="Times New Roman" w:cs="Times New Roman"/>
                                <w:b/>
                                <w:bCs/>
                                <w:color w:val="000000" w:themeColor="text1"/>
                                <w:sz w:val="22"/>
                                <w:szCs w:val="22"/>
                              </w:rPr>
                              <w:t xml:space="preserve"> Carbon Emissions by Sector</w:t>
                            </w:r>
                            <w:bookmarkEnd w:id="33"/>
                          </w:p>
                          <w:p w14:paraId="30ACFFC4" w14:textId="3FE5F12D" w:rsidR="002E0B84" w:rsidRPr="002E0B84" w:rsidRDefault="002E0B84" w:rsidP="002E0B84">
                            <w:pPr>
                              <w:jc w:val="center"/>
                              <w:rPr>
                                <w:rFonts w:ascii="Times New Roman" w:hAnsi="Times New Roman" w:cs="Times New Roman"/>
                                <w:i/>
                                <w:iCs/>
                              </w:rPr>
                            </w:pPr>
                            <w:r>
                              <w:rPr>
                                <w:rFonts w:ascii="Times New Roman" w:hAnsi="Times New Roman" w:cs="Times New Roman"/>
                                <w:i/>
                                <w:iCs/>
                              </w:rPr>
                              <w:t>Source: World Resources Institute,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E8BB5" id="Text Box 2" o:spid="_x0000_s1029" type="#_x0000_t202" style="position:absolute;margin-left:54.4pt;margin-top:9.95pt;width:4in;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3aGQIAAD8EAAAOAAAAZHJzL2Uyb0RvYy54bWysU01v2zAMvQ/YfxB0X5y0aDYYcYosRYYB&#10;QVsgHXpWZDkWIIsapcTOfv0o2U62bqdhF5kWKX6897i47xrDTgq9Blvw2WTKmbISSm0PBf/2svnw&#10;iTMfhC2FAasKflae3y/fv1u0Llc3UIMpFTJKYn3euoLXIbg8y7ysVSP8BJyy5KwAGxHoFw9ZiaKl&#10;7I3JbqbTedYClg5BKu/p9qF38mXKX1VKhqeq8iowU3DqLaQT07mPZ7ZciPyAwtVaDm2If+iiEdpS&#10;0UuqBxEEO6L+I1WjJYKHKkwkNBlUlZYqzUDTzKZvptnVwqk0C4Hj3QUm///SysfTzj0jC91n6IjA&#10;CEjrfO7pMs7TVdjEL3XKyE8Qni+wqS4wSZe387uP8ym5JPnmt3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OiKHgLfAAAACQEAAA8AAABkcnMvZG93bnJldi54bWxMjzFPwzAQhXck/oN1&#10;SCyIOkAUpWmcqqpggKUidOnmxtc4EJ+j2GnDv+eYYLt39/Ted+V6dr044xg6TwoeFgkIpMabjloF&#10;+4+X+xxEiJqM7j2hgm8MsK6ur0pdGH+hdzzXsRUcQqHQCmyMQyFlaCw6HRZ+QOLbyY9OR5ZjK82o&#10;LxzuevmYJJl0uiNusHrArcXmq56cgl162Nm76fT8tkmfxtf9tM0+21qp25t5swIRcY5/ZvjFZ3So&#10;mOnoJzJB9KyTnNEjD8slCDZkecqLowLuBVmV8v8H1Q8AAAD//wMAUEsBAi0AFAAGAAgAAAAhALaD&#10;OJL+AAAA4QEAABMAAAAAAAAAAAAAAAAAAAAAAFtDb250ZW50X1R5cGVzXS54bWxQSwECLQAUAAYA&#10;CAAAACEAOP0h/9YAAACUAQAACwAAAAAAAAAAAAAAAAAvAQAAX3JlbHMvLnJlbHNQSwECLQAUAAYA&#10;CAAAACEAS3kN2hkCAAA/BAAADgAAAAAAAAAAAAAAAAAuAgAAZHJzL2Uyb0RvYy54bWxQSwECLQAU&#10;AAYACAAAACEA6IoeAt8AAAAJAQAADwAAAAAAAAAAAAAAAABzBAAAZHJzL2Rvd25yZXYueG1sUEsF&#10;BgAAAAAEAAQA8wAAAH8FAAAAAA==&#10;" stroked="f">
                <v:textbox style="mso-fit-shape-to-text:t" inset="0,0,0,0">
                  <w:txbxContent>
                    <w:p w14:paraId="1E66E3E4" w14:textId="0FBBBDED" w:rsidR="002E0B84" w:rsidRDefault="002E0B84" w:rsidP="002E0B84">
                      <w:pPr>
                        <w:pStyle w:val="Caption"/>
                        <w:spacing w:after="0"/>
                        <w:jc w:val="center"/>
                        <w:rPr>
                          <w:rFonts w:ascii="Times New Roman" w:hAnsi="Times New Roman" w:cs="Times New Roman"/>
                          <w:b/>
                          <w:bCs/>
                          <w:color w:val="000000" w:themeColor="text1"/>
                          <w:sz w:val="22"/>
                          <w:szCs w:val="22"/>
                        </w:rPr>
                      </w:pPr>
                      <w:bookmarkStart w:id="34" w:name="_Toc209703562"/>
                      <w:r w:rsidRPr="002E0B84">
                        <w:rPr>
                          <w:rFonts w:ascii="Times New Roman" w:hAnsi="Times New Roman" w:cs="Times New Roman"/>
                          <w:b/>
                          <w:bCs/>
                          <w:color w:val="000000" w:themeColor="text1"/>
                          <w:sz w:val="22"/>
                          <w:szCs w:val="22"/>
                        </w:rPr>
                        <w:t>Figure 1.</w:t>
                      </w:r>
                      <w:r w:rsidRPr="002E0B84">
                        <w:rPr>
                          <w:rFonts w:ascii="Times New Roman" w:hAnsi="Times New Roman" w:cs="Times New Roman"/>
                          <w:b/>
                          <w:bCs/>
                          <w:color w:val="000000" w:themeColor="text1"/>
                          <w:sz w:val="22"/>
                          <w:szCs w:val="22"/>
                        </w:rPr>
                        <w:fldChar w:fldCharType="begin"/>
                      </w:r>
                      <w:r w:rsidRPr="002E0B84">
                        <w:rPr>
                          <w:rFonts w:ascii="Times New Roman" w:hAnsi="Times New Roman" w:cs="Times New Roman"/>
                          <w:b/>
                          <w:bCs/>
                          <w:color w:val="000000" w:themeColor="text1"/>
                          <w:sz w:val="22"/>
                          <w:szCs w:val="22"/>
                        </w:rPr>
                        <w:instrText xml:space="preserve"> SEQ Figure \* ARABIC </w:instrText>
                      </w:r>
                      <w:r w:rsidRPr="002E0B84">
                        <w:rPr>
                          <w:rFonts w:ascii="Times New Roman" w:hAnsi="Times New Roman" w:cs="Times New Roman"/>
                          <w:b/>
                          <w:bCs/>
                          <w:color w:val="000000" w:themeColor="text1"/>
                          <w:sz w:val="22"/>
                          <w:szCs w:val="22"/>
                        </w:rPr>
                        <w:fldChar w:fldCharType="separate"/>
                      </w:r>
                      <w:r w:rsidR="00FD5B7D">
                        <w:rPr>
                          <w:rFonts w:ascii="Times New Roman" w:hAnsi="Times New Roman" w:cs="Times New Roman"/>
                          <w:b/>
                          <w:bCs/>
                          <w:noProof/>
                          <w:color w:val="000000" w:themeColor="text1"/>
                          <w:sz w:val="22"/>
                          <w:szCs w:val="22"/>
                        </w:rPr>
                        <w:t>2</w:t>
                      </w:r>
                      <w:r w:rsidRPr="002E0B84">
                        <w:rPr>
                          <w:rFonts w:ascii="Times New Roman" w:hAnsi="Times New Roman" w:cs="Times New Roman"/>
                          <w:b/>
                          <w:bCs/>
                          <w:color w:val="000000" w:themeColor="text1"/>
                          <w:sz w:val="22"/>
                          <w:szCs w:val="22"/>
                        </w:rPr>
                        <w:fldChar w:fldCharType="end"/>
                      </w:r>
                      <w:r>
                        <w:rPr>
                          <w:rFonts w:ascii="Times New Roman" w:hAnsi="Times New Roman" w:cs="Times New Roman"/>
                          <w:b/>
                          <w:bCs/>
                          <w:color w:val="000000" w:themeColor="text1"/>
                          <w:sz w:val="22"/>
                          <w:szCs w:val="22"/>
                        </w:rPr>
                        <w:t xml:space="preserve"> Carbon Emissions by Sector</w:t>
                      </w:r>
                      <w:bookmarkEnd w:id="34"/>
                    </w:p>
                    <w:p w14:paraId="30ACFFC4" w14:textId="3FE5F12D" w:rsidR="002E0B84" w:rsidRPr="002E0B84" w:rsidRDefault="002E0B84" w:rsidP="002E0B84">
                      <w:pPr>
                        <w:jc w:val="center"/>
                        <w:rPr>
                          <w:rFonts w:ascii="Times New Roman" w:hAnsi="Times New Roman" w:cs="Times New Roman"/>
                          <w:i/>
                          <w:iCs/>
                        </w:rPr>
                      </w:pPr>
                      <w:r>
                        <w:rPr>
                          <w:rFonts w:ascii="Times New Roman" w:hAnsi="Times New Roman" w:cs="Times New Roman"/>
                          <w:i/>
                          <w:iCs/>
                        </w:rPr>
                        <w:t>Source: World Resources Institute, 2024</w:t>
                      </w:r>
                    </w:p>
                  </w:txbxContent>
                </v:textbox>
                <w10:wrap type="square"/>
              </v:shape>
            </w:pict>
          </mc:Fallback>
        </mc:AlternateContent>
      </w:r>
    </w:p>
    <w:p w14:paraId="2DFA15EC" w14:textId="37E74F1D" w:rsidR="00153781" w:rsidRPr="007E7CB6" w:rsidRDefault="00000000" w:rsidP="002E0B84">
      <w:pPr>
        <w:spacing w:before="240"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According to the World Res</w:t>
      </w:r>
      <w:r w:rsidR="002E0B84" w:rsidRPr="007E7CB6">
        <w:rPr>
          <w:rFonts w:ascii="Times New Roman" w:eastAsia="Times New Roman" w:hAnsi="Times New Roman" w:cs="Times New Roman"/>
          <w:sz w:val="24"/>
          <w:szCs w:val="24"/>
        </w:rPr>
        <w:t>ources</w:t>
      </w:r>
      <w:r w:rsidRPr="007E7CB6">
        <w:rPr>
          <w:rFonts w:ascii="Times New Roman" w:eastAsia="Times New Roman" w:hAnsi="Times New Roman" w:cs="Times New Roman"/>
          <w:sz w:val="24"/>
          <w:szCs w:val="24"/>
        </w:rPr>
        <w:t xml:space="preserve"> Institute (WRI), the energy sector is one of the main sectors that encompasses various activities related to energy production, distribution, and consumption. This sector not only includes power generation and fuel supply, but also involves various important subsectors such as Transportation and Logistics, Basic Materials, and other sectors that play a role in the overall energy supply chain. High greenhouse gas emissions indicate that the energy sector not only plays an important role in economic development but is also a major source of global environmental challenges. Thus, according to the World Resources Institute (WRI), the energy sector encompasses a broad spectrum of interrelated economic activities that play a crucial role in both supporting economic growth and addressing environmental issues, particularly those related to resource management </w:t>
      </w:r>
      <w:r w:rsidRPr="007E7CB6">
        <w:rPr>
          <w:rFonts w:ascii="Times New Roman" w:eastAsia="Times New Roman" w:hAnsi="Times New Roman" w:cs="Times New Roman"/>
          <w:sz w:val="24"/>
          <w:szCs w:val="24"/>
        </w:rPr>
        <w:lastRenderedPageBreak/>
        <w:t>and its impacts. Therefore, efficient energy management and the transition to clean energy sources are very important aspects of climate change mitigation efforts and the achievement of sustainable development goals.</w:t>
      </w:r>
    </w:p>
    <w:p w14:paraId="6E27CAC9"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this urgency, researchers chose the energy sector as the object of study for the period 2021 to 2024. This period was deemed relevant because it coincided with the implementation of various new regulations that encouraged greater transparency in environmental management among energy sector businesses. In addition, the availability of data from companies annual reports and sustainability reports was an important supporting factor, as it reflected trends in increased carbon emissions disclosure, the implementation of green accounting, and capital structure management during that period.</w:t>
      </w:r>
    </w:p>
    <w:p w14:paraId="1F53B275" w14:textId="34E85AF5" w:rsidR="00153781" w:rsidRPr="007E7CB6" w:rsidRDefault="00000000" w:rsidP="002E0B84">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Considering the background and availability of data, the author decided to conduct a study entitled: “The Effect of Green Accounting, Carbon Emission Disclosure and Green Capital Structure on Firm Value with Green Intellectual Capital as a Moderating Variable.” This study focused on companies engaged in the energy sector and listed on the Indonesia Stock Exchange, with an observation period from 2021 to 2024.</w:t>
      </w:r>
    </w:p>
    <w:p w14:paraId="68F204B3" w14:textId="1AEDC499" w:rsidR="00153781" w:rsidRPr="007E7CB6" w:rsidRDefault="00000000">
      <w:pPr>
        <w:pStyle w:val="Heading2"/>
        <w:spacing w:line="480" w:lineRule="auto"/>
        <w:rPr>
          <w:rFonts w:ascii="Times New Roman" w:eastAsia="Times New Roman" w:hAnsi="Times New Roman" w:cs="Times New Roman"/>
          <w:b/>
          <w:sz w:val="24"/>
          <w:szCs w:val="24"/>
        </w:rPr>
      </w:pPr>
      <w:bookmarkStart w:id="35" w:name="_Toc210744211"/>
      <w:r w:rsidRPr="007E7CB6">
        <w:rPr>
          <w:rFonts w:ascii="Times New Roman" w:eastAsia="Times New Roman" w:hAnsi="Times New Roman" w:cs="Times New Roman"/>
          <w:b/>
          <w:sz w:val="24"/>
          <w:szCs w:val="24"/>
        </w:rPr>
        <w:t>1.2</w:t>
      </w:r>
      <w:r w:rsidR="002E0B84" w:rsidRPr="007E7CB6">
        <w:rPr>
          <w:rFonts w:ascii="Times New Roman" w:eastAsia="Times New Roman" w:hAnsi="Times New Roman" w:cs="Times New Roman"/>
          <w:b/>
          <w:sz w:val="24"/>
          <w:szCs w:val="24"/>
        </w:rPr>
        <w:tab/>
      </w:r>
      <w:r w:rsidRPr="007E7CB6">
        <w:rPr>
          <w:rFonts w:ascii="Times New Roman" w:eastAsia="Times New Roman" w:hAnsi="Times New Roman" w:cs="Times New Roman"/>
          <w:b/>
          <w:color w:val="2D3037"/>
          <w:sz w:val="24"/>
          <w:szCs w:val="24"/>
          <w:highlight w:val="white"/>
        </w:rPr>
        <w:t>Problem Formulation</w:t>
      </w:r>
      <w:bookmarkEnd w:id="35"/>
    </w:p>
    <w:p w14:paraId="27AB2AD5" w14:textId="77777777" w:rsidR="00153781" w:rsidRPr="007E7CB6" w:rsidRDefault="00000000" w:rsidP="002E0B84">
      <w:pPr>
        <w:tabs>
          <w:tab w:val="left" w:pos="142"/>
        </w:tabs>
        <w:spacing w:line="480" w:lineRule="auto"/>
        <w:ind w:left="709"/>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explanation provided in the background above, the problem formulation in this study is as follows:</w:t>
      </w:r>
    </w:p>
    <w:p w14:paraId="6C97051E"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Does green accounting affect firm value?</w:t>
      </w:r>
    </w:p>
    <w:p w14:paraId="78AC44A2"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Does carbon emission disclosure affect firm value?</w:t>
      </w:r>
    </w:p>
    <w:p w14:paraId="03D1FB0F"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Does green capital structure affect firm value?</w:t>
      </w:r>
    </w:p>
    <w:p w14:paraId="299919D6"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Can green intellectual capital moderate the relationship between green accounting on firm value?</w:t>
      </w:r>
    </w:p>
    <w:p w14:paraId="7180E0BC"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Can green intellectual capital moderate the relationship between carbon emission disclosure on firm value?</w:t>
      </w:r>
    </w:p>
    <w:p w14:paraId="783A7CC3" w14:textId="77777777" w:rsidR="00153781" w:rsidRPr="007E7CB6" w:rsidRDefault="00000000" w:rsidP="002E0B84">
      <w:pPr>
        <w:numPr>
          <w:ilvl w:val="0"/>
          <w:numId w:val="8"/>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Does green intellectual capital moderate the relationship between green capital structure on firm value?</w:t>
      </w:r>
    </w:p>
    <w:p w14:paraId="76D13767"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36" w:name="_Toc210744212"/>
      <w:r w:rsidRPr="007E7CB6">
        <w:rPr>
          <w:rFonts w:ascii="Times New Roman" w:eastAsia="Times New Roman" w:hAnsi="Times New Roman" w:cs="Times New Roman"/>
          <w:b/>
          <w:sz w:val="24"/>
          <w:szCs w:val="24"/>
        </w:rPr>
        <w:t>1.3</w:t>
      </w:r>
      <w:r w:rsidRPr="007E7CB6">
        <w:rPr>
          <w:rFonts w:ascii="Times New Roman" w:eastAsia="Times New Roman" w:hAnsi="Times New Roman" w:cs="Times New Roman"/>
          <w:b/>
          <w:sz w:val="24"/>
          <w:szCs w:val="24"/>
        </w:rPr>
        <w:tab/>
      </w:r>
      <w:r w:rsidRPr="007E7CB6">
        <w:rPr>
          <w:rFonts w:ascii="Times New Roman" w:eastAsia="Times New Roman" w:hAnsi="Times New Roman" w:cs="Times New Roman"/>
          <w:b/>
          <w:color w:val="2D3037"/>
          <w:sz w:val="24"/>
          <w:szCs w:val="24"/>
          <w:highlight w:val="white"/>
        </w:rPr>
        <w:t>Research Objectives</w:t>
      </w:r>
      <w:bookmarkEnd w:id="36"/>
    </w:p>
    <w:p w14:paraId="53476048" w14:textId="77777777" w:rsidR="00153781" w:rsidRPr="007E7CB6" w:rsidRDefault="00000000" w:rsidP="002E0B84">
      <w:pPr>
        <w:spacing w:line="480" w:lineRule="auto"/>
        <w:ind w:left="709" w:firstLine="11"/>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research questions presented above, the objectives of this study are:</w:t>
      </w:r>
    </w:p>
    <w:p w14:paraId="7445795A" w14:textId="77777777"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To determine and analyze the effect of green accounting on firm value.</w:t>
      </w:r>
    </w:p>
    <w:p w14:paraId="284D71AD" w14:textId="77777777"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To determine and analyze the effect of carbon emission disclosure on firm value.</w:t>
      </w:r>
    </w:p>
    <w:p w14:paraId="3E0EB69D" w14:textId="77777777"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To determine and analyze the effect of green capital structure on firm value.</w:t>
      </w:r>
    </w:p>
    <w:p w14:paraId="55808AC9" w14:textId="04A18AAC"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To </w:t>
      </w:r>
      <w:r w:rsidR="002E0B84" w:rsidRPr="007E7CB6">
        <w:rPr>
          <w:rFonts w:ascii="Times New Roman" w:eastAsia="Times New Roman" w:hAnsi="Times New Roman" w:cs="Times New Roman"/>
          <w:sz w:val="24"/>
          <w:szCs w:val="24"/>
        </w:rPr>
        <w:t>identify</w:t>
      </w:r>
      <w:r w:rsidRPr="007E7CB6">
        <w:rPr>
          <w:rFonts w:ascii="Times New Roman" w:eastAsia="Times New Roman" w:hAnsi="Times New Roman" w:cs="Times New Roman"/>
          <w:sz w:val="24"/>
          <w:szCs w:val="24"/>
        </w:rPr>
        <w:t xml:space="preserve"> and analyze the effect of green intellectual capital in moderating the relationship between green accounting on firm value.</w:t>
      </w:r>
    </w:p>
    <w:p w14:paraId="3F59347C" w14:textId="77777777"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To identify and analyze the effect of green intellectual capital in moderating the relationship between carbon emission disclosure on firm value.</w:t>
      </w:r>
    </w:p>
    <w:p w14:paraId="5C3F4F5D" w14:textId="77777777" w:rsidR="00153781" w:rsidRPr="007E7CB6" w:rsidRDefault="00000000" w:rsidP="002E0B84">
      <w:pPr>
        <w:numPr>
          <w:ilvl w:val="0"/>
          <w:numId w:val="10"/>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To identify and analyze the effect of green intellectual capital in moderating the relationship between green capital structure on firm value.</w:t>
      </w:r>
    </w:p>
    <w:p w14:paraId="03D48638" w14:textId="77777777" w:rsidR="00153781" w:rsidRPr="007E7CB6" w:rsidRDefault="00000000">
      <w:pPr>
        <w:pStyle w:val="Heading2"/>
        <w:spacing w:line="480" w:lineRule="auto"/>
        <w:jc w:val="both"/>
        <w:rPr>
          <w:rFonts w:ascii="Times New Roman" w:eastAsia="Times New Roman" w:hAnsi="Times New Roman" w:cs="Times New Roman"/>
          <w:b/>
          <w:sz w:val="24"/>
          <w:szCs w:val="24"/>
        </w:rPr>
      </w:pPr>
      <w:bookmarkStart w:id="37" w:name="_Toc210744213"/>
      <w:r w:rsidRPr="007E7CB6">
        <w:rPr>
          <w:rFonts w:ascii="Times New Roman" w:eastAsia="Times New Roman" w:hAnsi="Times New Roman" w:cs="Times New Roman"/>
          <w:b/>
          <w:sz w:val="24"/>
          <w:szCs w:val="24"/>
        </w:rPr>
        <w:lastRenderedPageBreak/>
        <w:t>1.4</w:t>
      </w:r>
      <w:r w:rsidRPr="007E7CB6">
        <w:rPr>
          <w:rFonts w:ascii="Times New Roman" w:eastAsia="Times New Roman" w:hAnsi="Times New Roman" w:cs="Times New Roman"/>
          <w:b/>
          <w:sz w:val="24"/>
          <w:szCs w:val="24"/>
        </w:rPr>
        <w:tab/>
        <w:t>Research Significance</w:t>
      </w:r>
      <w:bookmarkEnd w:id="37"/>
    </w:p>
    <w:p w14:paraId="0B2DC73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expected benefits of this research are as follows:</w:t>
      </w:r>
    </w:p>
    <w:p w14:paraId="76417880" w14:textId="77777777" w:rsidR="00153781" w:rsidRPr="007E7CB6" w:rsidRDefault="00000000" w:rsidP="002E0B84">
      <w:pPr>
        <w:numPr>
          <w:ilvl w:val="0"/>
          <w:numId w:val="16"/>
        </w:numPr>
        <w:spacing w:line="480" w:lineRule="auto"/>
        <w:ind w:left="993" w:hanging="284"/>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For the Author</w:t>
      </w:r>
    </w:p>
    <w:p w14:paraId="48B8C4AE" w14:textId="77777777" w:rsidR="00153781" w:rsidRPr="007E7CB6" w:rsidRDefault="00000000" w:rsidP="002E0B84">
      <w:pPr>
        <w:spacing w:line="480" w:lineRule="auto"/>
        <w:ind w:left="993"/>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It is hoped that this research will provide an opportunity for the author to deepen their understanding of the topic discussed and serve as a means for the author to contribute academically by presenting the latest empirical evidence related to the dynamics of energy transition in Indonesia, which is still rarely discussed comprehensively.</w:t>
      </w:r>
    </w:p>
    <w:p w14:paraId="735E1C8D" w14:textId="77777777" w:rsidR="00153781" w:rsidRPr="007E7CB6" w:rsidRDefault="00000000" w:rsidP="002E0B84">
      <w:pPr>
        <w:numPr>
          <w:ilvl w:val="0"/>
          <w:numId w:val="16"/>
        </w:numPr>
        <w:spacing w:line="480" w:lineRule="auto"/>
        <w:ind w:left="993"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For Academics</w:t>
      </w:r>
    </w:p>
    <w:p w14:paraId="7C7A4927" w14:textId="77777777" w:rsidR="00153781" w:rsidRPr="007E7CB6" w:rsidRDefault="00000000" w:rsidP="002E0B84">
      <w:pPr>
        <w:spacing w:line="480" w:lineRule="auto"/>
        <w:ind w:left="993"/>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research is expected to enrich the literature on green accounting, carbon emissions disclosure, and green capital structure in the context of energy companies in emerging markets such as Indonesia.</w:t>
      </w:r>
    </w:p>
    <w:p w14:paraId="7A5547CA" w14:textId="77777777" w:rsidR="00153781" w:rsidRPr="007E7CB6" w:rsidRDefault="00000000" w:rsidP="002E0B84">
      <w:pPr>
        <w:spacing w:line="480" w:lineRule="auto"/>
        <w:ind w:left="709"/>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3. For Practitioners</w:t>
      </w:r>
    </w:p>
    <w:p w14:paraId="34AFFC81" w14:textId="77777777" w:rsidR="00153781" w:rsidRPr="007E7CB6" w:rsidRDefault="00000000" w:rsidP="002E0B84">
      <w:pPr>
        <w:spacing w:line="480" w:lineRule="auto"/>
        <w:ind w:left="993"/>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research is expected to provide input in evaluating investment decisions, particularly regarding the influence of green accounting, carbon emissions disclosure, and green capital structure on company value. These findings are also expected to assist companies in formulating policies related to sustainability practices and the application of green intellectual capital, as well as providing guidance for stakeholders in making more appropriate decisions regarding environmental policies and corporate financial strategies.</w:t>
      </w:r>
    </w:p>
    <w:p w14:paraId="5E76BEE6" w14:textId="77777777" w:rsidR="00153781" w:rsidRPr="007E7CB6" w:rsidRDefault="00153781">
      <w:pPr>
        <w:rPr>
          <w:rFonts w:ascii="Times New Roman" w:hAnsi="Times New Roman" w:cs="Times New Roman"/>
        </w:rPr>
      </w:pPr>
    </w:p>
    <w:p w14:paraId="0C8655D3" w14:textId="77777777" w:rsidR="00153781" w:rsidRPr="007E7CB6" w:rsidRDefault="00000000">
      <w:pPr>
        <w:rPr>
          <w:rFonts w:ascii="Times New Roman" w:hAnsi="Times New Roman" w:cs="Times New Roman"/>
        </w:rPr>
        <w:sectPr w:rsidR="00153781" w:rsidRPr="007E7CB6">
          <w:headerReference w:type="default" r:id="rId35"/>
          <w:footerReference w:type="default" r:id="rId36"/>
          <w:footerReference w:type="first" r:id="rId37"/>
          <w:pgSz w:w="11906" w:h="16838"/>
          <w:pgMar w:top="2268" w:right="1701" w:bottom="1701" w:left="2268" w:header="720" w:footer="737" w:gutter="0"/>
          <w:cols w:space="720"/>
          <w:titlePg/>
        </w:sectPr>
      </w:pPr>
      <w:r w:rsidRPr="007E7CB6">
        <w:rPr>
          <w:rFonts w:ascii="Times New Roman" w:hAnsi="Times New Roman" w:cs="Times New Roman"/>
        </w:rPr>
        <w:t xml:space="preserve"> </w:t>
      </w:r>
    </w:p>
    <w:p w14:paraId="18973215" w14:textId="77777777" w:rsidR="00153781" w:rsidRPr="007E7CB6" w:rsidRDefault="00000000">
      <w:pPr>
        <w:pStyle w:val="Heading1"/>
        <w:spacing w:before="0" w:after="0" w:line="480" w:lineRule="auto"/>
        <w:jc w:val="center"/>
        <w:rPr>
          <w:rFonts w:ascii="Times New Roman" w:eastAsia="Times New Roman" w:hAnsi="Times New Roman" w:cs="Times New Roman"/>
          <w:b/>
          <w:color w:val="000000"/>
          <w:sz w:val="24"/>
          <w:szCs w:val="24"/>
        </w:rPr>
      </w:pPr>
      <w:bookmarkStart w:id="38" w:name="_Toc210744214"/>
      <w:r w:rsidRPr="007E7CB6">
        <w:rPr>
          <w:rFonts w:ascii="Times New Roman" w:eastAsia="Times New Roman" w:hAnsi="Times New Roman" w:cs="Times New Roman"/>
          <w:b/>
          <w:sz w:val="24"/>
          <w:szCs w:val="24"/>
        </w:rPr>
        <w:lastRenderedPageBreak/>
        <w:t>CHAPTER II</w:t>
      </w:r>
      <w:bookmarkEnd w:id="38"/>
    </w:p>
    <w:p w14:paraId="7B690C78"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39" w:name="_heading=h.wiemj6nrlx0i" w:colFirst="0" w:colLast="0"/>
      <w:bookmarkStart w:id="40" w:name="_Toc209602803"/>
      <w:bookmarkStart w:id="41" w:name="_Toc209604762"/>
      <w:bookmarkStart w:id="42" w:name="_Toc209703198"/>
      <w:bookmarkStart w:id="43" w:name="_Toc210742393"/>
      <w:bookmarkStart w:id="44" w:name="_Toc210744215"/>
      <w:bookmarkEnd w:id="39"/>
      <w:r w:rsidRPr="007E7CB6">
        <w:rPr>
          <w:rFonts w:ascii="Times New Roman" w:eastAsia="Times New Roman" w:hAnsi="Times New Roman" w:cs="Times New Roman"/>
          <w:b/>
          <w:sz w:val="24"/>
          <w:szCs w:val="24"/>
        </w:rPr>
        <w:t>LITERATURE REVIEW</w:t>
      </w:r>
      <w:bookmarkEnd w:id="40"/>
      <w:bookmarkEnd w:id="41"/>
      <w:bookmarkEnd w:id="42"/>
      <w:bookmarkEnd w:id="43"/>
      <w:bookmarkEnd w:id="44"/>
    </w:p>
    <w:p w14:paraId="08104452"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45" w:name="_Toc210744216"/>
      <w:r w:rsidRPr="007E7CB6">
        <w:rPr>
          <w:rFonts w:ascii="Times New Roman" w:eastAsia="Times New Roman" w:hAnsi="Times New Roman" w:cs="Times New Roman"/>
          <w:b/>
          <w:sz w:val="24"/>
          <w:szCs w:val="24"/>
        </w:rPr>
        <w:t>2.1</w:t>
      </w:r>
      <w:r w:rsidRPr="007E7CB6">
        <w:rPr>
          <w:rFonts w:ascii="Times New Roman" w:eastAsia="Times New Roman" w:hAnsi="Times New Roman" w:cs="Times New Roman"/>
          <w:b/>
          <w:sz w:val="24"/>
          <w:szCs w:val="24"/>
        </w:rPr>
        <w:tab/>
        <w:t>Theoretical Basis</w:t>
      </w:r>
      <w:bookmarkEnd w:id="45"/>
    </w:p>
    <w:p w14:paraId="7319A07A" w14:textId="77777777" w:rsidR="00153781" w:rsidRPr="007E7CB6" w:rsidRDefault="00000000">
      <w:pPr>
        <w:pStyle w:val="Heading3"/>
        <w:spacing w:before="0" w:after="0" w:line="480" w:lineRule="auto"/>
        <w:rPr>
          <w:rFonts w:ascii="Times New Roman" w:eastAsia="Times New Roman" w:hAnsi="Times New Roman" w:cs="Times New Roman"/>
          <w:b/>
          <w:color w:val="000000"/>
          <w:sz w:val="24"/>
          <w:szCs w:val="24"/>
        </w:rPr>
      </w:pPr>
      <w:bookmarkStart w:id="46" w:name="_Toc210744217"/>
      <w:r w:rsidRPr="007E7CB6">
        <w:rPr>
          <w:rFonts w:ascii="Times New Roman" w:eastAsia="Times New Roman" w:hAnsi="Times New Roman" w:cs="Times New Roman"/>
          <w:b/>
          <w:color w:val="000000"/>
          <w:sz w:val="24"/>
          <w:szCs w:val="24"/>
        </w:rPr>
        <w:t>2.1.1</w:t>
      </w:r>
      <w:r w:rsidRPr="007E7CB6">
        <w:rPr>
          <w:rFonts w:ascii="Times New Roman" w:eastAsia="Times New Roman" w:hAnsi="Times New Roman" w:cs="Times New Roman"/>
          <w:b/>
          <w:color w:val="000000"/>
          <w:sz w:val="24"/>
          <w:szCs w:val="24"/>
        </w:rPr>
        <w:tab/>
        <w:t>Legitimacy Theory</w:t>
      </w:r>
      <w:bookmarkEnd w:id="46"/>
    </w:p>
    <w:p w14:paraId="392E6C58" w14:textId="60ECFFB8"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theory is rooted in sociological thinking that developed in the 1970s, in which</w:t>
      </w:r>
      <w:r w:rsidR="002E0B84"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ljODlkN2UtOTFmMy00Mjg2LThmZDUtODAwYzkzM2I3ODVkIiwicHJvcGVydGllcyI6eyJub3RlSW5kZXgiOjB9LCJpc0VkaXRlZCI6ZmFsc2UsIm1hbnVhbE92ZXJyaWRlIjp7ImlzTWFudWFsbHlPdmVycmlkZGVuIjpmYWxzZSwiY2l0ZXByb2NUZXh0IjoiKERvd2xpbmcgJiMzODsgUGZlZmZlciwgMTk3NSkiLCJtYW51YWxPdmVycmlkZVRleHQiOiIifSwiY2l0YXRpb25JdGVtcyI6W3siaWQiOiIxOTAwMjVjZi1lMGQxLTNlMzMtODk0NS00MTgxYWVmM2U2OTEiLCJpdGVtRGF0YSI6eyJ0eXBlIjoicmVwb3J0IiwiaWQiOiIxOTAwMjVjZi1lMGQxLTNlMzMtODk0NS00MTgxYWVmM2U2OTEiLCJ0aXRsZSI6IlBhY2lmaWMgU29jaW9sb2dpY2FsIEFzc29jaWF0aW9uIE9yZ2FuaXphdGlvbmFsIExlZ2l0aW1hY3k6IFNvY2lhbCBWYWx1ZXMgYW5kIE9yZ2FuaXphdGlvbmFsIEJlaGF2aW9yIiwiYXV0aG9yIjpbeyJmYW1pbHkiOiJEb3dsaW5nIiwiZ2l2ZW4iOiJKb2huIiwicGFyc2UtbmFtZXMiOmZhbHNlLCJkcm9wcGluZy1wYXJ0aWNsZSI6IiIsIm5vbi1kcm9wcGluZy1wYXJ0aWNsZSI6IiJ9LHsiZmFtaWx5IjoiUGZlZmZlciIsImdpdmVuIjoiSmVmZnJleSIsInBhcnNlLW5hbWVzIjpmYWxzZSwiZHJvcHBpbmctcGFydGljbGUiOiIiLCJub24tZHJvcHBpbmctcGFydGljbGUiOiIifV0sImNvbnRhaW5lci10aXRsZSI6IlNvdXJjZTogVGhlIFBhY2lmaWMgU29jaW9sb2dpY2FsIFJldmlldyIsImlzc3VlZCI6eyJkYXRlLXBhcnRzIjpbWzE5NzVdXX0sIm51bWJlci1vZi1wYWdlcyI6IjEyMi0xMzY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iwiaXNzdWUiOiIxIiwidm9sdW1lIjoiMTgiLCJjb250YWluZXItdGl0bGUtc2hvcnQiOiIifSwiaXNUZW1wb3JhcnkiOmZhbHNlLCJzdXBwcmVzcy1hdXRob3IiOmZhbHNlLCJjb21wb3NpdGUiOmZhbHNlLCJhdXRob3Itb25seSI6ZmFsc2V9XX0="/>
          <w:id w:val="1370502173"/>
          <w:placeholder>
            <w:docPart w:val="DefaultPlaceholder_-1854013440"/>
          </w:placeholder>
        </w:sdtPr>
        <w:sdtContent>
          <w:r w:rsidR="00AD6D10" w:rsidRPr="007E7CB6">
            <w:rPr>
              <w:rFonts w:ascii="Times New Roman" w:eastAsia="Times New Roman" w:hAnsi="Times New Roman" w:cs="Times New Roman"/>
              <w:color w:val="000000"/>
              <w:sz w:val="24"/>
            </w:rPr>
            <w:t>(Dowling &amp; Pfeffer, 1975)</w:t>
          </w:r>
        </w:sdtContent>
      </w:sdt>
      <w:r w:rsidR="002E0B84"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argued that organizations need to adapt to social values in order to maintain legitimacy in society. This legitimacy is often referred to as a social license to operate, which is an unwritten permission from society for an entity to continue operating. This concept was further developed b</w:t>
      </w:r>
      <w:r w:rsidR="008A3945" w:rsidRPr="007E7CB6">
        <w:rPr>
          <w:rFonts w:ascii="Times New Roman" w:eastAsia="Times New Roman" w:hAnsi="Times New Roman" w:cs="Times New Roman"/>
          <w:sz w:val="24"/>
          <w:szCs w:val="24"/>
        </w:rPr>
        <w:t xml:space="preserve">y </w:t>
      </w:r>
      <w:sdt>
        <w:sdtPr>
          <w:rPr>
            <w:rFonts w:ascii="Times New Roman" w:eastAsia="Times New Roman" w:hAnsi="Times New Roman" w:cs="Times New Roman"/>
            <w:color w:val="000000"/>
            <w:sz w:val="24"/>
            <w:szCs w:val="24"/>
          </w:rPr>
          <w:tag w:val="MENDELEY_CITATION_v3_eyJjaXRhdGlvbklEIjoiTUVOREVMRVlfQ0lUQVRJT05fYzI3MGYxOTEtZTNmMS00MjFhLThlMjEtOWQyZDIyMjRhOWE2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1797056131"/>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who classified legitimacy into three types: pragmatic (based on stakeholder interests), moral (based on values and ethics), and cognitive (based on perceptions of the organization's acceptability within the social system). </w:t>
      </w:r>
    </w:p>
    <w:p w14:paraId="44FF47E8"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This theory emphasizes that legitimacy is an important resource that must be maintained to ensure business continuity. In the context of sustainability, the legitimacy theory explains how companies respond to pressure from the community, regulators, and investors by demonstrating global policies such as the Paris Agreement and national regulations such as LHK Regulation No. 1 of 2021, which encourages carbon emission transparency. </w:t>
      </w:r>
    </w:p>
    <w:p w14:paraId="10766441" w14:textId="6DA509A8"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study by</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RlMDBlZmMtNGQwOS00Y2I0LTg1NmMtMmZmNzk1NzhkZTJh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
          <w:id w:val="-235245988"/>
          <w:placeholder>
            <w:docPart w:val="DefaultPlaceholder_-1854013440"/>
          </w:placeholder>
        </w:sdtPr>
        <w:sdtContent>
          <w:r w:rsidR="00AD6D10" w:rsidRPr="007E7CB6">
            <w:rPr>
              <w:rFonts w:ascii="Times New Roman" w:eastAsia="Times New Roman" w:hAnsi="Times New Roman" w:cs="Times New Roman"/>
              <w:color w:val="000000"/>
              <w:sz w:val="24"/>
              <w:szCs w:val="24"/>
            </w:rPr>
            <w:t>(Albitar et al., 2020)</w:t>
          </w:r>
        </w:sdtContent>
      </w:sdt>
      <w:r w:rsidRPr="007E7CB6">
        <w:rPr>
          <w:rFonts w:ascii="Times New Roman" w:eastAsia="Times New Roman" w:hAnsi="Times New Roman" w:cs="Times New Roman"/>
          <w:sz w:val="24"/>
          <w:szCs w:val="24"/>
        </w:rPr>
        <w:t xml:space="preserve"> emphasizes that external pressures encourage companies to improve the quality of their environmental and ESG disclosures in order to maintain their reputation, minimize risk, and gain access to financial resources. Using legitimacy theory, the study explains that corporate compliance with social and environmental demands is key to maintaining </w:t>
      </w:r>
      <w:r w:rsidRPr="007E7CB6">
        <w:rPr>
          <w:rFonts w:ascii="Times New Roman" w:eastAsia="Times New Roman" w:hAnsi="Times New Roman" w:cs="Times New Roman"/>
          <w:sz w:val="24"/>
          <w:szCs w:val="24"/>
        </w:rPr>
        <w:lastRenderedPageBreak/>
        <w:t>legitimacy. In line with this,</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EzNDdhZDItZWNmNC00YTY5LWJmYjktYjlmODdjODI5Yzc2IiwicHJvcGVydGllcyI6eyJub3RlSW5kZXgiOjB9LCJpc0VkaXRlZCI6ZmFsc2UsIm1hbnVhbE92ZXJyaWRlIjp7ImlzTWFudWFsbHlPdmVycmlkZGVuIjpmYWxzZSwiY2l0ZXByb2NUZXh0IjoiKEguIFouIEtoYW4gZXQgYWwuLCAyMDIxKSIsIm1hbnVhbE92ZXJyaWRlVGV4dCI6IiJ9LCJjaXRhdGlvbkl0ZW1zIjpbeyJpZCI6ImQ5NzVkNjZlLTk2ZmYtMzQzNy04N2M3LWQ3MDc4MzVmODMyNiIsIml0ZW1EYXRhIjp7InR5cGUiOiJhcnRpY2xlLWpvdXJuYWwiLCJpZCI6ImQ5NzVkNjZlLTk2ZmYtMzQzNy04N2M3LWQ3MDc4MzVmODMyNiIsInRpdGxlIjoiR3JlZW4gYmFua2luZyBkaXNjbG9zdXJlLCBmaXJtIHZhbHVlIGFuZCB0aGUgbW9kZXJhdGluZyByb2xlIG9mIGEgY29udGV4dHVhbCBmYWN0b3I6IEV2aWRlbmNlIGZyb20gYSBkaXN0aW5jdGl2ZSByZWd1bGF0b3J5IHNldHRpbmciLCJhdXRob3IiOlt7ImZhbWlseSI6IktoYW4iLCJnaXZlbiI6IkhhYmliIFphbWFuIiwicGFyc2UtbmFtZXMiOmZhbHNlLCJkcm9wcGluZy1wYXJ0aWNsZSI6IiIsIm5vbi1kcm9wcGluZy1wYXJ0aWNsZSI6IiJ9LHsiZmFtaWx5IjoiQm9zZSIsImdpdmVuIjoiU3VkaXB0YSIsInBhcnNlLW5hbWVzIjpmYWxzZSwiZHJvcHBpbmctcGFydGljbGUiOiIiLCJub24tZHJvcHBpbmctcGFydGljbGUiOiIifSx7ImZhbWlseSI6IlNoZWVoeSIsImdpdmVuIjoiQmVuZWRpY3QiLCJwYXJzZS1uYW1lcyI6ZmFsc2UsImRyb3BwaW5nLXBhcnRpY2xlIjoiIiwibm9uLWRyb3BwaW5nLXBhcnRpY2xlIjoiIn0seyJmYW1pbHkiOiJRdWF6aSIsImdpdmVuIjoiQWxpIiwicGFyc2UtbmFtZXMiOmZhbHNlLCJkcm9wcGluZy1wYXJ0aWNsZSI6IiIsIm5vbi1kcm9wcGluZy1wYXJ0aWNsZSI6IiJ9XSwiY29udGFpbmVyLXRpdGxlIjoiQnVzaW5lc3MgU3RyYXRlZ3kgYW5kIHRoZSBFbnZpcm9ubWVudCIsImNvbnRhaW5lci10aXRsZS1zaG9ydCI6IkJ1cyBTdHJhdGVneSBFbnZpcm9uIiwiRE9JIjoiMTAuMTAwMi9ic2UuMjgzMiIsIklTU04iOiIxMDk5MDgzNiIsImlzc3VlZCI6eyJkYXRlLXBhcnRzIjpbWzIwMjEsMTIsMV1dfSwicGFnZSI6IjM2NTEtMzY3MCIsImFic3RyYWN0IjoiVGhlIGlkZWEgdGhhdCBncmVlbiBiYW5raW5nIGRpc2Nsb3N1cmUgbGVhZHMgdG8gaW5jcmVhc2VkIGZpcm0gdmFsdWUgaGFzIGJlZW4gcmlnaHRseSBjb25zaWRlcmVkIGFzIG92ZXItc2ltcGxpc3RpYy4gVGhpcyBwYXBlciBidWlsZHMgb24ga2V5IHByaW9yIGluc2lnaHRzIGJ5IGludmVzdGlnYXRpbmcgd2hldGhlciBjb21iaW5pbmcgZ3JlZW4gZGlzY2xvc3VyZSB3aXRoIG90aGVyIGNvbnRleHR1YWwgZmFjdG9yLCBzdWNoIGFzIG5vbi1wZXJmb3JtaW5nIGxvYW5zLCBwcm92aWRlcyBhZGRpdGlvbmFsIGluc2lnaHQgaW50byB0aGUgY29tcGxleCBncmVlbiBkaXNjbG9zdXJl4oCTZmlybSB2YWx1ZSByZWxhdGlvbnNoaXAgaW4gYSByZWd1bGF0b3J5IHNldHRpbmcgd2hlcmUgZ3JlZW4gbGF3IGhhcyByZWNlbnRseSBiZWVuIGVuYWN0ZWQgZm9yIHRoZSBiYW5raW5nIGluZHVzdHJ5LiBXZSBwcmVzZW50IGFuIGFuYWx5c2lzIG9mIHNldmVuIHllYXJzIG9mIGRhdGEgc291cmNlZCBmcm9tIGxpc3RlZCBiYW5rcyBpbiBCYW5nbGFkZXNoICgyMDA44oCTMjAxNCksIHdpdGggZGF0YSBhbmFseXNlZCB1c2luZyBtdWx0aXBsZSByZWdyZXNzaW9uLiBPdXIgZmluZGluZ3MgaW5kaWNhdGUgdGhhdCwgd2hpbGUgZ3JlZW4gZGlzY2xvc3VyZSBoYXMgYSBwb3NpdGl2ZSBlZmZlY3Qgb24gdGhlIG92ZXJhbGwgZmlybSB2YWx1ZSBvZiBiYW5rcywgdGhpcyBwb3NpdGl2ZSBlZmZlY3QgaXMgbmVnYXRpdmVseSBtb2RlcmF0ZWQgYnkgYmFua3MnIG5vbi1wZXJmb3JtaW5nIGxvYW5zLiBUaGlzIHJlc2VhcmNoIGNvbnRyaWJ1dGVzIHRvIHRoZSBrbm93bGVkZ2UgYnkgc2hvd2luZyB0aGF0IGdyZWVuIGRpc2Nsb3N1cmUgYWxvbmUgaXMgaW5zdWZmaWNpZW50IGZvciBjcmVhdGluZyBtYXJrZXQgdmFsdWUgZm9yIGJhbmtzLiBBZGRpdGlvbmFsIGNvbnRleHR1YWwgbWF0dGVycyBuZWVkIGF0dGVudGlvbiB0byB1bmRlcnN0YW5kIHRoZSBpbXBhY3Qgb2YgZ3JlZW4gZGlzY2xvc3VyZSBpbiBjb250cmlidXRpbmcgdG8gaW5jcmVhc2VkIG1hcmtldCB2YWx1ZSBmb3IgYmFua3MuIiwicHVibGlzaGVyIjoiSm9obiBXaWxleSBhbmQgU29ucyBMdGQiLCJpc3N1ZSI6IjgiLCJ2b2x1bWUiOiIzMCJ9LCJpc1RlbXBvcmFyeSI6ZmFsc2UsInN1cHByZXNzLWF1dGhvciI6ZmFsc2UsImNvbXBvc2l0ZSI6ZmFsc2UsImF1dGhvci1vbmx5IjpmYWxzZX1dfQ=="/>
          <w:id w:val="-177894626"/>
          <w:placeholder>
            <w:docPart w:val="DefaultPlaceholder_-1854013440"/>
          </w:placeholder>
        </w:sdtPr>
        <w:sdtContent>
          <w:r w:rsidR="00AD6D10" w:rsidRPr="007E7CB6">
            <w:rPr>
              <w:rFonts w:ascii="Times New Roman" w:eastAsia="Times New Roman" w:hAnsi="Times New Roman" w:cs="Times New Roman"/>
              <w:color w:val="000000"/>
              <w:sz w:val="24"/>
              <w:szCs w:val="24"/>
            </w:rPr>
            <w:t>(H. Z. Khan et al., 2021)</w:t>
          </w:r>
        </w:sdtContent>
      </w:sdt>
      <w:r w:rsidRPr="007E7CB6">
        <w:rPr>
          <w:rFonts w:ascii="Times New Roman" w:eastAsia="Times New Roman" w:hAnsi="Times New Roman" w:cs="Times New Roman"/>
          <w:sz w:val="24"/>
          <w:szCs w:val="24"/>
        </w:rPr>
        <w:t xml:space="preserve"> show that companies that are able to demonstrate compliance with social and environmental values tend to be more trusted by stakeholders and more attractive to investors. In this study, green intellectual capital is positioned as a factor that can strengthen the relationship between sustainability practices and corporate legitimacy, thereby ultimately contributing to an increase in firm value.</w:t>
      </w:r>
    </w:p>
    <w:p w14:paraId="28F0C457"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legitimacy theory, companies must disclose their environmental responsibilities as a form of adaptation to evolving social expectations. As demands from the public, regulators, and investors for transparency and sustainability increase, companies that do not demonstrate a commitment to environmentally friendly practices risk losing the trust of stakeholders. Therefore, environmental disclosure is not only a regulatory obligation, but also a strategy to maintain legitimacy in order to ensure long-term business sustainability.</w:t>
      </w:r>
    </w:p>
    <w:p w14:paraId="37A91652" w14:textId="77777777" w:rsidR="00153781" w:rsidRPr="007E7CB6" w:rsidRDefault="00000000">
      <w:pPr>
        <w:pStyle w:val="Heading3"/>
        <w:spacing w:before="0" w:after="0" w:line="480" w:lineRule="auto"/>
        <w:rPr>
          <w:rFonts w:ascii="Times New Roman" w:eastAsia="Times New Roman" w:hAnsi="Times New Roman" w:cs="Times New Roman"/>
          <w:b/>
          <w:color w:val="000000"/>
          <w:sz w:val="24"/>
          <w:szCs w:val="24"/>
        </w:rPr>
      </w:pPr>
      <w:bookmarkStart w:id="47" w:name="_Toc210744218"/>
      <w:r w:rsidRPr="007E7CB6">
        <w:rPr>
          <w:rFonts w:ascii="Times New Roman" w:eastAsia="Times New Roman" w:hAnsi="Times New Roman" w:cs="Times New Roman"/>
          <w:b/>
          <w:color w:val="000000"/>
          <w:sz w:val="24"/>
          <w:szCs w:val="24"/>
        </w:rPr>
        <w:t>2.1.2</w:t>
      </w:r>
      <w:r w:rsidRPr="007E7CB6">
        <w:rPr>
          <w:rFonts w:ascii="Times New Roman" w:eastAsia="Times New Roman" w:hAnsi="Times New Roman" w:cs="Times New Roman"/>
          <w:b/>
          <w:color w:val="000000"/>
          <w:sz w:val="24"/>
          <w:szCs w:val="24"/>
        </w:rPr>
        <w:tab/>
        <w:t>Firm Value</w:t>
      </w:r>
      <w:bookmarkEnd w:id="47"/>
    </w:p>
    <w:p w14:paraId="6CCA2406" w14:textId="47998A66"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According to </w:t>
      </w:r>
      <w:sdt>
        <w:sdtPr>
          <w:rPr>
            <w:rFonts w:ascii="Times New Roman" w:eastAsia="Times New Roman" w:hAnsi="Times New Roman" w:cs="Times New Roman"/>
            <w:color w:val="000000"/>
            <w:sz w:val="24"/>
            <w:szCs w:val="24"/>
          </w:rPr>
          <w:tag w:val="MENDELEY_CITATION_v3_eyJjaXRhdGlvbklEIjoiTUVOREVMRVlfQ0lUQVRJT05fYWI5ZjZmOTYtZDk2Ny00YzA4LTlkMTctM2Q4MmIwYzZlZDkzIiwicHJvcGVydGllcyI6eyJub3RlSW5kZXgiOjB9LCJpc0VkaXRlZCI6ZmFsc2UsIm1hbnVhbE92ZXJyaWRlIjp7ImlzTWFudWFsbHlPdmVycmlkZGVuIjpmYWxzZSwiY2l0ZXByb2NUZXh0IjoiKEJyaWdoYW0gJiMzODsgSG91c3RvbiwgMjAxOSkiLCJtYW51YWxPdmVycmlkZVRleHQiOiIifSwiY2l0YXRpb25JdGVtcyI6W3siaWQiOiI3MWIxMTJhYS0zNDEyLTNjM2ItYTllYS1mMGEwYjgzYmIzNzkiLCJpdGVtRGF0YSI6eyJ0eXBlIjoiYm9vayIsImlkIjoiNzFiMTEyYWEtMzQxMi0zYzNiLWE5ZWEtZjBhMGI4M2JiMzc5IiwidGl0bGUiOiJGdW5kYW1lbnRhbHMgb2YgZmluYW5jaWFsIG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klTQk4iOiI5NzgxMzM3Mzk1MjUwIiwiaXNzdWVkIjp7ImRhdGUtcGFydHMiOltbMjAxOV1dfSwibnVtYmVyLW9mLXBhZ2VzIjoiNzYxIiwiYWJzdHJhY3QiOiJGaWZ0ZWVudGggZWRpdGlvbi4gSW5jbHVkZXMgaW5kZXguICIsInB1Ymxpc2hlciI6IkNlbmdhZ2UiLCJjb250YWluZXItdGl0bGUtc2hvcnQiOiIifSwiaXNUZW1wb3JhcnkiOmZhbHNlLCJzdXBwcmVzcy1hdXRob3IiOmZhbHNlLCJjb21wb3NpdGUiOmZhbHNlLCJhdXRob3Itb25seSI6ZmFsc2V9XX0="/>
          <w:id w:val="-1517922780"/>
          <w:placeholder>
            <w:docPart w:val="DefaultPlaceholder_-1854013440"/>
          </w:placeholder>
        </w:sdtPr>
        <w:sdtContent>
          <w:r w:rsidR="00AD6D10" w:rsidRPr="007E7CB6">
            <w:rPr>
              <w:rFonts w:ascii="Times New Roman" w:eastAsia="Times New Roman" w:hAnsi="Times New Roman" w:cs="Times New Roman"/>
              <w:color w:val="000000"/>
              <w:sz w:val="24"/>
            </w:rPr>
            <w:t>(Brigham &amp; Houston, 2019)</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firm value is reflected in the price investors are willing to pay for the company as a whole, which also reflects expectations regarding the company's growth prospects and ability to generate profits in the future. </w:t>
      </w:r>
    </w:p>
    <w:p w14:paraId="21D4EB06"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When the share price increases, the firm's value also increases, ultimately maximizing shareholder wealth. Firm value is also seen as an important indicator of managerial performance in managing resources to create added value for shareholders. In recent literature, non-financial factors such as sustainability </w:t>
      </w:r>
      <w:r w:rsidRPr="007E7CB6">
        <w:rPr>
          <w:rFonts w:ascii="Times New Roman" w:eastAsia="Times New Roman" w:hAnsi="Times New Roman" w:cs="Times New Roman"/>
          <w:sz w:val="24"/>
          <w:szCs w:val="24"/>
        </w:rPr>
        <w:lastRenderedPageBreak/>
        <w:t>disclosure, environmental performance, and green intellectual capital management are also beginning to be recognized as factors that influence firm value.</w:t>
      </w:r>
      <w:r w:rsidRPr="007E7CB6">
        <w:rPr>
          <w:rFonts w:ascii="Times New Roman" w:eastAsia="Times New Roman" w:hAnsi="Times New Roman" w:cs="Times New Roman"/>
          <w:color w:val="000000"/>
          <w:sz w:val="24"/>
          <w:szCs w:val="24"/>
        </w:rPr>
        <w:t> </w:t>
      </w:r>
    </w:p>
    <w:p w14:paraId="00490DF0" w14:textId="55EF44CC" w:rsidR="00153781" w:rsidRPr="007E7CB6" w:rsidRDefault="00000000">
      <w:pPr>
        <w:spacing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color w:val="000000"/>
            <w:sz w:val="24"/>
            <w:szCs w:val="24"/>
          </w:rPr>
          <w:tag w:val="MENDELEY_CITATION_v3_eyJjaXRhdGlvbklEIjoiTUVOREVMRVlfQ0lUQVRJT05fZmQxMTlhZDUtZWNlZS00NWUzLWIxNTAtYWFmOWVjN2U5NTc0IiwicHJvcGVydGllcyI6eyJub3RlSW5kZXgiOjB9LCJpc0VkaXRlZCI6ZmFsc2UsIm1hbnVhbE92ZXJyaWRlIjp7ImlzTWFudWFsbHlPdmVycmlkZGVuIjpmYWxzZSwiY2l0ZXByb2NUZXh0IjoiKERpbmNlciBldCBhbC4sIDIwMjMpIiwibWFudWFsT3ZlcnJpZGVUZXh0IjoiIn0sImNpdGF0aW9uSXRlbXMiOlt7ImlkIjoiYTIzOGRjYjktYTdmOS0zNDAyLWEyNmMtNWNjMjE0NjJkNzdlIiwiaXRlbURhdGEiOnsidHlwZSI6ImFydGljbGUtam91cm5hbCIsImlkIjoiYTIzOGRjYjktYTdmOS0zNDAyLWEyNmMtNWNjMjE0NjJkNzdlIiwidGl0bGUiOiJOZXh1cyBiZXR3ZWVuIFN1c3RhaW5hYmlsaXR5IFJlcG9ydGluZyBhbmQgRmlybSBQZXJmb3JtYW5jZTogQ29uc2lkZXJpbmcgSW5kdXN0cnkgR3JvdXBzLCBBY2NvdW50aW5nLCBhbmQgTWFya2V0IE1lYXN1cmVzIiwiYXV0aG9yIjpbeyJmYW1pbHkiOiJEaW5jZXIiLCJnaXZlbiI6IkJhbnUiLCJwYXJzZS1uYW1lcyI6ZmFsc2UsImRyb3BwaW5nLXBhcnRpY2xlIjoiIiwibm9uLWRyb3BwaW5nLXBhcnRpY2xlIjoiIn0seyJmYW1pbHkiOiJLZXNraW4iLCJnaXZlbiI6IkF5xZ9lIMSwcmVtIiwicGFyc2UtbmFtZXMiOmZhbHNlLCJkcm9wcGluZy1wYXJ0aWNsZSI6IiIsIm5vbi1kcm9wcGluZy1wYXJ0aWNsZSI6IiJ9LHsiZmFtaWx5IjoiRGluY2VyIiwiZ2l2ZW4iOiJDYW5lciIsInBhcnNlLW5hbWVzIjpmYWxzZSwiZHJvcHBpbmctcGFydGljbGUiOiIiLCJub24tZHJvcHBpbmctcGFydGljbGUiOiIifV0sImNvbnRhaW5lci10aXRsZSI6IlN1c3RhaW5hYmlsaXR5IChTd2l0emVybGFuZCkiLCJET0kiOiIxMC4zMzkwL3N1MTUwNzU4NDkiLCJJU1NOIjoiMjA3MTEwNTAiLCJpc3N1ZWQiOnsiZGF0ZS1wYXJ0cyI6W1syMDIzLDQsMV1dfSwiYWJzdHJhY3QiOiJUaGUgcmVsYXRpb25zaGlwIGJldHdlZW4gU3VzdGFpbmFiaWxpdHkgUmVwb3J0aW5nIGFuZCBjb3Jwb3JhdGUgZmluYW5jaWFsIHBlcmZvcm1hbmNlIGlzIG92ZXJsYXBwaW5nIGFuZCBtdWx0aWZhY2V0ZWQgYW5kIGl0IGhhcyBiZWVuIGFuIGludGVyZXN0aW5nIGlzc3VlIGZvciBib3RoIGFjYWRlbWljcyBhbmQgcHJvZmVzc2lvbmFscyBzaW5jZSB0aGUgYmVnaW5uaW5nIG9mIHRoZSBtaWxsZW5uaXVtLiBTdHVkaWVzIGhhdmUgZm91bmQgZGl2ZXJnZW50IHJlc3VsdHMgb24gdGhpcyByZWxhdGlvbiBhbmQgdGhlIGluZHVzdHJpYWwgZGlmZmVyZW5jZXMgYXJlIG9taXR0ZWQgaW4gbWFueSBwYXBlcnMuIE1vcmVvdmVyLCBzdHVkaWVzIGNvbnNpZGVyaW5nIGRldmVsb3BpbmcgY291bnRyaWVzIGFyZSBzY2FyY2UuIFRoZSBwdXJwb3NlIG9mIHRoaXMgc3R1ZHkgaXMgdG8gc2hlZCBsaWdodCBvbiB0aGUgcmVsYXRpb25zaGlwIGJldHdlZW4gc3VzdGFpbmFiaWxpdHkgcmVwb3J0aW5nIGFuZCBmaXJtIHBlcmZvcm1hbmNlIGluIGEgZGV2ZWxvcGluZyBjb3VudHJ5IGNvbnRleHQuIFRoZSBpbXBhY3Qgb2Ygc3VzdGFpbmFiaWxpdHkgcmVwb3J0aW5nIGlzIGludmVzdGlnYXRlZCB1c2luZyBwb29sZWQgb3JkaW5hcnkgbGVhc3Qgc3F1YXJlIChPTFMpIG1ldGhvZCBmb3IgcGFuZWwgZGF0YSByZWdyZXNzaW9uIHRocm91Z2ggdHdvIG1vZGVscyBiYXNlZCBvbiBUb2JpbuKAmXMgUSBhbmQgUk9BLiBBIHRvdGFsIG9mIDkyMCBvYnNlcnZhdGlvbnMgZm9yIDQ2IGNvbXBhbmllcyB3aXRoIDMgZGlmZmVyZW50IGltcGFjdCBsZXZlbHMgYmFzZWQgb24gdGhlaXIgZW52aXJvbm1lbnRhbCBlZmZlY3QgYW5kIDUteWVhciBxdWFydGVybHkgcGFuZWwgZGF0YSBiZXR3ZWVuIDIwMTbigJMyMDIwLiBUaGUgcmVzZWFyY2ggdXNlZCBkYXRhIGZyb20gQm9yc2EgSXN0YW5idWwgKElzdGFuYnVsIFN0b2NrIEV4Y2hhbmdlKSBhbmQgYWxzbyBpbmRlcGVuZGVudCB2YXJpYWJsZXMgc3VjaCBhcyBsZXZlcmFnZSwgcmlzaywgc2l6ZSwgY3VycmVudCByYXRpbywgZ3Jvd3RoLCBzdXN0YWluYWJpbGl0eSByZXBvcnRpbmcsIGFuZCB0aGUgZW52aXJvbm1lbnRhbCBpbXBhY3QgbGV2ZWwgb2YgY29tcGFuaWVzLiBUaGUgcmVzdWx0cyBzaG93ZWQgdGhhdCBzdXN0YWluYWJpbGl0eSByZXBvcnRpbmcgaGFzIGEgc2lnbmlmaWNhbnQgcG9zaXRpdmUgaW1wYWN0IG9uIGZpbmFuY2lhbCBwZXJmb3JtYW5jZSBhY2NvcmRpbmcgdG8gdGhlIFJPQSBtb2RlbCwgYW5kIGEgc2lnbmlmaWNhbnQgbmVnYXRpdmUgY29ycmVsYXRpb24gYmV0d2VlbiByaXNrIGFuZCBmaW5hbmNpYWwgcGVyZm9ybWFuY2UgYWNjb3JkaW5nIHRvIGJvdGggUk9BIGFuZCBUb2JpbuKAmXMgUSBtb2RlbHMuIENvbnNpZGVyaW5nIHRoZSBlbnZpcm9ubWVudGFsIGltcGFjdCBvZiBjb21wYW5pZXMsIHRoZSByZXN1bHRzIGFsc28gcmV2ZWFsIGEgcG9zaXRpdmUgcmVsYXRpb25zaGlwIGJldHdlZW4gaGlnaCBpbXBhY3QgY29tcGFuaWVz4oCZIHN1c3RhaW5hYmlsaXR5IHJlcG9ydGluZyBhbmQgc2hvcnQtdGVybSBmaW5hbmNpYWwgcGVyZm9ybWFuY2UgYXMgUk9BIGlzIGFuIGFjY291bnRpbmctb3JpZW50ZWQgbWVhc3VyZSB0aGF0IHJldmVhbHMgdGhlIGNvbXBhbnnigJlzIHNob3J0LXRlcm0gZmluYW5jaWFsIHBlcmZvcm1hbmNlLiBGdXJ0aGVyIHJlc2VhcmNoIHNob3VsZCBpbnZlc3RpZ2F0ZSB0aGUgaW1wYWN0IG9mIHN1c3RhaW5hYmlsaXR5IHJlcG9ydGluZyBpbiBkaWZmZXJlbnQgbWFya2V0cyBiYXNlZCBvbiB0aGUgaW1wYWN0IGxldmVsIG9mIGNvbXBhbmllcyBhbmQgdGhlIGRldmVsb3BtZW50IGRlZ3JlZSBvZiBjb3VudHJpZXMuIiwicHVibGlzaGVyIjoiTURQSSIsImlzc3VlIjoiNyIsInZvbHVtZSI6IjE1IiwiY29udGFpbmVyLXRpdGxlLXNob3J0IjoiIn0sImlzVGVtcG9yYXJ5IjpmYWxzZSwic3VwcHJlc3MtYXV0aG9yIjpmYWxzZSwiY29tcG9zaXRlIjpmYWxzZSwiYXV0aG9yLW9ubHkiOmZhbHNlfV19"/>
          <w:id w:val="1849905776"/>
          <w:placeholder>
            <w:docPart w:val="DefaultPlaceholder_-1854013440"/>
          </w:placeholder>
        </w:sdtPr>
        <w:sdtContent>
          <w:r w:rsidR="00AD6D10" w:rsidRPr="007E7CB6">
            <w:rPr>
              <w:rFonts w:ascii="Times New Roman" w:eastAsia="Times New Roman" w:hAnsi="Times New Roman" w:cs="Times New Roman"/>
              <w:color w:val="000000"/>
              <w:sz w:val="24"/>
              <w:szCs w:val="24"/>
            </w:rPr>
            <w:t>(Dincer et al., 2023)</w:t>
          </w:r>
        </w:sdtContent>
      </w:sdt>
      <w:r w:rsidR="008A3945" w:rsidRPr="007E7CB6">
        <w:rPr>
          <w:rFonts w:ascii="Times New Roman" w:eastAsia="Times New Roman" w:hAnsi="Times New Roman" w:cs="Times New Roman"/>
          <w:sz w:val="24"/>
          <w:szCs w:val="24"/>
        </w:rPr>
        <w:t xml:space="preserve"> show that companies that actively disclose their social and environmental responsibilities receive positive market reactions that lead to an increase in firm value. This is in line with legitimacy theory, which emphasizes the importance of public acceptance and trust in maintaining the continuity of a company's operations. </w:t>
      </w:r>
      <w:sdt>
        <w:sdtPr>
          <w:rPr>
            <w:rFonts w:ascii="Times New Roman" w:eastAsia="Times New Roman" w:hAnsi="Times New Roman" w:cs="Times New Roman"/>
            <w:color w:val="000000"/>
            <w:sz w:val="24"/>
            <w:szCs w:val="24"/>
          </w:rPr>
          <w:tag w:val="MENDELEY_CITATION_v3_eyJjaXRhdGlvbklEIjoiTUVOREVMRVlfQ0lUQVRJT05fMjI2N2ZhZGYtMzlhMC00NmNhLWE2NDktZGNiMmUzZTk0YjZh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132070182"/>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8A3945" w:rsidRPr="007E7CB6">
        <w:rPr>
          <w:rFonts w:ascii="Times New Roman" w:eastAsia="Times New Roman" w:hAnsi="Times New Roman" w:cs="Times New Roman"/>
          <w:sz w:val="24"/>
          <w:szCs w:val="24"/>
        </w:rPr>
        <w:t xml:space="preserve"> defines legitimacy as the perception that an entity's actions are considered consistent with prevailing norms and values. </w:t>
      </w:r>
      <w:sdt>
        <w:sdtPr>
          <w:rPr>
            <w:rFonts w:ascii="Times New Roman" w:eastAsia="Times New Roman" w:hAnsi="Times New Roman" w:cs="Times New Roman"/>
            <w:color w:val="000000"/>
            <w:sz w:val="24"/>
            <w:szCs w:val="24"/>
          </w:rPr>
          <w:tag w:val="MENDELEY_CITATION_v3_eyJjaXRhdGlvbklEIjoiTUVOREVMRVlfQ0lUQVRJT05fMTdkMWEzYTUtNjJkYi00NWZiLWIzMjAtN2ZmMzljOGUzNDA3IiwicHJvcGVydGllcyI6eyJub3RlSW5kZXgiOjB9LCJpc0VkaXRlZCI6ZmFsc2UsIm1hbnVhbE92ZXJyaWRlIjp7ImlzTWFudWFsbHlPdmVycmlkZGVuIjp0cnVlLCJjaXRlcHJvY1RleHQiOiIoRmVybmFuZG8gZXQgYWwuLCAyMDA5KSIsIm1hbnVhbE92ZXJyaWRlVGV4dCI6IihGZXJuYW5kbyBldCBhbC4sIDIwMjIpIn0sImNpdGF0aW9uSXRlbXMiOlt7ImlkIjoiNWNlNTE4NjgtNDgxOS0zNWY1LWI2NDYtMTA2ZTc1YjhjMDA2IiwiaXRlbURhdGEiOnsidHlwZSI6InJlcG9ydCIsImlkIjoiNWNlNTE4NjgtNDgxOS0zNWY1LWI2NDYtMTA2ZTc1YjhjMDA2IiwidGl0bGUiOiJDb3Jwb3JhdGUgRW52aXJvbm1lbnRhbCBQb2xpY3kgYW5kIFNoYXJlaG9sZGVyIFZhbHVlOiBGb2xsb3dpbmcgdGhlIFNtYXJ0IE1vbmV5IiwiYXV0aG9yIjpbeyJmYW1pbHkiOiJGZXJuYW5kbyIsImdpdmVuIjoiQ2hpdHJ1IFMiLCJwYXJzZS1uYW1lcyI6ZmFsc2UsImRyb3BwaW5nLXBhcnRpY2xlIjoiIiwibm9uLWRyb3BwaW5nLXBhcnRpY2xlIjoiIn0seyJmYW1pbHkiOiJTaGFyZm1hbiIsImdpdmVuIjoiTWFyayBQIiwicGFyc2UtbmFtZXMiOmZhbHNlLCJkcm9wcGluZy1wYXJ0aWNsZSI6IiIsIm5vbi1kcm9wcGluZy1wYXJ0aWNsZSI6IiJ9LHsiZmFtaWx5IjoiVXlzYWwiLCJnaXZlbiI6IlZhaGFwIEIiLCJwYXJzZS1uYW1lcyI6ZmFsc2UsImRyb3BwaW5nLXBhcnRpY2xlIjoiIiwibm9uLWRyb3BwaW5nLXBhcnRpY2xlIjoiIn0seyJmYW1pbHkiOiJIYXJwZXIiLCJnaXZlbiI6IkpvZWwiLCJwYXJzZS1uYW1lcyI6ZmFsc2UsImRyb3BwaW5nLXBhcnRpY2xlIjoiIiwibm9uLWRyb3BwaW5nLXBhcnRpY2xlIjoiIn0seyJmYW1pbHkiOiJKYW5kaWsiLCJnaXZlbiI6IlRvbWFzIiwicGFyc2UtbmFtZXMiOmZhbHNlLCJkcm9wcGluZy1wYXJ0aWNsZSI6IiIsIm5vbi1kcm9wcGluZy1wYXJ0aWNsZSI6IiJ9LHsiZmFtaWx5IjoiS2FjcGVyY3p5ayIsImdpdmVuIjoiTWFyY2luIiwicGFyc2UtbmFtZXMiOmZhbHNlLCJkcm9wcGluZy1wYXJ0aWNsZSI6IiIsIm5vbi1kcm9wcGluZy1wYXJ0aWNsZSI6IiJ9LHsiZmFtaWx5IjoiS2FuZyIsImdpdmVuIjoiQnlvdW5nIiwicGFyc2UtbmFtZXMiOmZhbHNlLCJkcm9wcGluZy1wYXJ0aWNsZSI6IiIsIm5vbi1kcm9wcGluZy1wYXJ0aWNsZSI6IiJ9LHsiZmFtaWx5IjoiS3LDvGdlciIsImdpdmVuIjoiUGhpbGlwcCIsInBhcnNlLW5hbWVzIjpmYWxzZSwiZHJvcHBpbmctcGFydGljbGUiOiIiLCJub24tZHJvcHBpbmctcGFydGljbGUiOiIifSx7ImZhbWlseSI6Ik5lamFkbWFsYXllcmkiLCJnaXZlbiI6IkFsaSIsInBhcnNlLW5hbWVzIjpmYWxzZSwiZHJvcHBpbmctcGFydGljbGUiOiIiLCJub24tZHJvcHBpbmctcGFydGljbGUiOiIifSx7ImZhbWlseSI6IlBldGVyc2VuIiwiZ2l2ZW4iOiJNaXRjaGVsbCIsInBhcnNlLW5hbWVzIjpmYWxzZSwiZHJvcHBpbmctcGFydGljbGUiOiIiLCJub24tZHJvcHBpbmctcGFydGljbGUiOiIifSx7ImZhbWlseSI6IlJhbyIsImdpdmVuIjoiUmFtZXNoIiwicGFyc2UtbmFtZXMiOmZhbHNlLCJkcm9wcGluZy1wYXJ0aWNsZSI6IiIsIm5vbi1kcm9wcGluZy1wYXJ0aWNsZSI6IiJ9LHsiZmFtaWx5IjoiU21pdGgiLCJnaXZlbiI6IkNsaWZmb3JkIiwicGFyc2UtbmFtZXMiOmZhbHNlLCJkcm9wcGluZy1wYXJ0aWNsZSI6IiIsIm5vbi1kcm9wcGluZy1wYXJ0aWNsZSI6IiJ9LHsiZmFtaWx5IjoiU3VsYWVtYW4iLCJnaXZlbiI6IkpvaGFuIiwicGFyc2UtbmFtZXMiOmZhbHNlLCJkcm9wcGluZy1wYXJ0aWNsZSI6IiIsIm5vbi1kcm9wcGluZy1wYXJ0aWNsZSI6IiJ9LHsiZmFtaWx5IjoiWmhvdSIsImdpdmVuIjoiWWkiLCJwYXJzZS1uYW1lcyI6ZmFsc2UsImRyb3BwaW5nLXBhcnRpY2xlIjoiIiwibm9uLWRyb3BwaW5nLXBhcnRpY2xlIjoiIn0seyJmYW1pbHkiOiJab3UiLCJnaXZlbiI6IkhvbmciLCJwYXJzZS1uYW1lcyI6ZmFsc2UsImRyb3BwaW5nLXBhcnRpY2xlIjoiIiwibm9uLWRyb3BwaW5nLXBhcnRpY2xlIjoiIn1dLCJpc3N1ZWQiOnsiZGF0ZS1wYXJ0cyI6W1syMDA5XV19LCJhYnN0cmFjdCI6IldlIGV4YW1pbmUgdGhlIHZhbHVlIGNvbnNlcXVlbmNlcyBvZiBjb3Jwb3JhdGUgc29jaWFsIHJlc3BvbnNpYmlsaXR5IHRocm91Z2ggdGhlIGxlbnMgb2YgaW5zdGl0dXRpb25hbCBzaGFyZWhvbGRlcnMuIFdlIGZpbmQgYSBzaGFycCBhc3ltbWV0cnkgYmV0d2VlbiBjb3Jwb3JhdGUgcG9saWNpZXMgdGhhdCBtaXRpZ2F0ZSB0aGUgZmlybSdzIGV4cG9zdXJlIHRvIGVudmlyb25tZW50YWwgcmlzayBhbmQgdGhvc2UgdGhhdCBlbmhhbmNlIGl0cyBwZXJjZWl2ZWQgZW52aXJvbm1lbnRhbCBmcmllbmRsaW5lc3MgKFwiZ3JlZW5uZXNzXCIpLiBJbnN0aXR1dGlvbmFsIGludmVzdG9ycyBzaHVuIHN0b2NrcyB3aXRoIGhpZ2ggZW52aXJvbm1lbnRhbCByaXNrIGV4cG9zdXJlLCB3aGljaCB3ZSBzaG93IGhhdmUgbG93ZXIgdmFsdWF0aW9ucyBhcyBwcmVkaWN0ZWQgYnkgcmlzayBtYW5hZ2VtZW50IHRoZW9yeS4gVGhlc2UgZmluZGluZ3Mgc3VnZ2VzdCB0aGF0IGNvcnBvcmF0ZSBlbnZpcm9ubWVudGFsIHBvbGljaWVzIHRoYXQgbWl0aWdhdGUgZW52aXJvbm1lbnRhbCByaXNrIGV4cG9zdXJlIGNyZWF0ZSBzaGFyZWhvbGRlciB2YWx1ZS4gSW4gY29udHJhc3QsIGZpcm1zIHRoYXQgaW5jcmVhc2UgZ3JlZW5uZXNzIGRvIG5vdCBjcmVhdGUgc2hhcmVob2xkZXIgdmFsdWUgYW5kIGFyZSBhbHNvIHNodW5uZWQgYnkgaW5zdGl0dXRpb25hbCBpbnZlc3RvcnMuIiwiY29udGFpbmVyLXRpdGxlLXNob3J0IjoiIn0sImlzVGVtcG9yYXJ5IjpmYWxzZSwic3VwcHJlc3MtYXV0aG9yIjpmYWxzZSwiY29tcG9zaXRlIjpmYWxzZSwiYXV0aG9yLW9ubHkiOmZhbHNlfV19"/>
          <w:id w:val="-141353253"/>
          <w:placeholder>
            <w:docPart w:val="DefaultPlaceholder_-1854013440"/>
          </w:placeholder>
        </w:sdtPr>
        <w:sdtContent>
          <w:r w:rsidR="00AD6D10" w:rsidRPr="007E7CB6">
            <w:rPr>
              <w:rFonts w:ascii="Times New Roman" w:eastAsia="Times New Roman" w:hAnsi="Times New Roman" w:cs="Times New Roman"/>
              <w:color w:val="000000"/>
              <w:sz w:val="24"/>
              <w:szCs w:val="24"/>
            </w:rPr>
            <w:t>(Fernando et al., 2022)</w:t>
          </w:r>
        </w:sdtContent>
      </w:sdt>
      <w:r w:rsidR="008A3945" w:rsidRPr="007E7CB6">
        <w:rPr>
          <w:rFonts w:ascii="Times New Roman" w:eastAsia="Times New Roman" w:hAnsi="Times New Roman" w:cs="Times New Roman"/>
          <w:sz w:val="24"/>
          <w:szCs w:val="24"/>
        </w:rPr>
        <w:t xml:space="preserve"> reinforce this finding by showing that proactive environmental strategies can attract institutional investors while increasing firm value. Thus, managing environmental aspects not only protects reputation but also becomes a real value creation strategy.</w:t>
      </w:r>
    </w:p>
    <w:p w14:paraId="0DA871FA" w14:textId="6E99B0CA"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It can be concluded that a firm value is not only a representation of its financial performance, but also reflects the extent to which the company has succeeded in building social legitimacy. Companies that are able to balance economic performance and social responsibility tend to obtain higher market value and long-term trust from stakeholders.</w:t>
      </w:r>
    </w:p>
    <w:p w14:paraId="122949BC" w14:textId="77777777" w:rsidR="00153781" w:rsidRPr="007E7CB6" w:rsidRDefault="00000000">
      <w:pPr>
        <w:pStyle w:val="Heading3"/>
        <w:spacing w:before="0" w:after="0" w:line="480" w:lineRule="auto"/>
        <w:rPr>
          <w:rFonts w:ascii="Times New Roman" w:eastAsia="Times New Roman" w:hAnsi="Times New Roman" w:cs="Times New Roman"/>
          <w:b/>
          <w:sz w:val="24"/>
          <w:szCs w:val="24"/>
        </w:rPr>
      </w:pPr>
      <w:bookmarkStart w:id="48" w:name="_Toc210744219"/>
      <w:r w:rsidRPr="007E7CB6">
        <w:rPr>
          <w:rFonts w:ascii="Times New Roman" w:eastAsia="Times New Roman" w:hAnsi="Times New Roman" w:cs="Times New Roman"/>
          <w:b/>
          <w:color w:val="000000"/>
          <w:sz w:val="24"/>
          <w:szCs w:val="24"/>
        </w:rPr>
        <w:t>2.1.3</w:t>
      </w:r>
      <w:r w:rsidRPr="007E7CB6">
        <w:rPr>
          <w:rFonts w:ascii="Times New Roman" w:eastAsia="Times New Roman" w:hAnsi="Times New Roman" w:cs="Times New Roman"/>
          <w:b/>
          <w:color w:val="000000"/>
          <w:sz w:val="24"/>
          <w:szCs w:val="24"/>
        </w:rPr>
        <w:tab/>
        <w:t>Green Intellectual Capital</w:t>
      </w:r>
      <w:bookmarkEnd w:id="48"/>
    </w:p>
    <w:p w14:paraId="54FE5ED5" w14:textId="7C0867D3"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Intellectual Capital (GIC) is an extension of the concept of intellectual capital that emphasizes environmental sustainability.</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jBkOWQ1ZjYtZDFiZS00MTVlLWFjNTktY2EyOTlhMWEzNDE1IiwicHJvcGVydGllcyI6eyJub3RlSW5kZXgiOjB9LCJpc0VkaXRlZCI6ZmFsc2UsIm1hbnVhbE92ZXJyaWRlIjp7ImlzTWFudWFsbHlPdmVycmlkZGVuIjpmYWxzZSwiY2l0ZXByb2NUZXh0IjoiKENoZW4sIDIwMDgpIiwibWFudWFsT3ZlcnJpZGVUZXh0IjoiIn0sImNpdGF0aW9uSXRlbXMiOlt7ImlkIjoiMzQ1MWFjY2MtMGRlYy0zMTVjLWE1ODUtODdjYzEwOTA2YWQzIiwiaXRlbURhdGEiOnsidHlwZSI6ImFydGljbGUtam91cm5hbCIsImlkIjoiMzQ1MWFjY2MtMGRlYy0zMTVjLWE1ODUtODdjYzEwOTA2YWQzIiwidGl0bGUiOiJUaGUgcG9zaXRpdmUgZWZmZWN0IG9mIGdyZWVuIGludGVsbGVjdHVhbCBjYXBpdGFsIG9uIGNvbXBldGl0aXZlIGFkdmFudGFnZXMgb2YgZmlybXMiLCJhdXRob3IiOlt7ImZhbWlseSI6IkNoZW4iLCJnaXZlbiI6Ill1IFNoYW4iLCJwYXJzZS1uYW1lcyI6ZmFsc2UsImRyb3BwaW5nLXBhcnRpY2xlIjoiIiwibm9uLWRyb3BwaW5nLXBhcnRpY2xlIjoiIn1dLCJjb250YWluZXItdGl0bGUiOiJKb3VybmFsIG9mIEJ1c2luZXNzIEV0aGljcyIsIkRPSSI6IjEwLjEwMDcvczEwNTUxLTAwNi05MzQ5LTEiLCJJU1NOIjoiMDE2NzQ1NDQiLCJpc3N1ZWQiOnsiZGF0ZS1wYXJ0cyI6W1syMDA4LDJdXX0sInBhZ2UiOiIyNzEtMjg2IiwiYWJzdHJhY3QiOiJObyByZXNlYXJjaCBleHBsb3JlZCBpbnRlbGxlY3R1YWwgY2FwaXRhbCBhYm91dCBncmVlbiBpbm5vdmF0aW9uIG9yIGVudmlyb25tZW50YWwgbWFuYWdlbWVudC4gVGhpcyBzdHVkeSB3YW50ZWQgdG8gZmlsbCB0aGlzIHJlc2VhcmNoIGdhcCwgYW5kIHByb3Bvc2VkIGEgbm92ZWwgY29uc3RydWN0IC0gZ3JlZW4gaW50ZWxsZWN0dWFsIGNhcGl0YWwgLSB0byBleHBsb3JlIHRoZSBwb3NpdGl2ZSByZWxhdGlvbnNoaXAgYmV0d2VlbiBncmVlbiBpbnRlbGxlY3R1YWwgY2FwaXRhbCBhbmQgY29tcGV0aXRpdmUgYWR2YW50YWdlcyBvZiBmaXJtcy4gVGhlIGVtcGlyaWNhbCByZXN1bHRzIG9mIHRoaXMgc3R1ZHkgc2hvd2VkIHRoYXQgdGhlIHRocmVlIHR5cGVzIG9mIGdyZWVuIGludGVsbGVjdHVhbCBjYXBpdGFsIC0gZ3JlZW4gaHVtYW4gY2FwaXRhbCwgZ3JlZW4gc3RydWN0dXJhbCBjYXBpdGFsLCBhbmQgZ3JlZW4gcmVsYXRpb25hbCBjYXBpdGFsIC0gaGFkIHBvc2l0aXZlIGVmZmVjdHMgb24gY29tcGV0aXRpdmUgYWR2YW50YWdlcyBvZiBmaXJtcy4gTW9yZW92ZXIsIHRoaXMgc3R1ZHkgZm91bmQgdGhhdCBncmVlbiByZWxhdGlvbmFsIGNhcGl0YWwgd2FzIHRoZSBtb3N0IGNvbW1vbiBhbW9uZyB0aGVzZSB0aHJlZSB0eXBlcyBvZiBncmVlbiBpbnRlbGxlY3R1YWwgY2FwaXRhbCwgYW5kIHRoZSB0aHJlZSB0eXBlcyBvZiBncmVlbiBpbnRlbGxlY3R1YWwgY2FwaXRhbCBvZiBNZWRpdW0gJiBTbWFsbCBFbnRlcnByaXNlcyAoU01Fcykgd2VyZSBhbGwgc2lnbmlmaWNhbnRseSBsZXNzIHRoYW4gdGhvc2Ugb2YgbGFyZ2UgZW50ZXJwcmlzZXMgaW4gdGhlIGluZm9ybWF0aW9uIGFuZCBlbGVjdHJvbmljcyBpbmR1c3RyeSBpbiBUYWl3YW4uIEluIHN1bSwgY29tcGFuaWVzIGludmVzdGluZyBtYW55IHJlc291cmNlcyBhbmQgZWZmb3J0cyBpbiBncmVlbiBpbnRlbGxlY3R1YWwgY2FwaXRhbCBjb3VsZCBub3Qgb25seSBtZWV0IHRoZSB0cmVuZHMgb2Ygc3RyaWN0IGludGVybmF0aW9uYWwgZW52aXJvbm1lbnRhbCByZWd1bGF0aW9ucyBhbmQgcG9wdWxhciBlbnZpcm9ubWVudGFsIGNvbnNjaW91c25lc3Mgb2YgY29uc3VtZXJzLCBidXQgYWxzbyBldmVudHVhbGx5IG9idGFpbiBjb3Jwb3JhdGUgY29tcGV0aXRpdmUgYWR2YW50YWdlcy4gwqkgMjAwNyBTcHJpbmdlciBTY2llbmNlK0J1c2luZXNzIE1lZGlhIEIuVi4iLCJpc3N1ZSI6IjMiLCJ2b2x1bWUiOiI3NyIsImNvbnRhaW5lci10aXRsZS1zaG9ydCI6IiJ9LCJpc1RlbXBvcmFyeSI6ZmFsc2UsInN1cHByZXNzLWF1dGhvciI6ZmFsc2UsImNvbXBvc2l0ZSI6ZmFsc2UsImF1dGhvci1vbmx5IjpmYWxzZX1dfQ=="/>
          <w:id w:val="2006629117"/>
          <w:placeholder>
            <w:docPart w:val="DefaultPlaceholder_-1854013440"/>
          </w:placeholder>
        </w:sdtPr>
        <w:sdtContent>
          <w:r w:rsidR="00AD6D10" w:rsidRPr="007E7CB6">
            <w:rPr>
              <w:rFonts w:ascii="Times New Roman" w:eastAsia="Times New Roman" w:hAnsi="Times New Roman" w:cs="Times New Roman"/>
              <w:color w:val="000000"/>
              <w:sz w:val="24"/>
              <w:szCs w:val="24"/>
            </w:rPr>
            <w:t>(Chen, 2008)</w:t>
          </w:r>
        </w:sdtContent>
      </w:sdt>
      <w:r w:rsidRPr="007E7CB6">
        <w:rPr>
          <w:rFonts w:ascii="Times New Roman" w:eastAsia="Times New Roman" w:hAnsi="Times New Roman" w:cs="Times New Roman"/>
          <w:sz w:val="24"/>
          <w:szCs w:val="24"/>
        </w:rPr>
        <w:t xml:space="preserve"> explains that GIC consists of three main components: Green Human Capital (GHC), Green Structural Capital (GSC), and Green Relational Capital (GRC), which </w:t>
      </w:r>
      <w:r w:rsidRPr="007E7CB6">
        <w:rPr>
          <w:rFonts w:ascii="Times New Roman" w:eastAsia="Times New Roman" w:hAnsi="Times New Roman" w:cs="Times New Roman"/>
          <w:sz w:val="24"/>
          <w:szCs w:val="24"/>
        </w:rPr>
        <w:lastRenderedPageBreak/>
        <w:t>collectively reflect the knowledge, systems, and relationships of a company in supporting environmental and sustainability goals.</w:t>
      </w:r>
    </w:p>
    <w:p w14:paraId="3D8903DA" w14:textId="77777777" w:rsidR="00153781" w:rsidRPr="007E7CB6" w:rsidRDefault="00000000">
      <w:pPr>
        <w:numPr>
          <w:ilvl w:val="0"/>
          <w:numId w:val="15"/>
        </w:num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Human Capital (GHC)</w:t>
      </w:r>
    </w:p>
    <w:p w14:paraId="4C659285" w14:textId="115354C9"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Human Capital reflects the capabilities, skills, awareness, and environmental values possessed by employees. </w:t>
      </w:r>
      <w:sdt>
        <w:sdtPr>
          <w:rPr>
            <w:rFonts w:ascii="Times New Roman" w:eastAsia="Times New Roman" w:hAnsi="Times New Roman" w:cs="Times New Roman"/>
            <w:color w:val="000000"/>
            <w:sz w:val="24"/>
            <w:szCs w:val="24"/>
          </w:rPr>
          <w:tag w:val="MENDELEY_CITATION_v3_eyJjaXRhdGlvbklEIjoiTUVOREVMRVlfQ0lUQVRJT05fNmQ1MzE4NjctMWI1NS00YTNkLWI2NjYtMDY0ZDc3YjU2YzQ2IiwicHJvcGVydGllcyI6eyJub3RlSW5kZXgiOjB9LCJpc0VkaXRlZCI6ZmFsc2UsIm1hbnVhbE92ZXJyaWRlIjp7ImlzTWFudWFsbHlPdmVycmlkZGVuIjpmYWxzZSwiY2l0ZXByb2NUZXh0IjoiKFl1c2xpemEgZXQgYWwuLCAyMDIwKSIsIm1hbnVhbE92ZXJyaWRlVGV4dCI6IiJ9LCJjaXRhdGlvbkl0ZW1zIjpbeyJpZCI6Ijc5MGIxYTU0LTcxYWQtMzNmZi1iMTkwLTQzOGY0MGFhOGZhNiIsIml0ZW1EYXRhIjp7InR5cGUiOiJhcnRpY2xlLWpvdXJuYWwiLCJpZCI6Ijc5MGIxYTU0LTcxYWQtMzNmZi1iMTkwLTQzOGY0MGFhOGZhNiIsInRpdGxlIjoiQSBzdHJ1Y3R1cmFsIG1vZGVsIG9mIHRoZSBpbXBhY3Qgb2YgZ3JlZW4gaW50ZWxsZWN0dWFsIGNhcGl0YWwgb24gc3VzdGFpbmFibGUgcGVyZm9ybWFuY2UiLCJhdXRob3IiOlt7ImZhbWlseSI6Ill1c2xpemEiLCJnaXZlbiI6Ik0uIFkuIiwicGFyc2UtbmFtZXMiOmZhbHNlLCJkcm9wcGluZy1wYXJ0aWNsZSI6IiIsIm5vbi1kcm9wcGluZy1wYXJ0aWNsZSI6IiJ9LHsiZmFtaWx5IjoiWW9uZyIsImdpdmVuIjoiSmluZyBZaSIsInBhcnNlLW5hbWVzIjpmYWxzZSwiZHJvcHBpbmctcGFydGljbGUiOiIiLCJub24tZHJvcHBpbmctcGFydGljbGUiOiIifSx7ImZhbWlseSI6IlRhbnZlZXIiLCJnaXZlbiI6Ik0uIEltcmFuIiwicGFyc2UtbmFtZXMiOmZhbHNlLCJkcm9wcGluZy1wYXJ0aWNsZSI6IiIsIm5vbi1kcm9wcGluZy1wYXJ0aWNsZSI6IiJ9LHsiZmFtaWx5IjoiUmFtYXlhaCIsImdpdmVuIjoiVC4iLCJwYXJzZS1uYW1lcyI6ZmFsc2UsImRyb3BwaW5nLXBhcnRpY2xlIjoiIiwibm9uLWRyb3BwaW5nLXBhcnRpY2xlIjoiIn0seyJmYW1pbHkiOiJOb29yIEZhZXphaCIsImdpdmVuIjoiSnVoYXJpIiwicGFyc2UtbmFtZXMiOmZhbHNlLCJkcm9wcGluZy1wYXJ0aWNsZSI6IiIsIm5vbi1kcm9wcGluZy1wYXJ0aWNsZSI6IiJ9LHsiZmFtaWx5IjoiTXVoYW1tYWQiLCJnaXZlbiI6Ilppa3JpIiwicGFyc2UtbmFtZXMiOmZhbHNlLCJkcm9wcGluZy1wYXJ0aWNsZSI6IiIsIm5vbi1kcm9wcGluZy1wYXJ0aWNsZSI6IiJ9XSwiY29udGFpbmVyLXRpdGxlIjoiSm91cm5hbCBvZiBDbGVhbmVyIFByb2R1Y3Rpb24iLCJjb250YWluZXItdGl0bGUtc2hvcnQiOiJKIENsZWFuIFByb2QiLCJET0kiOiIxMC4xMDE2L2ouamNsZXByby4yMDE5LjExOTMzNCIsIklTU04iOiIwOTU5NjUyNiIsImlzc3VlZCI6eyJkYXRlLXBhcnRzIjpbWzIwMjAsMywxMF1dfSwiYWJzdHJhY3QiOiJUaGlzIHN0dWR5IGV4YW1pbmVkIHRoZSByZWxhdGlvbnNoaXAgYmV0d2VlbiBncmVlbiBpbnRlbGxlY3R1YWwgY2FwaXRhbCBhbmQgc3VzdGFpbmFibGUgcGVyZm9ybWFuY2UuIFdoaWxlIG1hbnkgc3R1ZGllcyBoYXZlIGZvY3VzZWQgb24gc3VzdGFpbmFiaWxpdHksIHRoaXMgc3R1ZHkgaXMgb25lIG9mIHRoZSBmaXJzdCB0aGF0IGZvY3VzZXMgZXhjbHVzaXZlbHkgb24gZ3JlZW4gaW50ZWxsZWN0dWFsIGNhcGl0YWwuIFRoaXMgcmVzZWFyY2ggdXNlZCBzdXJ2ZXkgZGF0YSBmcm9tIDExMiBtYW51ZmFjdHVyaW5nIGZpcm1zIGluIE1hbGF5c2lhLiBBcyBhbnRpY2lwYXRlZCwgdGhlIHJlc3VsdHMgZm91bmQgdGhhdCBncmVlbiBpbnRlbGxlY3R1YWwgY2FwaXRhbCBwb3NpdGl2ZWx5IGluZmx1ZW5jZWQgZWNvbm9taWMsIGVudmlyb25tZW50YWwsIGFuZCBzb2NpYWwgcGVyZm9ybWFuY2UuIFRoZSBmaW5kaW5ncyBvZiB0aGlzIHN0dWR5IGhhdmUgdmFyaW91cyBpbXBsaWNhdGlvbnMgZm9yIGdyZWVuIGNvbXBhbmllcyBhbmQgb3JnYW5pemF0aW9ucyBpbiBnZW5lcmFsIGFuZCBncmVlbiBtYW51ZmFjdHVyaW5nIGZpcm1zIGluIHBhcnRpY3VsYXIuIFRoZSBub3ZlbHR5IG9mIHRoaXMgc3R1ZHkgaXMgdW5mb2xkaW5nIHRoZSBjb250cmlidXRpb24gb2YgZ3JlZW4gaW50ZWxsZWN0dWFsIGNhcGl0YWwgYXMgYW4gaW50YW5naWJsZSByZXNvdXJjZSBmb3Igb3JnYW5pemF0aW9ucyBpbiBhY2hpZXZpbmcgc3VzdGFpbmFibGUgcGVyZm9ybWFuY2UgYW5kIGEgY29tcGV0aXRpdmUgYWR2YW50YWdlIGZvciBmdXR1cmUgcmVzZWFyY2hlcnMuIE1hbnVmYWN0dXJpbmcgaW5kdXN0cmllcyBvZiBkZXZlbG9waW5nIG9yIGRldmVsb3BlZCBjb3VudHJpZXMgY2FuIGVuaGFuY2UgdGhlaXIgY2xlYW5lciBwcm9kdWN0aW9uIGNhcGFiaWxpdGllcyBieSBpbmNvcnBvcmF0aW5nIHRoaXMgbW9kZWwgYXMgYSBzdHJhdGVneS4iLCJwdWJsaXNoZXIiOiJFbHNldmllciBMdGQiLCJ2b2x1bWUiOiIyNDkifSwiaXNUZW1wb3JhcnkiOmZhbHNlLCJzdXBwcmVzcy1hdXRob3IiOmZhbHNlLCJjb21wb3NpdGUiOmZhbHNlLCJhdXRob3Itb25seSI6ZmFsc2V9XX0="/>
          <w:id w:val="977033459"/>
          <w:placeholder>
            <w:docPart w:val="DefaultPlaceholder_-1854013440"/>
          </w:placeholder>
        </w:sdtPr>
        <w:sdtContent>
          <w:r w:rsidR="00AD6D10" w:rsidRPr="007E7CB6">
            <w:rPr>
              <w:rFonts w:ascii="Times New Roman" w:eastAsia="Times New Roman" w:hAnsi="Times New Roman" w:cs="Times New Roman"/>
              <w:color w:val="000000"/>
              <w:sz w:val="24"/>
              <w:szCs w:val="24"/>
            </w:rPr>
            <w:t>(Yusliza et al., 2020)</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emphasize that GHC can be improved through environmental training, human resource empowerment, and the creation of a work environment that encourages green innovation.</w:t>
      </w:r>
    </w:p>
    <w:p w14:paraId="6FB2C75D" w14:textId="77777777" w:rsidR="00153781" w:rsidRPr="007E7CB6" w:rsidRDefault="00000000">
      <w:pPr>
        <w:numPr>
          <w:ilvl w:val="0"/>
          <w:numId w:val="15"/>
        </w:num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Structural Capital (GSC)</w:t>
      </w:r>
    </w:p>
    <w:p w14:paraId="38972CD4" w14:textId="19CB5655"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Structural Capital encompasses organizational structures, policies, procedures, technologies, and information systems that support environmental strategy management. </w:t>
      </w:r>
      <w:sdt>
        <w:sdtPr>
          <w:rPr>
            <w:rFonts w:ascii="Times New Roman" w:eastAsia="Times New Roman" w:hAnsi="Times New Roman" w:cs="Times New Roman"/>
            <w:color w:val="000000"/>
            <w:sz w:val="24"/>
            <w:szCs w:val="24"/>
          </w:rPr>
          <w:tag w:val="MENDELEY_CITATION_v3_eyJjaXRhdGlvbklEIjoiTUVOREVMRVlfQ0lUQVRJT05fYTBjNzBiNjktNDNhYi00MzI0LWFiZGQtNTE4ODc1NTZlYjM2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
          <w:id w:val="-1896726924"/>
          <w:placeholder>
            <w:docPart w:val="DefaultPlaceholder_-1854013440"/>
          </w:placeholder>
        </w:sdtPr>
        <w:sdtContent>
          <w:r w:rsidR="00AD6D10" w:rsidRPr="007E7CB6">
            <w:rPr>
              <w:rFonts w:ascii="Times New Roman" w:eastAsia="Times New Roman" w:hAnsi="Times New Roman" w:cs="Times New Roman"/>
              <w:color w:val="000000"/>
              <w:sz w:val="24"/>
              <w:szCs w:val="24"/>
            </w:rPr>
            <w:t>(Benevene et al., 2021)</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assert that strong GSC accelerates the adoption of green technologies, improves operational systems, and strengthens the documentation and dissemination of sustainable knowledge.</w:t>
      </w:r>
    </w:p>
    <w:p w14:paraId="1A9F862D" w14:textId="77777777" w:rsidR="00153781" w:rsidRPr="007E7CB6" w:rsidRDefault="00000000">
      <w:pPr>
        <w:numPr>
          <w:ilvl w:val="0"/>
          <w:numId w:val="15"/>
        </w:num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Relational Capital (GRC)</w:t>
      </w:r>
    </w:p>
    <w:p w14:paraId="74EB38EC" w14:textId="0399EE12" w:rsidR="00153781" w:rsidRPr="007E7CB6" w:rsidRDefault="00000000">
      <w:pPr>
        <w:spacing w:line="480" w:lineRule="auto"/>
        <w:ind w:left="360"/>
        <w:jc w:val="both"/>
        <w:rPr>
          <w:rFonts w:ascii="Times New Roman" w:eastAsia="Times New Roman" w:hAnsi="Times New Roman" w:cs="Times New Roman"/>
          <w:i/>
          <w:sz w:val="24"/>
          <w:szCs w:val="24"/>
        </w:rPr>
      </w:pPr>
      <w:r w:rsidRPr="007E7CB6">
        <w:rPr>
          <w:rFonts w:ascii="Times New Roman" w:eastAsia="Times New Roman" w:hAnsi="Times New Roman" w:cs="Times New Roman"/>
          <w:sz w:val="24"/>
          <w:szCs w:val="24"/>
        </w:rPr>
        <w:t>Green Relational Capital describes the quality of a company's relationships with external parties, including customers, regulators, business partners, and communities.</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GUyYTE2YjgtNjJjYi00N2JkLWFlYzAtN2FlZTgyZGM3MTY5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
          <w:id w:val="148718887"/>
          <w:placeholder>
            <w:docPart w:val="DefaultPlaceholder_-1854013440"/>
          </w:placeholder>
        </w:sdtPr>
        <w:sdtContent>
          <w:r w:rsidR="00AD6D10" w:rsidRPr="007E7CB6">
            <w:rPr>
              <w:rFonts w:ascii="Times New Roman" w:eastAsia="Times New Roman" w:hAnsi="Times New Roman" w:cs="Times New Roman"/>
              <w:color w:val="000000"/>
              <w:sz w:val="24"/>
            </w:rPr>
            <w:t>(Alnaim &amp; Metwally, 2024)</w:t>
          </w:r>
        </w:sdtContent>
      </w:sdt>
      <w:r w:rsidRPr="007E7CB6">
        <w:rPr>
          <w:rFonts w:ascii="Times New Roman" w:eastAsia="Times New Roman" w:hAnsi="Times New Roman" w:cs="Times New Roman"/>
          <w:sz w:val="24"/>
          <w:szCs w:val="24"/>
        </w:rPr>
        <w:t xml:space="preserve"> found that good GRC strengthens a company's social legitimacy and reputation and significantly improves environmental performance, especially when supported by accurate Environmental Management Accounting (EMA) practices.</w:t>
      </w:r>
    </w:p>
    <w:p w14:paraId="7EF3A7FF" w14:textId="1B224958"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 concept of GIC is also closely related to the theory of legitimacy, which states that companies must conduct their activities in accordance with values and </w:t>
      </w:r>
      <w:r w:rsidRPr="007E7CB6">
        <w:rPr>
          <w:rFonts w:ascii="Times New Roman" w:eastAsia="Times New Roman" w:hAnsi="Times New Roman" w:cs="Times New Roman"/>
          <w:sz w:val="24"/>
          <w:szCs w:val="24"/>
        </w:rPr>
        <w:lastRenderedPageBreak/>
        <w:t>norms accepted by society in order to survive</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A2ZDlkMDUtMjIxMC00ODU0LThlODctOGYwZDlhYjRkYTg1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1071656405"/>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In this context, the application of Green Intellectual Capital becomes a corporate strategy to maintain or obtain legitimacy from the public, regulators, and investors. Commitment to GIC shows that companies are not only profit-oriented, but also responsible for the environment.</w:t>
      </w:r>
    </w:p>
    <w:p w14:paraId="6480E1FD"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It can be concluded that Green Intellectual Capital is a crucial intangible asset in achieving corporate sustainability goals. Through GIC integration, companies are not only able to improve their environmental and financial performance, but also strengthen their legitimacy in the eyes of the public, which ultimately increases firm value and investor confidence.</w:t>
      </w:r>
    </w:p>
    <w:p w14:paraId="3F6A8698" w14:textId="77777777" w:rsidR="00153781" w:rsidRPr="007E7CB6" w:rsidRDefault="00000000">
      <w:pPr>
        <w:pStyle w:val="Heading3"/>
        <w:spacing w:before="0" w:after="0" w:line="480" w:lineRule="auto"/>
        <w:rPr>
          <w:rFonts w:ascii="Times New Roman" w:eastAsia="Times New Roman" w:hAnsi="Times New Roman" w:cs="Times New Roman"/>
          <w:sz w:val="24"/>
          <w:szCs w:val="24"/>
        </w:rPr>
      </w:pPr>
      <w:bookmarkStart w:id="49" w:name="_Toc210744220"/>
      <w:r w:rsidRPr="007E7CB6">
        <w:rPr>
          <w:rFonts w:ascii="Times New Roman" w:eastAsia="Times New Roman" w:hAnsi="Times New Roman" w:cs="Times New Roman"/>
          <w:b/>
          <w:color w:val="000000"/>
          <w:sz w:val="24"/>
          <w:szCs w:val="24"/>
        </w:rPr>
        <w:t>2.1.4</w:t>
      </w:r>
      <w:r w:rsidRPr="007E7CB6">
        <w:rPr>
          <w:rFonts w:ascii="Times New Roman" w:eastAsia="Times New Roman" w:hAnsi="Times New Roman" w:cs="Times New Roman"/>
          <w:b/>
          <w:color w:val="000000"/>
          <w:sz w:val="24"/>
          <w:szCs w:val="24"/>
        </w:rPr>
        <w:tab/>
        <w:t>Green Accounting</w:t>
      </w:r>
      <w:bookmarkEnd w:id="49"/>
    </w:p>
    <w:p w14:paraId="74BA4D55" w14:textId="3F99EF11"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accounting is an accounting approach that integrates environmental aspects into the recording, measurement, and reporting of a company's economic activities. The aim is to present more comprehensive information, not only related to financial performance but also the environmental impact caused, while responding to demands for transparency from stakeholders </w:t>
      </w:r>
      <w:sdt>
        <w:sdtPr>
          <w:rPr>
            <w:rFonts w:ascii="Times New Roman" w:eastAsia="Times New Roman" w:hAnsi="Times New Roman" w:cs="Times New Roman"/>
            <w:color w:val="000000"/>
            <w:sz w:val="24"/>
            <w:szCs w:val="24"/>
          </w:rPr>
          <w:tag w:val="MENDELEY_CITATION_v3_eyJjaXRhdGlvbklEIjoiTUVOREVMRVlfQ0lUQVRJT05fMWFhOGYyYjctNjc1MS00NTQ2LThiODctOWViMjU4ODdhMmQ3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
          <w:id w:val="-1800146292"/>
          <w:placeholder>
            <w:docPart w:val="DefaultPlaceholder_-1854013440"/>
          </w:placeholder>
        </w:sdtPr>
        <w:sdtContent>
          <w:r w:rsidR="00AD6D10" w:rsidRPr="007E7CB6">
            <w:rPr>
              <w:rFonts w:ascii="Times New Roman" w:eastAsia="Times New Roman" w:hAnsi="Times New Roman" w:cs="Times New Roman"/>
              <w:color w:val="000000"/>
              <w:sz w:val="24"/>
              <w:szCs w:val="24"/>
            </w:rPr>
            <w:t>(Albitar et al., 2020)</w:t>
          </w:r>
        </w:sdtContent>
      </w:sdt>
      <w:r w:rsidR="008A3945" w:rsidRPr="007E7CB6">
        <w:rPr>
          <w:rFonts w:ascii="Times New Roman" w:eastAsia="Times New Roman" w:hAnsi="Times New Roman" w:cs="Times New Roman"/>
          <w:sz w:val="24"/>
          <w:szCs w:val="24"/>
        </w:rPr>
        <w:t>.</w:t>
      </w:r>
    </w:p>
    <w:p w14:paraId="2A35A719" w14:textId="4879D324"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According to</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NkN2E1MWItODFhZi00NWJmLWE4MzQtNGY3MjRhMTc3ZGZhIiwicHJvcGVydGllcyI6eyJub3RlSW5kZXgiOjB9LCJpc0VkaXRlZCI6ZmFsc2UsIm1hbnVhbE92ZXJyaWRlIjp7ImlzTWFudWFsbHlPdmVycmlkZGVuIjpmYWxzZSwiY2l0ZXByb2NUZXh0IjoiKFN1bmRhcmFzZW4gZXQgYWwuLCAyMDI0KSIsIm1hbnVhbE92ZXJyaWRlVGV4dCI6IiJ9LCJjaXRhdGlvbkl0ZW1zIjpbeyJpZCI6ImQ4OWI0MWQwLTMxNDItMzc1Yi04NDc4LTlkOGRmODQ0NTA0YiIsIml0ZW1EYXRhIjp7InR5cGUiOiJhcnRpY2xlIiwiaWQiOiJkODliNDFkMC0zMTQyLTM3NWItODQ3OC05ZDhkZjg0NDUwNGIiLCJ0aXRsZSI6IkVudmlyb25tZW50YWwgQWNjb3VudGluZyBhbmQgU3VzdGFpbmFiaWxpdHk6IEEgTWV0YS1TeW50aGVzaXMiLCJhdXRob3IiOlt7ImZhbWlseSI6IlN1bmRhcmFzZW4iLCJnaXZlbiI6IlNoZWVsYSIsInBhcnNlLW5hbWVzIjpmYWxzZSwiZHJvcHBpbmctcGFydGljbGUiOiIiLCJub24tZHJvcHBpbmctcGFydGljbGUiOiIifSx7ImZhbWlseSI6IlJhamFnb3BhbGFuIiwiZ2l2ZW4iOiJVc2hhIiwicGFyc2UtbmFtZXMiOmZhbHNlLCJkcm9wcGluZy1wYXJ0aWNsZSI6IiIsIm5vbi1kcm9wcGluZy1wYXJ0aWNsZSI6IiJ9LHsiZmFtaWx5IjoiQWxzbWFkeSIsImdpdmVuIjoiQWhuYWYgQWxpIiwicGFyc2UtbmFtZXMiOmZhbHNlLCJkcm9wcGluZy1wYXJ0aWNsZSI6IiIsIm5vbi1kcm9wcGluZy1wYXJ0aWNsZSI6IiJ9XSwiY29udGFpbmVyLXRpdGxlIjoiU3VzdGFpbmFiaWxpdHkgKFN3aXR6ZXJsYW5kKSIsIkRPSSI6IjEwLjMzOTAvc3UxNjIxOTM0MSIsIklTU04iOiIyMDcxMTA1MCIsImlzc3VlZCI6eyJkYXRlLXBhcnRzIjpbWzIwMjQsMTEsMV1dfSwiYWJzdHJhY3QiOiJUaGlzIHN0dWR5IGNvbmR1Y3RzIGEgY29tcHJlaGVuc2l2ZSBtZXRhLXN5bnRoZXNpcyBvZiByZXZpZXctYmFzZWQgcmVzZWFyY2ggb24gZW52aXJvbm1lbnRhbCBhY2NvdW50aW5nLCBzcGFubmluZyBmcm9tIDE5OTUgdG8gMjAyNC4gRW52aXJvbm1lbnRhbCBhY2NvdW50aW5nLCBhbHNvIGtub3duIGFzIGdyZWVuIGFjY291bnRpbmcsIGhhcyBldm9sdmVkIGFzIGEgY3JpdGljYWwgdG9vbCBmb3IgaW50ZWdyYXRpbmcgc3VzdGFpbmFiaWxpdHkgaW50byBjb3Jwb3JhdGUgZmluYW5jaWFsIHByYWN0aWNlcy4gVXNpbmcgYmlibGlvbWV0cmljIG1ldGhvZHMgdmlhIEJpYmxpb21ldHJpeCBSLXBhY2thZ2UgKEJpYmxpb3NoaW554oCUVmVyc2lvbiA0LjIuMCkgYW5kIFZPU3ZpZXdlciAoVmVyc2lvbiAxLjYuMjApLCB0aGUgcmVzZWFyY2ggbWFpbmx5IGV4YW1pbmVzIHNjaG9sYXJseSBkaXNjdXNzaW9uIGluIHJldmlldy1iYXNlZCBzdHVkaWVzIGFuZCBpZGVudGlmaWVzIGRvbWluYW50IHRoZW1lcy4gVGhlIG1haW4gY2x1c3RlcnMgaWRlbnRpZmllZCBhcmUgKDEpIGVudmlyb25tZW50YWwgYXVkaXRzIGFuZCBtYW5hZ2VtZW50LCAoMikgZ3JlZW4gYWNjb3VudGluZywgZmluYW5jaWFsIHJlcG9ydGluZyBhbmQgc3VzdGFpbmFibGUgZGV2ZWxvcG1lbnQsICgzKSBDU1IsIHN0YWtlaG9sZGVyIGVuZ2FnZW1lbnQsIGFuZCBhY2NvdW50YWJpbGl0eSwgYW5kICg0KSBlbnZpcm9ubWVudGFsIGFjY291bnRpbmcgYW5kIHByb3RlY3Rpb24uIE9uIHRoZSBkZXNjcmlwdGl2ZSBlbmQsIHB1YmxpY2F0aW9uIHRyZW5kcywgcHJvbWluZW50IGF1dGhvcnMsIGFydGljbGVzLCBhbmQgc291cmNlcyBhcmUgaWRlbnRpZmllZC4gVGhlIGZpbmRpbmdzIGhpZ2hsaWdodCBhIHNpZ25pZmljYW50IGluY3JlYXNlIGluIHJldmlldy1iYXNlZCBzdHVkaWVzIHNpbmNlIDIwMjIsIGNvaW5jaWRpbmcgd2l0aCB0aGUgZ3Jvd2luZyBnbG9iYWwgYXdhcmVuZXNzIGFuZCBpbXBvcnRhbmNlIG9mIHN1c3RhaW5hYmlsaXR5LiBUaGlzIHN0dWR5IGNvbnRyaWJ1dGVzIHRvIHRoZSBmaWVsZCBieSBjb25zb2xpZGF0aW5nIGZyYWdtZW50ZWQgcmVzZWFyY2ggb24gZW52aXJvbm1lbnRhbCBhY2NvdW50aW5nLCBvZmZlcmluZyBhIGZyYW1ld29yayBmb3IgZnV0dXJlIGFjYWRlbWljIGV4cGxvcmF0aW9uLiBQcmFjdGljYWxseSwgaXQgaW5mb3JtcyBwb2xpY3ltYWtlcnMgYW5kIGJ1c2luZXNzIGxlYWRlcnMgb24gdGhlIGltcG9ydGFuY2Ugb2YgdW5pZmllZCByZXBvcnRpbmcgc3RhbmRhcmRzIGFjcm9zcyByZWdpb25zOyBpbnRlZ3JhdGluZyBlbnZpcm9ubWVudGFsIGNvbnNpZGVyYXRpb25zIGludG8gZmluYW5jaWFsIGRlY2lzaW9uLW1ha2luZzsgcHJvbW90aW5nIHRyYW5zcGFyZW5jeSwgYWNjb3VudGFiaWxpdHksIGFuZCBzdXN0YWluYWJpbGl0eSBhY2NvdW50aW5nOyBhbmQgZGlzY2xvc3VyZSBhY3Jvc3MgaW5kdXN0cmllcyBhbmQgcmVnaW9ucy4iLCJwdWJsaXNoZXIiOiJNdWx0aWRpc2NpcGxpbmFyeSBEaWdpdGFsIFB1Ymxpc2hpbmcgSW5zdGl0dXRlIChNRFBJKSIsImlzc3VlIjoiMjEiLCJ2b2x1bWUiOiIxNiIsImNvbnRhaW5lci10aXRsZS1zaG9ydCI6IiJ9LCJpc1RlbXBvcmFyeSI6ZmFsc2UsInN1cHByZXNzLWF1dGhvciI6ZmFsc2UsImNvbXBvc2l0ZSI6ZmFsc2UsImF1dGhvci1vbmx5IjpmYWxzZX1dfQ=="/>
          <w:id w:val="-314953983"/>
          <w:placeholder>
            <w:docPart w:val="DefaultPlaceholder_-1854013440"/>
          </w:placeholder>
        </w:sdtPr>
        <w:sdtContent>
          <w:r w:rsidR="00AD6D10" w:rsidRPr="007E7CB6">
            <w:rPr>
              <w:rFonts w:ascii="Times New Roman" w:eastAsia="Times New Roman" w:hAnsi="Times New Roman" w:cs="Times New Roman"/>
              <w:color w:val="000000"/>
              <w:sz w:val="24"/>
              <w:szCs w:val="24"/>
            </w:rPr>
            <w:t>(Sundarasen et al., 2024)</w:t>
          </w:r>
        </w:sdtContent>
      </w:sdt>
      <w:r w:rsidR="008A3945"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green accounting covers various aspects such as carbon emission measurement, energy efficiency, waste management, and sustainability reporting. The application of this practice in the public and private sectors has been proven to improve the quality of environmental reporting, support long-term strategic decision-making, and contribute to the achievement of the Sustainable Development Goals (SDGs). From the perspective of legitimacy theory</w:t>
      </w:r>
      <w:r w:rsidR="008A394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VjNjk5ODgtNTIxYy00Njk3LWJhMDEtOWNhNTUyZGE0N2Jk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559630757"/>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8A3945" w:rsidRPr="007E7CB6">
        <w:rPr>
          <w:rFonts w:ascii="Times New Roman" w:eastAsia="Times New Roman" w:hAnsi="Times New Roman" w:cs="Times New Roman"/>
          <w:sz w:val="24"/>
          <w:szCs w:val="24"/>
        </w:rPr>
        <w:t>,</w:t>
      </w:r>
      <w:r w:rsidRPr="007E7CB6">
        <w:rPr>
          <w:rFonts w:ascii="Times New Roman" w:eastAsia="Times New Roman" w:hAnsi="Times New Roman" w:cs="Times New Roman"/>
          <w:sz w:val="24"/>
          <w:szCs w:val="24"/>
        </w:rPr>
        <w:t xml:space="preserve"> green accounting serves as a corporate </w:t>
      </w:r>
      <w:r w:rsidRPr="007E7CB6">
        <w:rPr>
          <w:rFonts w:ascii="Times New Roman" w:eastAsia="Times New Roman" w:hAnsi="Times New Roman" w:cs="Times New Roman"/>
          <w:sz w:val="24"/>
          <w:szCs w:val="24"/>
        </w:rPr>
        <w:lastRenderedPageBreak/>
        <w:t xml:space="preserve">strategy to obtain and maintain social legitimacy. Through transparent and responsible environmental reporting, companies can demonstrate compliance with social values and norms, as well as strengthen their image in the eyes of regulators, the public, and investors. </w:t>
      </w:r>
    </w:p>
    <w:p w14:paraId="67582F3D" w14:textId="45A8A042"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Indonesia, the implementation of green accounting is reflected in the Company Performance Rating Program (PROPER) initiated by the Ministry of Environment and Forestry (KLHK). PROPER assesses company performance based on compliance with environmental regulations and the implementation of voluntary sustainability initiatives. Companies that achieve a Gold or Green rating generally have more transparent environmental reporting systems and demonstrate a high commitment to reducing environmental impact. Conversely, a Red or Black rating indicates low environmental compliance and potential financial burdens due to sanctions and restoration costs.</w:t>
      </w:r>
    </w:p>
    <w:p w14:paraId="3D192A1A" w14:textId="4CB2391C" w:rsidR="00153781" w:rsidRPr="007E7CB6" w:rsidRDefault="008A3945" w:rsidP="00F04372">
      <w:pPr>
        <w:pStyle w:val="Caption"/>
        <w:spacing w:after="0" w:line="360" w:lineRule="auto"/>
        <w:jc w:val="both"/>
        <w:rPr>
          <w:rFonts w:ascii="Times New Roman" w:eastAsia="Times New Roman" w:hAnsi="Times New Roman" w:cs="Times New Roman"/>
          <w:b/>
          <w:bCs/>
          <w:i w:val="0"/>
          <w:iCs w:val="0"/>
          <w:color w:val="000000" w:themeColor="text1"/>
          <w:sz w:val="36"/>
          <w:szCs w:val="36"/>
        </w:rPr>
      </w:pPr>
      <w:bookmarkStart w:id="50" w:name="_Toc209703359"/>
      <w:r w:rsidRPr="007E7CB6">
        <w:rPr>
          <w:rFonts w:ascii="Times New Roman" w:hAnsi="Times New Roman" w:cs="Times New Roman"/>
          <w:b/>
          <w:bCs/>
          <w:i w:val="0"/>
          <w:iCs w:val="0"/>
          <w:color w:val="000000" w:themeColor="text1"/>
          <w:sz w:val="24"/>
          <w:szCs w:val="24"/>
        </w:rPr>
        <w:t>Table 2.</w:t>
      </w:r>
      <w:r w:rsidRPr="007E7CB6">
        <w:rPr>
          <w:rFonts w:ascii="Times New Roman" w:hAnsi="Times New Roman" w:cs="Times New Roman"/>
          <w:b/>
          <w:bCs/>
          <w:i w:val="0"/>
          <w:iCs w:val="0"/>
          <w:color w:val="000000" w:themeColor="text1"/>
          <w:sz w:val="24"/>
          <w:szCs w:val="24"/>
        </w:rPr>
        <w:fldChar w:fldCharType="begin"/>
      </w:r>
      <w:r w:rsidRPr="007E7CB6">
        <w:rPr>
          <w:rFonts w:ascii="Times New Roman" w:hAnsi="Times New Roman" w:cs="Times New Roman"/>
          <w:b/>
          <w:bCs/>
          <w:i w:val="0"/>
          <w:iCs w:val="0"/>
          <w:color w:val="000000" w:themeColor="text1"/>
          <w:sz w:val="24"/>
          <w:szCs w:val="24"/>
        </w:rPr>
        <w:instrText xml:space="preserve"> SEQ Table \* ARABIC </w:instrText>
      </w:r>
      <w:r w:rsidRPr="007E7CB6">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w:t>
      </w:r>
      <w:r w:rsidRPr="007E7CB6">
        <w:rPr>
          <w:rFonts w:ascii="Times New Roman" w:hAnsi="Times New Roman" w:cs="Times New Roman"/>
          <w:b/>
          <w:bCs/>
          <w:i w:val="0"/>
          <w:iCs w:val="0"/>
          <w:color w:val="000000" w:themeColor="text1"/>
          <w:sz w:val="24"/>
          <w:szCs w:val="24"/>
        </w:rPr>
        <w:fldChar w:fldCharType="end"/>
      </w:r>
      <w:r w:rsidR="00F04372" w:rsidRPr="007E7CB6">
        <w:rPr>
          <w:rFonts w:ascii="Times New Roman" w:hAnsi="Times New Roman" w:cs="Times New Roman"/>
          <w:b/>
          <w:bCs/>
          <w:i w:val="0"/>
          <w:iCs w:val="0"/>
          <w:color w:val="000000" w:themeColor="text1"/>
          <w:sz w:val="24"/>
          <w:szCs w:val="24"/>
        </w:rPr>
        <w:t xml:space="preserve"> Indicators for the Company Performance Rating Program in Environmental Management (PROPER)</w:t>
      </w:r>
      <w:r w:rsidRPr="007E7CB6">
        <w:rPr>
          <w:rFonts w:ascii="Times New Roman" w:hAnsi="Times New Roman" w:cs="Times New Roman"/>
          <w:color w:val="FFFFFF"/>
        </w:rPr>
        <w:t>1</w:t>
      </w:r>
      <w:bookmarkEnd w:id="50"/>
    </w:p>
    <w:tbl>
      <w:tblPr>
        <w:tblStyle w:val="a9"/>
        <w:tblW w:w="7927" w:type="dxa"/>
        <w:tblLayout w:type="fixed"/>
        <w:tblLook w:val="0400" w:firstRow="0" w:lastRow="0" w:firstColumn="0" w:lastColumn="0" w:noHBand="0" w:noVBand="1"/>
      </w:tblPr>
      <w:tblGrid>
        <w:gridCol w:w="1230"/>
        <w:gridCol w:w="6697"/>
      </w:tblGrid>
      <w:tr w:rsidR="00153781" w:rsidRPr="007E7CB6" w14:paraId="70CF8486" w14:textId="77777777">
        <w:trPr>
          <w:trHeight w:val="442"/>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0F35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Rank</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4773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Descriptions</w:t>
            </w:r>
          </w:p>
        </w:tc>
      </w:tr>
      <w:tr w:rsidR="00153781" w:rsidRPr="007E7CB6" w14:paraId="6642E4BA" w14:textId="77777777">
        <w:trPr>
          <w:trHeight w:val="1710"/>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1C044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Gold</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E3FD0" w14:textId="77777777" w:rsidR="00153781" w:rsidRPr="007E7CB6" w:rsidRDefault="00000000">
            <w:pPr>
              <w:keepNext/>
              <w:keepLines/>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 xml:space="preserve">The company consistently demonstrates excellence in its production processes and services, while conducting its business in an ethical and socially responsible manner. In addition, the company is committed to environmental excellence by implementing sustainable production and service practices, and integrating social responsibility into every aspect of its operations. </w:t>
            </w:r>
          </w:p>
        </w:tc>
      </w:tr>
      <w:tr w:rsidR="00153781" w:rsidRPr="007E7CB6" w14:paraId="5A55E3AD" w14:textId="77777777">
        <w:trPr>
          <w:trHeight w:val="2122"/>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DAF6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Green</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4FCC1A"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company has managed the environment with standards that exceed regulatory requirements (beyond compliance) through the implementation of an effective environmental management system. In addition, the company also optimizes the efficient use of resources and carries out its social responsibilities well, reflecting its commitment to sustainability and concern for the environment and society.</w:t>
            </w:r>
          </w:p>
        </w:tc>
      </w:tr>
      <w:tr w:rsidR="00153781" w:rsidRPr="007E7CB6" w14:paraId="47B9A2BC" w14:textId="77777777">
        <w:trPr>
          <w:trHeight w:val="1080"/>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0C42B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lastRenderedPageBreak/>
              <w:t>Blue</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67F1F1"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company has implemented environmental management in accordance with applicable laws and regulations, ensuring compliance with the standards set in its operations.</w:t>
            </w:r>
          </w:p>
        </w:tc>
      </w:tr>
      <w:tr w:rsidR="00153781" w:rsidRPr="007E7CB6" w14:paraId="3261D3AD" w14:textId="77777777">
        <w:trPr>
          <w:trHeight w:val="720"/>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4EDA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Red</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CD91C"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company has made efforts to manage the environment, but has not yet fully complied with applicable laws and regulations.</w:t>
            </w:r>
          </w:p>
        </w:tc>
      </w:tr>
      <w:tr w:rsidR="00153781" w:rsidRPr="007E7CB6" w14:paraId="184A34A5" w14:textId="77777777">
        <w:trPr>
          <w:trHeight w:val="1548"/>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258C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Black</w:t>
            </w:r>
          </w:p>
        </w:tc>
        <w:tc>
          <w:tcPr>
            <w:tcW w:w="6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4CEB0"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Imposed on parties who, in the course of their business or activities, have intentionally or negligently caused environmental pollution or damage, violated applicable laws and regulations, and failed to comply with the administrative sanctions that have been imposed.</w:t>
            </w:r>
          </w:p>
        </w:tc>
      </w:tr>
    </w:tbl>
    <w:p w14:paraId="71D25769" w14:textId="77777777" w:rsidR="00153781" w:rsidRPr="007E7CB6" w:rsidRDefault="00000000">
      <w:pPr>
        <w:spacing w:after="240" w:line="240" w:lineRule="auto"/>
        <w:jc w:val="both"/>
        <w:rPr>
          <w:rFonts w:ascii="Times New Roman" w:eastAsia="Times New Roman" w:hAnsi="Times New Roman" w:cs="Times New Roman"/>
          <w:i/>
        </w:rPr>
      </w:pPr>
      <w:r w:rsidRPr="007E7CB6">
        <w:rPr>
          <w:rFonts w:ascii="Times New Roman" w:eastAsia="Times New Roman" w:hAnsi="Times New Roman" w:cs="Times New Roman"/>
          <w:i/>
        </w:rPr>
        <w:t>Source: Report on the Company Performance Assessment Program in Environmental Management (PROPER), 2018, Ministry of Environment and Forestry (Processed by researchers, 2025)</w:t>
      </w:r>
    </w:p>
    <w:p w14:paraId="2D703D33" w14:textId="77777777" w:rsidR="00153781" w:rsidRPr="007E7CB6" w:rsidRDefault="00000000">
      <w:pPr>
        <w:pStyle w:val="Heading3"/>
        <w:spacing w:before="0" w:after="0" w:line="480" w:lineRule="auto"/>
        <w:rPr>
          <w:rFonts w:ascii="Times New Roman" w:eastAsia="Times New Roman" w:hAnsi="Times New Roman" w:cs="Times New Roman"/>
          <w:b/>
          <w:sz w:val="24"/>
          <w:szCs w:val="24"/>
        </w:rPr>
      </w:pPr>
      <w:bookmarkStart w:id="51" w:name="_Toc210744221"/>
      <w:r w:rsidRPr="007E7CB6">
        <w:rPr>
          <w:rFonts w:ascii="Times New Roman" w:eastAsia="Times New Roman" w:hAnsi="Times New Roman" w:cs="Times New Roman"/>
          <w:b/>
          <w:color w:val="000000"/>
          <w:sz w:val="24"/>
          <w:szCs w:val="24"/>
        </w:rPr>
        <w:t>2.1.5</w:t>
      </w:r>
      <w:r w:rsidRPr="007E7CB6">
        <w:rPr>
          <w:rFonts w:ascii="Times New Roman" w:eastAsia="Times New Roman" w:hAnsi="Times New Roman" w:cs="Times New Roman"/>
          <w:b/>
          <w:color w:val="000000"/>
          <w:sz w:val="24"/>
          <w:szCs w:val="24"/>
        </w:rPr>
        <w:tab/>
        <w:t>Carbon Emission Disclosure</w:t>
      </w:r>
      <w:bookmarkEnd w:id="51"/>
    </w:p>
    <w:p w14:paraId="45E8904A"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Carbon emission disclosure is a form of non-financial disclosure that conveys information related to greenhouse gas (GHG) emissions generated from company activities, including the amount of emissions, sources of emissions, reduction targets, and climate change mitigation policies. </w:t>
      </w:r>
    </w:p>
    <w:p w14:paraId="05F43AA8" w14:textId="30FE2095"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practice is becoming increasingly important in response to demands for transparency from regulators, investors, and the public. The Intergovernmental Panel on Climate Change</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mQ3Y2I1M2UtNmI1NC00NzQ3LThlOGQtYzQwNGQwNGU0MjI3IiwicHJvcGVydGllcyI6eyJub3RlSW5kZXgiOjB9LCJpc0VkaXRlZCI6ZmFsc2UsIm1hbnVhbE92ZXJyaWRlIjp7ImlzTWFudWFsbHlPdmVycmlkZGVuIjp0cnVlLCJjaXRlcHJvY1RleHQiOiIoQ2FsdmluIGV0IGFsLiwgMjAyMykiLCJtYW51YWxPdmVycmlkZVRleHQiOiIoSVBDQywgMjAyMykifSwiY2l0YXRpb25JdGVtcyI6W3siaWQiOiIyYjlkMzdiMy04YmRjLTMwYTMtYmE0YS03OTg4YjFkMzVkMGQiLCJpdGVtRGF0YSI6eyJ0eXBlIjoicmVwb3J0IiwiaWQiOiIyYjlkMzdiMy04YmRjLTMwYTMtYmE0YS03OTg4YjFkMzVkMGQ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Q2FsdmluIiwiZ2l2ZW4iOiJLYXRoZXJpbmUiLCJwYXJzZS1uYW1lcyI6ZmFsc2UsImRyb3BwaW5nLXBhcnRpY2xlIjoiIiwibm9uLWRyb3BwaW5nLXBhcnRpY2xlIjoiIn0seyJmYW1pbHkiOiJEYXNndXB0YSIsImdpdmVuIjoiRGlwYWsiLCJwYXJzZS1uYW1lcyI6ZmFsc2UsImRyb3BwaW5nLXBhcnRpY2xlIjoiIiwibm9uLWRyb3BwaW5nLXBhcnRpY2xlIjoiIn0seyJmYW1pbHkiOiJLcmlubmVyIiwiZ2l2ZW4iOiJHZXJoYXJkIiwicGFyc2UtbmFtZXMiOmZhbHNlLCJkcm9wcGluZy1wYXJ0aWNsZSI6IiIsIm5vbi1kcm9wcGluZy1wYXJ0aWNsZSI6IiJ9LHsiZmFtaWx5IjoiTXVraGVyamkiLCJnaXZlbiI6IkFkaXRpIiwicGFyc2UtbmFtZXMiOmZhbHNlLCJkcm9wcGluZy1wYXJ0aWNsZSI6IiIsIm5vbi1kcm9wcGluZy1wYXJ0aWNsZSI6IiJ9LHsiZmFtaWx5IjoiVGhvcm5lIiwiZ2l2ZW4iOiJQZXRlciBXLiIsInBhcnNlLW5hbWVzIjpmYWxzZSwiZHJvcHBpbmctcGFydGljbGUiOiIiLCJub24tZHJvcHBpbmctcGFydGljbGUiOiIifSx7ImZhbWlseSI6IlRyaXNvcyIsImdpdmVuIjoiQ2hyaXN0b3BoZXIiLCJwYXJzZS1uYW1lcyI6ZmFsc2UsImRyb3BwaW5nLXBhcnRpY2xlIjoiIiwibm9uLWRyb3BwaW5nLXBhcnRpY2xlIjoiIn0seyJmYW1pbHkiOiJSb21lcm8iLCJnaXZlbiI6Ikpvc8OpIiwicGFyc2UtbmFtZXMiOmZhbHNlLCJkcm9wcGluZy1wYXJ0aWNsZSI6IiIsIm5vbi1kcm9wcGluZy1wYXJ0aWNsZSI6IiJ9LHsiZmFtaWx5IjoiQWxkdW5jZSIsImdpdmVuIjoiUGF1bGluYSIsInBhcnNlLW5hbWVzIjpmYWxzZSwiZHJvcHBpbmctcGFydGljbGUiOiIiLCJub24tZHJvcHBpbmctcGFydGljbGUiOiIifSx7ImZhbWlseSI6IkJhcnJldHQiLCJnaXZlbiI6IktvIiwicGFyc2UtbmFtZXMiOmZhbHNlLCJkcm9wcGluZy1wYXJ0aWNsZSI6IiIsIm5vbi1kcm9wcGluZy1wYXJ0aWNsZSI6IiJ9LHsiZmFtaWx5IjoiQmxhbmNvIiwiZ2l2ZW4iOiJHYWJyaWVsIiwicGFyc2UtbmFtZXMiOmZhbHNlLCJkcm9wcGluZy1wYXJ0aWNsZSI6IiIsIm5vbi1kcm9wcGluZy1wYXJ0aWNsZSI6IiJ9LHsiZmFtaWx5IjoiQ2hldW5nIiwiZ2l2ZW4iOiJXaWxsaWFtIFcuTC4iLCJwYXJzZS1uYW1lcyI6ZmFsc2UsImRyb3BwaW5nLXBhcnRpY2xlIjoiIiwibm9uLWRyb3BwaW5nLXBhcnRpY2xlIjoiIn0seyJmYW1pbHkiOiJDb25ub3JzIiwiZ2l2ZW4iOiJTYXJhaCIsInBhcnNlLW5hbWVzIjpmYWxzZSwiZHJvcHBpbmctcGFydGljbGUiOiIiLCJub24tZHJvcHBpbmctcGFydGljbGUiOiIifSx7ImZhbWlseSI6IkRlbnRvbiIsImdpdmVuIjoiRmF0aW1hIiwicGFyc2UtbmFtZXMiOmZhbHNlLCJkcm9wcGluZy1wYXJ0aWNsZSI6IiIsIm5vbi1kcm9wcGluZy1wYXJ0aWNsZSI6IiJ9LHsiZmFtaWx5IjoiRGlvbmd1ZS1OaWFuZyIsImdpdmVuIjoiQcOvZGEiLCJwYXJzZS1uYW1lcyI6ZmFsc2UsImRyb3BwaW5nLXBhcnRpY2xlIjoiIiwibm9uLWRyb3BwaW5nLXBhcnRpY2xlIjoiIn0seyJmYW1pbHkiOiJEb2RtYW4iLCJnaXZlbiI6IkRhdmlkIiwicGFyc2UtbmFtZXMiOmZhbHNlLCJkcm9wcGluZy1wYXJ0aWNsZSI6IiIsIm5vbi1kcm9wcGluZy1wYXJ0aWNsZSI6IiJ9LHsiZmFtaWx5IjoiR2Fyc2NoYWdlbiIsImdpdmVuIjoiTWF0dGhpYXMiLCJwYXJzZS1uYW1lcyI6ZmFsc2UsImRyb3BwaW5nLXBhcnRpY2xlIjoiIiwibm9uLWRyb3BwaW5nLXBhcnRpY2xlIjoiIn0seyJmYW1pbHkiOiJHZWRlbiIsImdpdmVuIjoiT2xpdmVyIiwicGFyc2UtbmFtZXMiOmZhbHNlLCJkcm9wcGluZy1wYXJ0aWNsZSI6IiIsIm5vbi1kcm9wcGluZy1wYXJ0aWNsZSI6IiJ9LHsiZmFtaWx5IjoiSGF5d2FyZCIsImdpdmVuIjoiQnJvbnd5biIsInBhcnNlLW5hbWVzIjpmYWxzZSwiZHJvcHBpbmctcGFydGljbGUiOiIiLCJub24tZHJvcHBpbmctcGFydGljbGUiOiIifSx7ImZhbWlseSI6IkpvbmVzIiwiZ2l2ZW4iOiJDaHJpc3RvcGhlciIsInBhcnNlLW5hbWVzIjpmYWxzZSwiZHJvcHBpbmctcGFydGljbGUiOiIiLCJub24tZHJvcHBpbmctcGFydGljbGUiOiIifSx7ImZhbWlseSI6IkpvdHpvIiwiZ2l2ZW4iOiJGcmFuayIsInBhcnNlLW5hbWVzIjpmYWxzZSwiZHJvcHBpbmctcGFydGljbGUiOiIiLCJub24tZHJvcHBpbmctcGFydGljbGUiOiIifSx7ImZhbWlseSI6IktydWciLCJnaXZlbiI6IlRoZWxtYSIsInBhcnNlLW5hbWVzIjpmYWxzZSwiZHJvcHBpbmctcGFydGljbGUiOiIiLCJub24tZHJvcHBpbmctcGFydGljbGUiOiIifSx7ImZhbWlseSI6Ikxhc2NvIiwiZ2l2ZW4iOiJSb2RlbCIsInBhcnNlLW5hbWVzIjpmYWxzZSwiZHJvcHBpbmctcGFydGljbGUiOiIiLCJub24tZHJvcHBpbmctcGFydGljbGUiOiIifSx7ImZhbWlseSI6IkxlZSIsImdpdmVuIjoiWXVuZS1ZaSIsInBhcnNlLW5hbWVzIjpmYWxzZSwiZHJvcHBpbmctcGFydGljbGUiOiIiLCJub24tZHJvcHBpbmctcGFydGljbGUiOiIifSx7ImZhbWlseSI6Ik1hc3Nvbi1EZWxtb3R0ZSIsImdpdmVuIjoiVmFsw6lyaWUiLCJwYXJzZS1uYW1lcyI6ZmFsc2UsImRyb3BwaW5nLXBhcnRpY2xlIjoiIiwibm9uLWRyb3BwaW5nLXBhcnRpY2xlIjoiIn0seyJmYW1pbHkiOiJNZWluc2hhdXNlbiIsImdpdmVuIjoiTWFsdGUiLCJwYXJzZS1uYW1lcyI6ZmFsc2UsImRyb3BwaW5nLXBhcnRpY2xlIjoiIiwibm9uLWRyb3BwaW5nLXBhcnRpY2xlIjoiIn0seyJmYW1pbHkiOiJNaW50ZW5iZWNrIiwiZ2l2ZW4iOiJLYXRqYSIsInBhcnNlLW5hbWVzIjpmYWxzZSwiZHJvcHBpbmctcGFydGljbGUiOiIiLCJub24tZHJvcHBpbmctcGFydGljbGUiOiIifSx7ImZhbWlseSI6Ik1va3NzaXQiLCJnaXZlbiI6IkFiZGFsYWgiLCJwYXJzZS1uYW1lcyI6ZmFsc2UsImRyb3BwaW5nLXBhcnRpY2xlIjoiIiwibm9uLWRyb3BwaW5nLXBhcnRpY2xlIjoiIn0seyJmYW1pbHkiOiJPdHRvIiwiZ2l2ZW4iOiJGcmllZGVyaWtlIEUuTC4iLCJwYXJzZS1uYW1lcyI6ZmFsc2UsImRyb3BwaW5nLXBhcnRpY2xlIjoiIiwibm9uLWRyb3BwaW5nLXBhcnRpY2xlIjoiIn0seyJmYW1pbHkiOiJQYXRoYWsiLCJnaXZlbiI6Ik1pbmFs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lDDtnJ0bmVyIiwiZ2l2ZW4iOiJIYW5zLU90dG8iLCJwYXJzZS1uYW1lcyI6ZmFsc2UsImRyb3BwaW5nLXBhcnRpY2xlIjoiIiwibm9uLWRyb3BwaW5nLXBhcnRpY2xlIjoiIn0seyJmYW1pbHkiOiJSZXZpIiwiZ2l2ZW4iOiJBcm9tYXIiLCJwYXJzZS1uYW1lcyI6ZmFsc2UsImRyb3BwaW5nLXBhcnRpY2xlIjoiIiwibm9uLWRyb3BwaW5nLXBhcnRpY2xlIjoiIn0seyJmYW1pbHkiOiJSb2JlcnRzIiwiZ2l2ZW4iOiJEZWJyYSBDLiIsInBhcnNlLW5hbWVzIjpmYWxzZSwiZHJvcHBpbmctcGFydGljbGUiOiIiLCJub24tZHJvcHBpbmctcGFydGljbGUiOiIifSx7ImZhbWlseSI6IlJveSIsImdpdmVuIjoiSm95YXNocmVlIiwicGFyc2UtbmFtZXMiOmZhbHNlLCJkcm9wcGluZy1wYXJ0aWNsZSI6IiIsIm5vbi1kcm9wcGluZy1wYXJ0aWNsZSI6IiJ9LHsiZmFtaWx5IjoiUnVhbmUiLCJnaXZlbiI6IkFsZXggQy4iLCJwYXJzZS1uYW1lcyI6ZmFsc2UsImRyb3BwaW5nLXBhcnRpY2xlIjoiIiwibm9uLWRyb3BwaW5nLXBhcnRpY2xlIjoiIn0seyJmYW1pbHkiOiJTa2VhIiwiZ2l2ZW4iOiJKaW0iLCJwYXJzZS1uYW1lcyI6ZmFsc2UsImRyb3BwaW5nLXBhcnRpY2xlIjoiIiwibm9uLWRyb3BwaW5nLXBhcnRpY2xlIjoiIn0seyJmYW1pbHkiOiJTaHVrbGEiLCJnaXZlbiI6IlByaXlhZGFyc2hpIFIuIiwicGFyc2UtbmFtZXMiOmZhbHNlLCJkcm9wcGluZy1wYXJ0aWNsZSI6IiIsIm5vbi1kcm9wcGluZy1wYXJ0aWNsZSI6IiJ9LHsiZmFtaWx5IjoiU2xhZGUiLCJnaXZlbiI6IlJhcGhhZWwiLCJwYXJzZS1uYW1lcyI6ZmFsc2UsImRyb3BwaW5nLXBhcnRpY2xlIjoiIiwibm9uLWRyb3BwaW5nLXBhcnRpY2xlIjoiIn0seyJmYW1pbHkiOiJTbGFuZ2VuIiwiZ2l2ZW4iOiJBaW3DqWUiLCJwYXJzZS1uYW1lcyI6ZmFsc2UsImRyb3BwaW5nLXBhcnRpY2xlIjoiIiwibm9uLWRyb3BwaW5nLXBhcnRpY2xlIjoiIn0seyJmYW1pbHkiOiJTb2tvbmEiLCJnaXZlbiI6IllvdWJhIiwicGFyc2UtbmFtZXMiOmZhbHNlLCJkcm9wcGluZy1wYXJ0aWNsZSI6IiIsIm5vbi1kcm9wcGluZy1wYXJ0aWNsZSI6IiJ9LHsiZmFtaWx5IjoiU8O2cmVuc3NvbiIsImdpdmVuIjoiQW5uYSBBLiIsInBhcnNlLW5hbWVzIjpmYWxzZSwiZHJvcHBpbmctcGFydGljbGUiOiIiLCJub24tZHJvcHBpbmctcGFydGljbGUiOiIifSx7ImZhbWlseSI6IlRpZ25vciIsImdpdmVuIjoiTWVsaW5kYSIsInBhcnNlLW5hbWVzIjpmYWxzZSwiZHJvcHBpbmctcGFydGljbGUiOiIiLCJub24tZHJvcHBpbmctcGFydGljbGUiOiIifSx7ImZhbWlseSI6IlZ1dXJlbiIsImdpdmVuIjoiRGV0bGVmIiwicGFyc2UtbmFtZXMiOmZhbHNlLCJkcm9wcGluZy1wYXJ0aWNsZSI6IiIsIm5vbi1kcm9wcGluZy1wYXJ0aWNsZSI6InZhbiJ9LHsiZmFtaWx5IjoiV2VpIiwiZ2l2ZW4iOiJZaS1NaW5nIiwicGFyc2UtbmFtZXMiOmZhbHNlLCJkcm9wcGluZy1wYXJ0aWNsZSI6IiIsIm5vbi1kcm9wcGluZy1wYXJ0aWNsZSI6IiJ9LHsiZmFtaWx5IjoiV2lua2xlciIsImdpdmVuIjoiSGFyYWxkIiwicGFyc2UtbmFtZXMiOmZhbHNlLCJkcm9wcGluZy1wYXJ0aWNsZSI6IiIsIm5vbi1kcm9wcGluZy1wYXJ0aWNsZSI6IiJ9LHsiZmFtaWx5IjoiWmhhaSIsImdpdmVuIjoiUGFubWFvIiwicGFyc2UtbmFtZXMiOmZhbHNlLCJkcm9wcGluZy1wYXJ0aWNsZSI6IiIsIm5vbi1kcm9wcGluZy1wYXJ0aWNsZSI6IiJ9LHsiZmFtaWx5IjoiWm9tbWVycyIsImdpdmVuIjoiWmludGEiLCJwYXJzZS1uYW1lcyI6ZmFsc2UsImRyb3BwaW5nLXBhcnRpY2xlIjoiIiwibm9uLWRyb3BwaW5nLXBhcnRpY2xlIjoiIn0seyJmYW1pbHkiOiJIb3VyY2FkZSIsImdpdmVuIjoiSmVhbi1DaGFybGVzIiwicGFyc2UtbmFtZXMiOmZhbHNlLCJkcm9wcGluZy1wYXJ0aWNsZSI6IiIsIm5vbi1kcm9wcGluZy1wYXJ0aWNsZSI6IiJ9LHsiZmFtaWx5IjoiSm9obnNvbiIsImdpdmVuIjoiRnJhbmNpcyBYLiIsInBhcnNlLW5hbWVzIjpmYWxzZSwiZHJvcHBpbmctcGFydGljbGUiOiIiLCJub24tZHJvcHBpbmctcGFydGljbGUiOiIifSx7ImZhbWlseSI6IlBhY2hhdXJpIiwiZ2l2ZW4iOiJTaG9uYWxpIiwicGFyc2UtbmFtZXMiOmZhbHNlLCJkcm9wcGluZy1wYXJ0aWNsZSI6IiIsIm5vbi1kcm9wcGluZy1wYXJ0aWNsZSI6IiJ9LHsiZmFtaWx5IjoiU2ltcHNvbiIsImdpdmVuIjoiTmljaG9sYXMgUC4iLCJwYXJzZS1uYW1lcyI6ZmFsc2UsImRyb3BwaW5nLXBhcnRpY2xlIjoiIiwibm9uLWRyb3BwaW5nLXBhcnRpY2xlIjoiIn0seyJmYW1pbHkiOiJTaW5naCIsImdpdmVuIjoiQ2hhbmRuaSIsInBhcnNlLW5hbWVzIjpmYWxzZSwiZHJvcHBpbmctcGFydGljbGUiOiIiLCJub24tZHJvcHBpbmctcGFydGljbGUiOiIifSx7ImZhbWlseSI6IlRob21hcyIsImdpdmVuIjoiQWRlbGxlIiwicGFyc2UtbmFtZXMiOmZhbHNlLCJkcm9wcGluZy1wYXJ0aWNsZSI6IiIsIm5vbi1kcm9wcGluZy1wYXJ0aWNsZSI6IiJ9LHsiZmFtaWx5IjoiVG90aW4iLCJnaXZlbiI6IkVkbW9uZCIsInBhcnNlLW5hbWVzIjpmYWxzZSwiZHJvcHBpbmctcGFydGljbGUiOiIiLCJub24tZHJvcHBpbmctcGFydGljbGUiOiIifSx7ImZhbWlseSI6IkFsZWdyw61hIiwiZ2l2ZW4iOiJBbmRyw6lzIiwicGFyc2UtbmFtZXMiOmZhbHNlLCJkcm9wcGluZy1wYXJ0aWNsZSI6IiIsIm5vbi1kcm9wcGluZy1wYXJ0aWNsZSI6IiJ9LHsiZmFtaWx5IjoiQXJtb3VyIiwiZ2l2ZW4iOiJLeWxlIiwicGFyc2UtbmFtZXMiOmZhbHNlLCJkcm9wcGluZy1wYXJ0aWNsZSI6IiIsIm5vbi1kcm9wcGluZy1wYXJ0aWNsZSI6IiJ9LHsiZmFtaWx5IjoiQmVkbmFyLUZyaWVkbCIsImdpdmVuIjoiQmlyZ2l0IiwicGFyc2UtbmFtZXMiOmZhbHNlLCJkcm9wcGluZy1wYXJ0aWNsZSI6IiIsIm5vbi1kcm9wcGluZy1wYXJ0aWNsZSI6IiJ9LHsiZmFtaWx5IjoiQmxvayIsImdpdmVuIjoiS29ybmVsaXMiLCJwYXJzZS1uYW1lcyI6ZmFsc2UsImRyb3BwaW5nLXBhcnRpY2xlIjoiIiwibm9uLWRyb3BwaW5nLXBhcnRpY2xlIjoiIn0seyJmYW1pbHkiOiJDaXNzw6kiLCJnaXZlbiI6Ikd1w6lsYWRpbyIsInBhcnNlLW5hbWVzIjpmYWxzZSwiZHJvcHBpbmctcGFydGljbGUiOiIiLCJub24tZHJvcHBpbmctcGFydGljbGUiOiIifSx7ImZhbWlseSI6IkRlbnRlbmVyIiwiZ2l2ZW4iOiJGcmFuayIsInBhcnNlLW5hbWVzIjpmYWxzZSwiZHJvcHBpbmctcGFydGljbGUiOiIiLCJub24tZHJvcHBpbmctcGFydGljbGUiOiIifSx7ImZhbWlseSI6IkVyaWtzZW4iLCJnaXZlbiI6IlNpcmkiLCJwYXJzZS1uYW1lcyI6ZmFsc2UsImRyb3BwaW5nLXBhcnRpY2xlIjoiIiwibm9uLWRyb3BwaW5nLXBhcnRpY2xlIjoiIn0seyJmYW1pbHkiOiJGaXNjaGVyIiwiZ2l2ZW4iOiJFcmljaCIsInBhcnNlLW5hbWVzIjpmYWxzZSwiZHJvcHBpbmctcGFydGljbGUiOiIiLCJub24tZHJvcHBpbmctcGFydGljbGUiOiIifSx7ImZhbWlseSI6Ikdhcm5lciIsImdpdmVuIjoiR3JlZ29yeSIsInBhcnNlLW5hbWVzIjpmYWxzZSwiZHJvcHBpbmctcGFydGljbGUiOiIiLCJub24tZHJvcHBpbmctcGFydGljbGUiOiIifSx7ImZhbWlseSI6Ikd1aXZhcmNoIiwiZ2l2ZW4iOiJDw6lsaW5lIiwicGFyc2UtbmFtZXMiOmZhbHNlLCJkcm9wcGluZy1wYXJ0aWNsZSI6IiIsIm5vbi1kcm9wcGluZy1wYXJ0aWNsZSI6IiJ9LHsiZmFtaWx5IjoiSGFhc25vb3QiLCJnaXZlbiI6Ik1hcmpvbGlqbiIsInBhcnNlLW5hbWVzIjpmYWxzZSwiZHJvcHBpbmctcGFydGljbGUiOiIiLCJub24tZHJvcHBpbmctcGFydGljbGUiOiIifSx7ImZhbWlseSI6IkhhbnNlbiIsImdpdmVuIjoiR2Vycml0IiwicGFyc2UtbmFtZXMiOmZhbHNlLCJkcm9wcGluZy1wYXJ0aWNsZSI6IiIsIm5vbi1kcm9wcGluZy1wYXJ0aWNsZSI6IiJ9LHsiZmFtaWx5IjoiSGF1c2VyIiwiZ2l2ZW4iOiJNYXRoaWFzIiwicGFyc2UtbmFtZXMiOmZhbHNlLCJkcm9wcGluZy1wYXJ0aWNsZSI6IiIsIm5vbi1kcm9wcGluZy1wYXJ0aWNsZSI6IiJ9LHsiZmFtaWx5IjoiSGF3a2lucyIsImdpdmVuIjoiRWQiLCJwYXJzZS1uYW1lcyI6ZmFsc2UsImRyb3BwaW5nLXBhcnRpY2xlIjoiIiwibm9uLWRyb3BwaW5nLXBhcnRpY2xlIjoiIn0seyJmYW1pbHkiOiJIZXJtYW5zIiwiZ2l2ZW4iOiJUaW0iLCJwYXJzZS1uYW1lcyI6ZmFsc2UsImRyb3BwaW5nLXBhcnRpY2xlIjoiIiwibm9uLWRyb3BwaW5nLXBhcnRpY2xlIjoiIn0seyJmYW1pbHkiOiJLb3BwIiwiZ2l2ZW4iOiJSb2JlcnQiLCJwYXJzZS1uYW1lcyI6ZmFsc2UsImRyb3BwaW5nLXBhcnRpY2xlIjoiIiwibm9uLWRyb3BwaW5nLXBhcnRpY2xlIjoiIn0seyJmYW1pbHkiOiJMZXByaW5jZS1SaW5ndWV0IiwiZ2l2ZW4iOiJOb8OrbWllIiwicGFyc2UtbmFtZXMiOmZhbHNlLCJkcm9wcGluZy1wYXJ0aWNsZSI6IiIsIm5vbi1kcm9wcGluZy1wYXJ0aWNsZSI6IiJ9LHsiZmFtaWx5IjoiTGV3aXMiLCJnaXZlbiI6IkphcmVkIiwicGFyc2UtbmFtZXMiOmZhbHNlLCJkcm9wcGluZy1wYXJ0aWNsZSI6IiIsIm5vbi1kcm9wcGluZy1wYXJ0aWNsZSI6IiJ9LHsiZmFtaWx5IjoiTGV5IiwiZ2l2ZW4iOiJEZWJvcmEiLCJwYXJzZS1uYW1lcyI6ZmFsc2UsImRyb3BwaW5nLXBhcnRpY2xlIjoiIiwibm9uLWRyb3BwaW5nLXBhcnRpY2xlIjoiIn0seyJmYW1pbHkiOiJMdWRkZW4iLCJnaXZlbiI6IkNobG/DqSIsInBhcnNlLW5hbWVzIjpmYWxzZSwiZHJvcHBpbmctcGFydGljbGUiOiIiLCJub24tZHJvcHBpbmctcGFydGljbGUiOiIifSx7ImZhbWlseSI6Ik5pYW1pciIsImdpdmVuIjoiTGVpbGEiLCJwYXJzZS1uYW1lcyI6ZmFsc2UsImRyb3BwaW5nLXBhcnRpY2xlIjoiIiwibm9uLWRyb3BwaW5nLXBhcnRpY2xlIjoiIn0seyJmYW1pbHkiOiJOaWNob2xscyIsImdpdmVuIjoiWmViZWRlZSIsInBhcnNlLW5hbWVzIjpmYWxzZSwiZHJvcHBpbmctcGFydGljbGUiOiIiLCJub24tZHJvcHBpbmctcGFydGljbGUiOiIifSx7ImZhbWlseSI6IlNvbWUiLCJnaXZlbiI6IlNocmV5YSIsInBhcnNlLW5hbWVzIjpmYWxzZSwiZHJvcHBpbmctcGFydGljbGUiOiIiLCJub24tZHJvcHBpbmctcGFydGljbGUiOiIifSx7ImZhbWlseSI6IlN6b3BhIiwiZ2l2ZW4iOiJTb3BoaWUiLCJwYXJzZS1uYW1lcyI6ZmFsc2UsImRyb3BwaW5nLXBhcnRpY2xlIjoiIiwibm9uLWRyb3BwaW5nLXBhcnRpY2xlIjoiIn0seyJmYW1pbHkiOiJUcmV3aW4iLCJnaXZlbiI6IkJsYWlyIiwicGFyc2UtbmFtZXMiOmZhbHNlLCJkcm9wcGluZy1wYXJ0aWNsZSI6IiIsIm5vbi1kcm9wcGluZy1wYXJ0aWNsZSI6IiJ9LHsiZmFtaWx5IjoiV2lqc3QiLCJnaXZlbiI6Ikthai1JdmFyIiwicGFyc2UtbmFtZXMiOmZhbHNlLCJkcm9wcGluZy1wYXJ0aWNsZSI6IiIsIm5vbi1kcm9wcGluZy1wYXJ0aWNsZSI6InZhbiBkZXIifSx7ImZhbWlseSI6IldpbnRlciIsImdpdmVuIjoiR3VuZHVsYSIsInBhcnNlLW5hbWVzIjpmYWxzZSwiZHJvcHBpbmctcGFydGljbGUiOiIiLCJub24tZHJvcHBpbmctcGFydGljbGUiOiIifSx7ImZhbWlseSI6IldpdHRpbmciLCJnaXZlbiI6Ik1heGltaWxpYW4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UsInN1cHByZXNzLWF1dGhvciI6ZmFsc2UsImNvbXBvc2l0ZSI6ZmFsc2UsImF1dGhvci1vbmx5IjpmYWxzZX1dfQ=="/>
          <w:id w:val="718023436"/>
          <w:placeholder>
            <w:docPart w:val="DefaultPlaceholder_-1854013440"/>
          </w:placeholder>
        </w:sdtPr>
        <w:sdtContent>
          <w:r w:rsidR="00AD6D10" w:rsidRPr="007E7CB6">
            <w:rPr>
              <w:rFonts w:ascii="Times New Roman" w:eastAsia="Times New Roman" w:hAnsi="Times New Roman" w:cs="Times New Roman"/>
              <w:color w:val="000000"/>
              <w:sz w:val="24"/>
              <w:szCs w:val="24"/>
            </w:rPr>
            <w:t>(IPCC, 2023)</w:t>
          </w:r>
        </w:sdtContent>
      </w:sdt>
      <w:r w:rsidRPr="007E7CB6">
        <w:rPr>
          <w:rFonts w:ascii="Times New Roman" w:eastAsia="Times New Roman" w:hAnsi="Times New Roman" w:cs="Times New Roman"/>
          <w:sz w:val="24"/>
          <w:szCs w:val="24"/>
        </w:rPr>
        <w:t xml:space="preserve"> report emphasizes the importance of transparency and accountability in GHG emissions reporting as part of global efforts to reduce the impact of climate change. In the context of companies, carbon emissions disclosure reflects their commitment to climate change mitigation.</w:t>
      </w:r>
      <w:r w:rsidRPr="007E7CB6">
        <w:rPr>
          <w:rFonts w:ascii="Times New Roman" w:eastAsia="Times New Roman" w:hAnsi="Times New Roman" w:cs="Times New Roman"/>
          <w:color w:val="000000"/>
          <w:sz w:val="24"/>
          <w:szCs w:val="24"/>
        </w:rPr>
        <w:t> </w:t>
      </w:r>
    </w:p>
    <w:p w14:paraId="057AF55C" w14:textId="6783834E"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According to</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VhZWE3YjEtNmZiMS00ZDA5LTlkZDgtZmJjZDA3ZDViZDIzIiwicHJvcGVydGllcyI6eyJub3RlSW5kZXgiOjB9LCJpc0VkaXRlZCI6ZmFsc2UsIm1hbnVhbE92ZXJyaWRlIjp7ImlzTWFudWFsbHlPdmVycmlkZGVuIjpmYWxzZSwiY2l0ZXByb2NUZXh0IjoiKEthcmltIGV0IGFsLiwgMjAyMSkiLCJtYW51YWxPdmVycmlkZVRleHQiOiIifSwiY2l0YXRpb25JdGVtcyI6W3siaWQiOiI3ZjBhZWZjZS1iYTJhLTM1NjAtYjg2YS1kZGVjMjA4ZjYwZjUiLCJpdGVtRGF0YSI6eyJ0eXBlIjoiYXJ0aWNsZS1qb3VybmFsIiwiaWQiOiI3ZjBhZWZjZS1iYTJhLTM1NjAtYjg2YS1kZGVjMjA4ZjYwZjUiLCJ0aXRsZSI6IkEgbm92ZWwgbWVhc3VyZSBvZiBjb3Jwb3JhdGUgY2FyYm9uIGVtaXNzaW9uIGRpc2Nsb3N1cmUsIHRoZSBlZmZlY3Qgb2YgY2FwaXRhbCBleHBlbmRpdHVyZXMgYW5kIGNvcnBvcmF0ZSBnb3Zlcm5hbmNlIiwiYXV0aG9yIjpbeyJmYW1pbHkiOiJLYXJpbSIsImdpdmVuIjoiQVRNIEVuYXlldCIsInBhcnNlLW5hbWVzIjpmYWxzZSwiZHJvcHBpbmctcGFydGljbGUiOiIiLCJub24tZHJvcHBpbmctcGFydGljbGUiOiIifSx7ImZhbWlseSI6IkFsYml0YXIiLCJnaXZlbiI6IktoYWxkb29uIiwicGFyc2UtbmFtZXMiOmZhbHNlLCJkcm9wcGluZy1wYXJ0aWNsZSI6IiIsIm5vbi1kcm9wcGluZy1wYXJ0aWNsZSI6IiJ9LHsiZmFtaWx5IjoiRWxtYXJ6b3VreSIsImdpdmVuIjoiTWFobW91ZCIsInBhcnNlLW5hbWVzIjpmYWxzZSwiZHJvcHBpbmctcGFydGljbGUiOiIiLCJub24tZHJvcHBpbmctcGFydGljbGUiOiIifV0sImNvbnRhaW5lci10aXRsZSI6IkpvdXJuYWwgb2YgRW52aXJvbm1lbnRhbCBNYW5hZ2VtZW50IiwiY29udGFpbmVyLXRpdGxlLXNob3J0IjoiSiBFbnZpcm9uIE1hbmFnZSIsIkRPSSI6IjEwLjEwMTYvai5qZW52bWFuLjIwMjEuMTEyNTgxIiwiSVNTTiI6IjEwOTU4NjMwIiwiUE1JRCI6IjMzODY2MDg2IiwiaXNzdWVkIjp7ImRhdGUtcGFydHMiOltbMjAyMSw3LDE1XV19LCJhYnN0cmFjdCI6IlRoZSBVSydzIDIwNTAgbmV0LXplcm8gZW1pc3Npb24gdGFyZ2V0IGlzIG9uZSBvZiB0aGUgbW9zdCBhbWJpdGlvdXMgZ29hbHMgaW4gdGhlIHdvcmxkLiBPcmdhbmlzYXRpb25zIHNob3VsZCBwbGF5IGEgdml0YWwgcm9sZSBieSBjb21tdW5pY2F0aW5nIGEgc3VmZmljaWVudCBsZXZlbCBvZiBjYXJib24gZW1pc3Npb24gaW5mb3JtYXRpb24gd2l0aCB0aGUgc3Rha2Vob2xkZXJzLiBNb3RpdmF0ZWQgYnkgdGhlIG5lY2Vzc2l0eSBvZiBtZWFzdXJpbmcgdGhlIGxldmVsIG9mIGNhcmJvbiBkaXNjbG9zdXJlLCB0aGlzIHBhcGVyIHByb3ZpZGVzIGEgdW5pcXVlIGNhcmJvbiBlbWlzc2lvbiBkaXNjbG9zdXJlIG1lYXN1cmVtZW50IGJhc2VkIG9uIGEgc2FtcGxlIG9mIFVLIGZpcm1zIGZyb20gMjAxMyB0byAyMDE5LiBXZSBhcHBseSBkaWZmZXJlbnQgbWV0aG9kcyB0byBhc3Nlc3MgdGhlIHZhbGlkaXR5IGFuZCByZWxpYWJpbGl0eSBvZiBvdXIgZGV2ZWxvcGVkIG1lYXN1cmVtZW50LiBUaGUgcmVzdWx0cyBzdWdnZXN0IHRoYXQgb3VyIG1lYXN1cmVtZW50IGNhcHR1cmVzIHRoZSBhY3R1YWwgQ08yIGVtaXNzaW9uLCBpbmNsdWRpbmcgc2NvcGUgMSwgc2NvcGUgMiwgYW5kIGFsc28gY2FwdHVyZXMgdGhlIGVudmlyb25tZW50YWwsIHNvY2lhbCBhbmQgZ292ZXJuYW5jZSAoRVNHKSBzY29yZS4gQWRkaXRpb25hbGx5LCB3ZSBleHBsb3JlIHRoZSBhc3NvY2lhdGlvbiBiZXR3ZWVuIGNhcGl0YWwgZXhwZW5kaXR1cmUsIGNvcnBvcmF0ZSBnb3Zlcm5hbmNlIGFuZCB0aGUgbGV2ZWwgb2YgY2FyYm9uIGVtaXNzaW9uIGRpc2Nsb3N1cmUuIEZ1cnRoZXIsIHRoZSByZXN1bHRzIHNob3cgYSBwb3NpdGl2ZSByZWxhdGlvbnNoaXAgYmV0d2VlbiBjYXBpdGFsIGV4cGVuZGl0dXJlIGFuZCBjYXJib24gZW1pc3Npb24gZGlzY2xvc3VyZS4gQWxzbywgdGhlcmUgaXMgYSBzaWduaWZpY2FudCBwb3NpdGl2ZSByZWxhdGlvbnNoaXAgYmV0d2VlbiBpbnRlcm5hbCBnb3Zlcm5hbmNlIGFuZCBjYXJib24gZW1pc3Npb24gZGlzY2xvc3VyZS4gTW9yZW92ZXIsIHRoZSBhbmFseXNpcyBzdWdnZXN0cyB0aGF0IGludGVybmFsIGdvdmVybmFuY2Ugc3RyZW5ndGhlbiB0aGUgcmVsYXRpb25zaGlwIGJldHdlZW4gY2FwaXRhbCBleHBlbmRpdHVyZSBhbmQgY2FyYm9uIGVtaXNzaW9uIGRpc2Nsb3N1cmUuIFdlIGFsc28gdXNlIHF1YW50aWxlIHJlZ3Jlc3Npb24sIGFuZCB0aGUgZmluZGluZ3Mgc2hvdyB0aGF0IGNhcGl0YWwgZXhwZW5kaXR1cmUgYW5kIGludGVybmFsIGdvdmVybmFuY2UgaGF2ZSBhIHBvc2l0aXZlIGltcGFjdCBvbiBjYXJib24gZW1pc3Npb24gZGlzY2xvc3VyZSB1bmRlciBhbGwgcXVhbnRpbGVzLiBPdXIgZGF0YSBzdWdnZXN0IHRoYXQgY2FwaXRhbCBleHBlbmRpdHVyZSBkZWNsaW5lcyB3aXRoaW4gdGhlIFVLIGJ5IGFyb3VuZCA1MyUgb3ZlciB0aGUgbGFzdCBzaXggeWVhcnMuIEZvbGxvd2luZyB0aGUgcmVkdWN0aW9uIGluIGNhcGl0YWwgZXhwZW5kaXR1cmUsIHRoZSByZXN1bHRzIGRlbW9uc3RyYXRlIDM5JSBkZWNsaW5lIGluIHRoZSBDTzIgZW1pc3Npb24gbGV2ZWwuIFRoZSByZXN1bHRzIGFsc28gaW5kaWNhdGUgdGhhdCBmb3IgZXZlcnkgJDEgbWlsbGlvbiBjYXBpdGFsIGV4cGVuZGl0dXJlLCBhcHByb3hpbWF0ZWx5IDIuNzUgTWV0cmljIHRvbnMgb2YgY2FyYm9uIGRpb3hpZGUgKE10Q08yKSBlbWlzc2lvbnMgaW5jcmVhc2UuIEJ1c2luZXNzIGludmVzdG1lbnQgaXMgYXJvdW5kIDcwJSBvZiB0aGUgVUsncyB0b3RhbCBpbnZlc3RtZW50LiBUaGVyZWZvcmUsIHRoZSByZWR1Y3Rpb24gaW4gY2FwaXRhbCBleHBlbmRpdHVyZSBpcyBvbmUgb2YgdGhlIHByaW1hcnkgcmVhc29ucyB0aGF0IG1pZ2h0IGV4cGxhaW4gdGhlIGRlY3JlYXNlIGluIHRoZSBVSydzIG92ZXJhbGwgQ08yIGVtaXNzaW9uIGxldmVsLiBUaGUgdW5pcXVlIGZpbmRpbmdzIG9mIHRoaXMgcGFwZXIgYXJlIHJlbGV2YW50IHRvIHRoZSBnb3Zlcm5tZW50LCBtYW5hZ2VtZW50IGFuZCBzdGFuZGFyZC1zZXR0ZXJzLiIsInB1Ymxpc2hlciI6IkFjYWRlbWljIFByZXNzIiwidm9sdW1lIjoiMjkwIn0sImlzVGVtcG9yYXJ5IjpmYWxzZSwic3VwcHJlc3MtYXV0aG9yIjpmYWxzZSwiY29tcG9zaXRlIjpmYWxzZSwiYXV0aG9yLW9ubHkiOmZhbHNlfV19"/>
          <w:id w:val="435106531"/>
          <w:placeholder>
            <w:docPart w:val="DefaultPlaceholder_-1854013440"/>
          </w:placeholder>
        </w:sdtPr>
        <w:sdtContent>
          <w:r w:rsidR="00AD6D10" w:rsidRPr="007E7CB6">
            <w:rPr>
              <w:rFonts w:ascii="Times New Roman" w:eastAsia="Times New Roman" w:hAnsi="Times New Roman" w:cs="Times New Roman"/>
              <w:color w:val="000000"/>
              <w:sz w:val="24"/>
              <w:szCs w:val="24"/>
            </w:rPr>
            <w:t>(Karim et al., 2021)</w:t>
          </w:r>
        </w:sdtContent>
      </w:sdt>
      <w:r w:rsidR="00F04372"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carbon disclosure plays an important role in identifying and managing environmental risks faced by companies, while also increasing stakeholder trust. A high level of disclosure not only reflects a company's commitment to sustainability practices, but also strengthens its competitive position </w:t>
      </w:r>
      <w:r w:rsidRPr="007E7CB6">
        <w:rPr>
          <w:rFonts w:ascii="Times New Roman" w:eastAsia="Times New Roman" w:hAnsi="Times New Roman" w:cs="Times New Roman"/>
          <w:sz w:val="24"/>
          <w:szCs w:val="24"/>
        </w:rPr>
        <w:lastRenderedPageBreak/>
        <w:t>in the market. This is reinforced by</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WY0MTY3NmMtNjFhYi00MTcwLWI4ODItYzc3NTViNjMxNDNkIiwicHJvcGVydGllcyI6eyJub3RlSW5kZXgiOjB9LCJpc0VkaXRlZCI6ZmFsc2UsIm1hbnVhbE92ZXJyaWRlIjp7ImlzTWFudWFsbHlPdmVycmlkZGVuIjpmYWxzZSwiY2l0ZXByb2NUZXh0IjoiKE1vdXNzYSAmIzM4OyBFbG1hcnpvdWt5LCAyMDI0KSIsIm1hbnVhbE92ZXJyaWRlVGV4dCI6IiJ9LCJjaXRhdGlvbkl0ZW1zIjpbeyJpZCI6IjEwOGYxMDhkLTUzYmEtM2Y1MC05YTkyLTEwNmM5ZDkzZDQ3OSIsIml0ZW1EYXRhIjp7InR5cGUiOiJhcnRpY2xlLWpvdXJuYWwiLCJpZCI6IjEwOGYxMDhkLTUzYmEtM2Y1MC05YTkyLTEwNmM5ZDkzZDQ3OSIsInRpdGxlIjoiU3VzdGFpbmFiaWxpdHkgUmVwb3J0aW5nIGFuZCBNYXJrZXQgVW5jZXJ0YWludHk6IFRoZSBNb2RlcmF0aW5nIEVmZmVjdCBvZiBDYXJib24gRGlzY2xvc3VyZSIsImF1dGhvciI6W3siZmFtaWx5IjoiTW91c3NhIiwiZ2l2ZW4iOiJBaG1lZCBTYWJlciIsInBhcnNlLW5hbWVzIjpmYWxzZSwiZHJvcHBpbmctcGFydGljbGUiOiIiLCJub24tZHJvcHBpbmctcGFydGljbGUiOiIifSx7ImZhbWlseSI6IkVsbWFyem91a3kiLCJnaXZlbiI6Ik1haG1vdWQiLCJwYXJzZS1uYW1lcyI6ZmFsc2UsImRyb3BwaW5nLXBhcnRpY2xlIjoiIiwibm9uLWRyb3BwaW5nLXBhcnRpY2xlIjoiIn1dLCJjb250YWluZXItdGl0bGUiOiJTdXN0YWluYWJpbGl0eSAoU3dpdHplcmxhbmQpICIsIkRPSSI6IjEwLjMzOTAvc3UxNjEzNTI5MCIsIklTU04iOiIyMDcxMTA1MCIsImlzc3VlZCI6eyJkYXRlLXBhcnRzIjpbWzIwMjQsNywxXV19LCJhYnN0cmFjdCI6IlRoaXMgcmVzZWFyY2ggZXhhbWluZXMgaG93IEVTRyBkaXNjbG9zdXJlIGluZmx1ZW5jZXMgbWFya2V0IHVuY2VydGFpbnR5IHRocm91Z2ggY2FyYm9uIGRpc2Nsb3N1cmUuIEl0IHVzZXMgYSAxMC15ZWFyIGRhdGFzZXQgZnJvbSAyMDEyIHRvIDIwMjEgb2Ygbm9uLWZpbmFuY2lhbCBVLksuIGNvbXBhbmllcyBpbiB0aGUgRlRTRSBBbGwtU2hhcmUgaW5kZXguIFRoaXMgc3R1ZHkgZW1wbG95cyBmb3VyIHJlZ3Jlc3Npb24gbWV0aG9kcyB0byBzY3J1dGluaXplIHRoZSBpbnRlcnBsYXkgYmV0d2VlbiBFU0cgZGlzY2xvc3VyZSwgY2FyYm9uIGRpc2Nsb3N1cmUsIGFuZCBtYXJrZXQgdW5jZXJ0YWludHkuIFRoZSByZXNlYXJjaCBmaW5kaW5ncyB1bmNvdmVyIGEgbm90YWJsZSByZWR1Y3Rpb24gaW4gbWFya2V0IHVuY2VydGFpbnR5IGFzc29jaWF0ZWQgd2l0aCBFU0cgZGlzY2xvc3VyZSwgYWxpZ25pbmcgd2l0aCB0aGUgSW5mb3JtYXRpb24gQXN5bW1ldHJ5IFRoZW9yeS4gSW50ZXJlc3RpbmdseSwgdGhpcyBzdHVkeSBhbHNvIHVuY292ZXJzIHRoYXQgY2FyYm9uIGRpc2Nsb3N1cmUgYW1wbGlmaWVzIHRoaXMgbmVnYXRpdmUgcmVsYXRpb25zaGlwLCBhIGZpbmRpbmcgdGhhdCByZXNvbmF0ZXMgd2l0aCB0aGUgU2lnbmFsaW5nIFRoZW9yeS4gVGhlc2UgcmVzdWx0cyBob2xkIHRydWUgYWNyb3NzIHZhcmlvdXMgbWVhc3VyZXMgb2YgRVNHIGFuZCBtYXJrZXQgdW5jZXJ0YWludHkuIFRoaXMgc3R1ZHkgZW5yaWNoZXMgdGhlIHN1c3RhaW5hYmlsaXR5IHJlcG9ydGluZyBsaXRlcmF0dXJlIHdpdGggaW1wbGljYXRpb25zIGZvciB0aGVvcnkgYW5kIHByYWN0aWNlLiBJdCBleHRlbmRzIEluZm9ybWF0aW9uIEFzeW1tZXRyeSBhbmQgU2lnbmFsaW5nIFRoZW9yaWVzIHRvIFUuSy4gbm9uLWZpbmFuY2lhbCBmaXJtcywgZW1waGFzaXppbmcgdGhlIG5lZWQgZm9yIG1vcmUgcmVzZWFyY2ggb24gc3VzdGFpbmFiaWxpdHkgZGlzY2xvc3VyZS4gSXQgdW5kZXJzY29yZXMgdGhlIHJvbGUgb2YgRVNHIGFuZCBjYXJib24gZGlzY2xvc3VyZSBpbiByZWR1Y2luZyBjb3N0IG9mIGNhcGl0YWwsIGVuaGFuY2luZyBmaXJtIHZhbHVlLCBhbmQgYm9vc3RpbmcgaW52ZXN0b3IgY29uZmlkZW5jZS4gSXQgY2FsbHMgZm9yIHRyYW5zcGFyZW50IEVTRyByZXBvcnRpbmcgYnkgbWFuYWdlcnMsIHJlZ3VsYXRvcnkgcHJvbW90aW9uIG9mIHN1Y2ggZGlzY2xvc3VyZXMsIGFuZCBzdGFrZWhvbGRlciB1dGlsaXphdGlvbiBvZiB0aGVzZSB0byBldmFsdWF0ZSBhIGZpcm3igJlzIGltcGFjdCBhbmQgY29udHJpYnV0aW9uIHRvIHRoZSBTREdzLCBmb3N0ZXJpbmcgY29sbGFib3JhdGlvbiBvbiBzdXN0YWluYWJpbGl0eS4gVGhpcyBzdHVkeSBvZmZlcnMga2V5IGluc2lnaHRzIGZvciBzdGFrZWhvbGRlcnMgc3VjaCBhcyBtYW5hZ2VycywgaW52ZXN0b3JzLCByZWd1bGF0b3JzLCByZXNlYXJjaGVycywgcG9saWN5IG1ha2VycywgYW5kIGVkdWNhdG9ycyBpbiB0aGUgcmVhbG0gb2Ygc3VzdGFpbmFiaWxpdHkgcmVwb3J0aW5nIGFuZCBtYXJrZXQgZHluYW1pY3MuIiwicHVibGlzaGVyIjoiTXVsdGlkaXNjaXBsaW5hcnkgRGlnaXRhbCBQdWJsaXNoaW5nIEluc3RpdHV0ZSAoTURQSSkiLCJpc3N1ZSI6IjEzIiwidm9sdW1lIjoiMTYiLCJjb250YWluZXItdGl0bGUtc2hvcnQiOiIifSwiaXNUZW1wb3JhcnkiOmZhbHNlLCJzdXBwcmVzcy1hdXRob3IiOmZhbHNlLCJjb21wb3NpdGUiOmZhbHNlLCJhdXRob3Itb25seSI6ZmFsc2V9XX0="/>
          <w:id w:val="1232281212"/>
          <w:placeholder>
            <w:docPart w:val="DefaultPlaceholder_-1854013440"/>
          </w:placeholder>
        </w:sdtPr>
        <w:sdtContent>
          <w:r w:rsidR="00AD6D10" w:rsidRPr="007E7CB6">
            <w:rPr>
              <w:rFonts w:ascii="Times New Roman" w:eastAsia="Times New Roman" w:hAnsi="Times New Roman" w:cs="Times New Roman"/>
              <w:color w:val="000000"/>
              <w:sz w:val="24"/>
            </w:rPr>
            <w:t>(Moussa &amp; Elmarzouky, 2024)</w:t>
          </w:r>
        </w:sdtContent>
      </w:sdt>
      <w:r w:rsidR="00F04372" w:rsidRPr="007E7CB6">
        <w:rPr>
          <w:rFonts w:ascii="Times New Roman" w:eastAsia="Times New Roman" w:hAnsi="Times New Roman" w:cs="Times New Roman"/>
          <w:color w:val="000000"/>
          <w:sz w:val="24"/>
          <w:szCs w:val="24"/>
        </w:rPr>
        <w:t>,</w:t>
      </w:r>
      <w:r w:rsidRPr="007E7CB6">
        <w:rPr>
          <w:rFonts w:ascii="Times New Roman" w:eastAsia="Times New Roman" w:hAnsi="Times New Roman" w:cs="Times New Roman"/>
          <w:sz w:val="24"/>
          <w:szCs w:val="24"/>
        </w:rPr>
        <w:t xml:space="preserve"> who found that carbon disclosure contributes to reducing market uncertainty through increased transparency of sustainability information. Furthermore, this practice also encourages corporate accountability in achieving long-term environmental goals, making carbon emissions disclosure a strategic instrument for companies to maintain legitimacy and competitiveness amid global sustainability demands.</w:t>
      </w:r>
    </w:p>
    <w:p w14:paraId="592371FC" w14:textId="77D74353"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From the perspective of legitimacy theory, disclosure of environmental information, including carbon emissions, is a form of corporate adaptation to social expectations. Companies seek to demonstrate that their activities are in line with societal values and norms in order to obtain and maintain institutional legitimacy, particularly in the eyes of regulators and the public</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GM1OGU4MGMtNDlkYi00OTMwLTljYmMtMzFjODRjNTcxMzZm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1360427792"/>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F04372" w:rsidRPr="007E7CB6">
        <w:rPr>
          <w:rFonts w:ascii="Times New Roman" w:eastAsia="Times New Roman" w:hAnsi="Times New Roman" w:cs="Times New Roman"/>
          <w:sz w:val="24"/>
          <w:szCs w:val="24"/>
        </w:rPr>
        <w:t>.</w:t>
      </w:r>
    </w:p>
    <w:p w14:paraId="3FD8A6CA"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Indonesia, regulations such as Financial Services Authority Regulation (PJOK) No. 51/PJOK.03/2017 on the Implementation of Sustainable Finance encourage companies to include environmental information in their annual reports. This provision is a concrete step in promoting transparency and accountability for carbon emissions, while strengthening corporate sustainability governance. Thus, carbon emission disclosure not only serves as a means of reporting environmental responsibility, but also becomes part of a company's strategy in creating sustainable value, strengthening public trust, and responding to market and regulatory expectations for corporate sustainability.</w:t>
      </w:r>
    </w:p>
    <w:p w14:paraId="75836FD7" w14:textId="77777777" w:rsidR="00153781" w:rsidRPr="007E7CB6" w:rsidRDefault="00000000">
      <w:pPr>
        <w:pStyle w:val="Heading3"/>
        <w:spacing w:before="0" w:after="0" w:line="480" w:lineRule="auto"/>
        <w:rPr>
          <w:rFonts w:ascii="Times New Roman" w:eastAsia="Times New Roman" w:hAnsi="Times New Roman" w:cs="Times New Roman"/>
          <w:b/>
          <w:sz w:val="24"/>
          <w:szCs w:val="24"/>
        </w:rPr>
      </w:pPr>
      <w:bookmarkStart w:id="52" w:name="_Toc210744222"/>
      <w:r w:rsidRPr="007E7CB6">
        <w:rPr>
          <w:rFonts w:ascii="Times New Roman" w:eastAsia="Times New Roman" w:hAnsi="Times New Roman" w:cs="Times New Roman"/>
          <w:b/>
          <w:color w:val="000000"/>
          <w:sz w:val="24"/>
          <w:szCs w:val="24"/>
        </w:rPr>
        <w:t>2.1.6</w:t>
      </w:r>
      <w:r w:rsidRPr="007E7CB6">
        <w:rPr>
          <w:rFonts w:ascii="Times New Roman" w:eastAsia="Times New Roman" w:hAnsi="Times New Roman" w:cs="Times New Roman"/>
          <w:b/>
          <w:color w:val="000000"/>
          <w:sz w:val="24"/>
          <w:szCs w:val="24"/>
        </w:rPr>
        <w:tab/>
        <w:t>Green Capital Structure</w:t>
      </w:r>
      <w:bookmarkEnd w:id="52"/>
    </w:p>
    <w:p w14:paraId="4E6690DA"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capital structure is a corporate capital structure approach that supports the financing of environmentally friendly and sustainable business </w:t>
      </w:r>
      <w:r w:rsidRPr="007E7CB6">
        <w:rPr>
          <w:rFonts w:ascii="Times New Roman" w:eastAsia="Times New Roman" w:hAnsi="Times New Roman" w:cs="Times New Roman"/>
          <w:sz w:val="24"/>
          <w:szCs w:val="24"/>
        </w:rPr>
        <w:lastRenderedPageBreak/>
        <w:t xml:space="preserve">activities. This concept encompasses a combination of internal and external funding directed toward green projects, such as renewable energy investments, energy efficiency, sustainable transportation, and waste management. </w:t>
      </w:r>
    </w:p>
    <w:p w14:paraId="4FCFDDE0" w14:textId="2CA2B634"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capital structure emphasizes that capital management is not only aimed at optimizing financial value but also at fulfilling the company's social and environmental responsibilities.</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TlmMzAxMjQtMmQwOC00ZmM5LThkMDAtYTk0YjJjODc2NDVh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
          <w:id w:val="20596091"/>
          <w:placeholder>
            <w:docPart w:val="DefaultPlaceholder_-1854013440"/>
          </w:placeholder>
        </w:sdtPr>
        <w:sdtContent>
          <w:r w:rsidR="00AD6D10" w:rsidRPr="007E7CB6">
            <w:rPr>
              <w:rFonts w:ascii="Times New Roman" w:eastAsia="Times New Roman" w:hAnsi="Times New Roman" w:cs="Times New Roman"/>
              <w:color w:val="000000"/>
              <w:sz w:val="24"/>
            </w:rPr>
            <w:t>(Zhou &amp; Fan, 2023)</w:t>
          </w:r>
        </w:sdtContent>
      </w:sdt>
      <w:r w:rsidR="00F04372"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assert that the implementation of a green capital structure can increase competitiveness and reputation, as well as facilitate access to low-cost financing. In addition, companies with a green capital structure also tend to be more adaptive in facing regulatory pressures and stakeholder demands related to sustainability.</w:t>
      </w:r>
    </w:p>
    <w:p w14:paraId="747FBCAE" w14:textId="671FFE25"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In line with this, </w:t>
      </w:r>
      <w:sdt>
        <w:sdtPr>
          <w:rPr>
            <w:rFonts w:ascii="Times New Roman" w:eastAsia="Times New Roman" w:hAnsi="Times New Roman" w:cs="Times New Roman"/>
            <w:color w:val="000000"/>
            <w:sz w:val="24"/>
            <w:szCs w:val="24"/>
          </w:rPr>
          <w:tag w:val="MENDELEY_CITATION_v3_eyJjaXRhdGlvbklEIjoiTUVOREVMRVlfQ0lUQVRJT05fNjdiNzcxNGItNzk4OC00N2E3LWI2NjAtY2Q0MDJhNDZlYjliIiwicHJvcGVydGllcyI6eyJub3RlSW5kZXgiOjB9LCJpc0VkaXRlZCI6ZmFsc2UsIm1hbnVhbE92ZXJyaWRlIjp7ImlzTWFudWFsbHlPdmVycmlkZGVuIjpmYWxzZSwiY2l0ZXByb2NUZXh0IjoiKEZ1IGV0IGFsLiwgMjAyMykiLCJtYW51YWxPdmVycmlkZVRleHQiOiIifSwiY2l0YXRpb25JdGVtcyI6W3siaWQiOiI5ZGQyOWU3Ni03ZmIyLTNhNWItODE3NC1hZjIzMjZhZjBkNTIiLCJpdGVtRGF0YSI6eyJ0eXBlIjoiYXJ0aWNsZS1qb3VybmFsIiwiaWQiOiI5ZGQyOWU3Ni03ZmIyLTNhNWItODE3NC1hZjIzMjZhZjBkNTIiLCJ0aXRsZSI6IkFkdmFuY2luZyBncmVlbiBmaW5hbmNlOiBhIHJldmlldyBvZiBzdXN0YWluYWJsZSBkZXZlbG9wbWVudCIsImF1dGhvciI6W3siZmFtaWx5IjoiRnUiLCJnaXZlbiI6IkNoZW5nYm8iLCJwYXJzZS1uYW1lcyI6ZmFsc2UsImRyb3BwaW5nLXBhcnRpY2xlIjoiIiwibm9uLWRyb3BwaW5nLXBhcnRpY2xlIjoiIn0seyJmYW1pbHkiOiJMdSIsImdpdmVuIjoiTGVpIiwicGFyc2UtbmFtZXMiOmZhbHNlLCJkcm9wcGluZy1wYXJ0aWNsZSI6IiIsIm5vbi1kcm9wcGluZy1wYXJ0aWNsZSI6IiJ9LHsiZmFtaWx5IjoiUGlyYWJpIiwiZ2l2ZW4iOiJNYW5zb29yIiwicGFyc2UtbmFtZXMiOmZhbHNlLCJkcm9wcGluZy1wYXJ0aWNsZSI6IiIsIm5vbi1kcm9wcGluZy1wYXJ0aWNsZSI6IiJ9XSwiY29udGFpbmVyLXRpdGxlIjoiRGlnaXRhbCBFY29ub215IGFuZCBTdXN0YWluYWJsZSBEZXZlbG9wbWVudCIsIkRPSSI6IjEwLjEwMDcvczQ0MjY1LTAyMy0wMDAyMC0zIiwiaXNzdWVkIjp7ImRhdGUtcGFydHMiOltbMjAyMywxMCwyMV1dfSwiYWJzdHJhY3QiOiJUaGlzIHN0dWR5IGNvbXByZWhlbnNpdmVseSByZXZpZXdzIHRoZSByZWxhdGlvbnNoaXAgYmV0d2VlbiBncmVlbiBmaW5hbmNlIGFuZCBzdXN0YWluYWJsZSBkZXZlbG9wbWVudCwgc3BlY2lmaWNhbGx5IGZvY3VzaW5nIG9uIGNvbWJhdHRpbmcgY2xpbWF0ZSBjaGFuZ2UgYW5kIGFjaGlldmluZyBjYXJib24gbmV1dHJhbGl0eS4gVXRpbGl6aW5nIGEgbmFycmF0aXZlIHJldmlldyBtZXRob2RvbG9neSwgdGhlIHN0dWR5IGV4YW1pbmVzIGEgcmFuZ2Ugb2Ygc2Nob2xhcmx5IGFydGljbGVzIGFuZCBwdWJsaWNhdGlvbnMgdG8gaWRlbnRpZnkga2V5IHRoZW1lcywgZmluZGluZ3MsIGFuZCBmdXR1cmUgZGlyZWN0aW9ucyBpbiBncmVlbiBmaW5hbmNlLiBUaGUgcmV2aWV3IGVtcGhhc2l6ZXMgdGhlIGNydWNpYWwgcm9sZSBvZiBzdWJzdGFudGlhbCBpbnZlc3RtZW50cyBpbiBncmVlbiBhbmQgbG93LWNhcmJvbiBpbml0aWF0aXZlcyB0byBhZGRyZXNzIGNsaW1hdGUgY2hhbmdlIGVmZmVjdGl2ZWx5IGFuZCBwcm9tb3RlIHN1c3RhaW5hYmxlIGVjb25vbWljIGdyb3d0aC4gSXQgaGlnaGxpZ2h0cyB0aGUgbmVjZXNzaXR5IG9mIHJvYnVzdCByZWd1bGF0b3J5IGZyYW1ld29ya3MgdGhhdCBmYWNpbGl0YXRlIHRoZSBhdmFpbGFiaWxpdHkgb2YgZ3JlZW4gZmluYW5jZSBhbmQgdGhlIGludGVncmF0aW9uIG9mIGNhcmJvbuKAk25ldXRyYWwgcHJhY3RpY2VzLiBBZGRpdGlvbmFsbHksIHRoZSBwYXBlciBleHBsb3JlcyB0aGUgcG90ZW50aWFsIG9mIGltcGFjdCBpbnZlc3RpbmcsIHdoZXJlaW4gaW52ZXN0b3JzIGFjY2VwdCBsb3dlciBmaW5hbmNpYWwgcmV0dXJucyBpbiBleGNoYW5nZSBmb3Igbm9uLWZpbmFuY2lhbCBiZW5lZml0cyBpbiBncmVlbiBmaW5hbmNlLiBJdCB1bmRlcnNjb3JlcyB0aGUgaW5mbHVlbnRpYWwgcm9sZSBvZiBpbnN0aXR1dGlvbmFsIG93bmVyc2hpcCBpbiBndWlkaW5nIGNvbXBhbmllcyB0b3dhcmQgZW5oYW5jZWQgZW52aXJvbm1lbnRhbCBhbmQgc29jaWFsIHBlcmZvcm1hbmNlLiBNb3Jlb3ZlciwgaW50ZWdyYXRpbmcgZW52aXJvbm1lbnRhbCwgc29jaWFsLCBhbmQgZ292ZXJuYW5jZSAoRVNHKSBmYWN0b3JzIGluIGludmVzdG1lbnQgZGVjaXNpb25zIGlzIGNyaXRpY2FsIGZvciBzdXN0YWluYWJsZSBmaW5hbmNlLiBBZGRyZXNzaW5nIHRoZSBpbnRlcnNlY3Rpb24gb2YgY2xpbWF0ZSBjaGFuZ2UgYW5kIHJpc2sgbWFuYWdlbWVudCwgdGhlIHJldmlldyBoaWdobGlnaHRzIHRoZSBpbXBsaWNhdGlvbnMgb2YgZW52aXJvbm1lbnRhbCByaXNrcyBvbiBmaW5hbmNpYWwgZGVjaXNpb24tbWFraW5nLiBFZmZlY3RpdmUgY29tbXVuaWNhdGlvbiBzdHJhdGVnaWVzIGNhbiByYWlzZSBwdWJsaWMgYXdhcmVuZXNzIGFuZCBzdXBwb3J0IGZvciBjbGltYXRlIHBvbGljaWVzLiBUaGUgc3R1ZHkgY29uY2x1ZGVzIGJ5IGNhbGxpbmcgZm9yIGNvbGxhYm9yYXRpb24sIGZ1cnRoZXIgcmVzZWFyY2gsIGFuZCBwb2xpY3kgbWVhc3VyZXMgdG8gYWR2YW5jZSBncmVlbiBmaW5hbmNlIGFuZCBmb3N0ZXIgc3VzdGFpbmFibGUgZWNvbm9taWMgZ3Jvd3RoLiBJdCByZWNvbW1lbmRzIGFsaWduaW5nIGZpbmFuY2lhbCBpbmNlbnRpdmVzIHdpdGggc3VzdGFpbmFibGUgb3V0Y29tZXMsIGZvc3RlcmluZyB0cmFuc3BhcmVuY3ksIGFuZCBpbmNvcnBvcmF0aW5nIHNvY2lhbCBlcXVpdHkgaW4gZ3JlZW4gZmluYW5jZSBpbml0aWF0aXZlcyB0byBjb250cmlidXRlIHRvd2FyZHMgYWNoaWV2aW5nIHN1c3RhaW5hYmxlIGRldmVsb3BtZW50IGdvYWxzIGFuZCBwcm9tb3RpbmcgYSBncmVlbmVyIGZ1dHVyZS4iLCJwdWJsaXNoZXIiOiJTcHJpbmdlciBTY2llbmNlIGFuZCBCdXNpbmVzcyBNZWRpYSBMTEMiLCJpc3N1ZSI6IjEiLCJ2b2x1bWUiOiIxIiwiY29udGFpbmVyLXRpdGxlLXNob3J0IjoiIn0sImlzVGVtcG9yYXJ5IjpmYWxzZSwic3VwcHJlc3MtYXV0aG9yIjpmYWxzZSwiY29tcG9zaXRlIjpmYWxzZSwiYXV0aG9yLW9ubHkiOmZhbHNlfV19"/>
          <w:id w:val="1283694927"/>
          <w:placeholder>
            <w:docPart w:val="DefaultPlaceholder_-1854013440"/>
          </w:placeholder>
        </w:sdtPr>
        <w:sdtContent>
          <w:r w:rsidR="00AD6D10" w:rsidRPr="007E7CB6">
            <w:rPr>
              <w:rFonts w:ascii="Times New Roman" w:eastAsia="Times New Roman" w:hAnsi="Times New Roman" w:cs="Times New Roman"/>
              <w:color w:val="000000"/>
              <w:sz w:val="24"/>
              <w:szCs w:val="24"/>
            </w:rPr>
            <w:t>(Fu et al., 2023)</w:t>
          </w:r>
        </w:sdtContent>
      </w:sdt>
      <w:r w:rsidR="00F04372"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emphasize that the implementation of green corporate finance is a key element in achieving global climate targets and carbon neutrality. In this context, the financial sector has an important role in accelerating the transition to a sustainable economy.</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kwMmU1OGYtZjM0Yy00NzZlLWI3YmUtNWY2N2M0ZjRkY2I5IiwicHJvcGVydGllcyI6eyJub3RlSW5kZXgiOjB9LCJpc0VkaXRlZCI6ZmFsc2UsIm1hbnVhbE92ZXJyaWRlIjp7ImlzTWFudWFsbHlPdmVycmlkZGVuIjpmYWxzZSwiY2l0ZXByb2NUZXh0IjoiKFphaXJpcyBldCBhbC4sIDIwMjQpIiwibWFudWFsT3ZlcnJpZGVUZXh0IjoiIn0sImNpdGF0aW9uSXRlbXMiOlt7ImlkIjoiNGQ5ZjE0OTktNDFlMy0zMTNmLTliYjAtMzI5ZGVlY2QyODFhIiwiaXRlbURhdGEiOnsidHlwZSI6ImFydGljbGUiLCJpZCI6IjRkOWYxNDk5LTQxZTMtMzEzZi05YmIwLTMyOWRlZWNkMjgxYSIsInRpdGxlIjoiU3VzdGFpbmFibGUgRmluYW5jZSBhbmQgRVNHIEltcG9ydGFuY2U6IEEgU3lzdGVtYXRpYyBMaXRlcmF0dXJlIFJldmlldyBhbmQgUmVzZWFyY2ggQWdlbmRhIiwiYXV0aG9yIjpbeyJmYW1pbHkiOiJaYWlyaXMiLCJnaXZlbiI6Ikdlb3JnaW9zIiwicGFyc2UtbmFtZXMiOmZhbHNlLCJkcm9wcGluZy1wYXJ0aWNsZSI6IiIsIm5vbi1kcm9wcGluZy1wYXJ0aWNsZSI6IiJ9LHsiZmFtaWx5IjoiTGlhcmdvdmFzIiwiZ2l2ZW4iOiJQYW5hZ2lvdGlzIiwicGFyc2UtbmFtZXMiOmZhbHNlLCJkcm9wcGluZy1wYXJ0aWNsZSI6IiIsIm5vbi1kcm9wcGluZy1wYXJ0aWNsZSI6IiJ9LHsiZmFtaWx5IjoiQXBvc3RvbG9wb3Vsb3MiLCJnaXZlbiI6Ik5pa29sYW9zIiwicGFyc2UtbmFtZXMiOmZhbHNlLCJkcm9wcGluZy1wYXJ0aWNsZSI6IiIsIm5vbi1kcm9wcGluZy1wYXJ0aWNsZSI6IiJ9XSwiY29udGFpbmVyLXRpdGxlIjoiU3VzdGFpbmFiaWxpdHkgKFN3aXR6ZXJsYW5kKSAiLCJET0kiOiIxMC4zMzkwL3N1MTYwNzI4NzgiLCJJU1NOIjoiMjA3MTEwNTAiLCJpc3N1ZWQiOnsiZGF0ZS1wYXJ0cyI6W1syMDI0LDQsMV1dfSwiYWJzdHJhY3QiOiJPdmVyIHRoZSBsYXN0IGRlY2FkZSwgc3VzdGFpbmFibGUgZmluYW5jZSBoYXMgYXBwZWFyZWQgdG8gYmUgY2FwdHVyaW5nIGEgaGlnaCBsZXZlbCBvZiBpbnRlcmVzdCBhcyBhIGNydWNpYWwgcGlsbGFyIG9mIHN1c3RhaW5hYmxlIGRldmVsb3BtZW50LiBUaGUgcHJvY2VzcyBvZiB0YWtpbmcgZW52aXJvbm1lbnRhbCwgc29jaWFsLCBhbmQgZ292ZXJuYW5jZSAoRVNHKSBjb25zaWRlcmF0aW9ucyBpbnRvIGFjY291bnQgd2hlbiBtYWtpbmcgaW52ZXN0bWVudCBkZWNpc2lvbnMgaW4gdGhlIGZpbmFuY2lhbCBzZWN0b3IgaXMgZXhwZWN0ZWQgdG8gcGxheSBhIGtleSByb2xlIGluIHRoaXMgZnJhbWV3b3JrLCBhbmQgYWx0aG91Z2ggaXQgaGFzIGF0dHJhY3RlZCB0aGUgYXR0ZW50aW9uIG9mIG1hbnkgc2Nob2xhcnMgYW5kIGFjYWRlbWljcywgYSBsYWNrIG9mIHVuZGVyc3RhbmRpbmcgb2YgdGhlIG5hdHVyZSBvZiB0aGUgcGhlbm9tZW5vbiByZW1haW5zLiBUaGVyZWZvcmUsIG9uIHRoZSBiYXNpcyBvZiBhIHN5c3RlbWF0aWMgbGl0ZXJhdHVyZSByZXZpZXcgb2YgODAgc3R1ZGllcywgd2UgZXhhbWluZSwgaW4gZGV0YWlsLCB0aGUgc3ViamVjdCBhcmVhcyBhbmQgZW1waGFzaXplIHRoZSBtYWluIHBvaW50cyBpbiB0aGUgZXhpc3RpbmcgbGl0ZXJhdHVyZS4gVGhlIGZpbmRpbmdzIHJldmVhbCB0aGF0IHRoZXJlIGFyZSBmb3VyIG1haW4gdGhlbWF0aWMgYXJlYXMgYXR0cmFjdGluZyByZXNlYXJjaCBpbnRlcmVzdCwgYXMgZm9sbG93czogKDEpIEEgc2hpZnQgaW4gdmFsdWUgY3JlYXRpb247ICgyKSBncmVlbiBib25kczsgKDMpIEVTRyByYXRpbmdzIGFuZCBwZXJmb3JtYW5jZTsgYW5kICg0KSBzdXN0YWluYWJsZSBmaW5hbmNlLCBiYW5raW5nLCBhbmQgZmluYW5jaWFsIHJpc2tzLiBGaW5hbGx5LCB0aGlzIHN0dWR5IG91dGxpbmVzIGZ1dHVyZSByZXNlYXJjaCBhdmVudWVzIGluIHRoZSBmaWVsZC4iLCJwdWJsaXNoZXIiOiJNdWx0aWRpc2NpcGxpbmFyeSBEaWdpdGFsIFB1Ymxpc2hpbmcgSW5zdGl0dXRlIChNRFBJKSIsImlzc3VlIjoiNyIsInZvbHVtZSI6IjE2IiwiY29udGFpbmVyLXRpdGxlLXNob3J0IjoiIn0sImlzVGVtcG9yYXJ5IjpmYWxzZSwic3VwcHJlc3MtYXV0aG9yIjpmYWxzZSwiY29tcG9zaXRlIjpmYWxzZSwiYXV0aG9yLW9ubHkiOmZhbHNlfV19"/>
          <w:id w:val="1714145269"/>
          <w:placeholder>
            <w:docPart w:val="DefaultPlaceholder_-1854013440"/>
          </w:placeholder>
        </w:sdtPr>
        <w:sdtContent>
          <w:r w:rsidR="00AD6D10" w:rsidRPr="007E7CB6">
            <w:rPr>
              <w:rFonts w:ascii="Times New Roman" w:eastAsia="Times New Roman" w:hAnsi="Times New Roman" w:cs="Times New Roman"/>
              <w:color w:val="000000"/>
              <w:sz w:val="24"/>
              <w:szCs w:val="24"/>
            </w:rPr>
            <w:t>(Zairis et al., 2024)</w:t>
          </w:r>
        </w:sdtContent>
      </w:sdt>
      <w:r w:rsidRPr="007E7CB6">
        <w:rPr>
          <w:rFonts w:ascii="Times New Roman" w:eastAsia="Times New Roman" w:hAnsi="Times New Roman" w:cs="Times New Roman"/>
          <w:sz w:val="24"/>
          <w:szCs w:val="24"/>
        </w:rPr>
        <w:t xml:space="preserve"> add that the successful integration of environmental, social, and governance (ESG) factors into investment decisions will direct capital flows toward economic activities that have a positive impact on the environment and society.</w:t>
      </w:r>
    </w:p>
    <w:p w14:paraId="63764509" w14:textId="0ED3BCBF"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From the perspective of legitimacy theory</w:t>
      </w:r>
      <w:r w:rsidR="00F04372"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GU1NTgwNjYtOTcxMi00NTFhLTkyYmEtMTgyNDFiOWQzYTE3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
          <w:id w:val="163449858"/>
          <w:placeholder>
            <w:docPart w:val="DefaultPlaceholder_-1854013440"/>
          </w:placeholder>
        </w:sdtPr>
        <w:sdtContent>
          <w:r w:rsidR="00AD6D10" w:rsidRPr="007E7CB6">
            <w:rPr>
              <w:rFonts w:ascii="Times New Roman" w:eastAsia="Times New Roman" w:hAnsi="Times New Roman" w:cs="Times New Roman"/>
              <w:color w:val="000000"/>
              <w:sz w:val="24"/>
              <w:szCs w:val="24"/>
            </w:rPr>
            <w:t>(Suchman, 1995)</w:t>
          </w:r>
        </w:sdtContent>
      </w:sdt>
      <w:r w:rsidR="00F04372"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green capital structure is viewed as a corporate strategy to obtain and maintain social legitimacy. By actively allocating capital to sustainable projects, companies demonstrate alignment with community values and stakeholder expectations regarding environmental responsibility. </w:t>
      </w:r>
    </w:p>
    <w:p w14:paraId="141EF007" w14:textId="63FEF04D" w:rsidR="00153781" w:rsidRPr="007E7CB6" w:rsidRDefault="00000000" w:rsidP="00F04372">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 xml:space="preserve">In Indonesia, the commitment to green financing is reflected in the issuance of Financial Services Authority Regulation (POJK) No. 60/POJK.04/2017 concerning the Issuance and Requirements of Environmentally Friendly Debt Securities (Green Bonds). This regulation encourages companies to issue debt securities whose proceeds are used for environmentally friendly projects. In addition, the government is also actively issuing green sukuk to finance strategic projects such as renewable energy and waste management, marking progress in the national green finance ecosystem. Thus, green capital structure not only functions as a financing framework, but also as a strategic instrument in achieving sustainability, strengthening legitimacy, and increasing firm value in the eyes of the market and stakeholders. </w:t>
      </w:r>
    </w:p>
    <w:p w14:paraId="01EB0288" w14:textId="4655A6FE" w:rsidR="00153781" w:rsidRPr="007E7CB6" w:rsidRDefault="00000000" w:rsidP="008E0A64">
      <w:pPr>
        <w:pStyle w:val="Heading2"/>
        <w:spacing w:line="480" w:lineRule="auto"/>
        <w:rPr>
          <w:rFonts w:ascii="Times New Roman" w:eastAsia="Times New Roman" w:hAnsi="Times New Roman" w:cs="Times New Roman"/>
          <w:b/>
          <w:sz w:val="24"/>
          <w:szCs w:val="24"/>
        </w:rPr>
      </w:pPr>
      <w:bookmarkStart w:id="53" w:name="_Toc210744223"/>
      <w:r w:rsidRPr="007E7CB6">
        <w:rPr>
          <w:rFonts w:ascii="Times New Roman" w:eastAsia="Times New Roman" w:hAnsi="Times New Roman" w:cs="Times New Roman"/>
          <w:b/>
          <w:sz w:val="24"/>
          <w:szCs w:val="24"/>
        </w:rPr>
        <w:t>2.2</w:t>
      </w:r>
      <w:r w:rsidRPr="007E7CB6">
        <w:rPr>
          <w:rFonts w:ascii="Times New Roman" w:eastAsia="Times New Roman" w:hAnsi="Times New Roman" w:cs="Times New Roman"/>
          <w:b/>
          <w:sz w:val="24"/>
          <w:szCs w:val="24"/>
        </w:rPr>
        <w:tab/>
        <w:t>Previous Research</w:t>
      </w:r>
      <w:bookmarkEnd w:id="53"/>
    </w:p>
    <w:p w14:paraId="2FCCC18C" w14:textId="6CFC6F85" w:rsidR="00153781" w:rsidRPr="007E7CB6" w:rsidRDefault="00F04372" w:rsidP="008E0A64">
      <w:pPr>
        <w:pStyle w:val="Caption"/>
        <w:spacing w:after="0" w:line="480" w:lineRule="auto"/>
        <w:rPr>
          <w:rFonts w:ascii="Times New Roman" w:hAnsi="Times New Roman" w:cs="Times New Roman"/>
          <w:b/>
          <w:bCs/>
          <w:i w:val="0"/>
          <w:iCs w:val="0"/>
          <w:color w:val="000000" w:themeColor="text1"/>
          <w:sz w:val="24"/>
          <w:szCs w:val="24"/>
        </w:rPr>
      </w:pPr>
      <w:bookmarkStart w:id="54" w:name="_Toc209703360"/>
      <w:r w:rsidRPr="007E7CB6">
        <w:rPr>
          <w:rFonts w:ascii="Times New Roman" w:hAnsi="Times New Roman" w:cs="Times New Roman"/>
          <w:b/>
          <w:bCs/>
          <w:i w:val="0"/>
          <w:iCs w:val="0"/>
          <w:color w:val="000000" w:themeColor="text1"/>
          <w:sz w:val="24"/>
          <w:szCs w:val="24"/>
        </w:rPr>
        <w:t xml:space="preserve">Table </w:t>
      </w:r>
      <w:r w:rsidRPr="007E7CB6">
        <w:rPr>
          <w:rFonts w:ascii="Times New Roman" w:hAnsi="Times New Roman" w:cs="Times New Roman"/>
          <w:b/>
          <w:bCs/>
          <w:i w:val="0"/>
          <w:iCs w:val="0"/>
          <w:color w:val="000000" w:themeColor="text1"/>
          <w:sz w:val="24"/>
          <w:szCs w:val="24"/>
        </w:rPr>
        <w:fldChar w:fldCharType="begin"/>
      </w:r>
      <w:r w:rsidRPr="007E7CB6">
        <w:rPr>
          <w:rFonts w:ascii="Times New Roman" w:hAnsi="Times New Roman" w:cs="Times New Roman"/>
          <w:b/>
          <w:bCs/>
          <w:i w:val="0"/>
          <w:iCs w:val="0"/>
          <w:color w:val="000000" w:themeColor="text1"/>
          <w:sz w:val="24"/>
          <w:szCs w:val="24"/>
        </w:rPr>
        <w:instrText xml:space="preserve"> SEQ Table \* ARABIC </w:instrText>
      </w:r>
      <w:r w:rsidRPr="007E7CB6">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2</w:t>
      </w:r>
      <w:r w:rsidRPr="007E7CB6">
        <w:rPr>
          <w:rFonts w:ascii="Times New Roman" w:hAnsi="Times New Roman" w:cs="Times New Roman"/>
          <w:b/>
          <w:bCs/>
          <w:i w:val="0"/>
          <w:iCs w:val="0"/>
          <w:color w:val="000000" w:themeColor="text1"/>
          <w:sz w:val="24"/>
          <w:szCs w:val="24"/>
        </w:rPr>
        <w:fldChar w:fldCharType="end"/>
      </w:r>
      <w:r w:rsidRPr="007E7CB6">
        <w:rPr>
          <w:rFonts w:ascii="Times New Roman" w:hAnsi="Times New Roman" w:cs="Times New Roman"/>
          <w:b/>
          <w:bCs/>
          <w:i w:val="0"/>
          <w:iCs w:val="0"/>
          <w:color w:val="000000" w:themeColor="text1"/>
          <w:sz w:val="24"/>
          <w:szCs w:val="24"/>
        </w:rPr>
        <w:t>.2 Previous Research</w:t>
      </w:r>
      <w:r w:rsidRPr="007E7CB6">
        <w:rPr>
          <w:rFonts w:ascii="Times New Roman" w:eastAsia="Times New Roman" w:hAnsi="Times New Roman" w:cs="Times New Roman"/>
          <w:b/>
          <w:i w:val="0"/>
          <w:color w:val="FFFFFF"/>
          <w:sz w:val="24"/>
          <w:szCs w:val="24"/>
        </w:rPr>
        <w:t>2</w:t>
      </w:r>
      <w:bookmarkEnd w:id="54"/>
    </w:p>
    <w:tbl>
      <w:tblPr>
        <w:tblStyle w:val="aa"/>
        <w:tblW w:w="7926" w:type="dxa"/>
        <w:tblLayout w:type="fixed"/>
        <w:tblLook w:val="0400" w:firstRow="0" w:lastRow="0" w:firstColumn="0" w:lastColumn="0" w:noHBand="0" w:noVBand="1"/>
      </w:tblPr>
      <w:tblGrid>
        <w:gridCol w:w="704"/>
        <w:gridCol w:w="2410"/>
        <w:gridCol w:w="2126"/>
        <w:gridCol w:w="2686"/>
      </w:tblGrid>
      <w:tr w:rsidR="00153781" w:rsidRPr="007E7CB6" w14:paraId="22EB1D23" w14:textId="77777777" w:rsidTr="00CD6299">
        <w:trPr>
          <w:trHeight w:val="755"/>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9DCC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No.</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84CC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Author and Research Title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768A3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Research Sample</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15FF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Result</w:t>
            </w:r>
          </w:p>
        </w:tc>
      </w:tr>
      <w:tr w:rsidR="008E0A64" w:rsidRPr="007E7CB6" w14:paraId="2D7B798E" w14:textId="77777777" w:rsidTr="00CD6299">
        <w:trPr>
          <w:trHeight w:val="2407"/>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6FE08" w14:textId="61013C42" w:rsidR="008E0A64" w:rsidRPr="007E7CB6" w:rsidRDefault="008E0A64" w:rsidP="008E0A6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C3260" w14:textId="2ABC9C40" w:rsidR="008E0A64" w:rsidRPr="007E7CB6" w:rsidRDefault="008E0A64" w:rsidP="008E0A6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Tri Astuti &amp; Nurmala Ahmar (2025) Effects of green intellectual capital, green accounting, and green innovation on firm value: The moderating role of return on assets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572ED" w14:textId="20C313E0" w:rsidR="008E0A64" w:rsidRPr="007E7CB6" w:rsidRDefault="008E0A64"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SRI-KEHATI index companies listed on the Indonesia Stock Exchange.</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6D738" w14:textId="76DE3CEE"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green accounting and green intellectual capital have a positive and significant effect on firm value before and after being moderated by ROA. Meanwhile, green innovation has a positive and insignificant effect on firm value and a negative and insignificant effect on firm value after being moderated by ROA.</w:t>
            </w:r>
          </w:p>
        </w:tc>
      </w:tr>
    </w:tbl>
    <w:p w14:paraId="3B16DCE6" w14:textId="77777777" w:rsidR="008E0A64" w:rsidRPr="007E7CB6" w:rsidRDefault="008E0A64" w:rsidP="008E0A64">
      <w:pPr>
        <w:pBdr>
          <w:top w:val="nil"/>
          <w:left w:val="nil"/>
          <w:bottom w:val="nil"/>
          <w:right w:val="nil"/>
          <w:between w:val="nil"/>
        </w:pBdr>
        <w:spacing w:line="480" w:lineRule="auto"/>
        <w:jc w:val="both"/>
        <w:rPr>
          <w:rFonts w:ascii="Times New Roman" w:eastAsia="Times New Roman" w:hAnsi="Times New Roman" w:cs="Times New Roman"/>
          <w:i/>
        </w:rPr>
      </w:pPr>
      <w:r w:rsidRPr="007E7CB6">
        <w:rPr>
          <w:rFonts w:ascii="Times New Roman" w:eastAsia="Times New Roman" w:hAnsi="Times New Roman" w:cs="Times New Roman"/>
          <w:i/>
        </w:rPr>
        <w:t>Continued on the next page</w:t>
      </w:r>
    </w:p>
    <w:p w14:paraId="7868642D" w14:textId="57D7F9F9" w:rsidR="008E0A64" w:rsidRPr="007E7CB6" w:rsidRDefault="008E0A64">
      <w:pPr>
        <w:rPr>
          <w:rFonts w:ascii="Times New Roman" w:hAnsi="Times New Roman" w:cs="Times New Roman"/>
        </w:rPr>
      </w:pPr>
    </w:p>
    <w:p w14:paraId="139DA764" w14:textId="769A67BC" w:rsidR="008E0A64" w:rsidRPr="007E7CB6" w:rsidRDefault="008E0A64" w:rsidP="008E0A64">
      <w:pPr>
        <w:spacing w:line="480" w:lineRule="auto"/>
        <w:rPr>
          <w:rFonts w:ascii="Times New Roman" w:hAnsi="Times New Roman" w:cs="Times New Roman"/>
        </w:rPr>
      </w:pPr>
      <w:r w:rsidRPr="007E7CB6">
        <w:rPr>
          <w:rFonts w:ascii="Times New Roman" w:eastAsia="Times New Roman" w:hAnsi="Times New Roman" w:cs="Times New Roman"/>
          <w:b/>
          <w:sz w:val="24"/>
          <w:szCs w:val="24"/>
        </w:rPr>
        <w:lastRenderedPageBreak/>
        <w:t>Table 2.2 Table Continuation</w:t>
      </w:r>
    </w:p>
    <w:tbl>
      <w:tblPr>
        <w:tblStyle w:val="aa"/>
        <w:tblW w:w="7926" w:type="dxa"/>
        <w:tblLayout w:type="fixed"/>
        <w:tblLook w:val="0400" w:firstRow="0" w:lastRow="0" w:firstColumn="0" w:lastColumn="0" w:noHBand="0" w:noVBand="1"/>
      </w:tblPr>
      <w:tblGrid>
        <w:gridCol w:w="704"/>
        <w:gridCol w:w="2410"/>
        <w:gridCol w:w="2126"/>
        <w:gridCol w:w="2686"/>
      </w:tblGrid>
      <w:tr w:rsidR="008E0A64" w:rsidRPr="007E7CB6" w14:paraId="39E85C5F" w14:textId="77777777" w:rsidTr="00CD6299">
        <w:trPr>
          <w:trHeight w:val="2407"/>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9871B" w14:textId="15CEEF8E" w:rsidR="008E0A64" w:rsidRPr="007E7CB6" w:rsidRDefault="00CD6299" w:rsidP="008E0A6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w:t>
            </w:r>
            <w:r w:rsidR="008E0A64" w:rsidRPr="007E7CB6">
              <w:rPr>
                <w:rFonts w:ascii="Times New Roman" w:eastAsia="Times New Roman" w:hAnsi="Times New Roman" w:cs="Times New Roman"/>
                <w:color w:val="00000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0E3E9" w14:textId="77777777" w:rsidR="008E0A64" w:rsidRPr="007E7CB6" w:rsidRDefault="008E0A64" w:rsidP="008E0A6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Wenni Anggita, Ari Agung Nugroho dan Suhaidar (2022) Carbon Emission Disclosure and Green Accounting Practices on the Firm Value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437F6" w14:textId="77777777" w:rsidR="008E0A64" w:rsidRPr="007E7CB6" w:rsidRDefault="008E0A64"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consumer goods companies listed on the Indonesia Stock Exchange (IDX) for the period 2020-2021.</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3BBCD" w14:textId="77777777"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carbon emission disclosure has no effect on firm value, while green accounting practices has a positive and significant effect on firm value.</w:t>
            </w:r>
          </w:p>
        </w:tc>
      </w:tr>
      <w:tr w:rsidR="008E0A64" w:rsidRPr="007E7CB6" w14:paraId="00039332" w14:textId="77777777" w:rsidTr="00CD6299">
        <w:trPr>
          <w:trHeight w:val="1962"/>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C8B7E" w14:textId="3A5C390D" w:rsidR="008E0A64" w:rsidRPr="007E7CB6" w:rsidRDefault="00CD6299" w:rsidP="008E0A6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w:t>
            </w:r>
            <w:r w:rsidR="008E0A64" w:rsidRPr="007E7CB6">
              <w:rPr>
                <w:rFonts w:ascii="Times New Roman" w:eastAsia="Times New Roman" w:hAnsi="Times New Roman" w:cs="Times New Roman"/>
                <w:color w:val="000000"/>
                <w:sz w:val="24"/>
                <w:szCs w:val="24"/>
              </w:rPr>
              <w: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03897" w14:textId="77777777" w:rsidR="008E0A64" w:rsidRPr="007E7CB6" w:rsidRDefault="008E0A64" w:rsidP="008E0A6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Siti Hailatul Fikriyah dan Rahma Wiyanti (2023) The Effect of Environmental Performance and Green Accounting on Firm Value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7CE34" w14:textId="77777777" w:rsidR="008E0A64" w:rsidRPr="007E7CB6" w:rsidRDefault="008E0A64"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SRI-KEHATI index companies listed on the Indonesia Stock Exchange.</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E5019" w14:textId="77777777"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green accounting and environmental performance have a positive and significant effect on firm value.</w:t>
            </w:r>
          </w:p>
        </w:tc>
      </w:tr>
      <w:tr w:rsidR="00CD6299" w:rsidRPr="007E7CB6" w14:paraId="14B8E530" w14:textId="77777777" w:rsidTr="00CD6299">
        <w:trPr>
          <w:trHeight w:val="1962"/>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87655" w14:textId="31F7091E" w:rsidR="00CD6299" w:rsidRPr="007E7CB6" w:rsidRDefault="00CD6299" w:rsidP="00CD629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069A1" w14:textId="08F00D43" w:rsidR="00CD6299" w:rsidRPr="007E7CB6" w:rsidRDefault="00CD6299" w:rsidP="00CD629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Vitalis Ari Widianingsih dan Agustinus Kismet Nugroho Jati (2024) Implementation of Green Accounting, Intellectual Capital and Environmental Performance on Company Value Mediated by Financial Performance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11BA9" w14:textId="7C396AD3" w:rsidR="00CD6299" w:rsidRPr="007E7CB6" w:rsidRDefault="00CD6299" w:rsidP="00CD6299">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mining companies listed on the Indonesia Stock Exchange (IDX) for the period 2020-2021.</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ED186" w14:textId="41C4164A" w:rsidR="00CD6299" w:rsidRPr="007E7CB6" w:rsidRDefault="00CD6299" w:rsidP="00CD6299">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green accounting and intellectual capital have a negative and insignificant effect on firm value before and after being moderated by financial performance. Meanwhile, environmental performance has a negative and insignificant effect on firm value and a positive and significant effect on firm value after being moderated by business strategy.</w:t>
            </w:r>
          </w:p>
        </w:tc>
      </w:tr>
      <w:tr w:rsidR="00CD6299" w:rsidRPr="007E7CB6" w14:paraId="534395F7" w14:textId="77777777" w:rsidTr="00CD6299">
        <w:trPr>
          <w:trHeight w:val="1962"/>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29211" w14:textId="53A055AE" w:rsidR="00CD6299" w:rsidRPr="007E7CB6" w:rsidRDefault="00CD6299" w:rsidP="00CD629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A5C3B" w14:textId="7445809D" w:rsidR="00CD6299" w:rsidRPr="007E7CB6" w:rsidRDefault="00CD6299" w:rsidP="00CD6299">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Wang &amp; Juo (2021) An environmental policy of green intellectual capital: green innovation strategy for performance sustainability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13D44" w14:textId="296407FD" w:rsidR="00CD6299" w:rsidRPr="007E7CB6" w:rsidRDefault="00CD6299" w:rsidP="00CD6299">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manufacturing companies in Taiwan.</w:t>
            </w:r>
          </w:p>
        </w:tc>
        <w:tc>
          <w:tcPr>
            <w:tcW w:w="2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84108" w14:textId="7D933F9C" w:rsidR="00CD6299" w:rsidRPr="007E7CB6" w:rsidRDefault="00CD6299" w:rsidP="00CD6299">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Intellectual Capital has a positive and significant effect on innovation and company performance, and can strengthen the influence of sustainability practices on firm value.</w:t>
            </w:r>
          </w:p>
        </w:tc>
      </w:tr>
    </w:tbl>
    <w:p w14:paraId="32141FCB" w14:textId="2EF8403D" w:rsidR="00CD6299" w:rsidRPr="007E7CB6" w:rsidRDefault="008E0A64" w:rsidP="00CD6299">
      <w:pPr>
        <w:pBdr>
          <w:top w:val="nil"/>
          <w:left w:val="nil"/>
          <w:bottom w:val="nil"/>
          <w:right w:val="nil"/>
          <w:between w:val="nil"/>
        </w:pBdr>
        <w:spacing w:line="480" w:lineRule="auto"/>
        <w:jc w:val="both"/>
        <w:rPr>
          <w:rFonts w:ascii="Times New Roman" w:eastAsia="Times New Roman" w:hAnsi="Times New Roman" w:cs="Times New Roman"/>
          <w:i/>
        </w:rPr>
      </w:pPr>
      <w:r w:rsidRPr="007E7CB6">
        <w:rPr>
          <w:rFonts w:ascii="Times New Roman" w:eastAsia="Times New Roman" w:hAnsi="Times New Roman" w:cs="Times New Roman"/>
          <w:i/>
        </w:rPr>
        <w:t>Continued on the next page</w:t>
      </w:r>
    </w:p>
    <w:p w14:paraId="7AE54E14" w14:textId="77777777" w:rsidR="00EE4405" w:rsidRPr="007E7CB6" w:rsidRDefault="00EE4405" w:rsidP="008E0A64">
      <w:pPr>
        <w:spacing w:line="480" w:lineRule="auto"/>
        <w:rPr>
          <w:rFonts w:ascii="Times New Roman" w:eastAsia="Times New Roman" w:hAnsi="Times New Roman" w:cs="Times New Roman"/>
          <w:b/>
          <w:sz w:val="24"/>
          <w:szCs w:val="24"/>
        </w:rPr>
      </w:pPr>
    </w:p>
    <w:p w14:paraId="1B26E68E" w14:textId="430A3D7A" w:rsidR="008E0A64" w:rsidRPr="007E7CB6" w:rsidRDefault="008E0A64" w:rsidP="00EE4405">
      <w:pPr>
        <w:spacing w:line="360" w:lineRule="auto"/>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lastRenderedPageBreak/>
        <w:t>Table 2.2 Table Continuation</w:t>
      </w:r>
    </w:p>
    <w:tbl>
      <w:tblPr>
        <w:tblStyle w:val="aa"/>
        <w:tblW w:w="7926" w:type="dxa"/>
        <w:tblLayout w:type="fixed"/>
        <w:tblLook w:val="0400" w:firstRow="0" w:lastRow="0" w:firstColumn="0" w:lastColumn="0" w:noHBand="0" w:noVBand="1"/>
      </w:tblPr>
      <w:tblGrid>
        <w:gridCol w:w="704"/>
        <w:gridCol w:w="2268"/>
        <w:gridCol w:w="2126"/>
        <w:gridCol w:w="2828"/>
      </w:tblGrid>
      <w:tr w:rsidR="00153781" w:rsidRPr="007E7CB6" w14:paraId="56D7FEDE" w14:textId="77777777" w:rsidTr="00B46618">
        <w:trPr>
          <w:trHeight w:val="1708"/>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29CEA" w14:textId="49AAF6E0" w:rsidR="00153781" w:rsidRPr="007E7CB6" w:rsidRDefault="00EE4405">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A8161"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Albitar et al. (2020) ESG disclosure and firm performance before and after IR</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234EA"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public companies in Europe that implement integrated reporting.</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4C434" w14:textId="4A69526B"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environmental accounting improves transparency and sustainable performance</w:t>
            </w:r>
            <w:r w:rsidR="00B46618" w:rsidRPr="007E7CB6">
              <w:rPr>
                <w:rFonts w:ascii="Times New Roman" w:eastAsia="Times New Roman" w:hAnsi="Times New Roman" w:cs="Times New Roman"/>
                <w:sz w:val="24"/>
                <w:szCs w:val="24"/>
              </w:rPr>
              <w:t>.</w:t>
            </w:r>
          </w:p>
        </w:tc>
      </w:tr>
      <w:tr w:rsidR="00153781" w:rsidRPr="007E7CB6" w14:paraId="03C8D561" w14:textId="77777777" w:rsidTr="00CD6299">
        <w:trPr>
          <w:trHeight w:val="201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96DC8" w14:textId="792B6373" w:rsidR="00153781" w:rsidRPr="007E7CB6" w:rsidRDefault="00EE4405">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7.</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5510B"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Anandita Setiana and Dianwicaksih Arieftiara (2024) Carbon Emission Disclosure and Green Intellectual Capital: The Effect on Firm Value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30677"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companies that received PROPER ratings on the Indonesia Stock Exchange (IDX) for the 2019-2022 period.</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BB343" w14:textId="77777777" w:rsidR="00153781" w:rsidRPr="007E7CB6" w:rsidRDefault="00000000">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the study indicate that carbon emissions disclosure, environmental performance, and green accounting have a positive and not significant effect on firm value.</w:t>
            </w:r>
          </w:p>
        </w:tc>
      </w:tr>
      <w:tr w:rsidR="008E0A64" w:rsidRPr="007E7CB6" w14:paraId="4348ACAB" w14:textId="77777777" w:rsidTr="00CD6299">
        <w:trPr>
          <w:trHeight w:val="201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E9EEA" w14:textId="785FCCCA" w:rsidR="008E0A64" w:rsidRPr="007E7CB6" w:rsidRDefault="00EE4405"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8</w:t>
            </w:r>
            <w:r w:rsidR="008E0A64" w:rsidRPr="007E7CB6">
              <w:rPr>
                <w:rFonts w:ascii="Times New Roman" w:eastAsia="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358A3" w14:textId="426B479A"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Rilla Gantino, Endang Ruswanti dan Agung Mulyo Widodo (2023) Green Accounting and Intellectual Capital Effect on the Firm Value Moderated by Business Strategy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C590E" w14:textId="28A6A78D" w:rsidR="008E0A64" w:rsidRPr="007E7CB6" w:rsidRDefault="008E0A64"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companies in the Automotive and Components and Consumer Goods sectors listed on the Indonesia Stock Exchange.</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14109" w14:textId="1C76A670"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of this study indicate that green accounting has a positive and significant effect on firm value, and has a negative and insignificant effect on firm value after being moderated by business strategy. Meanwhile, intellectual capital has a positive and significant effect on firm value before and after being moderated by business strategy.</w:t>
            </w:r>
          </w:p>
        </w:tc>
      </w:tr>
      <w:tr w:rsidR="008E0A64" w:rsidRPr="007E7CB6" w14:paraId="0DBA0863" w14:textId="77777777" w:rsidTr="00CD6299">
        <w:trPr>
          <w:trHeight w:val="1509"/>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2700C" w14:textId="55B33769" w:rsidR="008E0A64" w:rsidRPr="007E7CB6" w:rsidRDefault="00EE4405"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9</w:t>
            </w:r>
            <w:r w:rsidR="008E0A64" w:rsidRPr="007E7CB6">
              <w:rPr>
                <w:rFonts w:ascii="Times New Roman" w:eastAsia="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17BD0" w14:textId="6F59222C"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Zhou &amp; Fan (2023) Does green capital structure contribute to firm development?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7B347" w14:textId="4980E3CD" w:rsidR="008E0A64" w:rsidRPr="007E7CB6" w:rsidRDefault="008E0A64" w:rsidP="008E0A64">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companies in China with green project financing.</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58707" w14:textId="70B00603" w:rsidR="008E0A64" w:rsidRPr="007E7CB6" w:rsidRDefault="008E0A64" w:rsidP="008E0A64">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capital structure strengthens a company's reputation and improves access to financing, which has a positive impact on firm value.</w:t>
            </w:r>
          </w:p>
        </w:tc>
      </w:tr>
      <w:tr w:rsidR="00CD6299" w:rsidRPr="007E7CB6" w14:paraId="5AD3239E" w14:textId="77777777" w:rsidTr="00CD6299">
        <w:trPr>
          <w:trHeight w:val="270"/>
        </w:trPr>
        <w:tc>
          <w:tcPr>
            <w:tcW w:w="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B09A8" w14:textId="6C044157" w:rsidR="00CD6299" w:rsidRPr="007E7CB6" w:rsidRDefault="00EE4405" w:rsidP="00CD6299">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w:t>
            </w:r>
            <w:r w:rsidR="00CD6299" w:rsidRPr="007E7CB6">
              <w:rPr>
                <w:rFonts w:ascii="Times New Roman" w:eastAsia="Times New Roman" w:hAnsi="Times New Roman" w:cs="Times New Roman"/>
                <w:color w:val="000000"/>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E4D97" w14:textId="31F20A57" w:rsidR="00CD6299" w:rsidRPr="007E7CB6" w:rsidRDefault="00CD6299" w:rsidP="00CD6299">
            <w:pP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Theresya, Elsa</w:t>
            </w:r>
            <w:r w:rsidR="00EE4405" w:rsidRPr="007E7CB6">
              <w:rPr>
                <w:rFonts w:ascii="Times New Roman" w:eastAsia="Times New Roman" w:hAnsi="Times New Roman" w:cs="Times New Roman"/>
                <w:color w:val="000000"/>
                <w:sz w:val="24"/>
                <w:szCs w:val="24"/>
              </w:rPr>
              <w:t xml:space="preserve"> </w:t>
            </w:r>
            <w:r w:rsidRPr="007E7CB6">
              <w:rPr>
                <w:rFonts w:ascii="Times New Roman" w:eastAsia="Times New Roman" w:hAnsi="Times New Roman" w:cs="Times New Roman"/>
                <w:color w:val="000000"/>
                <w:sz w:val="24"/>
                <w:szCs w:val="24"/>
              </w:rPr>
              <w:t>dan Natasya Cindy (2024) The Effect of Capital Structure on Firm Value with Profitability as Variable Mediator</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398B6" w14:textId="5F5AECF6" w:rsidR="00CD6299" w:rsidRPr="007E7CB6" w:rsidRDefault="00CD6299" w:rsidP="00CD6299">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uses data from mining companies listed on the Indonesia Stock Exchange (IDX) for the period 2020-2021.</w:t>
            </w:r>
          </w:p>
        </w:tc>
        <w:tc>
          <w:tcPr>
            <w:tcW w:w="2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64573" w14:textId="3E417887" w:rsidR="00CD6299" w:rsidRPr="007E7CB6" w:rsidRDefault="00CD6299" w:rsidP="00CD6299">
            <w:pPr>
              <w:spacing w:line="24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results show that capital structure has a positive and significant effect on firm value, and profitability mediates the effect of capital structure on firm value.</w:t>
            </w:r>
          </w:p>
        </w:tc>
      </w:tr>
    </w:tbl>
    <w:p w14:paraId="636CB17B" w14:textId="205D4248" w:rsidR="00153781" w:rsidRPr="007E7CB6" w:rsidRDefault="00000000" w:rsidP="00B46618">
      <w:pPr>
        <w:pBdr>
          <w:top w:val="nil"/>
          <w:left w:val="nil"/>
          <w:bottom w:val="nil"/>
          <w:right w:val="nil"/>
          <w:between w:val="nil"/>
        </w:pBdr>
        <w:spacing w:line="480" w:lineRule="auto"/>
        <w:jc w:val="both"/>
        <w:rPr>
          <w:rFonts w:ascii="Times New Roman" w:eastAsia="Times New Roman" w:hAnsi="Times New Roman" w:cs="Times New Roman"/>
          <w:i/>
        </w:rPr>
      </w:pPr>
      <w:r w:rsidRPr="007E7CB6">
        <w:rPr>
          <w:rFonts w:ascii="Times New Roman" w:eastAsia="Times New Roman" w:hAnsi="Times New Roman" w:cs="Times New Roman"/>
          <w:i/>
        </w:rPr>
        <w:t>Source: Previous research (Processed by Author, 2025)</w:t>
      </w:r>
    </w:p>
    <w:p w14:paraId="5BE1B930"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55" w:name="_Toc210744224"/>
      <w:r w:rsidRPr="007E7CB6">
        <w:rPr>
          <w:rFonts w:ascii="Times New Roman" w:eastAsia="Times New Roman" w:hAnsi="Times New Roman" w:cs="Times New Roman"/>
          <w:b/>
          <w:sz w:val="24"/>
          <w:szCs w:val="24"/>
        </w:rPr>
        <w:lastRenderedPageBreak/>
        <w:t>2.3</w:t>
      </w:r>
      <w:r w:rsidRPr="007E7CB6">
        <w:rPr>
          <w:rFonts w:ascii="Times New Roman" w:eastAsia="Times New Roman" w:hAnsi="Times New Roman" w:cs="Times New Roman"/>
          <w:b/>
          <w:sz w:val="24"/>
          <w:szCs w:val="24"/>
        </w:rPr>
        <w:tab/>
        <w:t>Conceptual Framework</w:t>
      </w:r>
      <w:bookmarkEnd w:id="55"/>
    </w:p>
    <w:p w14:paraId="7D8A49CA" w14:textId="33F785B8"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conceptual framework in this study describes the relationships and interactions between the main concepts and related concepts associated with the issues under investigation. This framework is based on the theory that forms the basis of the study. The purpose of this conceptual framework is to analyze the relationship between legitimacy theory and the influence of green accounting, carbon emission disclosure, and green capital structure on firm value, with green intellectual capital as a moderating variable.</w:t>
      </w:r>
    </w:p>
    <w:p w14:paraId="4A809B6A" w14:textId="5569DE87" w:rsidR="00153781" w:rsidRPr="007E7CB6" w:rsidRDefault="00FE111A" w:rsidP="00B46618">
      <w:pPr>
        <w:spacing w:line="480" w:lineRule="auto"/>
        <w:ind w:firstLine="720"/>
        <w:jc w:val="both"/>
        <w:rPr>
          <w:rFonts w:ascii="Times New Roman" w:eastAsia="Times New Roman" w:hAnsi="Times New Roman" w:cs="Times New Roman"/>
          <w:b/>
          <w:color w:val="000000"/>
        </w:rPr>
      </w:pPr>
      <w:r w:rsidRPr="007E7CB6">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EF679FD" wp14:editId="3A6E3FA3">
                <wp:simplePos x="0" y="0"/>
                <wp:positionH relativeFrom="column">
                  <wp:posOffset>-209374</wp:posOffset>
                </wp:positionH>
                <wp:positionV relativeFrom="paragraph">
                  <wp:posOffset>4995520</wp:posOffset>
                </wp:positionV>
                <wp:extent cx="51689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68900" cy="635"/>
                        </a:xfrm>
                        <a:prstGeom prst="rect">
                          <a:avLst/>
                        </a:prstGeom>
                        <a:solidFill>
                          <a:prstClr val="white"/>
                        </a:solidFill>
                        <a:ln>
                          <a:noFill/>
                        </a:ln>
                      </wps:spPr>
                      <wps:txbx>
                        <w:txbxContent>
                          <w:p w14:paraId="50985BBC" w14:textId="3111A57A" w:rsidR="00FE111A" w:rsidRPr="00D05F57" w:rsidRDefault="00D05F57" w:rsidP="00D05F57">
                            <w:pPr>
                              <w:pStyle w:val="Caption"/>
                              <w:spacing w:after="0" w:line="276" w:lineRule="auto"/>
                              <w:jc w:val="center"/>
                              <w:rPr>
                                <w:rFonts w:ascii="Times New Roman" w:hAnsi="Times New Roman" w:cs="Times New Roman"/>
                                <w:color w:val="000000" w:themeColor="text1"/>
                                <w:sz w:val="22"/>
                                <w:szCs w:val="22"/>
                              </w:rPr>
                            </w:pPr>
                            <w:r w:rsidRPr="00D05F57">
                              <w:rPr>
                                <w:rFonts w:ascii="Times New Roman" w:hAnsi="Times New Roman" w:cs="Times New Roman"/>
                                <w:color w:val="000000" w:themeColor="text1"/>
                                <w:sz w:val="22"/>
                                <w:szCs w:val="22"/>
                              </w:rPr>
                              <w:t xml:space="preserve">   </w:t>
                            </w:r>
                            <w:bookmarkStart w:id="56" w:name="_Toc209703563"/>
                            <w:r w:rsidR="00FE111A" w:rsidRPr="00D05F57">
                              <w:rPr>
                                <w:rFonts w:ascii="Times New Roman" w:hAnsi="Times New Roman" w:cs="Times New Roman"/>
                                <w:b/>
                                <w:bCs/>
                                <w:color w:val="000000" w:themeColor="text1"/>
                                <w:sz w:val="22"/>
                                <w:szCs w:val="22"/>
                              </w:rPr>
                              <w:t>Figure 2.1 Conceptual Framework</w:t>
                            </w:r>
                            <w:r w:rsidR="00FE111A" w:rsidRPr="00D05F57">
                              <w:rPr>
                                <w:rFonts w:ascii="Times New Roman" w:hAnsi="Times New Roman" w:cs="Times New Roman"/>
                                <w:color w:val="000000" w:themeColor="text1"/>
                                <w:sz w:val="22"/>
                                <w:szCs w:val="22"/>
                              </w:rPr>
                              <w:t xml:space="preserve"> </w:t>
                            </w:r>
                            <w:r w:rsidR="00FE111A" w:rsidRPr="00D05F57">
                              <w:rPr>
                                <w:rFonts w:ascii="Times New Roman" w:hAnsi="Times New Roman" w:cs="Times New Roman"/>
                                <w:color w:val="FFFFFF" w:themeColor="background1"/>
                                <w:sz w:val="22"/>
                                <w:szCs w:val="22"/>
                              </w:rPr>
                              <w:fldChar w:fldCharType="begin"/>
                            </w:r>
                            <w:r w:rsidR="00FE111A" w:rsidRPr="00D05F57">
                              <w:rPr>
                                <w:rFonts w:ascii="Times New Roman" w:hAnsi="Times New Roman" w:cs="Times New Roman"/>
                                <w:color w:val="FFFFFF" w:themeColor="background1"/>
                                <w:sz w:val="22"/>
                                <w:szCs w:val="22"/>
                              </w:rPr>
                              <w:instrText xml:space="preserve"> SEQ Figure \* ARABIC </w:instrText>
                            </w:r>
                            <w:r w:rsidR="00FE111A" w:rsidRPr="00D05F57">
                              <w:rPr>
                                <w:rFonts w:ascii="Times New Roman" w:hAnsi="Times New Roman" w:cs="Times New Roman"/>
                                <w:color w:val="FFFFFF" w:themeColor="background1"/>
                                <w:sz w:val="22"/>
                                <w:szCs w:val="22"/>
                              </w:rPr>
                              <w:fldChar w:fldCharType="separate"/>
                            </w:r>
                            <w:r w:rsidR="00FD5B7D">
                              <w:rPr>
                                <w:rFonts w:ascii="Times New Roman" w:hAnsi="Times New Roman" w:cs="Times New Roman"/>
                                <w:noProof/>
                                <w:color w:val="FFFFFF" w:themeColor="background1"/>
                                <w:sz w:val="22"/>
                                <w:szCs w:val="22"/>
                              </w:rPr>
                              <w:t>3</w:t>
                            </w:r>
                            <w:bookmarkEnd w:id="56"/>
                            <w:r w:rsidR="00FE111A" w:rsidRPr="00D05F57">
                              <w:rPr>
                                <w:rFonts w:ascii="Times New Roman" w:hAnsi="Times New Roman" w:cs="Times New Roman"/>
                                <w:color w:val="FFFFFF" w:themeColor="background1"/>
                                <w:sz w:val="22"/>
                                <w:szCs w:val="22"/>
                              </w:rPr>
                              <w:fldChar w:fldCharType="end"/>
                            </w:r>
                          </w:p>
                          <w:p w14:paraId="26C33F76" w14:textId="4FBC2AB8" w:rsidR="00FE111A" w:rsidRPr="00D05F57" w:rsidRDefault="00FE111A" w:rsidP="00D05F57">
                            <w:pPr>
                              <w:jc w:val="center"/>
                              <w:rPr>
                                <w:rFonts w:ascii="Times New Roman" w:hAnsi="Times New Roman" w:cs="Times New Roman"/>
                                <w:i/>
                                <w:iCs/>
                                <w:color w:val="000000" w:themeColor="text1"/>
                              </w:rPr>
                            </w:pPr>
                            <w:r w:rsidRPr="00D05F57">
                              <w:rPr>
                                <w:rFonts w:ascii="Times New Roman" w:hAnsi="Times New Roman" w:cs="Times New Roman"/>
                                <w:i/>
                                <w:iCs/>
                                <w:color w:val="000000" w:themeColor="text1"/>
                              </w:rPr>
                              <w:t>Source: Processed by Author,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F679FD" id="Text Box 5" o:spid="_x0000_s1030" type="#_x0000_t202" style="position:absolute;left:0;text-align:left;margin-left:-16.5pt;margin-top:393.35pt;width:407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81GgIAAD8EAAAOAAAAZHJzL2Uyb0RvYy54bWysU8Fu2zAMvQ/YPwi6L066NW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r2fzmdkohSbH5x+tYI7tcdejDFwUNi0bBkThJUInj&#10;gw996pgSO3kwutxoY+JPDKwNsqMg/tpaBzUU/y3L2JhrId7qC0ZPdpkjWqHbdUyXBf80zriD8kSj&#10;I/Sq8E5uNPV7ED48CyQZ0Egk7fBER2WgLTgMFmc14I+/+WM+sUNRzlqSVcH994NAxZn5aom3qMHR&#10;wNHYjYY9NGugSWe0NE4mky5gMKNZITSvpPhV7EIhYSX1KngYzXXoxU0bI9VqlZJIaU6EB7t1MpYe&#10;cX3pXgW6gZVAZD7CKDiRvyGnz030uNUhENKJuYhrj+IAN6k0cT9sVFyDX/9T1mXvlz8BAAD//wMA&#10;UEsDBBQABgAIAAAAIQBJ/G5Y4QAAAAsBAAAPAAAAZHJzL2Rvd25yZXYueG1sTI/BTsMwEETvSPyD&#10;tUhcUOuUVEkU4lRVBQe4VIReuLmxGwfidWQ7bfh7Fi5w3NnRzJtqM9uBnbUPvUMBq2UCTGPrVI+d&#10;gMPb06IAFqJEJQeHWsCXDrCpr68qWSp3wVd9bmLHKARDKQWYGMeS89AabWVYulEj/U7OWxnp9B1X&#10;Xl4o3A78PkkybmWP1GDkqHdGt5/NZAXs1+97czedHl+269Q/H6Zd9tE1QtzezNsHYFHP8c8MP/iE&#10;DjUxHd2EKrBBwCJNaUsUkBdZDowcebEi5firFMDriv/fUH8DAAD//wMAUEsBAi0AFAAGAAgAAAAh&#10;ALaDOJL+AAAA4QEAABMAAAAAAAAAAAAAAAAAAAAAAFtDb250ZW50X1R5cGVzXS54bWxQSwECLQAU&#10;AAYACAAAACEAOP0h/9YAAACUAQAACwAAAAAAAAAAAAAAAAAvAQAAX3JlbHMvLnJlbHNQSwECLQAU&#10;AAYACAAAACEAZm+PNRoCAAA/BAAADgAAAAAAAAAAAAAAAAAuAgAAZHJzL2Uyb0RvYy54bWxQSwEC&#10;LQAUAAYACAAAACEASfxuWOEAAAALAQAADwAAAAAAAAAAAAAAAAB0BAAAZHJzL2Rvd25yZXYueG1s&#10;UEsFBgAAAAAEAAQA8wAAAIIFAAAAAA==&#10;" stroked="f">
                <v:textbox style="mso-fit-shape-to-text:t" inset="0,0,0,0">
                  <w:txbxContent>
                    <w:p w14:paraId="50985BBC" w14:textId="3111A57A" w:rsidR="00FE111A" w:rsidRPr="00D05F57" w:rsidRDefault="00D05F57" w:rsidP="00D05F57">
                      <w:pPr>
                        <w:pStyle w:val="Caption"/>
                        <w:spacing w:after="0" w:line="276" w:lineRule="auto"/>
                        <w:jc w:val="center"/>
                        <w:rPr>
                          <w:rFonts w:ascii="Times New Roman" w:hAnsi="Times New Roman" w:cs="Times New Roman"/>
                          <w:color w:val="000000" w:themeColor="text1"/>
                          <w:sz w:val="22"/>
                          <w:szCs w:val="22"/>
                        </w:rPr>
                      </w:pPr>
                      <w:r w:rsidRPr="00D05F57">
                        <w:rPr>
                          <w:rFonts w:ascii="Times New Roman" w:hAnsi="Times New Roman" w:cs="Times New Roman"/>
                          <w:color w:val="000000" w:themeColor="text1"/>
                          <w:sz w:val="22"/>
                          <w:szCs w:val="22"/>
                        </w:rPr>
                        <w:t xml:space="preserve">   </w:t>
                      </w:r>
                      <w:bookmarkStart w:id="57" w:name="_Toc209703563"/>
                      <w:r w:rsidR="00FE111A" w:rsidRPr="00D05F57">
                        <w:rPr>
                          <w:rFonts w:ascii="Times New Roman" w:hAnsi="Times New Roman" w:cs="Times New Roman"/>
                          <w:b/>
                          <w:bCs/>
                          <w:color w:val="000000" w:themeColor="text1"/>
                          <w:sz w:val="22"/>
                          <w:szCs w:val="22"/>
                        </w:rPr>
                        <w:t>Figure 2.1 Conceptual Framework</w:t>
                      </w:r>
                      <w:r w:rsidR="00FE111A" w:rsidRPr="00D05F57">
                        <w:rPr>
                          <w:rFonts w:ascii="Times New Roman" w:hAnsi="Times New Roman" w:cs="Times New Roman"/>
                          <w:color w:val="000000" w:themeColor="text1"/>
                          <w:sz w:val="22"/>
                          <w:szCs w:val="22"/>
                        </w:rPr>
                        <w:t xml:space="preserve"> </w:t>
                      </w:r>
                      <w:r w:rsidR="00FE111A" w:rsidRPr="00D05F57">
                        <w:rPr>
                          <w:rFonts w:ascii="Times New Roman" w:hAnsi="Times New Roman" w:cs="Times New Roman"/>
                          <w:color w:val="FFFFFF" w:themeColor="background1"/>
                          <w:sz w:val="22"/>
                          <w:szCs w:val="22"/>
                        </w:rPr>
                        <w:fldChar w:fldCharType="begin"/>
                      </w:r>
                      <w:r w:rsidR="00FE111A" w:rsidRPr="00D05F57">
                        <w:rPr>
                          <w:rFonts w:ascii="Times New Roman" w:hAnsi="Times New Roman" w:cs="Times New Roman"/>
                          <w:color w:val="FFFFFF" w:themeColor="background1"/>
                          <w:sz w:val="22"/>
                          <w:szCs w:val="22"/>
                        </w:rPr>
                        <w:instrText xml:space="preserve"> SEQ Figure \* ARABIC </w:instrText>
                      </w:r>
                      <w:r w:rsidR="00FE111A" w:rsidRPr="00D05F57">
                        <w:rPr>
                          <w:rFonts w:ascii="Times New Roman" w:hAnsi="Times New Roman" w:cs="Times New Roman"/>
                          <w:color w:val="FFFFFF" w:themeColor="background1"/>
                          <w:sz w:val="22"/>
                          <w:szCs w:val="22"/>
                        </w:rPr>
                        <w:fldChar w:fldCharType="separate"/>
                      </w:r>
                      <w:r w:rsidR="00FD5B7D">
                        <w:rPr>
                          <w:rFonts w:ascii="Times New Roman" w:hAnsi="Times New Roman" w:cs="Times New Roman"/>
                          <w:noProof/>
                          <w:color w:val="FFFFFF" w:themeColor="background1"/>
                          <w:sz w:val="22"/>
                          <w:szCs w:val="22"/>
                        </w:rPr>
                        <w:t>3</w:t>
                      </w:r>
                      <w:bookmarkEnd w:id="57"/>
                      <w:r w:rsidR="00FE111A" w:rsidRPr="00D05F57">
                        <w:rPr>
                          <w:rFonts w:ascii="Times New Roman" w:hAnsi="Times New Roman" w:cs="Times New Roman"/>
                          <w:color w:val="FFFFFF" w:themeColor="background1"/>
                          <w:sz w:val="22"/>
                          <w:szCs w:val="22"/>
                        </w:rPr>
                        <w:fldChar w:fldCharType="end"/>
                      </w:r>
                    </w:p>
                    <w:p w14:paraId="26C33F76" w14:textId="4FBC2AB8" w:rsidR="00FE111A" w:rsidRPr="00D05F57" w:rsidRDefault="00FE111A" w:rsidP="00D05F57">
                      <w:pPr>
                        <w:jc w:val="center"/>
                        <w:rPr>
                          <w:rFonts w:ascii="Times New Roman" w:hAnsi="Times New Roman" w:cs="Times New Roman"/>
                          <w:i/>
                          <w:iCs/>
                          <w:color w:val="000000" w:themeColor="text1"/>
                        </w:rPr>
                      </w:pPr>
                      <w:r w:rsidRPr="00D05F57">
                        <w:rPr>
                          <w:rFonts w:ascii="Times New Roman" w:hAnsi="Times New Roman" w:cs="Times New Roman"/>
                          <w:i/>
                          <w:iCs/>
                          <w:color w:val="000000" w:themeColor="text1"/>
                        </w:rPr>
                        <w:t>Source: Processed by Author, 2025</w:t>
                      </w:r>
                    </w:p>
                  </w:txbxContent>
                </v:textbox>
                <w10:wrap type="square"/>
              </v:shape>
            </w:pict>
          </mc:Fallback>
        </mc:AlternateContent>
      </w:r>
      <w:r w:rsidR="00B46618" w:rsidRPr="007E7CB6">
        <w:rPr>
          <w:rFonts w:ascii="Times New Roman" w:hAnsi="Times New Roman" w:cs="Times New Roman"/>
          <w:noProof/>
        </w:rPr>
        <w:drawing>
          <wp:anchor distT="114300" distB="114300" distL="114300" distR="114300" simplePos="0" relativeHeight="251661312" behindDoc="0" locked="0" layoutInCell="1" hidden="0" allowOverlap="1" wp14:anchorId="50BB179A" wp14:editId="598AB3FD">
            <wp:simplePos x="0" y="0"/>
            <wp:positionH relativeFrom="margin">
              <wp:posOffset>-204470</wp:posOffset>
            </wp:positionH>
            <wp:positionV relativeFrom="margin">
              <wp:posOffset>3095462</wp:posOffset>
            </wp:positionV>
            <wp:extent cx="5440680" cy="4716780"/>
            <wp:effectExtent l="0" t="0" r="7620" b="7620"/>
            <wp:wrapSquare wrapText="bothSides" distT="114300" distB="114300" distL="114300" distR="114300"/>
            <wp:docPr id="13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5440680" cy="4716780"/>
                    </a:xfrm>
                    <a:prstGeom prst="rect">
                      <a:avLst/>
                    </a:prstGeom>
                    <a:ln/>
                  </pic:spPr>
                </pic:pic>
              </a:graphicData>
            </a:graphic>
            <wp14:sizeRelH relativeFrom="margin">
              <wp14:pctWidth>0</wp14:pctWidth>
            </wp14:sizeRelH>
            <wp14:sizeRelV relativeFrom="margin">
              <wp14:pctHeight>0</wp14:pctHeight>
            </wp14:sizeRelV>
          </wp:anchor>
        </w:drawing>
      </w:r>
      <w:r w:rsidRPr="007E7CB6">
        <w:rPr>
          <w:rFonts w:ascii="Times New Roman" w:eastAsia="Times New Roman" w:hAnsi="Times New Roman" w:cs="Times New Roman"/>
          <w:sz w:val="24"/>
          <w:szCs w:val="24"/>
        </w:rPr>
        <w:t>The conceptual framework in this study is presented as follows:</w:t>
      </w:r>
    </w:p>
    <w:p w14:paraId="42D71C0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 xml:space="preserve">Firm value is influenced by the implementation of corporate sustainability strategies that are shaped by both stakeholder demands and regulatory pressures, in line with the legitimacy theory. Companies that seek to maintain legitimacy are encouraged to adopt sustainability-oriented practices such as green accounting, carbon emission disclosure, and green capital structure. Green accounting ensures that environmental aspects are integrated into financial reporting, thereby enhancing transparency and accountability. Carbon emission disclosure reflects a company’s commitment to reducing its environmental footprint and addressing climate change, while green capital structure demonstrates the integration of environmentally friendly financing and investment decisions into corporate strategies. These three practices are expected to have a direct impact on firm value by improving investor confidence, strengthening corporate reputation, and ensuring long-term financial sustainability. </w:t>
      </w:r>
    </w:p>
    <w:p w14:paraId="515C2A2A"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Furthermore, green intellectual capital acts as a moderating variable, reinforcing the relationship between the independent variables and firm value. The presence of green intellectual capital, which encompasses the knowledge, capabilities, and innovation of human resources in managing sustainability, is expected to enhance the effectiveness of green practices in creating firm value. Thus, the conceptual framework provides a comprehensive perspective on how corporate sustainability initiatives, supported by intellectual capital, can strengthen the legitimacy of firms and ultimately increase their value.</w:t>
      </w:r>
    </w:p>
    <w:p w14:paraId="57CA685F"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58" w:name="_Toc210744225"/>
      <w:r w:rsidRPr="007E7CB6">
        <w:rPr>
          <w:rFonts w:ascii="Times New Roman" w:eastAsia="Times New Roman" w:hAnsi="Times New Roman" w:cs="Times New Roman"/>
          <w:b/>
          <w:sz w:val="24"/>
          <w:szCs w:val="24"/>
        </w:rPr>
        <w:lastRenderedPageBreak/>
        <w:t>2.4</w:t>
      </w:r>
      <w:r w:rsidRPr="007E7CB6">
        <w:rPr>
          <w:rFonts w:ascii="Times New Roman" w:eastAsia="Times New Roman" w:hAnsi="Times New Roman" w:cs="Times New Roman"/>
          <w:b/>
          <w:sz w:val="24"/>
          <w:szCs w:val="24"/>
        </w:rPr>
        <w:tab/>
        <w:t>Research Hypothesis</w:t>
      </w:r>
      <w:bookmarkEnd w:id="58"/>
    </w:p>
    <w:p w14:paraId="0B12D98F" w14:textId="77777777" w:rsidR="00153781" w:rsidRPr="007E7CB6" w:rsidRDefault="00000000">
      <w:pPr>
        <w:pStyle w:val="Heading3"/>
        <w:spacing w:before="0" w:after="0" w:line="480" w:lineRule="auto"/>
        <w:rPr>
          <w:rFonts w:ascii="Times New Roman" w:eastAsia="Times New Roman" w:hAnsi="Times New Roman" w:cs="Times New Roman"/>
          <w:color w:val="000000"/>
          <w:sz w:val="24"/>
          <w:szCs w:val="24"/>
        </w:rPr>
      </w:pPr>
      <w:bookmarkStart w:id="59" w:name="_Toc210744226"/>
      <w:r w:rsidRPr="007E7CB6">
        <w:rPr>
          <w:rFonts w:ascii="Times New Roman" w:eastAsia="Times New Roman" w:hAnsi="Times New Roman" w:cs="Times New Roman"/>
          <w:b/>
          <w:color w:val="000000"/>
          <w:sz w:val="24"/>
          <w:szCs w:val="24"/>
        </w:rPr>
        <w:t>2.4.1</w:t>
      </w:r>
      <w:r w:rsidRPr="007E7CB6">
        <w:rPr>
          <w:rFonts w:ascii="Times New Roman" w:eastAsia="Times New Roman" w:hAnsi="Times New Roman" w:cs="Times New Roman"/>
          <w:b/>
          <w:color w:val="000000"/>
          <w:sz w:val="24"/>
          <w:szCs w:val="24"/>
        </w:rPr>
        <w:tab/>
        <w:t>The Effect of Green Accounting on Firm Value</w:t>
      </w:r>
      <w:bookmarkEnd w:id="59"/>
      <w:r w:rsidRPr="007E7CB6">
        <w:rPr>
          <w:rFonts w:ascii="Times New Roman" w:eastAsia="Times New Roman" w:hAnsi="Times New Roman" w:cs="Times New Roman"/>
          <w:b/>
          <w:color w:val="000000"/>
          <w:sz w:val="24"/>
          <w:szCs w:val="24"/>
        </w:rPr>
        <w:t xml:space="preserve"> </w:t>
      </w:r>
    </w:p>
    <w:p w14:paraId="6D30FCA4"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Legitimacy Theory explains that the sustainability of a company depends on its ability to operate in accordance with social norms and expectations. In this case, green accounting plays an important role in demonstrating corporate environmental responsibility through the measurement and reporting of environmental impacts in financial statements. The application of green accounting can increase transparency, build a positive image in the eyes of investors, and ultimately contribute to an increase in company value. </w:t>
      </w:r>
    </w:p>
    <w:p w14:paraId="0B591A8A" w14:textId="08CF3ED9"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Research by</w:t>
      </w:r>
      <w:r w:rsidR="00B46618"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DZiZGU1ZGUtMzA4My00OWE5LWFhMmQtMmIxNzI3YWRkYWQxIiwicHJvcGVydGllcyI6eyJub3RlSW5kZXgiOjB9LCJpc0VkaXRlZCI6ZmFsc2UsIm1hbnVhbE92ZXJyaWRlIjp7ImlzTWFudWFsbHlPdmVycmlkZGVuIjpmYWxzZSwiY2l0ZXByb2NUZXh0IjoiKFhpZSBldCBhbC4sIDIwMjIpIiwibWFudWFsT3ZlcnJpZGVUZXh0IjoiIn0sImNpdGF0aW9uSXRlbXMiOlt7ImlkIjoiMDU2ZTU2YjYtZGQ2Yy0zMzllLTljNWYtYjg3ZDhmNzBjYTZjIiwiaXRlbURhdGEiOnsidHlwZSI6ImFydGljbGUtam91cm5hbCIsImlkIjoiMDU2ZTU2YjYtZGQ2Yy0zMzllLTljNWYtYjg3ZDhmNzBjYTZjIiwidGl0bGUiOiJJbXBhY3Qgb2YgR3JlZW4gSW5ub3ZhdGlvbiBvbiBGaXJtIFZhbHVlOiBFdmlkZW5jZSBGcm9tIExpc3RlZCBDb21wYW5pZXMgaW4gQ2hpbmHigJlzIEhlYXZ5IFBvbGx1dGlvbiBJbmR1c3RyaWVzIiwiYXV0aG9yIjpbeyJmYW1pbHkiOiJYaWUiLCJnaXZlbiI6IlpoYW9kb25nIiwicGFyc2UtbmFtZXMiOmZhbHNlLCJkcm9wcGluZy1wYXJ0aWNsZSI6IiIsIm5vbi1kcm9wcGluZy1wYXJ0aWNsZSI6IiJ9LHsiZmFtaWx5IjoiV2FuZyIsImdpdmVuIjoiSmlhbnpoaSIsInBhcnNlLW5hbWVzIjpmYWxzZSwiZHJvcHBpbmctcGFydGljbGUiOiIiLCJub24tZHJvcHBpbmctcGFydGljbGUiOiIifSx7ImZhbWlseSI6IlpoYW8iLCJnaXZlbiI6Ikd1b3FpbiIsInBhcnNlLW5hbWVzIjpmYWxzZSwiZHJvcHBpbmctcGFydGljbGUiOiIiLCJub24tZHJvcHBpbmctcGFydGljbGUiOiIifV0sImNvbnRhaW5lci10aXRsZSI6IkZyb250aWVycyBpbiBFbmVyZ3kgUmVzZWFyY2giLCJjb250YWluZXItdGl0bGUtc2hvcnQiOiJGcm9udCBFbmVyZ3kgUmVz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J9LCJpc1RlbXBvcmFyeSI6ZmFsc2UsInN1cHByZXNzLWF1dGhvciI6ZmFsc2UsImNvbXBvc2l0ZSI6ZmFsc2UsImF1dGhvci1vbmx5IjpmYWxzZX1dfQ=="/>
          <w:id w:val="-1528557187"/>
          <w:placeholder>
            <w:docPart w:val="DefaultPlaceholder_-1854013440"/>
          </w:placeholder>
        </w:sdtPr>
        <w:sdtContent>
          <w:r w:rsidR="00AD6D10" w:rsidRPr="007E7CB6">
            <w:rPr>
              <w:rFonts w:ascii="Times New Roman" w:eastAsia="Times New Roman" w:hAnsi="Times New Roman" w:cs="Times New Roman"/>
              <w:color w:val="000000"/>
              <w:sz w:val="24"/>
              <w:szCs w:val="24"/>
            </w:rPr>
            <w:t>(Xie et al., 2022)</w:t>
          </w:r>
        </w:sdtContent>
      </w:sdt>
      <w:r w:rsidR="00B46618"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found that green innovation and environmental disclosure significantly increase firm value, especially in heavily polluting companies in China. In line with this, </w:t>
      </w:r>
      <w:sdt>
        <w:sdtPr>
          <w:rPr>
            <w:rFonts w:ascii="Times New Roman" w:eastAsia="Times New Roman" w:hAnsi="Times New Roman" w:cs="Times New Roman"/>
            <w:color w:val="000000"/>
            <w:sz w:val="24"/>
            <w:szCs w:val="24"/>
          </w:rPr>
          <w:tag w:val="MENDELEY_CITATION_v3_eyJjaXRhdGlvbklEIjoiTUVOREVMRVlfQ0lUQVRJT05fM2UwMWIzMWQtOGRiYy00MGZiLWEzMGItZTA3ZThkYWVjMDcyIiwicHJvcGVydGllcyI6eyJub3RlSW5kZXgiOjB9LCJpc0VkaXRlZCI6ZmFsc2UsIm1hbnVhbE92ZXJyaWRlIjp7ImlzTWFudWFsbHlPdmVycmlkZGVuIjpmYWxzZSwiY2l0ZXByb2NUZXh0IjoiKFV0b21vIGV0IGFsLiwgMjAyMCkiLCJtYW51YWxPdmVycmlkZVRleHQiOiIifSwiY2l0YXRpb25JdGVtcyI6W3siaWQiOiIzZDdlNmU5Yy1jMDg0LTM3MzQtYjdiNS1iYzVhN2U3NjNlZmQiLCJpdGVtRGF0YSI6eyJ0eXBlIjoiYXJ0aWNsZS1qb3VybmFsIiwiaWQiOiIzZDdlNmU5Yy1jMDg0LTM3MzQtYjdiNS1iYzVhN2U3NjNlZmQiLCJ0aXRsZSI6IkVudmlyb25tZW50YWwgcGVyZm9ybWFuY2UsIGVudmlyb25tZW50YWwgZGlzY2xvc3VyZSwgYW5kIGZpcm0gdmFsdWU6IGVtcGlyaWNhbCBzdHVkeSBvZiBub24tZmluYW5jaWFsIGNvbXBhbmllcyBhdCBJbmRvbmVzaWEgU3RvY2sgRXhjaGFuZ2U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
          <w:id w:val="42720403"/>
          <w:placeholder>
            <w:docPart w:val="DefaultPlaceholder_-1854013440"/>
          </w:placeholder>
        </w:sdtPr>
        <w:sdtContent>
          <w:r w:rsidR="00AD6D10" w:rsidRPr="007E7CB6">
            <w:rPr>
              <w:rFonts w:ascii="Times New Roman" w:eastAsia="Times New Roman" w:hAnsi="Times New Roman" w:cs="Times New Roman"/>
              <w:color w:val="000000"/>
              <w:sz w:val="24"/>
              <w:szCs w:val="24"/>
            </w:rPr>
            <w:t>(Utomo et al., 2020)</w:t>
          </w:r>
        </w:sdtContent>
      </w:sdt>
      <w:r w:rsidR="00B46618"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showed that environmental performance and environmental disclosure in non-financial companies in Indonesia have a positive effect on firm value. These findings emphasize the importance of integrating environmental aspects into reporting and accounting to build legitimacy and increase long-term value.</w:t>
      </w:r>
    </w:p>
    <w:p w14:paraId="745BD674" w14:textId="77777777" w:rsidR="00153781" w:rsidRPr="007E7CB6" w:rsidRDefault="00000000">
      <w:pPr>
        <w:spacing w:line="48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H1: Green accounting has a positive effect on firm value</w:t>
      </w:r>
    </w:p>
    <w:p w14:paraId="023F146F" w14:textId="77777777" w:rsidR="00153781" w:rsidRPr="007E7CB6" w:rsidRDefault="00000000">
      <w:pPr>
        <w:pStyle w:val="Heading3"/>
        <w:spacing w:before="0" w:after="0" w:line="480" w:lineRule="auto"/>
        <w:rPr>
          <w:rFonts w:ascii="Times New Roman" w:eastAsia="Times New Roman" w:hAnsi="Times New Roman" w:cs="Times New Roman"/>
          <w:b/>
          <w:color w:val="000000"/>
          <w:sz w:val="24"/>
          <w:szCs w:val="24"/>
        </w:rPr>
      </w:pPr>
      <w:bookmarkStart w:id="60" w:name="_Toc210744227"/>
      <w:r w:rsidRPr="007E7CB6">
        <w:rPr>
          <w:rFonts w:ascii="Times New Roman" w:eastAsia="Times New Roman" w:hAnsi="Times New Roman" w:cs="Times New Roman"/>
          <w:b/>
          <w:color w:val="000000"/>
          <w:sz w:val="24"/>
          <w:szCs w:val="24"/>
        </w:rPr>
        <w:t>2.4.2</w:t>
      </w:r>
      <w:r w:rsidRPr="007E7CB6">
        <w:rPr>
          <w:rFonts w:ascii="Times New Roman" w:eastAsia="Times New Roman" w:hAnsi="Times New Roman" w:cs="Times New Roman"/>
          <w:b/>
          <w:color w:val="000000"/>
          <w:sz w:val="24"/>
          <w:szCs w:val="24"/>
        </w:rPr>
        <w:tab/>
        <w:t>The Effect of Carbon Emission Disclosure on Firm Value</w:t>
      </w:r>
      <w:bookmarkEnd w:id="60"/>
    </w:p>
    <w:p w14:paraId="48FF9634" w14:textId="19DF0A44"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Carbon emission disclosure is a form of non-financial disclosure that demonstrates a company's commitment to managing and reducing greenhouse gas emissions. Based on legitimacy theory, companies that transparently report their emissions will be more trusted by the public, investors, and regulators because they are considered socially and environmentally responsible.</w:t>
      </w:r>
      <w:r w:rsidR="00B46618"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TU2M2Q0NDUtYmNhNS00ZDJlLThiOWItNjcxNzUxMGVjZDNiIiwicHJvcGVydGllcyI6eyJub3RlSW5kZXgiOjB9LCJpc0VkaXRlZCI6ZmFsc2UsIm1hbnVhbE92ZXJyaWRlIjp7ImlzTWFudWFsbHlPdmVycmlkZGVuIjp0cnVlLCJjaXRlcHJvY1RleHQiOiIoSHVhbmcgZXQgYWwuLCAyMDI1KSIsIm1hbnVhbE92ZXJyaWRlVGV4dCI6IihIdWFuZyBldCBhbC4sIDIwMjIpIn0sImNpdGF0aW9uSXRlbXMiOlt7ImlkIjoiNTJlNjcwNmYtMGYxMy0zZTk4LWFjMjEtYzZlYTNhMWU0NzRhIiwiaXRlbURhdGEiOnsidHlwZSI6ImFydGljbGUtam91cm5hbCIsImlkIjoiNTJlNjcwNmYtMGYxMy0zZTk4LWFjMjEtYzZlYTNhMWU0NzRhIiwidGl0bGUiOiJUaGUgSW1wYWN0IG9mIENhcmJvbiBJbmZvcm1hdGlvbiBEaXNjbG9zdXJlIFF1YWxpdHkgb24gRW50ZXJwcmlzZSBWYWx1ZTogRXZpZGVuY2UgZnJvbSBDaGluZXNlIExpc3RlZCBDb21wYW5pZXMiLCJhdXRob3IiOlt7ImZhbWlseSI6Ikh1YW5nIiwiZ2l2ZW4iOiJMaSIsInBhcnNlLW5hbWVzIjpmYWxzZSwiZHJvcHBpbmctcGFydGljbGUiOiIiLCJub24tZHJvcHBpbmctcGFydGljbGUiOiIifSx7ImZhbWlseSI6IkppIiwiZ2l2ZW4iOiJYaWFveXUiLCJwYXJzZS1uYW1lcyI6ZmFsc2UsImRyb3BwaW5nLXBhcnRpY2xlIjoiIiwibm9uLWRyb3BwaW5nLXBhcnRpY2xlIjoiIn0seyJmYW1pbHkiOiJOaXUiLCJnaXZlbiI6IlRpbmd0aW5nIiwicGFyc2UtbmFtZXMiOmZhbHNlLCJkcm9wcGluZy1wYXJ0aWNsZSI6IiIsIm5vbi1kcm9wcGluZy1wYXJ0aWNsZSI6IiJ9LHsiZmFtaWx5IjoiT3UiLCJnaXZlbiI6IldhbnRpbmciLCJwYXJzZS1uYW1lcyI6ZmFsc2UsImRyb3BwaW5nLXBhcnRpY2xlIjoiIiwibm9uLWRyb3BwaW5nLXBhcnRpY2xlIjoiIn1dLCJjb250YWluZXItdGl0bGUiOiJTdXN0YWluYWJpbGl0eSAoU3dpdHplcmxhbmQpIiwiRE9JIjoiMTAuMzM5MC9zdTE3MDIwNDAyIiwiSVNTTiI6IjIwNzExMDUwIiwiaXNzdWVkIjp7ImRhdGUtcGFydHMiOltbMjAyNSwxLDFdXX0sImFic3RyYWN0IjoiSW4gdGhlIGNvbnRleHQgb2YgaW5jcmVhc2luZyBjYXJib24gZW1pc3Npb25zIGFuZCBzdHJlbmd0aGVuaW5nIHJlZ3VsYXRvcnkgbWVhc3VyZXMsIGFuIGluY3JlYXNpbmcgbnVtYmVyIG9mIHN0YWtlaG9sZGVycyBhcmUgcGF5aW5nIG1vcmUgYXR0ZW50aW9uIHRvIGNvcnBvcmF0ZSBjYXJib24gaW5mb3JtYXRpb24uIFRvIGZ1cnRoZXIgZXhwbG9yZSB0aGUgcmVsYXRpb25zaGlwIGJldHdlZW4gdGhlIHF1YWxpdHkgb2YgY2FyYm9uIGluZm9ybWF0aW9uIGRpc2Nsb3N1cmUgYW5kIGVudGVycHJpc2UgdmFsdWUsIHRoaXMgc3R1ZHkgdXNlcyBhIHNhbXBsZSBvZiBjb21wYW5pZXMgbGlzdGVkIG9uIHRoZSBTaGFuZ2hhaSBhbmQgU2hlbnpoZW4gc3RvY2sgZXhjaGFuZ2VzIGZyb20gMjAxMyB0byAyMDIxLiBUaGUgYWltIGlzIHRvIGludmVzdGlnYXRlIHRoZSBsaW5rIGJldHdlZW4gdGhlIHF1YWxpdHkgb2YgY2FyYm9uIGluZm9ybWF0aW9uIGRpc2Nsb3N1cmUgYW5kIGVudGVycHJpc2UgdmFsdWUsIHdoaWxlIGFsc28gYW5hbHl6aW5nIHRoZSByb2xlIG9mIGdyZWVuIGlubm92YXRpb24gaW4gdGhpcyByZWxhdGlvbnNoaXAuIFRoZSBlbXBpcmljYWwgcmVzdWx0cyBzaG93IHRoYXQgdGhlIHF1YWxpdHkgb2YgY2FyYm9uIGluZm9ybWF0aW9uIGRpc2Nsb3N1cmUgY2FuIHNpZ25pZmljYW50bHkgZW5oYW5jZSBlbnRlcnByaXNlIHZhbHVlLCB3aXRoIGdyZWVuIGlubm92YXRpb24gcGxheWluZyBhIG1lZGlhdGluZyByb2xlIGluIHRoaXMgZWZmZWN0LiBBZnRlciByb2J1c3RuZXNzIGNoZWNrcywgaW5jbHVkaW5nIHJlcGxhY2luZyB0aGUgbWVhc3VyZW1lbnQgdmFyaWFibGVzIGFuZCBhZGRyZXNzaW5nIGVuZG9nZW5laXR5IGlzc3VlcywgdGhlIGNvbmNsdXNpb25zIHJlbWFpbiB2YWxpZC4gRnVydGhlciBhbmFseXNpcyByZXZlYWxzIHRoYXQgdGhlIGVmZmVjdCBvZiBjYXJib24gaW5mb3JtYXRpb24gZGlzY2xvc3VyZSBxdWFsaXR5IG9uIGVuaGFuY2luZyBlbnRlcnByaXNlIHZhbHVlIGlzIG1vcmUgcHJvbm91bmNlZCBpbiBub24taGlnaC1wb2xsdXRpb24gaW5kdXN0cmllcywgbm9uLXN0YXRlLW93bmVkIGVudGVycHJpc2VzLCBhbmQgZmlybXMgbG9jYXRlZCBpbiBlYXN0ZXJuIHJlZ2lvbnMuIFRoaXMgc3R1ZHkgcHJvdmlkZXMgdmFsdWFibGUgaW5zaWdodHMgZm9yIGZ1dHVyZSBwb2xpY3kgb3B0aW1pemF0aW9uIHJlbGF0ZWQgdG8gY2FyYm9uIGluZm9ybWF0aW9uIGRpc2Nsb3N1cmUgYW5kIHRoZSBwcm9tb3Rpb24gb2YgbG93LWNhcmJvbiBkZXZlbG9wbWVudCBpbiBlbnRlcnByaXNlcy4iLCJwdWJsaXNoZXIiOiJNdWx0aWRpc2NpcGxpbmFyeSBEaWdpdGFsIFB1Ymxpc2hpbmcgSW5zdGl0dXRlIChNRFBJKSIsImlzc3VlIjoiMiIsInZvbHVtZSI6IjE3IiwiY29udGFpbmVyLXRpdGxlLXNob3J0IjoiIn0sImlzVGVtcG9yYXJ5IjpmYWxzZSwic3VwcHJlc3MtYXV0aG9yIjpmYWxzZSwiY29tcG9zaXRlIjpmYWxzZSwiYXV0aG9yLW9ubHkiOmZhbHNlfV19"/>
          <w:id w:val="2029975975"/>
          <w:placeholder>
            <w:docPart w:val="DefaultPlaceholder_-1854013440"/>
          </w:placeholder>
        </w:sdtPr>
        <w:sdtContent>
          <w:r w:rsidR="00AD6D10" w:rsidRPr="007E7CB6">
            <w:rPr>
              <w:rFonts w:ascii="Times New Roman" w:eastAsia="Times New Roman" w:hAnsi="Times New Roman" w:cs="Times New Roman"/>
              <w:color w:val="000000"/>
              <w:sz w:val="24"/>
              <w:szCs w:val="24"/>
            </w:rPr>
            <w:t>(Huang et al., 2022)</w:t>
          </w:r>
        </w:sdtContent>
      </w:sdt>
      <w:r w:rsidR="00B46618"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found </w:t>
      </w:r>
      <w:r w:rsidRPr="007E7CB6">
        <w:rPr>
          <w:rFonts w:ascii="Times New Roman" w:eastAsia="Times New Roman" w:hAnsi="Times New Roman" w:cs="Times New Roman"/>
          <w:sz w:val="24"/>
          <w:szCs w:val="24"/>
        </w:rPr>
        <w:lastRenderedPageBreak/>
        <w:t>that the quality of carbon disclosure has a significant positive effect on the firm value of public companies in China. The higher the quality and transparency of disclosure, the greater the positive perception of investors towards the company's performance and long-term prospects. In line with this,</w:t>
      </w:r>
      <w:r w:rsidR="00B46618"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WZhNTA5YWEtNmQzNC00ZDllLTlkNDctYjkzZDFmMTQxYWI3IiwicHJvcGVydGllcyI6eyJub3RlSW5kZXgiOjB9LCJpc0VkaXRlZCI6ZmFsc2UsIm1hbnVhbE92ZXJyaWRlIjp7ImlzTWFudWFsbHlPdmVycmlkZGVuIjpmYWxzZSwiY2l0ZXByb2NUZXh0IjoiKExlZSAmIzM4OyBDaG8sIDIwMjEpIiwibWFudWFsT3ZlcnJpZGVUZXh0IjoiIn0sImNpdGF0aW9uSXRlbXMiOlt7ImlkIjoiNWZjMjBjN2QtOWMzNi0zZTc1LThjMzItYTMwMGI2Nzc0MGUzIiwiaXRlbURhdGEiOnsidHlwZSI6ImFydGljbGUtam91cm5hbCIsImlkIjoiNWZjMjBjN2QtOWMzNi0zZTc1LThjMzItYTMwMGI2Nzc0MGUzIiwidGl0bGUiOiJGaXJtLXZhbHVlIGVmZmVjdHMgb2YgY2FyYm9uIGVtaXNzaW9ucyBhbmQgY2FyYm9uIGRpc2Nsb3N1cmVz4oCUZXZpZGVuY2UgZnJvbSBrb3JlYSIsImF1dGhvciI6W3siZmFtaWx5IjoiTGVlIiwiZ2l2ZW4iOiJKZW9uZyBId2FuIiwicGFyc2UtbmFtZXMiOmZhbHNlLCJkcm9wcGluZy1wYXJ0aWNsZSI6IiIsIm5vbi1kcm9wcGluZy1wYXJ0aWNsZSI6IiJ9LHsiZmFtaWx5IjoiQ2hvIiwiZ2l2ZW4iOiJKaW4gSHl1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jIxMjE2NiIsIklTU04iOiIxNjYwNDYwMSIsIlBNSUQiOiIzNDgzMTkyNCIsImlzc3VlZCI6eyJkYXRlLXBhcnRzIjpbWzIwMjEsMTEsMV1dfSwiYWJzdHJhY3QiOiJXZSBleGFtaW5lIHRoZSBhc3NvY2lhdGlvbiBiZXR3ZWVuIGNhcmJvbiBlbWlzc2lvbnMsIGNhcmJvbiBkaXNjbG9zdXJlcywgYW5kIGZpcm0gdmFsdWUgZm9yIEtvcmVhbiBmaXJtcywgd2l0aCBhIHBhcnRpY3VsYXIgaW50ZXJlc3QgaW4gY2hhZWJvbHMsIGEgc3BlY2lhbCB0eXBlIG9mIEtvcmVhbiBjb25nbG9tZXJhdGUuIFVzaW5nIGhhbmQtY29sbGVjdGVkIGNhcmJvbiBlbWlzc2lvbnMgYW5kIGZpcm0tc3BlY2lmaWMgZGF0YSBmb3IgODQxIEtvcmVhbiBmaXJtcywgaW5jbHVkaW5nIDUxNCBjaGFlYm9scyBhbmQgMzM1IG5vbi1jaGFlYm9scywgd2UgZmluZCBhIHNpZ25pZmljYW50bHkgcG9zaXRpdmUgcmVsYXRpb25zaGlwIGJldHdlZW4gY2FyYm9uIGVtaXNzaW9ucyBhbmQgZmlybSB2YWx1ZSBhbW9uZyBjaGFlYm9sIGFmZmlsaWF0ZXMuIFRoaXMgcmVzdWx0IGNvbnRyYXN0cyB3aXRoIHByZXZpb3VzIGZpbmRpbmdzIGNvbmR1Y3RlZCBpbiBhZC12YW5jZWQgbWFya2V0cywgd2hlcmUgaW52ZXN0b3JzIGNvbnNpZGVyIGNhcmJvbiBlbWlzc2lvbnMgdG8gYmUgZGVzdHJ1Y3RpdmUuIEluIHRlcm1zIG9mIHRoZSB2b2x1bnRhcnkgZGlzY2xvc3VyZSBwb2xpY3ksIHdlIGZpbmQgdGhhdCBjb21wYW5pZXMgd2l0aCBnb29kIGVudmlyb25tZW50YWwgcGVyZm9ybWFuY2UgdGVuZCB0byBkaXNjbG9zZSBjYXJib24gZW1pc3Npb25zIHZvbHVudGFyaWx5LiBXZSBmdXJ0aGVyIGFyZ3VlIHRoYXQgdGhlc2UgZmluZGluZ3Mgb3JpZ2luYXRlIGZyb20gdGhlIHNwZWNpZmljIGJ1c2luZXNzIGF0bW9zcGhlcmUgaW4gS29yZWEuIE91ciByZXN1bHRzIHN1cHBvcnQgdGhlIHRyYWRpdGlvbmFsIHZpZXcgb2YgY29ycG9yYXRpb25zIGluIHRlcm1zIG9mIGVudmlyb25tZW50YWwgcG9saWN5IGFuZCBoaWdobGlnaHQgdGhlIGltcG9ydGFuY2Ugb2YgZmlybSBjaGFyYWN0ZXJpc3RpY3MgYW5kIGhpc3RvcmljYWwgZGV2ZWxvcC1tZW50cyBpbiB0aGUgYW5hbHlzaXMgb2YgZW52aXJvbm1lbnRhbCBwb2xpY3kuIiwicHVibGlzaGVyIjoiTURQSSIsImlzc3VlIjoiMjIiLCJ2b2x1bWUiOiIxOCJ9LCJpc1RlbXBvcmFyeSI6ZmFsc2UsInN1cHByZXNzLWF1dGhvciI6ZmFsc2UsImNvbXBvc2l0ZSI6ZmFsc2UsImF1dGhvci1vbmx5IjpmYWxzZX1dfQ=="/>
          <w:id w:val="897862150"/>
          <w:placeholder>
            <w:docPart w:val="DefaultPlaceholder_-1854013440"/>
          </w:placeholder>
        </w:sdtPr>
        <w:sdtContent>
          <w:r w:rsidR="00AD6D10" w:rsidRPr="007E7CB6">
            <w:rPr>
              <w:rFonts w:ascii="Times New Roman" w:eastAsia="Times New Roman" w:hAnsi="Times New Roman" w:cs="Times New Roman"/>
              <w:color w:val="000000"/>
              <w:sz w:val="24"/>
            </w:rPr>
            <w:t>(Lee &amp; Cho, 2021)</w:t>
          </w:r>
        </w:sdtContent>
      </w:sdt>
      <w:r w:rsidRPr="007E7CB6">
        <w:rPr>
          <w:rFonts w:ascii="Times New Roman" w:eastAsia="Times New Roman" w:hAnsi="Times New Roman" w:cs="Times New Roman"/>
          <w:sz w:val="24"/>
          <w:szCs w:val="24"/>
        </w:rPr>
        <w:t xml:space="preserve"> in a study in Korea showed that active and structured carbon emission disclosure can increase firm value, even when emission levels are high. These findings confirm that transparency serves as a positive signal for sustainability-oriented investors.</w:t>
      </w:r>
    </w:p>
    <w:p w14:paraId="1032255C"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H2: Carbon emission disclosure has a positive effect on firm value</w:t>
      </w:r>
    </w:p>
    <w:p w14:paraId="6ECFE414"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61" w:name="_Toc210744228"/>
      <w:r w:rsidRPr="007E7CB6">
        <w:rPr>
          <w:rFonts w:ascii="Times New Roman" w:eastAsia="Times New Roman" w:hAnsi="Times New Roman" w:cs="Times New Roman"/>
          <w:b/>
          <w:color w:val="000000"/>
          <w:sz w:val="24"/>
          <w:szCs w:val="24"/>
        </w:rPr>
        <w:t>2.4.3</w:t>
      </w:r>
      <w:r w:rsidRPr="007E7CB6">
        <w:rPr>
          <w:rFonts w:ascii="Times New Roman" w:eastAsia="Times New Roman" w:hAnsi="Times New Roman" w:cs="Times New Roman"/>
          <w:b/>
          <w:color w:val="000000"/>
          <w:sz w:val="24"/>
          <w:szCs w:val="24"/>
        </w:rPr>
        <w:tab/>
        <w:t>The Effect of Green Capital Structure on Firm Value</w:t>
      </w:r>
      <w:bookmarkEnd w:id="61"/>
    </w:p>
    <w:p w14:paraId="386DD32B"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capital structure is an important aspect of financial decision-making that supports the financing of environmentally friendly and sustainable business activities. Companies with a stable and green-oriented capital structure tend to gain greater trust from shareholders, creditors, and the public. This trust strengthens the company's legitimacy and position in the market, which ultimately increases the company's value. </w:t>
      </w:r>
    </w:p>
    <w:p w14:paraId="684AF4DB" w14:textId="74D93DD4" w:rsidR="00153781" w:rsidRPr="007E7CB6" w:rsidRDefault="00000000">
      <w:pPr>
        <w:spacing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color w:val="000000"/>
            <w:sz w:val="24"/>
            <w:szCs w:val="24"/>
          </w:rPr>
          <w:tag w:val="MENDELEY_CITATION_v3_eyJjaXRhdGlvbklEIjoiTUVOREVMRVlfQ0lUQVRJT05fNjc3ODVkZDctMGQ4OC00NjAwLWIxNGQtODAxYjQ1NzBlNTBh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
          <w:id w:val="-242573929"/>
          <w:placeholder>
            <w:docPart w:val="DefaultPlaceholder_-1854013440"/>
          </w:placeholder>
        </w:sdtPr>
        <w:sdtContent>
          <w:r w:rsidR="00AD6D10" w:rsidRPr="007E7CB6">
            <w:rPr>
              <w:rFonts w:ascii="Times New Roman" w:eastAsia="Times New Roman" w:hAnsi="Times New Roman" w:cs="Times New Roman"/>
              <w:color w:val="000000"/>
              <w:sz w:val="24"/>
            </w:rPr>
            <w:t>(Zhou &amp; Fan, 2023)</w:t>
          </w:r>
        </w:sdtContent>
      </w:sdt>
      <w:r w:rsidR="00B46618" w:rsidRPr="007E7CB6">
        <w:rPr>
          <w:rFonts w:ascii="Times New Roman" w:eastAsia="Times New Roman" w:hAnsi="Times New Roman" w:cs="Times New Roman"/>
          <w:sz w:val="24"/>
          <w:szCs w:val="24"/>
        </w:rPr>
        <w:t xml:space="preserve"> show that green capital structure has a significant impact on company development, especially when combined with technological innovation to support carbon peaking targets. In line with this, </w:t>
      </w:r>
      <w:sdt>
        <w:sdtPr>
          <w:rPr>
            <w:rFonts w:ascii="Times New Roman" w:eastAsia="Times New Roman" w:hAnsi="Times New Roman" w:cs="Times New Roman"/>
            <w:color w:val="000000"/>
            <w:sz w:val="24"/>
            <w:szCs w:val="24"/>
          </w:rPr>
          <w:tag w:val="MENDELEY_CITATION_v3_eyJjaXRhdGlvbklEIjoiTUVOREVMRVlfQ0lUQVRJT05fNzllMGI0MzItM2ZiYS00YTAzLTllY2UtMWU3MTI2NGNhODRkIiwicHJvcGVydGllcyI6eyJub3RlSW5kZXgiOjB9LCJpc0VkaXRlZCI6ZmFsc2UsIm1hbnVhbE92ZXJyaWRlIjp7ImlzTWFudWFsbHlPdmVycmlkZGVuIjpmYWxzZSwiY2l0ZXByb2NUZXh0IjoiKFRhbmcgJiMzODsgWmhhbmcsIDIwMjApIiwibWFudWFsT3ZlcnJpZGVUZXh0IjoiIn0sImNpdGF0aW9uSXRlbXMiOlt7ImlkIjoiZTAyM2MwNWItODZiMC0zYzlhLThmZjItYWQ5MzY4ZDQ2YjczIiwiaXRlbURhdGEiOnsidHlwZSI6ImFydGljbGUtam91cm5hbCIsImlkIjoiZTAyM2MwNWItODZiMC0zYzlhLThmZjItYWQ5MzY4ZDQ2YjczIiwidGl0bGUiOiJEbyBzaGFyZWhvbGRlcnMgYmVuZWZpdCBmcm9tIGdyZWVuIGJvbmRzPyIsImF1dGhvciI6W3siZmFtaWx5IjoiVGFuZyIsImdpdmVuIjoiRHJhZ29uIFlvbmdqdW4iLCJwYXJzZS1uYW1lcyI6ZmFsc2UsImRyb3BwaW5nLXBhcnRpY2xlIjoiIiwibm9uLWRyb3BwaW5nLXBhcnRpY2xlIjoiIn0seyJmYW1pbHkiOiJaaGFuZyIsImdpdmVuIjoiWXVwdSIsInBhcnNlLW5hbWVzIjpmYWxzZSwiZHJvcHBpbmctcGFydGljbGUiOiIiLCJub24tZHJvcHBpbmctcGFydGljbGUiOiIifV0sImNvbnRhaW5lci10aXRsZSI6IkpvdXJuYWwgb2YgQ29ycG9yYXRlIEZpbmFuY2UiLCJET0kiOiIxMC4xMDE2L2ouamNvcnBmaW4uMjAxOC4xMi4wMDEiLCJJU1NOIjoiMDkyOTExOTkiLCJpc3N1ZWQiOnsiZGF0ZS1wYXJ0cyI6W1syMDIwLDQsMV1dfSwiYWJzdHJhY3QiOiJUaGUgZ3JlZW4gYm9uZCBtYXJrZXQgaGFzIGJlZW4gZ3Jvd2luZyByYXBpZGx5IHdvcmxkd2lkZSBzaW5jZSBpdHMgZGVidXQgaW4gMjAwNy4gV2UgcHJlc2VudCB0aGUgZmlyc3QgZW1waXJpY2FsIHN0dWR5IG9uIHRoZSBhbm5vdW5jZW1lbnQgcmV0dXJucyBhbmQgcmVhbCBlZmZlY3RzIG9mIGdyZWVuIGJvbmQgaXNzdWFuY2UgYnkgZmlybXMgaW4gMjggY291bnRyaWVzIGR1cmluZyAyMDA34oCTMjAxNy4gQWZ0ZXIgY29tcGlsaW5nIGEgY29tcHJlaGVuc2l2ZSBpbnRlcm5hdGlvbmFsIGdyZWVuIGJvbmQgZGF0YXNldCwgd2UgZG9jdW1lbnQgdGhhdCBzdG9jayBwcmljZXMgcG9zaXRpdmVseSByZXNwb25kIHRvIGdyZWVuIGJvbmQgaXNzdWFuY2UuIEhvd2V2ZXIsIHdlIGRvIG5vdCBmaW5kIGEgY29uc2lzdGVudGx5IHNpZ25pZmljYW50IHByZW1pdW0gZm9yIGdyZWVuIGJvbmRzLCBzdWdnZXN0aW5nIHRoYXQgdGhlIHBvc2l0aXZlIHN0b2NrIHJldHVybnMgYXJvdW5kIGdyZWVuIGJvbmQgYW5ub3VuY2VtZW50cyBhcmUgbm90IGZ1bGx5IGRyaXZlbiBieSB0aGUgbG93ZXIgY29zdCBvZiBkZWJ0LiBOZXZlcnRoZWxlc3MsIHdlIHNob3cgdGhhdCBpbnN0aXR1dGlvbmFsIG93bmVyc2hpcCwgZXNwZWNpYWxseSBmcm9tIGRvbWVzdGljIGluc3RpdHV0aW9ucywgaW5jcmVhc2VzIGFmdGVyIHRoZSBmaXJtIGlzc3VlcyBncmVlbiBib25kcy4gTW9yZW92ZXIsIHN0b2NrIGxpcXVpZGl0eSBzaWduaWZpY2FudGx5IGltcHJvdmVzIHVwb24gdGhlIGlzc3VhbmNlIG9mIGdyZWVuIGJvbmRzLiBPdmVyYWxsLCBvdXIgZmluZGluZ3Mgc3VnZ2VzdCB0aGF0IHRoZSBmaXJtJ3MgaXNzdWFuY2Ugb2YgZ3JlZW4gYm9uZHMgaXMgYmVuZWZpY2lhbCB0byBpdHMgZXhpc3Rpbmcgc2hhcmVob2xkZXJzLiIsInB1Ymxpc2hlciI6IkVsc2V2aWVyIEIuVi4iLCJ2b2x1bWUiOiI2MSIsImNvbnRhaW5lci10aXRsZS1zaG9ydCI6IiJ9LCJpc1RlbXBvcmFyeSI6ZmFsc2UsInN1cHByZXNzLWF1dGhvciI6ZmFsc2UsImNvbXBvc2l0ZSI6ZmFsc2UsImF1dGhvci1vbmx5IjpmYWxzZX1dfQ=="/>
          <w:id w:val="1766112768"/>
          <w:placeholder>
            <w:docPart w:val="DefaultPlaceholder_-1854013440"/>
          </w:placeholder>
        </w:sdtPr>
        <w:sdtContent>
          <w:r w:rsidR="00AD6D10" w:rsidRPr="007E7CB6">
            <w:rPr>
              <w:rFonts w:ascii="Times New Roman" w:eastAsia="Times New Roman" w:hAnsi="Times New Roman" w:cs="Times New Roman"/>
              <w:color w:val="000000"/>
              <w:sz w:val="24"/>
            </w:rPr>
            <w:t>(Tang &amp; Zhang, 2020)</w:t>
          </w:r>
        </w:sdtContent>
      </w:sdt>
      <w:r w:rsidR="00B46618" w:rsidRPr="007E7CB6">
        <w:rPr>
          <w:rFonts w:ascii="Times New Roman" w:eastAsia="Times New Roman" w:hAnsi="Times New Roman" w:cs="Times New Roman"/>
          <w:sz w:val="24"/>
          <w:szCs w:val="24"/>
        </w:rPr>
        <w:t xml:space="preserve"> found that the issuance of green bonds as part of a green financing strategy can increase shareholder value, confirming that sustainability-based financing decisions provide real economic benefits for companies.</w:t>
      </w:r>
    </w:p>
    <w:p w14:paraId="1EA06667"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H3: Green capital structure has a positive effect on firm value</w:t>
      </w:r>
    </w:p>
    <w:p w14:paraId="0A854607" w14:textId="77777777" w:rsidR="00153781" w:rsidRPr="007E7CB6" w:rsidRDefault="00000000">
      <w:pPr>
        <w:pStyle w:val="Heading3"/>
        <w:spacing w:before="0" w:after="0" w:line="480" w:lineRule="auto"/>
        <w:ind w:left="709" w:hanging="709"/>
        <w:jc w:val="both"/>
        <w:rPr>
          <w:rFonts w:ascii="Times New Roman" w:eastAsia="Times New Roman" w:hAnsi="Times New Roman" w:cs="Times New Roman"/>
          <w:color w:val="000000"/>
          <w:sz w:val="24"/>
          <w:szCs w:val="24"/>
        </w:rPr>
      </w:pPr>
      <w:bookmarkStart w:id="62" w:name="_Toc210744229"/>
      <w:r w:rsidRPr="007E7CB6">
        <w:rPr>
          <w:rFonts w:ascii="Times New Roman" w:eastAsia="Times New Roman" w:hAnsi="Times New Roman" w:cs="Times New Roman"/>
          <w:b/>
          <w:color w:val="000000"/>
          <w:sz w:val="24"/>
          <w:szCs w:val="24"/>
        </w:rPr>
        <w:lastRenderedPageBreak/>
        <w:t>2.4.4</w:t>
      </w:r>
      <w:r w:rsidRPr="007E7CB6">
        <w:rPr>
          <w:rFonts w:ascii="Times New Roman" w:eastAsia="Times New Roman" w:hAnsi="Times New Roman" w:cs="Times New Roman"/>
          <w:b/>
          <w:color w:val="000000"/>
          <w:sz w:val="24"/>
          <w:szCs w:val="24"/>
        </w:rPr>
        <w:tab/>
        <w:t>The Effect of Green Accounting on Firm Value with Green Intellectual Capital as a Moderating Variable</w:t>
      </w:r>
      <w:bookmarkEnd w:id="62"/>
      <w:r w:rsidRPr="007E7CB6">
        <w:rPr>
          <w:rFonts w:ascii="Times New Roman" w:eastAsia="Times New Roman" w:hAnsi="Times New Roman" w:cs="Times New Roman"/>
          <w:b/>
          <w:color w:val="000000"/>
          <w:sz w:val="24"/>
          <w:szCs w:val="24"/>
        </w:rPr>
        <w:t xml:space="preserve">  </w:t>
      </w:r>
    </w:p>
    <w:p w14:paraId="35DC2E65"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Intellectual Capital (GIC) encompasses the knowledge, skills, and organizational structures that support sustainability practices. GIC strengthens the implementation of green accounting by providing human resources, information systems, and organizational culture that support transparency and social responsibility towards the environment. As a moderating variable, GIC is expected to strengthen the positive relationship between green accounting and firm value, as green intellectual capabilities enable companies to convert environmental accounting data into measurable and marketable sustainability strategies. </w:t>
      </w:r>
    </w:p>
    <w:p w14:paraId="5AECA6D7" w14:textId="55398A9A" w:rsidR="00153781" w:rsidRPr="007E7CB6" w:rsidRDefault="00000000">
      <w:pPr>
        <w:spacing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color w:val="000000"/>
            <w:sz w:val="24"/>
            <w:szCs w:val="24"/>
          </w:rPr>
          <w:tag w:val="MENDELEY_CITATION_v3_eyJjaXRhdGlvbklEIjoiTUVOREVMRVlfQ0lUQVRJT05fZmFmZTM3ZTItZTdmNC00YTdlLThhYzktZDM5Yzc3OGFiNTMz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
          <w:id w:val="1177624050"/>
          <w:placeholder>
            <w:docPart w:val="DefaultPlaceholder_-1854013440"/>
          </w:placeholder>
        </w:sdtPr>
        <w:sdtContent>
          <w:r w:rsidR="00AD6D10" w:rsidRPr="007E7CB6">
            <w:rPr>
              <w:rFonts w:ascii="Times New Roman" w:eastAsia="Times New Roman" w:hAnsi="Times New Roman" w:cs="Times New Roman"/>
              <w:color w:val="000000"/>
              <w:sz w:val="24"/>
            </w:rPr>
            <w:t>(Alnaim &amp; Metwally, 2024)</w:t>
          </w:r>
        </w:sdtContent>
      </w:sdt>
      <w:r w:rsidR="00B46618" w:rsidRPr="007E7CB6">
        <w:rPr>
          <w:rFonts w:ascii="Times New Roman" w:eastAsia="Times New Roman" w:hAnsi="Times New Roman" w:cs="Times New Roman"/>
          <w:sz w:val="24"/>
          <w:szCs w:val="24"/>
        </w:rPr>
        <w:t xml:space="preserve"> found that GIC contributes positively to environmental performance and creates competitive advantage when synergized with environmental accounting and reporting practices. This supports the assumption that GIC can strengthen the influence of green accounting on firm value.</w:t>
      </w:r>
    </w:p>
    <w:p w14:paraId="43C97141" w14:textId="77777777" w:rsidR="00153781" w:rsidRPr="007E7CB6" w:rsidRDefault="00000000">
      <w:pPr>
        <w:spacing w:line="480" w:lineRule="auto"/>
        <w:jc w:val="both"/>
        <w:rPr>
          <w:rFonts w:ascii="Times New Roman" w:hAnsi="Times New Roman" w:cs="Times New Roman"/>
        </w:rPr>
      </w:pPr>
      <w:r w:rsidRPr="007E7CB6">
        <w:rPr>
          <w:rFonts w:ascii="Times New Roman" w:eastAsia="Times New Roman" w:hAnsi="Times New Roman" w:cs="Times New Roman"/>
          <w:sz w:val="24"/>
          <w:szCs w:val="24"/>
        </w:rPr>
        <w:t>H4: Green Intellectual Capital strengthens the influence of Green Accounting on firm value</w:t>
      </w:r>
    </w:p>
    <w:p w14:paraId="220A9AB7" w14:textId="77777777" w:rsidR="00153781" w:rsidRPr="007E7CB6" w:rsidRDefault="00000000">
      <w:pPr>
        <w:pStyle w:val="Heading3"/>
        <w:spacing w:before="0" w:after="0" w:line="480" w:lineRule="auto"/>
        <w:ind w:left="709" w:hanging="709"/>
        <w:jc w:val="both"/>
        <w:rPr>
          <w:rFonts w:ascii="Times New Roman" w:eastAsia="Times New Roman" w:hAnsi="Times New Roman" w:cs="Times New Roman"/>
          <w:b/>
        </w:rPr>
      </w:pPr>
      <w:bookmarkStart w:id="63" w:name="_Toc210744230"/>
      <w:r w:rsidRPr="007E7CB6">
        <w:rPr>
          <w:rFonts w:ascii="Times New Roman" w:eastAsia="Times New Roman" w:hAnsi="Times New Roman" w:cs="Times New Roman"/>
          <w:b/>
          <w:color w:val="000000"/>
          <w:sz w:val="24"/>
          <w:szCs w:val="24"/>
        </w:rPr>
        <w:t>2.4.5</w:t>
      </w:r>
      <w:r w:rsidRPr="007E7CB6">
        <w:rPr>
          <w:rFonts w:ascii="Times New Roman" w:eastAsia="Times New Roman" w:hAnsi="Times New Roman" w:cs="Times New Roman"/>
          <w:b/>
          <w:color w:val="000000"/>
          <w:sz w:val="24"/>
          <w:szCs w:val="24"/>
        </w:rPr>
        <w:tab/>
        <w:t>The Effect of Carbon Emission Disclosure on Firm Value with Green Intellectual Capital as a Moderating Variable</w:t>
      </w:r>
      <w:bookmarkEnd w:id="63"/>
    </w:p>
    <w:p w14:paraId="0BDE18A1" w14:textId="45FE7F70"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Carbon emission disclosure is a key strategy for companies to gain legitimacy by revealing information related to carbon emissions and mitigation measures taken. However, this transparency will be more meaningful if it is supported by strong Green Intellectual Capital (GIC). The existence of GIC allows </w:t>
      </w:r>
      <w:r w:rsidRPr="007E7CB6">
        <w:rPr>
          <w:rFonts w:ascii="Times New Roman" w:eastAsia="Times New Roman" w:hAnsi="Times New Roman" w:cs="Times New Roman"/>
          <w:sz w:val="24"/>
          <w:szCs w:val="24"/>
        </w:rPr>
        <w:lastRenderedPageBreak/>
        <w:t>carbon emission disclosure to be viewed not only as regulatory compliance, but also as a strategy to create a positive environmental impact that strengthens the legitimacy and firm value.</w:t>
      </w:r>
      <w:r w:rsidR="00B46618"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jhlMDYyNzAtNTBmYi00NTkxLWI0MzYtMzE5NGQxMGJlZjdiIiwicHJvcGVydGllcyI6eyJub3RlSW5kZXgiOjB9LCJpc0VkaXRlZCI6ZmFsc2UsIm1hbnVhbE92ZXJyaWRlIjp7ImlzTWFudWFsbHlPdmVycmlkZGVuIjpmYWxzZSwiY2l0ZXByb2NUZXh0IjoiKEhha2tpIGV0IGFsLiwgMjAyNCkiLCJtYW51YWxPdmVycmlkZVRleHQiOiIifSwiY2l0YXRpb25JdGVtcyI6W3siaWQiOiI0OTIyYzU3NC00YWQ3LTNjNTUtOWRiYi1jYmVkNDY3YzM3NmUiLCJpdGVtRGF0YSI6eyJ0eXBlIjoiYXJ0aWNsZS1qb3VybmFsIiwiaWQiOiI0OTIyYzU3NC00YWQ3LTNjNTUtOWRiYi1jYmVkNDY3YzM3NmUiLCJ0aXRsZSI6IlRoZSBFZmZlY3Qgb2YgQ2FyYm9uIE1hbmFnZW1lbnQgQWNjb3VudGluZywgQ29tcGV0aXRpdmUgQnVzaW5lc3MgU3RyYXRlZ2ljIGFuZCBDYXJib24gRW1pc3Npb24gRGlzY2xvc3VyZSBvbiBDb21wYW55IFBlcmZvcm1hbmNlIE1vZGVyYXRlZCBieSBHcmVlbiBJbnRlbGxlY3R1YWwgQ2FwaXRhbCIsImF1dGhvciI6W3siZmFtaWx5IjoiSGFra2kiLCJnaXZlbiI6IlRhbmRyeSBXaGl0dGxlbGlhbmciLCJwYXJzZS1uYW1lcyI6ZmFsc2UsImRyb3BwaW5nLXBhcnRpY2xlIjoiIiwibm9uLWRyb3BwaW5nLXBhcnRpY2xlIjoiIn0seyJmYW1pbHkiOiJBa3dpbGEiLCJnaXZlbiI6IkthcnZpY2hhIiwicGFyc2UtbmFtZXMiOmZhbHNlLCJkcm9wcGluZy1wYXJ0aWNsZSI6IiIsIm5vbi1kcm9wcGluZy1wYXJ0aWNsZSI6IiJ9LHsiZmFtaWx5IjoiSnVyamFudGEiLCJnaXZlbiI6IlByaWNjaWx5YSIsInBhcnNlLW5hbWVzIjpmYWxzZSwiZHJvcHBpbmctcGFydGljbGUiOiIiLCJub24tZHJvcHBpbmctcGFydGljbGUiOiIifV0sIkRPSSI6IjEwLjM4MDM1L2phZm0udjVpNSIsImlzc3VlZCI6eyJkYXRlLXBhcnRzIjpbWzIwMjRdXX0sImNvbnRhaW5lci10aXRsZS1zaG9ydCI6IiJ9LCJpc1RlbXBvcmFyeSI6ZmFsc2UsInN1cHByZXNzLWF1dGhvciI6ZmFsc2UsImNvbXBvc2l0ZSI6ZmFsc2UsImF1dGhvci1vbmx5IjpmYWxzZX1dfQ=="/>
          <w:id w:val="90825114"/>
          <w:placeholder>
            <w:docPart w:val="DefaultPlaceholder_-1854013440"/>
          </w:placeholder>
        </w:sdtPr>
        <w:sdtContent>
          <w:r w:rsidR="00AD6D10" w:rsidRPr="007E7CB6">
            <w:rPr>
              <w:rFonts w:ascii="Times New Roman" w:eastAsia="Times New Roman" w:hAnsi="Times New Roman" w:cs="Times New Roman"/>
              <w:color w:val="000000"/>
              <w:sz w:val="24"/>
              <w:szCs w:val="24"/>
            </w:rPr>
            <w:t>(Hakki et al., 2024)</w:t>
          </w:r>
        </w:sdtContent>
      </w:sdt>
      <w:r w:rsidRPr="007E7CB6">
        <w:rPr>
          <w:rFonts w:ascii="Times New Roman" w:eastAsia="Times New Roman" w:hAnsi="Times New Roman" w:cs="Times New Roman"/>
          <w:sz w:val="24"/>
          <w:szCs w:val="24"/>
        </w:rPr>
        <w:t xml:space="preserve"> found that energy sector companies that combine environmentally friendly practices with strategic carbon disclosure have higher firm value. These findings support the assumption that GIC can strengthen the influence of carbon emission disclosure on market perception and firm value.</w:t>
      </w:r>
    </w:p>
    <w:p w14:paraId="62638A2A"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H5: Green Intellectual Capital strengthens the influence of Carbon Emission Disclosure on firm value</w:t>
      </w:r>
    </w:p>
    <w:p w14:paraId="1FB85782" w14:textId="77777777" w:rsidR="00153781" w:rsidRPr="007E7CB6" w:rsidRDefault="00000000">
      <w:pPr>
        <w:pStyle w:val="Heading3"/>
        <w:spacing w:before="0" w:after="0" w:line="480" w:lineRule="auto"/>
        <w:ind w:left="709" w:hanging="709"/>
        <w:jc w:val="both"/>
        <w:rPr>
          <w:rFonts w:ascii="Times New Roman" w:eastAsia="Times New Roman" w:hAnsi="Times New Roman" w:cs="Times New Roman"/>
          <w:b/>
        </w:rPr>
      </w:pPr>
      <w:bookmarkStart w:id="64" w:name="_Toc210744231"/>
      <w:r w:rsidRPr="007E7CB6">
        <w:rPr>
          <w:rFonts w:ascii="Times New Roman" w:eastAsia="Times New Roman" w:hAnsi="Times New Roman" w:cs="Times New Roman"/>
          <w:b/>
          <w:color w:val="000000"/>
          <w:sz w:val="24"/>
          <w:szCs w:val="24"/>
        </w:rPr>
        <w:t>2.4.6</w:t>
      </w:r>
      <w:r w:rsidRPr="007E7CB6">
        <w:rPr>
          <w:rFonts w:ascii="Times New Roman" w:eastAsia="Times New Roman" w:hAnsi="Times New Roman" w:cs="Times New Roman"/>
          <w:b/>
          <w:color w:val="000000"/>
          <w:sz w:val="24"/>
          <w:szCs w:val="24"/>
        </w:rPr>
        <w:tab/>
        <w:t>The Effect of Green Capital Structure on Firm Value with Green Intellectual Capital as a Moderating Variable</w:t>
      </w:r>
      <w:bookmarkEnd w:id="64"/>
    </w:p>
    <w:p w14:paraId="7E01DF6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An optimal green capital structure reflects a sustainable financial strategy that supports risk management and long-term value creation. However, its effectiveness is greatly influenced by the company's internal capabilities. This is where Green Intellectual Capital (GIC) plays an important role, as GIC strengthens organizational capabilities through human resource development, managerial systems, and strategic relationships with stakeholders. Companies with high levels of GIC are better able to manage green capital structure strategically, drive environmental innovation, and increase legitimacy in the eyes of the market. </w:t>
      </w:r>
    </w:p>
    <w:p w14:paraId="28E56A8F" w14:textId="3C6209D0" w:rsidR="00153781" w:rsidRPr="007E7CB6" w:rsidRDefault="00000000">
      <w:pPr>
        <w:spacing w:line="480" w:lineRule="auto"/>
        <w:ind w:firstLine="720"/>
        <w:jc w:val="both"/>
        <w:rPr>
          <w:rFonts w:ascii="Times New Roman" w:eastAsia="Times New Roman" w:hAnsi="Times New Roman" w:cs="Times New Roman"/>
          <w:sz w:val="24"/>
          <w:szCs w:val="24"/>
        </w:rPr>
      </w:pPr>
      <w:sdt>
        <w:sdtPr>
          <w:rPr>
            <w:rFonts w:ascii="Times New Roman" w:eastAsia="Times New Roman" w:hAnsi="Times New Roman" w:cs="Times New Roman"/>
            <w:color w:val="000000"/>
            <w:sz w:val="24"/>
            <w:szCs w:val="24"/>
          </w:rPr>
          <w:tag w:val="MENDELEY_CITATION_v3_eyJjaXRhdGlvbklEIjoiTUVOREVMRVlfQ0lUQVRJT05fZTE2ODJiOTgtOTE3NC00ZTQ1LTk4MTktMjI5NTdmNzdhM2JmIiwicHJvcGVydGllcyI6eyJub3RlSW5kZXgiOjB9LCJpc0VkaXRlZCI6ZmFsc2UsIm1hbnVhbE92ZXJyaWRlIjp7ImlzTWFudWFsbHlPdmVycmlkZGVuIjpmYWxzZSwiY2l0ZXByb2NUZXh0IjoiKFl1c2xpemEgZXQgYWwuLCAyMDIwKSIsIm1hbnVhbE92ZXJyaWRlVGV4dCI6IiJ9LCJjaXRhdGlvbkl0ZW1zIjpbeyJpZCI6Ijc5MGIxYTU0LTcxYWQtMzNmZi1iMTkwLTQzOGY0MGFhOGZhNiIsIml0ZW1EYXRhIjp7InR5cGUiOiJhcnRpY2xlLWpvdXJuYWwiLCJpZCI6Ijc5MGIxYTU0LTcxYWQtMzNmZi1iMTkwLTQzOGY0MGFhOGZhNiIsInRpdGxlIjoiQSBzdHJ1Y3R1cmFsIG1vZGVsIG9mIHRoZSBpbXBhY3Qgb2YgZ3JlZW4gaW50ZWxsZWN0dWFsIGNhcGl0YWwgb24gc3VzdGFpbmFibGUgcGVyZm9ybWFuY2UiLCJhdXRob3IiOlt7ImZhbWlseSI6Ill1c2xpemEiLCJnaXZlbiI6Ik0uIFkuIiwicGFyc2UtbmFtZXMiOmZhbHNlLCJkcm9wcGluZy1wYXJ0aWNsZSI6IiIsIm5vbi1kcm9wcGluZy1wYXJ0aWNsZSI6IiJ9LHsiZmFtaWx5IjoiWW9uZyIsImdpdmVuIjoiSmluZyBZaSIsInBhcnNlLW5hbWVzIjpmYWxzZSwiZHJvcHBpbmctcGFydGljbGUiOiIiLCJub24tZHJvcHBpbmctcGFydGljbGUiOiIifSx7ImZhbWlseSI6IlRhbnZlZXIiLCJnaXZlbiI6Ik0uIEltcmFuIiwicGFyc2UtbmFtZXMiOmZhbHNlLCJkcm9wcGluZy1wYXJ0aWNsZSI6IiIsIm5vbi1kcm9wcGluZy1wYXJ0aWNsZSI6IiJ9LHsiZmFtaWx5IjoiUmFtYXlhaCIsImdpdmVuIjoiVC4iLCJwYXJzZS1uYW1lcyI6ZmFsc2UsImRyb3BwaW5nLXBhcnRpY2xlIjoiIiwibm9uLWRyb3BwaW5nLXBhcnRpY2xlIjoiIn0seyJmYW1pbHkiOiJOb29yIEZhZXphaCIsImdpdmVuIjoiSnVoYXJpIiwicGFyc2UtbmFtZXMiOmZhbHNlLCJkcm9wcGluZy1wYXJ0aWNsZSI6IiIsIm5vbi1kcm9wcGluZy1wYXJ0aWNsZSI6IiJ9LHsiZmFtaWx5IjoiTXVoYW1tYWQiLCJnaXZlbiI6Ilppa3JpIiwicGFyc2UtbmFtZXMiOmZhbHNlLCJkcm9wcGluZy1wYXJ0aWNsZSI6IiIsIm5vbi1kcm9wcGluZy1wYXJ0aWNsZSI6IiJ9XSwiY29udGFpbmVyLXRpdGxlIjoiSm91cm5hbCBvZiBDbGVhbmVyIFByb2R1Y3Rpb24iLCJjb250YWluZXItdGl0bGUtc2hvcnQiOiJKIENsZWFuIFByb2QiLCJET0kiOiIxMC4xMDE2L2ouamNsZXByby4yMDE5LjExOTMzNCIsIklTU04iOiIwOTU5NjUyNiIsImlzc3VlZCI6eyJkYXRlLXBhcnRzIjpbWzIwMjAsMywxMF1dfSwiYWJzdHJhY3QiOiJUaGlzIHN0dWR5IGV4YW1pbmVkIHRoZSByZWxhdGlvbnNoaXAgYmV0d2VlbiBncmVlbiBpbnRlbGxlY3R1YWwgY2FwaXRhbCBhbmQgc3VzdGFpbmFibGUgcGVyZm9ybWFuY2UuIFdoaWxlIG1hbnkgc3R1ZGllcyBoYXZlIGZvY3VzZWQgb24gc3VzdGFpbmFiaWxpdHksIHRoaXMgc3R1ZHkgaXMgb25lIG9mIHRoZSBmaXJzdCB0aGF0IGZvY3VzZXMgZXhjbHVzaXZlbHkgb24gZ3JlZW4gaW50ZWxsZWN0dWFsIGNhcGl0YWwuIFRoaXMgcmVzZWFyY2ggdXNlZCBzdXJ2ZXkgZGF0YSBmcm9tIDExMiBtYW51ZmFjdHVyaW5nIGZpcm1zIGluIE1hbGF5c2lhLiBBcyBhbnRpY2lwYXRlZCwgdGhlIHJlc3VsdHMgZm91bmQgdGhhdCBncmVlbiBpbnRlbGxlY3R1YWwgY2FwaXRhbCBwb3NpdGl2ZWx5IGluZmx1ZW5jZWQgZWNvbm9taWMsIGVudmlyb25tZW50YWwsIGFuZCBzb2NpYWwgcGVyZm9ybWFuY2UuIFRoZSBmaW5kaW5ncyBvZiB0aGlzIHN0dWR5IGhhdmUgdmFyaW91cyBpbXBsaWNhdGlvbnMgZm9yIGdyZWVuIGNvbXBhbmllcyBhbmQgb3JnYW5pemF0aW9ucyBpbiBnZW5lcmFsIGFuZCBncmVlbiBtYW51ZmFjdHVyaW5nIGZpcm1zIGluIHBhcnRpY3VsYXIuIFRoZSBub3ZlbHR5IG9mIHRoaXMgc3R1ZHkgaXMgdW5mb2xkaW5nIHRoZSBjb250cmlidXRpb24gb2YgZ3JlZW4gaW50ZWxsZWN0dWFsIGNhcGl0YWwgYXMgYW4gaW50YW5naWJsZSByZXNvdXJjZSBmb3Igb3JnYW5pemF0aW9ucyBpbiBhY2hpZXZpbmcgc3VzdGFpbmFibGUgcGVyZm9ybWFuY2UgYW5kIGEgY29tcGV0aXRpdmUgYWR2YW50YWdlIGZvciBmdXR1cmUgcmVzZWFyY2hlcnMuIE1hbnVmYWN0dXJpbmcgaW5kdXN0cmllcyBvZiBkZXZlbG9waW5nIG9yIGRldmVsb3BlZCBjb3VudHJpZXMgY2FuIGVuaGFuY2UgdGhlaXIgY2xlYW5lciBwcm9kdWN0aW9uIGNhcGFiaWxpdGllcyBieSBpbmNvcnBvcmF0aW5nIHRoaXMgbW9kZWwgYXMgYSBzdHJhdGVneS4iLCJwdWJsaXNoZXIiOiJFbHNldmllciBMdGQiLCJ2b2x1bWUiOiIyNDkifSwiaXNUZW1wb3JhcnkiOmZhbHNlLCJzdXBwcmVzcy1hdXRob3IiOmZhbHNlLCJjb21wb3NpdGUiOmZhbHNlLCJhdXRob3Itb25seSI6ZmFsc2V9XX0="/>
          <w:id w:val="349846072"/>
          <w:placeholder>
            <w:docPart w:val="DefaultPlaceholder_-1854013440"/>
          </w:placeholder>
        </w:sdtPr>
        <w:sdtContent>
          <w:r w:rsidR="00AD6D10" w:rsidRPr="007E7CB6">
            <w:rPr>
              <w:rFonts w:ascii="Times New Roman" w:eastAsia="Times New Roman" w:hAnsi="Times New Roman" w:cs="Times New Roman"/>
              <w:color w:val="000000"/>
              <w:sz w:val="24"/>
              <w:szCs w:val="24"/>
            </w:rPr>
            <w:t>(Yusliza et al., 2020)</w:t>
          </w:r>
        </w:sdtContent>
      </w:sdt>
      <w:r w:rsidR="00B46618" w:rsidRPr="007E7CB6">
        <w:rPr>
          <w:rFonts w:ascii="Times New Roman" w:eastAsia="Times New Roman" w:hAnsi="Times New Roman" w:cs="Times New Roman"/>
          <w:sz w:val="24"/>
          <w:szCs w:val="24"/>
        </w:rPr>
        <w:t xml:space="preserve"> prove that GIC, which includes green human capital, green structural capital, and green relational capital has a significant effect on sustainability performance. These findings support the argument that GIC not only </w:t>
      </w:r>
      <w:r w:rsidR="00B46618" w:rsidRPr="007E7CB6">
        <w:rPr>
          <w:rFonts w:ascii="Times New Roman" w:eastAsia="Times New Roman" w:hAnsi="Times New Roman" w:cs="Times New Roman"/>
          <w:sz w:val="24"/>
          <w:szCs w:val="24"/>
        </w:rPr>
        <w:lastRenderedPageBreak/>
        <w:t>has a direct effect, but can also strengthen the influence of green capital structure on firm value.</w:t>
      </w:r>
    </w:p>
    <w:p w14:paraId="0435C380"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H6: Green Intellectual Capital strengthens the influence of Green Capital Structure on firm value</w:t>
      </w:r>
    </w:p>
    <w:p w14:paraId="1D99A6EC"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65" w:name="_Toc210744232"/>
      <w:r w:rsidRPr="007E7CB6">
        <w:rPr>
          <w:rFonts w:ascii="Times New Roman" w:eastAsia="Times New Roman" w:hAnsi="Times New Roman" w:cs="Times New Roman"/>
          <w:b/>
          <w:sz w:val="24"/>
          <w:szCs w:val="24"/>
        </w:rPr>
        <w:t>2.5</w:t>
      </w:r>
      <w:r w:rsidRPr="007E7CB6">
        <w:rPr>
          <w:rFonts w:ascii="Times New Roman" w:eastAsia="Times New Roman" w:hAnsi="Times New Roman" w:cs="Times New Roman"/>
          <w:b/>
          <w:sz w:val="24"/>
          <w:szCs w:val="24"/>
        </w:rPr>
        <w:tab/>
        <w:t>Research Model</w:t>
      </w:r>
      <w:bookmarkEnd w:id="65"/>
    </w:p>
    <w:p w14:paraId="2AA55FA9" w14:textId="3FCE8C5C" w:rsidR="00153781" w:rsidRPr="007E7CB6" w:rsidRDefault="00D05F57">
      <w:pPr>
        <w:spacing w:line="480" w:lineRule="auto"/>
        <w:ind w:firstLine="720"/>
        <w:jc w:val="both"/>
        <w:rPr>
          <w:rFonts w:ascii="Times New Roman" w:eastAsia="Times New Roman" w:hAnsi="Times New Roman" w:cs="Times New Roman"/>
          <w:color w:val="000000"/>
          <w:sz w:val="24"/>
          <w:szCs w:val="24"/>
        </w:rPr>
      </w:pPr>
      <w:r w:rsidRPr="007E7CB6">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7368A9CF" wp14:editId="39AD5AC7">
                <wp:simplePos x="0" y="0"/>
                <wp:positionH relativeFrom="column">
                  <wp:posOffset>-373380</wp:posOffset>
                </wp:positionH>
                <wp:positionV relativeFrom="paragraph">
                  <wp:posOffset>2342452</wp:posOffset>
                </wp:positionV>
                <wp:extent cx="598233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982335" cy="635"/>
                        </a:xfrm>
                        <a:prstGeom prst="rect">
                          <a:avLst/>
                        </a:prstGeom>
                        <a:solidFill>
                          <a:prstClr val="white"/>
                        </a:solidFill>
                        <a:ln>
                          <a:noFill/>
                        </a:ln>
                      </wps:spPr>
                      <wps:txbx>
                        <w:txbxContent>
                          <w:p w14:paraId="571C7834" w14:textId="7E9CF2C5" w:rsidR="00D05F57" w:rsidRPr="00D05F57" w:rsidRDefault="00D05F57" w:rsidP="00D05F57">
                            <w:pPr>
                              <w:pStyle w:val="Caption"/>
                              <w:spacing w:after="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bookmarkStart w:id="66" w:name="_Toc209703564"/>
                            <w:r w:rsidRPr="00D05F57">
                              <w:rPr>
                                <w:rFonts w:ascii="Times New Roman" w:hAnsi="Times New Roman" w:cs="Times New Roman"/>
                                <w:b/>
                                <w:bCs/>
                                <w:color w:val="000000" w:themeColor="text1"/>
                                <w:sz w:val="22"/>
                                <w:szCs w:val="22"/>
                              </w:rPr>
                              <w:t>Figure 2.2 Research Model</w:t>
                            </w:r>
                            <w:r w:rsidRPr="00D05F57">
                              <w:rPr>
                                <w:rFonts w:ascii="Times New Roman" w:hAnsi="Times New Roman" w:cs="Times New Roman"/>
                                <w:color w:val="000000" w:themeColor="text1"/>
                                <w:sz w:val="22"/>
                                <w:szCs w:val="22"/>
                              </w:rPr>
                              <w:t xml:space="preserve"> </w:t>
                            </w:r>
                            <w:r w:rsidRPr="00D05F57">
                              <w:rPr>
                                <w:rFonts w:ascii="Times New Roman" w:hAnsi="Times New Roman" w:cs="Times New Roman"/>
                                <w:color w:val="FFFFFF" w:themeColor="background1"/>
                                <w:sz w:val="22"/>
                                <w:szCs w:val="22"/>
                              </w:rPr>
                              <w:fldChar w:fldCharType="begin"/>
                            </w:r>
                            <w:r w:rsidRPr="00D05F57">
                              <w:rPr>
                                <w:rFonts w:ascii="Times New Roman" w:hAnsi="Times New Roman" w:cs="Times New Roman"/>
                                <w:color w:val="FFFFFF" w:themeColor="background1"/>
                                <w:sz w:val="22"/>
                                <w:szCs w:val="22"/>
                              </w:rPr>
                              <w:instrText xml:space="preserve"> SEQ Figure \* ARABIC </w:instrText>
                            </w:r>
                            <w:r w:rsidRPr="00D05F57">
                              <w:rPr>
                                <w:rFonts w:ascii="Times New Roman" w:hAnsi="Times New Roman" w:cs="Times New Roman"/>
                                <w:color w:val="FFFFFF" w:themeColor="background1"/>
                                <w:sz w:val="22"/>
                                <w:szCs w:val="22"/>
                              </w:rPr>
                              <w:fldChar w:fldCharType="separate"/>
                            </w:r>
                            <w:r w:rsidR="00FD5B7D">
                              <w:rPr>
                                <w:rFonts w:ascii="Times New Roman" w:hAnsi="Times New Roman" w:cs="Times New Roman"/>
                                <w:noProof/>
                                <w:color w:val="FFFFFF" w:themeColor="background1"/>
                                <w:sz w:val="22"/>
                                <w:szCs w:val="22"/>
                              </w:rPr>
                              <w:t>4</w:t>
                            </w:r>
                            <w:bookmarkEnd w:id="66"/>
                            <w:r w:rsidRPr="00D05F57">
                              <w:rPr>
                                <w:rFonts w:ascii="Times New Roman" w:hAnsi="Times New Roman" w:cs="Times New Roman"/>
                                <w:color w:val="FFFFFF" w:themeColor="background1"/>
                                <w:sz w:val="22"/>
                                <w:szCs w:val="22"/>
                              </w:rPr>
                              <w:fldChar w:fldCharType="end"/>
                            </w:r>
                          </w:p>
                          <w:p w14:paraId="3CD67111" w14:textId="0D04EA5F" w:rsidR="00D05F57" w:rsidRPr="00D05F57" w:rsidRDefault="00D05F57" w:rsidP="00D05F57">
                            <w:pPr>
                              <w:jc w:val="center"/>
                              <w:rPr>
                                <w:rFonts w:ascii="Times New Roman" w:hAnsi="Times New Roman" w:cs="Times New Roman"/>
                                <w:i/>
                                <w:iCs/>
                                <w:color w:val="000000" w:themeColor="text1"/>
                              </w:rPr>
                            </w:pPr>
                            <w:r w:rsidRPr="00D05F57">
                              <w:rPr>
                                <w:rFonts w:ascii="Times New Roman" w:hAnsi="Times New Roman" w:cs="Times New Roman"/>
                                <w:i/>
                                <w:iCs/>
                                <w:color w:val="000000" w:themeColor="text1"/>
                              </w:rPr>
                              <w:t>Source: Processed by Author,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8A9CF" id="Text Box 6" o:spid="_x0000_s1031" type="#_x0000_t202" style="position:absolute;left:0;text-align:left;margin-left:-29.4pt;margin-top:184.45pt;width:471.0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s9GgIAAD8EAAAOAAAAZHJzL2Uyb0RvYy54bWysU01v2zAMvQ/YfxB0X5ykaNEZ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fXn2/nV1fXnEny3ZBBObLLU4c+fFXQsGgUHImTBJU4&#10;bX3oQ8eQWMmD0eVGGxN/omNtkJ0E8dfWOqgh+W9RxsZYC/FVnzDeZJc5ohW6fcd0Se2OM+6hfKXR&#10;EXpVeCc3mupthQ9PAkkGNC1JOzzSURloCw6DxVkN+PNv9zGe2CEvZy3JquD+x1Gg4sx8s8Rb1OBo&#10;4GjsR8MemzXQpDNaGieTSQ8wmNGsEJoXUvwqViGXsJJqFTyM5jr04qaNkWq1SkGkNCfC1u6cjKlH&#10;XJ+7F4FuYCUQmQ8wCk7k78jpYxM9bnUMhHRiLuLaozjATSpN3A8bFdfg7X+Kuuz98hcAAAD//wMA&#10;UEsDBBQABgAIAAAAIQBflQRL4gAAAAsBAAAPAAAAZHJzL2Rvd25yZXYueG1sTI/BTsMwEETvSPyD&#10;tUhcUOtASuSGOFVVwaFcKkIv3Nx4GwfidRQ7bfj7uic47uxo5k2xmmzHTjj41pGEx3kCDKl2uqVG&#10;wv7zbSaA+aBIq84RSvhFD6vy9qZQuXZn+sBTFRoWQ8jnSoIJoc8597VBq/zc9Ujxd3SDVSGeQ8P1&#10;oM4x3Hb8KUkyblVLscGoHjcG659qtBJ2i6+deRiPr+/rRTps9+Mm+24qKe/vpvULsIBT+DPDFT+i&#10;QxmZDm4k7VknYfYsInqQkGZiCSw6hEhTYIerskyAlwX/v6G8AAAA//8DAFBLAQItABQABgAIAAAA&#10;IQC2gziS/gAAAOEBAAATAAAAAAAAAAAAAAAAAAAAAABbQ29udGVudF9UeXBlc10ueG1sUEsBAi0A&#10;FAAGAAgAAAAhADj9If/WAAAAlAEAAAsAAAAAAAAAAAAAAAAALwEAAF9yZWxzLy5yZWxzUEsBAi0A&#10;FAAGAAgAAAAhAL3LGz0aAgAAPwQAAA4AAAAAAAAAAAAAAAAALgIAAGRycy9lMm9Eb2MueG1sUEsB&#10;Ai0AFAAGAAgAAAAhAF+VBEviAAAACwEAAA8AAAAAAAAAAAAAAAAAdAQAAGRycy9kb3ducmV2Lnht&#10;bFBLBQYAAAAABAAEAPMAAACDBQAAAAA=&#10;" stroked="f">
                <v:textbox style="mso-fit-shape-to-text:t" inset="0,0,0,0">
                  <w:txbxContent>
                    <w:p w14:paraId="571C7834" w14:textId="7E9CF2C5" w:rsidR="00D05F57" w:rsidRPr="00D05F57" w:rsidRDefault="00D05F57" w:rsidP="00D05F57">
                      <w:pPr>
                        <w:pStyle w:val="Caption"/>
                        <w:spacing w:after="0"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     </w:t>
                      </w:r>
                      <w:bookmarkStart w:id="67" w:name="_Toc209703564"/>
                      <w:r w:rsidRPr="00D05F57">
                        <w:rPr>
                          <w:rFonts w:ascii="Times New Roman" w:hAnsi="Times New Roman" w:cs="Times New Roman"/>
                          <w:b/>
                          <w:bCs/>
                          <w:color w:val="000000" w:themeColor="text1"/>
                          <w:sz w:val="22"/>
                          <w:szCs w:val="22"/>
                        </w:rPr>
                        <w:t>Figure 2.2 Research Model</w:t>
                      </w:r>
                      <w:r w:rsidRPr="00D05F57">
                        <w:rPr>
                          <w:rFonts w:ascii="Times New Roman" w:hAnsi="Times New Roman" w:cs="Times New Roman"/>
                          <w:color w:val="000000" w:themeColor="text1"/>
                          <w:sz w:val="22"/>
                          <w:szCs w:val="22"/>
                        </w:rPr>
                        <w:t xml:space="preserve"> </w:t>
                      </w:r>
                      <w:r w:rsidRPr="00D05F57">
                        <w:rPr>
                          <w:rFonts w:ascii="Times New Roman" w:hAnsi="Times New Roman" w:cs="Times New Roman"/>
                          <w:color w:val="FFFFFF" w:themeColor="background1"/>
                          <w:sz w:val="22"/>
                          <w:szCs w:val="22"/>
                        </w:rPr>
                        <w:fldChar w:fldCharType="begin"/>
                      </w:r>
                      <w:r w:rsidRPr="00D05F57">
                        <w:rPr>
                          <w:rFonts w:ascii="Times New Roman" w:hAnsi="Times New Roman" w:cs="Times New Roman"/>
                          <w:color w:val="FFFFFF" w:themeColor="background1"/>
                          <w:sz w:val="22"/>
                          <w:szCs w:val="22"/>
                        </w:rPr>
                        <w:instrText xml:space="preserve"> SEQ Figure \* ARABIC </w:instrText>
                      </w:r>
                      <w:r w:rsidRPr="00D05F57">
                        <w:rPr>
                          <w:rFonts w:ascii="Times New Roman" w:hAnsi="Times New Roman" w:cs="Times New Roman"/>
                          <w:color w:val="FFFFFF" w:themeColor="background1"/>
                          <w:sz w:val="22"/>
                          <w:szCs w:val="22"/>
                        </w:rPr>
                        <w:fldChar w:fldCharType="separate"/>
                      </w:r>
                      <w:r w:rsidR="00FD5B7D">
                        <w:rPr>
                          <w:rFonts w:ascii="Times New Roman" w:hAnsi="Times New Roman" w:cs="Times New Roman"/>
                          <w:noProof/>
                          <w:color w:val="FFFFFF" w:themeColor="background1"/>
                          <w:sz w:val="22"/>
                          <w:szCs w:val="22"/>
                        </w:rPr>
                        <w:t>4</w:t>
                      </w:r>
                      <w:bookmarkEnd w:id="67"/>
                      <w:r w:rsidRPr="00D05F57">
                        <w:rPr>
                          <w:rFonts w:ascii="Times New Roman" w:hAnsi="Times New Roman" w:cs="Times New Roman"/>
                          <w:color w:val="FFFFFF" w:themeColor="background1"/>
                          <w:sz w:val="22"/>
                          <w:szCs w:val="22"/>
                        </w:rPr>
                        <w:fldChar w:fldCharType="end"/>
                      </w:r>
                    </w:p>
                    <w:p w14:paraId="3CD67111" w14:textId="0D04EA5F" w:rsidR="00D05F57" w:rsidRPr="00D05F57" w:rsidRDefault="00D05F57" w:rsidP="00D05F57">
                      <w:pPr>
                        <w:jc w:val="center"/>
                        <w:rPr>
                          <w:rFonts w:ascii="Times New Roman" w:hAnsi="Times New Roman" w:cs="Times New Roman"/>
                          <w:i/>
                          <w:iCs/>
                          <w:color w:val="000000" w:themeColor="text1"/>
                        </w:rPr>
                      </w:pPr>
                      <w:r w:rsidRPr="00D05F57">
                        <w:rPr>
                          <w:rFonts w:ascii="Times New Roman" w:hAnsi="Times New Roman" w:cs="Times New Roman"/>
                          <w:i/>
                          <w:iCs/>
                          <w:color w:val="000000" w:themeColor="text1"/>
                        </w:rPr>
                        <w:t>Source: Processed by Author, 2025</w:t>
                      </w:r>
                    </w:p>
                  </w:txbxContent>
                </v:textbox>
                <w10:wrap type="square"/>
              </v:shape>
            </w:pict>
          </mc:Fallback>
        </mc:AlternateContent>
      </w:r>
      <w:r w:rsidRPr="007E7CB6">
        <w:rPr>
          <w:rFonts w:ascii="Times New Roman" w:eastAsia="Times New Roman" w:hAnsi="Times New Roman" w:cs="Times New Roman"/>
          <w:sz w:val="24"/>
          <w:szCs w:val="24"/>
        </w:rPr>
        <w:t>Research approach based on hypothesis development as described</w:t>
      </w:r>
      <w:r w:rsidRPr="007E7CB6">
        <w:rPr>
          <w:rFonts w:ascii="Times New Roman" w:eastAsia="Times New Roman" w:hAnsi="Times New Roman" w:cs="Times New Roman"/>
          <w:color w:val="000000"/>
          <w:sz w:val="24"/>
          <w:szCs w:val="24"/>
        </w:rPr>
        <w:t>:</w:t>
      </w:r>
      <w:r w:rsidRPr="007E7CB6">
        <w:rPr>
          <w:rFonts w:ascii="Times New Roman" w:hAnsi="Times New Roman" w:cs="Times New Roman"/>
          <w:noProof/>
        </w:rPr>
        <w:drawing>
          <wp:anchor distT="114300" distB="114300" distL="114300" distR="114300" simplePos="0" relativeHeight="251662336" behindDoc="0" locked="0" layoutInCell="1" hidden="0" allowOverlap="1" wp14:anchorId="7B7C33B3" wp14:editId="66D8646B">
            <wp:simplePos x="0" y="0"/>
            <wp:positionH relativeFrom="column">
              <wp:posOffset>-373591</wp:posOffset>
            </wp:positionH>
            <wp:positionV relativeFrom="paragraph">
              <wp:posOffset>304800</wp:posOffset>
            </wp:positionV>
            <wp:extent cx="5982602" cy="1952655"/>
            <wp:effectExtent l="0" t="0" r="0" b="0"/>
            <wp:wrapSquare wrapText="bothSides" distT="114300" distB="114300" distL="114300" distR="114300"/>
            <wp:docPr id="1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9"/>
                    <a:srcRect/>
                    <a:stretch>
                      <a:fillRect/>
                    </a:stretch>
                  </pic:blipFill>
                  <pic:spPr>
                    <a:xfrm>
                      <a:off x="0" y="0"/>
                      <a:ext cx="5982602" cy="1952655"/>
                    </a:xfrm>
                    <a:prstGeom prst="rect">
                      <a:avLst/>
                    </a:prstGeom>
                    <a:ln/>
                  </pic:spPr>
                </pic:pic>
              </a:graphicData>
            </a:graphic>
          </wp:anchor>
        </w:drawing>
      </w:r>
    </w:p>
    <w:p w14:paraId="563D31DC" w14:textId="1A04A8DB" w:rsidR="00B46618" w:rsidRPr="007E7CB6" w:rsidRDefault="00B46618">
      <w:pPr>
        <w:spacing w:line="480" w:lineRule="auto"/>
        <w:jc w:val="center"/>
        <w:rPr>
          <w:rFonts w:ascii="Times New Roman" w:eastAsia="Times New Roman" w:hAnsi="Times New Roman" w:cs="Times New Roman"/>
          <w:b/>
          <w:sz w:val="24"/>
          <w:szCs w:val="24"/>
        </w:rPr>
      </w:pPr>
      <w:bookmarkStart w:id="68" w:name="_heading=h.be21qy3ijdb7" w:colFirst="0" w:colLast="0"/>
      <w:bookmarkStart w:id="69" w:name="_heading=h.qdclk9301ql5" w:colFirst="0" w:colLast="0"/>
      <w:bookmarkEnd w:id="68"/>
      <w:bookmarkEnd w:id="69"/>
    </w:p>
    <w:p w14:paraId="0DD9C2B4" w14:textId="5C240D3C" w:rsidR="00B46618" w:rsidRPr="007E7CB6" w:rsidRDefault="00B46618">
      <w:pPr>
        <w:spacing w:line="480" w:lineRule="auto"/>
        <w:jc w:val="center"/>
        <w:rPr>
          <w:rFonts w:ascii="Times New Roman" w:eastAsia="Times New Roman" w:hAnsi="Times New Roman" w:cs="Times New Roman"/>
          <w:b/>
          <w:sz w:val="24"/>
          <w:szCs w:val="24"/>
        </w:rPr>
      </w:pPr>
    </w:p>
    <w:p w14:paraId="6E1C94AE" w14:textId="5980C7E7" w:rsidR="00B46618" w:rsidRPr="007E7CB6" w:rsidRDefault="00B46618">
      <w:pPr>
        <w:spacing w:line="480" w:lineRule="auto"/>
        <w:jc w:val="center"/>
        <w:rPr>
          <w:rFonts w:ascii="Times New Roman" w:eastAsia="Times New Roman" w:hAnsi="Times New Roman" w:cs="Times New Roman"/>
          <w:b/>
          <w:sz w:val="24"/>
          <w:szCs w:val="24"/>
        </w:rPr>
      </w:pPr>
    </w:p>
    <w:p w14:paraId="3C81C9F3" w14:textId="5A2D51BB" w:rsidR="00B46618" w:rsidRPr="007E7CB6" w:rsidRDefault="00B46618">
      <w:pPr>
        <w:spacing w:line="480" w:lineRule="auto"/>
        <w:jc w:val="center"/>
        <w:rPr>
          <w:rFonts w:ascii="Times New Roman" w:eastAsia="Times New Roman" w:hAnsi="Times New Roman" w:cs="Times New Roman"/>
          <w:b/>
          <w:sz w:val="24"/>
          <w:szCs w:val="24"/>
        </w:rPr>
      </w:pPr>
    </w:p>
    <w:p w14:paraId="17A566B3" w14:textId="3F61ACDB" w:rsidR="00B46618" w:rsidRPr="007E7CB6" w:rsidRDefault="00B46618">
      <w:pPr>
        <w:spacing w:line="480" w:lineRule="auto"/>
        <w:jc w:val="center"/>
        <w:rPr>
          <w:rFonts w:ascii="Times New Roman" w:eastAsia="Times New Roman" w:hAnsi="Times New Roman" w:cs="Times New Roman"/>
          <w:b/>
          <w:sz w:val="24"/>
          <w:szCs w:val="24"/>
        </w:rPr>
      </w:pPr>
    </w:p>
    <w:p w14:paraId="21312082" w14:textId="74B8D19F" w:rsidR="00B46618" w:rsidRPr="007E7CB6" w:rsidRDefault="00B46618">
      <w:pPr>
        <w:spacing w:line="480" w:lineRule="auto"/>
        <w:jc w:val="center"/>
        <w:rPr>
          <w:rFonts w:ascii="Times New Roman" w:eastAsia="Times New Roman" w:hAnsi="Times New Roman" w:cs="Times New Roman"/>
          <w:b/>
          <w:sz w:val="24"/>
          <w:szCs w:val="24"/>
        </w:rPr>
      </w:pPr>
    </w:p>
    <w:p w14:paraId="714EBC04" w14:textId="748FDE03" w:rsidR="00B46618" w:rsidRPr="007E7CB6" w:rsidRDefault="00B46618">
      <w:pPr>
        <w:spacing w:line="480" w:lineRule="auto"/>
        <w:jc w:val="center"/>
        <w:rPr>
          <w:rFonts w:ascii="Times New Roman" w:eastAsia="Times New Roman" w:hAnsi="Times New Roman" w:cs="Times New Roman"/>
          <w:b/>
          <w:sz w:val="24"/>
          <w:szCs w:val="24"/>
        </w:rPr>
      </w:pPr>
    </w:p>
    <w:p w14:paraId="4E44FCF8" w14:textId="47A994E1" w:rsidR="00B46618" w:rsidRPr="007E7CB6" w:rsidRDefault="00B46618">
      <w:pPr>
        <w:spacing w:line="480" w:lineRule="auto"/>
        <w:jc w:val="center"/>
        <w:rPr>
          <w:rFonts w:ascii="Times New Roman" w:eastAsia="Times New Roman" w:hAnsi="Times New Roman" w:cs="Times New Roman"/>
          <w:b/>
          <w:sz w:val="24"/>
          <w:szCs w:val="24"/>
        </w:rPr>
      </w:pPr>
    </w:p>
    <w:p w14:paraId="4FC14CF6" w14:textId="45B24F4F" w:rsidR="00B46618" w:rsidRPr="007E7CB6" w:rsidRDefault="00B46618">
      <w:pPr>
        <w:spacing w:line="480" w:lineRule="auto"/>
        <w:jc w:val="center"/>
        <w:rPr>
          <w:rFonts w:ascii="Times New Roman" w:eastAsia="Times New Roman" w:hAnsi="Times New Roman" w:cs="Times New Roman"/>
          <w:b/>
          <w:sz w:val="24"/>
          <w:szCs w:val="24"/>
        </w:rPr>
      </w:pPr>
    </w:p>
    <w:p w14:paraId="649970A6" w14:textId="6D83802C" w:rsidR="00B46618" w:rsidRPr="007E7CB6" w:rsidRDefault="00B46618">
      <w:pPr>
        <w:spacing w:line="480" w:lineRule="auto"/>
        <w:jc w:val="center"/>
        <w:rPr>
          <w:rFonts w:ascii="Times New Roman" w:eastAsia="Times New Roman" w:hAnsi="Times New Roman" w:cs="Times New Roman"/>
          <w:b/>
          <w:sz w:val="24"/>
          <w:szCs w:val="24"/>
        </w:rPr>
      </w:pPr>
    </w:p>
    <w:p w14:paraId="68D8F917" w14:textId="77777777" w:rsidR="00B46618" w:rsidRPr="007E7CB6" w:rsidRDefault="00B46618">
      <w:pPr>
        <w:spacing w:line="480" w:lineRule="auto"/>
        <w:jc w:val="center"/>
        <w:rPr>
          <w:rFonts w:ascii="Times New Roman" w:eastAsia="Times New Roman" w:hAnsi="Times New Roman" w:cs="Times New Roman"/>
          <w:b/>
          <w:sz w:val="24"/>
          <w:szCs w:val="24"/>
        </w:rPr>
      </w:pPr>
    </w:p>
    <w:p w14:paraId="731628DE" w14:textId="40715100" w:rsidR="00153781" w:rsidRPr="007E7CB6" w:rsidRDefault="00000000">
      <w:pPr>
        <w:spacing w:line="480" w:lineRule="auto"/>
        <w:jc w:val="center"/>
        <w:rPr>
          <w:rFonts w:ascii="Times New Roman" w:eastAsia="Times New Roman" w:hAnsi="Times New Roman" w:cs="Times New Roman"/>
        </w:rPr>
      </w:pPr>
      <w:r w:rsidRPr="007E7CB6">
        <w:rPr>
          <w:rFonts w:ascii="Times New Roman" w:eastAsia="Times New Roman" w:hAnsi="Times New Roman" w:cs="Times New Roman"/>
          <w:b/>
          <w:sz w:val="24"/>
          <w:szCs w:val="24"/>
        </w:rPr>
        <w:lastRenderedPageBreak/>
        <w:t>CHAPTER</w:t>
      </w:r>
      <w:r w:rsidRPr="007E7CB6">
        <w:rPr>
          <w:rFonts w:ascii="Times New Roman" w:hAnsi="Times New Roman" w:cs="Times New Roman"/>
          <w:noProof/>
        </w:rPr>
        <w:drawing>
          <wp:anchor distT="0" distB="0" distL="114300" distR="114300" simplePos="0" relativeHeight="251663360" behindDoc="0" locked="0" layoutInCell="1" hidden="0" allowOverlap="1" wp14:anchorId="16914998" wp14:editId="5EC11533">
            <wp:simplePos x="0" y="0"/>
            <wp:positionH relativeFrom="margin">
              <wp:posOffset>179070</wp:posOffset>
            </wp:positionH>
            <wp:positionV relativeFrom="margin">
              <wp:posOffset>17120870</wp:posOffset>
            </wp:positionV>
            <wp:extent cx="4680585" cy="1619885"/>
            <wp:effectExtent l="0" t="0" r="0" b="0"/>
            <wp:wrapSquare wrapText="bothSides" distT="0" distB="0" distL="114300" distR="114300"/>
            <wp:docPr id="1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680585" cy="1619885"/>
                    </a:xfrm>
                    <a:prstGeom prst="rect">
                      <a:avLst/>
                    </a:prstGeom>
                    <a:ln/>
                  </pic:spPr>
                </pic:pic>
              </a:graphicData>
            </a:graphic>
          </wp:anchor>
        </w:drawing>
      </w:r>
      <w:r w:rsidRPr="007E7CB6">
        <w:rPr>
          <w:rFonts w:ascii="Times New Roman" w:hAnsi="Times New Roman" w:cs="Times New Roman"/>
          <w:noProof/>
        </w:rPr>
        <w:drawing>
          <wp:anchor distT="0" distB="0" distL="114300" distR="114300" simplePos="0" relativeHeight="251664384" behindDoc="0" locked="0" layoutInCell="1" hidden="0" allowOverlap="1" wp14:anchorId="30571C38" wp14:editId="18E27041">
            <wp:simplePos x="0" y="0"/>
            <wp:positionH relativeFrom="margin">
              <wp:posOffset>179070</wp:posOffset>
            </wp:positionH>
            <wp:positionV relativeFrom="margin">
              <wp:posOffset>17152620</wp:posOffset>
            </wp:positionV>
            <wp:extent cx="4680585" cy="1619885"/>
            <wp:effectExtent l="0" t="0" r="0" b="0"/>
            <wp:wrapSquare wrapText="bothSides" distT="0" distB="0" distL="114300" distR="114300"/>
            <wp:docPr id="1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680585" cy="1619885"/>
                    </a:xfrm>
                    <a:prstGeom prst="rect">
                      <a:avLst/>
                    </a:prstGeom>
                    <a:ln/>
                  </pic:spPr>
                </pic:pic>
              </a:graphicData>
            </a:graphic>
          </wp:anchor>
        </w:drawing>
      </w:r>
      <w:r w:rsidRPr="007E7CB6">
        <w:rPr>
          <w:rFonts w:ascii="Times New Roman" w:eastAsia="Times New Roman" w:hAnsi="Times New Roman" w:cs="Times New Roman"/>
          <w:b/>
          <w:sz w:val="24"/>
          <w:szCs w:val="24"/>
        </w:rPr>
        <w:t xml:space="preserve"> III</w:t>
      </w:r>
    </w:p>
    <w:p w14:paraId="342AD000"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70" w:name="_Toc210744233"/>
      <w:r w:rsidRPr="007E7CB6">
        <w:rPr>
          <w:rFonts w:ascii="Times New Roman" w:eastAsia="Times New Roman" w:hAnsi="Times New Roman" w:cs="Times New Roman"/>
          <w:b/>
          <w:sz w:val="24"/>
          <w:szCs w:val="24"/>
        </w:rPr>
        <w:t>RESEARCH METODOLOGY</w:t>
      </w:r>
      <w:bookmarkEnd w:id="70"/>
    </w:p>
    <w:p w14:paraId="697A5382"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71" w:name="_Toc210744234"/>
      <w:r w:rsidRPr="007E7CB6">
        <w:rPr>
          <w:rFonts w:ascii="Times New Roman" w:eastAsia="Times New Roman" w:hAnsi="Times New Roman" w:cs="Times New Roman"/>
          <w:b/>
          <w:sz w:val="24"/>
          <w:szCs w:val="24"/>
        </w:rPr>
        <w:t>3.1</w:t>
      </w:r>
      <w:r w:rsidRPr="007E7CB6">
        <w:rPr>
          <w:rFonts w:ascii="Times New Roman" w:eastAsia="Times New Roman" w:hAnsi="Times New Roman" w:cs="Times New Roman"/>
          <w:b/>
          <w:sz w:val="24"/>
          <w:szCs w:val="24"/>
        </w:rPr>
        <w:tab/>
        <w:t>Definitions</w:t>
      </w:r>
      <w:bookmarkEnd w:id="71"/>
    </w:p>
    <w:p w14:paraId="14E29552"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problem formulation and theoretical framework described above, the operational definitions for each variable in this study are as follows:</w:t>
      </w:r>
    </w:p>
    <w:p w14:paraId="53871E44" w14:textId="77777777" w:rsidR="00153781" w:rsidRPr="007E7CB6" w:rsidRDefault="00000000">
      <w:pPr>
        <w:pStyle w:val="Heading3"/>
        <w:spacing w:before="0" w:after="0" w:line="480" w:lineRule="auto"/>
        <w:jc w:val="both"/>
        <w:rPr>
          <w:rFonts w:ascii="Times New Roman" w:eastAsia="Times New Roman" w:hAnsi="Times New Roman" w:cs="Times New Roman"/>
          <w:b/>
        </w:rPr>
      </w:pPr>
      <w:bookmarkStart w:id="72" w:name="_Toc210744235"/>
      <w:r w:rsidRPr="007E7CB6">
        <w:rPr>
          <w:rFonts w:ascii="Times New Roman" w:eastAsia="Times New Roman" w:hAnsi="Times New Roman" w:cs="Times New Roman"/>
          <w:b/>
          <w:color w:val="000000"/>
          <w:sz w:val="24"/>
          <w:szCs w:val="24"/>
        </w:rPr>
        <w:t>3.1.1</w:t>
      </w:r>
      <w:r w:rsidRPr="007E7CB6">
        <w:rPr>
          <w:rFonts w:ascii="Times New Roman" w:eastAsia="Times New Roman" w:hAnsi="Times New Roman" w:cs="Times New Roman"/>
          <w:b/>
          <w:color w:val="000000"/>
          <w:sz w:val="24"/>
          <w:szCs w:val="24"/>
        </w:rPr>
        <w:tab/>
        <w:t>Dependent Variable</w:t>
      </w:r>
      <w:bookmarkEnd w:id="72"/>
    </w:p>
    <w:p w14:paraId="01A0E861" w14:textId="0A31AF6C" w:rsidR="00153781" w:rsidRPr="007E7CB6" w:rsidRDefault="00F229F0">
      <w:pPr>
        <w:spacing w:line="480" w:lineRule="auto"/>
        <w:ind w:firstLine="720"/>
        <w:jc w:val="both"/>
        <w:rPr>
          <w:rFonts w:ascii="Times New Roman" w:eastAsia="Times New Roman" w:hAnsi="Times New Roman" w:cs="Times New Roman"/>
          <w:sz w:val="24"/>
          <w:szCs w:val="24"/>
        </w:rPr>
      </w:pPr>
      <w:r w:rsidRPr="007E7CB6">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41F93445" wp14:editId="4C530453">
                <wp:simplePos x="0" y="0"/>
                <wp:positionH relativeFrom="column">
                  <wp:posOffset>-30480</wp:posOffset>
                </wp:positionH>
                <wp:positionV relativeFrom="paragraph">
                  <wp:posOffset>1651798</wp:posOffset>
                </wp:positionV>
                <wp:extent cx="5045075" cy="568325"/>
                <wp:effectExtent l="0" t="0" r="22225" b="22225"/>
                <wp:wrapNone/>
                <wp:docPr id="87" name="Rectangle 87"/>
                <wp:cNvGraphicFramePr/>
                <a:graphic xmlns:a="http://schemas.openxmlformats.org/drawingml/2006/main">
                  <a:graphicData uri="http://schemas.microsoft.com/office/word/2010/wordprocessingShape">
                    <wps:wsp>
                      <wps:cNvSpPr/>
                      <wps:spPr>
                        <a:xfrm>
                          <a:off x="0" y="0"/>
                          <a:ext cx="5045075" cy="568325"/>
                        </a:xfrm>
                        <a:prstGeom prst="rect">
                          <a:avLst/>
                        </a:prstGeom>
                        <a:noFill/>
                        <a:ln w="9525" cap="flat" cmpd="sng">
                          <a:solidFill>
                            <a:schemeClr val="dk1"/>
                          </a:solidFill>
                          <a:prstDash val="solid"/>
                          <a:round/>
                          <a:headEnd type="none" w="sm" len="sm"/>
                          <a:tailEnd type="none" w="sm" len="sm"/>
                        </a:ln>
                      </wps:spPr>
                      <wps:txbx>
                        <w:txbxContent>
                          <w:p w14:paraId="6C4A636A"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F93445" id="Rectangle 87" o:spid="_x0000_s1032" style="position:absolute;left:0;text-align:left;margin-left:-2.4pt;margin-top:130.05pt;width:397.25pt;height:4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NFBAIAABEEAAAOAAAAZHJzL2Uyb0RvYy54bWysU9tuEzEQfUfiHyy/k92EbmmjbCrUEIRU&#10;0UiFD5j4krXwDdvJbv6esTckAR6QEC/2jD2eOXPmePEwGE0OIkTlbEunk5oSYZnjyu5a+vXL+s0d&#10;JTGB5aCdFS09ikgflq9fLXo/FzPXOc1FIJjExnnvW9ql5OdVFVknDMSJ88LipXTBQEI37CoeoMfs&#10;Rlezur6tehe4D46JGPF0NV7SZckvpWDpWcooEtEtRWyprKGs27xWywXMdwF8p9gJBvwDCgPKYtFz&#10;qhUkIPug/khlFAsuOpkmzJnKSamYKD1gN9P6t25eOvCi9ILkRH+mKf6/tOzz4cVvAtLQ+ziPaOYu&#10;BhlM3hEfGQpZxzNZYkiE4WFT3zT1u4YShnfN7d3bWZPZrC6vfYjpo3CGZKOlAYdROILDU0xj6M+Q&#10;XMy6tdK6DERb0rf0vsGUhAHKQmpIaBrPWxrtrqSJTiuen+THRTDiUQdyABw1/zY9gfklKpdbQezG&#10;oHI1KiC4veWldCeAf7CcpKNHuVoULc1YoqFEC5Q4GiUugdJ/j0M2tEVSLuRmKw3bgShs5Tbnyidb&#10;x4+bQKJna4UYnyCmDQRU4hSrozqx7vc9BMSiP1kc//30JnOTrp1w7WyvHbCscyh6lgIlo/OYyicY&#10;eX+/T06qMpILmBNq1F0Z6umPZGFf+yXq8pOXPwAAAP//AwBQSwMEFAAGAAgAAAAhALZdNS3eAAAA&#10;CgEAAA8AAABkcnMvZG93bnJldi54bWxMj8FOwzAQRO9I/IO1SNxap2mVtiFOhUD9AEIRHLfxEkeN&#10;1yF2k/D3mBMcRzOaeVMcZtuJkQbfOlawWiYgiGunW24UnF6Pix0IH5A1do5JwTd5OJS3NwXm2k38&#10;QmMVGhFL2OeowITQ51L62pBFv3Q9cfQ+3WAxRDk0Ug84xXLbyTRJMmmx5bhgsKcnQ/WluloFw/SF&#10;UqZ+/DhN1Xt/4aNZP78pdX83Pz6ACDSHvzD84kd0KCPT2V1Ze9EpWGwieVCQZskKRAxsd/stiLOC&#10;9WafgSwL+f9C+QMAAP//AwBQSwECLQAUAAYACAAAACEAtoM4kv4AAADhAQAAEwAAAAAAAAAAAAAA&#10;AAAAAAAAW0NvbnRlbnRfVHlwZXNdLnhtbFBLAQItABQABgAIAAAAIQA4/SH/1gAAAJQBAAALAAAA&#10;AAAAAAAAAAAAAC8BAABfcmVscy8ucmVsc1BLAQItABQABgAIAAAAIQCn26NFBAIAABEEAAAOAAAA&#10;AAAAAAAAAAAAAC4CAABkcnMvZTJvRG9jLnhtbFBLAQItABQABgAIAAAAIQC2XTUt3gAAAAoBAAAP&#10;AAAAAAAAAAAAAAAAAF4EAABkcnMvZG93bnJldi54bWxQSwUGAAAAAAQABADzAAAAaQUAAAAA&#10;" filled="f" strokecolor="black [3200]">
                <v:stroke startarrowwidth="narrow" startarrowlength="short" endarrowwidth="narrow" endarrowlength="short" joinstyle="round"/>
                <v:textbox inset="2.53958mm,2.53958mm,2.53958mm,2.53958mm">
                  <w:txbxContent>
                    <w:p w14:paraId="6C4A636A" w14:textId="77777777" w:rsidR="00153781" w:rsidRDefault="00153781">
                      <w:pPr>
                        <w:spacing w:line="240" w:lineRule="auto"/>
                        <w:textDirection w:val="btLr"/>
                      </w:pPr>
                    </w:p>
                  </w:txbxContent>
                </v:textbox>
              </v:rect>
            </w:pict>
          </mc:Fallback>
        </mc:AlternateContent>
      </w:r>
      <w:r w:rsidRPr="007E7CB6">
        <w:rPr>
          <w:rFonts w:ascii="Times New Roman" w:eastAsia="Times New Roman" w:hAnsi="Times New Roman" w:cs="Times New Roman"/>
          <w:sz w:val="24"/>
          <w:szCs w:val="24"/>
        </w:rPr>
        <w:t xml:space="preserve">The dependent variable in this study is firm value, which reflects the performance and quality of the firm in providing returns to shareholders, as reflected in its share price. In this study, firm value is measured using Tobin's Q </w:t>
      </w:r>
      <w:sdt>
        <w:sdtPr>
          <w:rPr>
            <w:rFonts w:ascii="Times New Roman" w:eastAsia="Times New Roman" w:hAnsi="Times New Roman" w:cs="Times New Roman"/>
            <w:color w:val="000000"/>
            <w:sz w:val="24"/>
            <w:szCs w:val="24"/>
          </w:rPr>
          <w:tag w:val="MENDELEY_CITATION_v3_eyJjaXRhdGlvbklEIjoiTUVOREVMRVlfQ0lUQVRJT05fMzI0NjdmYTItZGE1Zi00ODE1LWJhZGYtMjRmMmQzZTdlZWFlIiwicHJvcGVydGllcyI6eyJub3RlSW5kZXgiOjB9LCJpc0VkaXRlZCI6ZmFsc2UsIm1hbnVhbE92ZXJyaWRlIjp7ImlzTWFudWFsbHlPdmVycmlkZGVuIjpmYWxzZSwiY2l0ZXByb2NUZXh0IjoiKEphbWVzIFRvYmluLCAxOTY5KSIsIm1hbnVhbE92ZXJyaWRlVGV4dCI6IiJ9LCJjaXRhdGlvbkl0ZW1zIjpbeyJpZCI6IjdlYzhkMWQ3LTc2NmUtMzgxNy1iNzJhLWZkZjg3ZGM0ZDNlNCIsIml0ZW1EYXRhIjp7InR5cGUiOiJhcnRpY2xlLWpvdXJuYWwiLCJpZCI6IjdlYzhkMWQ3LTc2NmUtMzgxNy1iNzJhLWZkZjg3ZGM0ZDNlNCIsInRpdGxlIjoiQSBHZW5lcmFsIEVxdWlsaWJyaXVtIEFwcHJvYWNoIFRvIE1vbmV0YXJ5IFRoZW9yeSIsImF1dGhvciI6W3siZmFtaWx5IjoiSmFtZXMgVG9iaW4iLCJnaXZlbiI6IiIsInBhcnNlLW5hbWVzIjpmYWxzZSwiZHJvcHBpbmctcGFydGljbGUiOiIiLCJub24tZHJvcHBpbmctcGFydGljbGUiOiIifV0sImNvbnRhaW5lci10aXRsZSI6IkpvdXJuYWwgb2YgTW9uZXksIENyZWRpdCBhbmQgQmFua2luZyIsImNvbnRhaW5lci10aXRsZS1zaG9ydCI6IkogTW9uZXkgQ3JlZGl0IEJhbmsiLCJVUkwiOiJodHRwczovL2Fib3V0LmpzdG9yLm9yZy90ZXJtcyIsImlzc3VlZCI6eyJkYXRlLXBhcnRzIjpbWzE5NjldXX0sImFic3RyYWN0IjoiTW9uZXRhcnkgVGhlb3J5IEkgV0lMTCBUQUtFIFRIRSBPUFBPUlRVTklUWSBwcm92aWRlZCBieSB0aGUgZmlyc3QgaXNzdWUgb2YgYSBqb3VybmFsIGRldm90ZWQgdG8gbW9uZXRhcnkgZWNvbm9taWNzIHRvIHNldCBmb3J0aCBhbmQgaWxsdXN0cmF0ZSBhIGdlbmVyYWwgZnJhbWV3b3JrIGZvciBtb25ldGFyeSBhbmFseXNpcy4gSXQgaXMgbm90IGEgbmV3IGFwcHJvYWNoLCBidXQgb25lIHNoYXJlZCBhdCBsZWFzdCBpbiBzcGlyaXQgYnkgbWFueSBtb25ldGFyeSBlY29ub21pc3RzLiBNeSBwdXJwb3NlIGhlcmUgaXMgZXhwb3NpdGlvbiBhbmQgcmVjYXBpdHVsYXRpb24ubCAxLiBUaGUgY2FwaXRhbCBhY2NvdW50Li1UaGUgYXBwcm9hY2ggZm9jdXNlcyBvbiB0aGUgY2FwaXRhbCBhY2NvdW50cyBvZiBlY29ub21pYyB1bml0cywgb2Ygc2VjdG9ycyBvZiB0aGUgZWNvbm9teSwgYW5kIG9mIHRoZSBlY29ub215IGFzIGEgd2hvbGUuIEEgbW9kZWwgb2YgdGhlIGNhcGl0YWwgYWNjb3VudCBvZiB0aGUgZWNvbm9teSBzcGVjaWZpZXMgYSBtZW51IG9mIHRoZSBhc3NldHMgKGFuZCBkZWJ0cykgdGhhdCBhcHBlYXIgaW4gcG9ydGZvbGlvcyBhbmQgYmFsYW5jZSBzaGVldHMsIHRoZSBmYWN0b3JzIHRoYXQgZGV0ZXJtaW5lIHRoZSBkZW1hbmRzIGFuZCBzdXBwbGllcyBvZiB0aGUgdmFyaW91cyBhc3NldHMsIGFuZCB0aGUgbWFubmVyIGluIHdoaWNoIGFzc2V0IHByaWNlcyBhbmQgaW50ZXJlc3QgcmF0ZXMgY2xlYXIgdGhlc2UgaW50ZXJyZWxhdGVkIG1hcmtldHMuIEluIHRoaXMgYXBwcm9hY2gsIG1vbmV0YXJ5IGFzc2V0cyBmYWxsIGludG8gcGxhY2UgYXMgYSBwYXJ0LCBidXQgbm90IHRoZSB3aG9sZSwgb2YgdGhlIG1lbnUgb2YgYXNzZXRzOyBhbmQgdGhlIGNvbW1lcmNpYWwgYmFua2luZyBzeXN0ZW0gaXMgb25lIHNlY3RvciwgYnV0IG5vdCB0aGUgb25seSBvbmUsIHdob3NlIGJhbGFuY2Ugc2hlZXQgYmVoYXZpb3IgbXVzdCBiZSBzcGVjaWZpZWQuIFRyZWF0bWVudCBvZiB0aGUgY2FwaXRhbCBhY2NvdW50IHNlcGFyYXRlbHkgZnJvbSB0aGUgcHJvZHVjdGlvbiBhbmQgaW5jb21lIGFjY291bnQgb2YgdGhlIGVjb25vbXkgaXMgb25seSBhIGZpcnN0IHN0ZXAsIGEgc2ltcGxpZmljYXRpb24gdG8gYmUganVzdGlmaWVkIGJ5IGNvbnZlbmllbmNlIHJhdGhlciB0aGFuIHJlYWxpc20uIFRoZSBzdHJhdGVneSBpcyB0byByZWdhcmQgaW5jb21lIGFjY291bnQgMSBBbW9uZyBteSBtYW55IGRlYnRzLCBJIHdpbGwgYWNrbm93bGVkZ2UgaGVyZSBhIHNwZWNpYWwgb25lIHRvIG15IGNvbGxlYWd1ZSBhbmQsIG9uIG9jY2FzaW9uLCBjb2xsYWJvcmF0b3IsIFdpbGxpYW0gQy4gQnJhaW5hcmQsIHdobyBoYXMgaGVscGVkIHRvIGRldmVsb3AgYW5kIGNsYXJpZnkgdGhlIGFwcHJvYWNoIGhlcmUgZXhwb3VuZGVkLiBIZSBpcyBub3QgcmVzcG9uc2libGUsIGhvd2V2ZXIsIGZvciBlcnJvcnMgYW5kIGNvbmZ1c2lvbnMgdGhhdCBtYXkgcmVtYWluIGluIHRoaXMgcGFydGljdWxhciBleHBvc2l0aW9uLiJ9LCJpc1RlbXBvcmFyeSI6ZmFsc2UsInN1cHByZXNzLWF1dGhvciI6ZmFsc2UsImNvbXBvc2l0ZSI6ZmFsc2UsImF1dGhvci1vbmx5IjpmYWxzZX1dfQ=="/>
          <w:id w:val="-1290124337"/>
          <w:placeholder>
            <w:docPart w:val="DefaultPlaceholder_-1854013440"/>
          </w:placeholder>
        </w:sdtPr>
        <w:sdtContent>
          <w:r w:rsidR="00AD6D10" w:rsidRPr="007E7CB6">
            <w:rPr>
              <w:rFonts w:ascii="Times New Roman" w:eastAsia="Times New Roman" w:hAnsi="Times New Roman" w:cs="Times New Roman"/>
              <w:color w:val="000000"/>
              <w:sz w:val="24"/>
              <w:szCs w:val="24"/>
            </w:rPr>
            <w:t>(James Tobin, 1969)</w:t>
          </w:r>
        </w:sdtContent>
      </w:sdt>
      <w:r w:rsidRPr="007E7CB6">
        <w:rPr>
          <w:rFonts w:ascii="Times New Roman" w:eastAsia="Times New Roman" w:hAnsi="Times New Roman" w:cs="Times New Roman"/>
          <w:sz w:val="24"/>
          <w:szCs w:val="24"/>
        </w:rPr>
        <w:t>, a method commonly used to assess the value of a firm. The formula for calculating Tobin's Q can be explained as follows:</w:t>
      </w:r>
    </w:p>
    <w:p w14:paraId="14FF8444" w14:textId="77777777" w:rsidR="00153781" w:rsidRPr="007E7CB6" w:rsidRDefault="00000000">
      <w:pPr>
        <w:pBdr>
          <w:top w:val="nil"/>
          <w:left w:val="nil"/>
          <w:bottom w:val="nil"/>
          <w:right w:val="nil"/>
          <w:between w:val="nil"/>
        </w:pBdr>
        <w:spacing w:line="480" w:lineRule="auto"/>
        <w:jc w:val="center"/>
        <w:rPr>
          <w:rFonts w:ascii="Times New Roman" w:eastAsia="Times New Roman" w:hAnsi="Times New Roman" w:cs="Times New Roman"/>
          <w:sz w:val="24"/>
          <w:szCs w:val="24"/>
        </w:rPr>
      </w:pPr>
      <m:oMath>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Tobin</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s Q=</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MVE + Total Debt</m:t>
            </m:r>
          </m:num>
          <m:den>
            <m:r>
              <w:rPr>
                <w:rFonts w:ascii="Cambria Math" w:eastAsia="Cambria Math" w:hAnsi="Cambria Math" w:cs="Times New Roman"/>
                <w:color w:val="000000"/>
                <w:sz w:val="24"/>
                <w:szCs w:val="24"/>
              </w:rPr>
              <m:t>Total Assets</m:t>
            </m:r>
          </m:den>
        </m:f>
      </m:oMath>
      <w:r w:rsidRPr="007E7CB6">
        <w:rPr>
          <w:rFonts w:ascii="Times New Roman" w:eastAsia="Times New Roman" w:hAnsi="Times New Roman" w:cs="Times New Roman"/>
          <w:color w:val="000000"/>
          <w:sz w:val="24"/>
          <w:szCs w:val="24"/>
        </w:rPr>
        <w:t>……………………...………………………..3.1</w:t>
      </w:r>
    </w:p>
    <w:p w14:paraId="2981F2EE" w14:textId="77777777" w:rsidR="00153781" w:rsidRPr="007E7CB6" w:rsidRDefault="00000000">
      <w:pPr>
        <w:pStyle w:val="Heading3"/>
        <w:spacing w:before="200" w:after="0" w:line="480" w:lineRule="auto"/>
        <w:ind w:right="180"/>
        <w:rPr>
          <w:rFonts w:ascii="Times New Roman" w:eastAsia="Times New Roman" w:hAnsi="Times New Roman" w:cs="Times New Roman"/>
          <w:b/>
        </w:rPr>
      </w:pPr>
      <w:bookmarkStart w:id="73" w:name="_Toc210744236"/>
      <w:r w:rsidRPr="007E7CB6">
        <w:rPr>
          <w:rFonts w:ascii="Times New Roman" w:eastAsia="Times New Roman" w:hAnsi="Times New Roman" w:cs="Times New Roman"/>
          <w:b/>
          <w:color w:val="000000"/>
          <w:sz w:val="24"/>
          <w:szCs w:val="24"/>
        </w:rPr>
        <w:t>3.1.2</w:t>
      </w:r>
      <w:r w:rsidRPr="007E7CB6">
        <w:rPr>
          <w:rFonts w:ascii="Times New Roman" w:eastAsia="Times New Roman" w:hAnsi="Times New Roman" w:cs="Times New Roman"/>
          <w:b/>
          <w:color w:val="000000"/>
          <w:sz w:val="24"/>
          <w:szCs w:val="24"/>
        </w:rPr>
        <w:tab/>
        <w:t>Independent Variable</w:t>
      </w:r>
      <w:bookmarkEnd w:id="73"/>
    </w:p>
    <w:p w14:paraId="79516BB6" w14:textId="77777777" w:rsidR="00153781" w:rsidRPr="007E7CB6" w:rsidRDefault="00000000">
      <w:pPr>
        <w:pStyle w:val="Heading4"/>
        <w:numPr>
          <w:ilvl w:val="0"/>
          <w:numId w:val="11"/>
        </w:numPr>
        <w:spacing w:before="0" w:after="0" w:line="480" w:lineRule="auto"/>
        <w:ind w:right="180"/>
        <w:rPr>
          <w:rFonts w:ascii="Times New Roman" w:eastAsia="Times New Roman" w:hAnsi="Times New Roman" w:cs="Times New Roman"/>
          <w:b/>
        </w:rPr>
      </w:pPr>
      <w:r w:rsidRPr="007E7CB6">
        <w:rPr>
          <w:rFonts w:ascii="Times New Roman" w:eastAsia="Times New Roman" w:hAnsi="Times New Roman" w:cs="Times New Roman"/>
          <w:b/>
          <w:color w:val="000000"/>
        </w:rPr>
        <w:t>Green Accounting</w:t>
      </w:r>
    </w:p>
    <w:p w14:paraId="439E261B"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accounting is the first independent variable in this study. Green accounting is an accounting concept that incorporates environmental aspects into a company's accounting system, whether in the form of recording assets, costs, revenues, or liabilities related to environmental activities. Green accounting aims to reflect the environmental impact of a company's operational activities and support sustainability-oriented decision-making.</w:t>
      </w:r>
    </w:p>
    <w:p w14:paraId="2528BB24" w14:textId="397611CF" w:rsidR="00153781" w:rsidRPr="007E7CB6" w:rsidRDefault="00000000">
      <w:pPr>
        <w:spacing w:line="480" w:lineRule="auto"/>
        <w:ind w:firstLine="720"/>
        <w:jc w:val="both"/>
        <w:rPr>
          <w:rFonts w:ascii="Times New Roman" w:eastAsia="Cambria Math" w:hAnsi="Times New Roman" w:cs="Times New Roman"/>
          <w:sz w:val="10"/>
          <w:szCs w:val="10"/>
        </w:rPr>
      </w:pPr>
      <w:r w:rsidRPr="007E7CB6">
        <w:rPr>
          <w:rFonts w:ascii="Times New Roman" w:eastAsia="Times New Roman" w:hAnsi="Times New Roman" w:cs="Times New Roman"/>
          <w:sz w:val="24"/>
          <w:szCs w:val="24"/>
        </w:rPr>
        <w:t xml:space="preserve">In this study, green accounting is measured using the proportion of environmental costs to a company's financial performance. The measurement is </w:t>
      </w:r>
      <w:r w:rsidRPr="007E7CB6">
        <w:rPr>
          <w:rFonts w:ascii="Times New Roman" w:eastAsia="Times New Roman" w:hAnsi="Times New Roman" w:cs="Times New Roman"/>
          <w:sz w:val="24"/>
          <w:szCs w:val="24"/>
        </w:rPr>
        <w:lastRenderedPageBreak/>
        <w:t xml:space="preserve">carried out using the ratio between the total environmental costs incurred by the </w:t>
      </w:r>
      <w:r w:rsidR="005257BE" w:rsidRPr="007E7CB6">
        <w:rPr>
          <w:rFonts w:ascii="Times New Roman" w:hAnsi="Times New Roman" w:cs="Times New Roman"/>
          <w:noProof/>
        </w:rPr>
        <mc:AlternateContent>
          <mc:Choice Requires="wps">
            <w:drawing>
              <wp:anchor distT="0" distB="0" distL="114300" distR="114300" simplePos="0" relativeHeight="251666432" behindDoc="0" locked="0" layoutInCell="1" hidden="0" allowOverlap="1" wp14:anchorId="797066F0" wp14:editId="1C2F9440">
                <wp:simplePos x="0" y="0"/>
                <wp:positionH relativeFrom="column">
                  <wp:posOffset>16510</wp:posOffset>
                </wp:positionH>
                <wp:positionV relativeFrom="paragraph">
                  <wp:posOffset>741517</wp:posOffset>
                </wp:positionV>
                <wp:extent cx="4930775" cy="568325"/>
                <wp:effectExtent l="0" t="0" r="22225" b="22225"/>
                <wp:wrapNone/>
                <wp:docPr id="85" name="Rectangle 85"/>
                <wp:cNvGraphicFramePr/>
                <a:graphic xmlns:a="http://schemas.openxmlformats.org/drawingml/2006/main">
                  <a:graphicData uri="http://schemas.microsoft.com/office/word/2010/wordprocessingShape">
                    <wps:wsp>
                      <wps:cNvSpPr/>
                      <wps:spPr>
                        <a:xfrm>
                          <a:off x="0" y="0"/>
                          <a:ext cx="4930775" cy="568325"/>
                        </a:xfrm>
                        <a:prstGeom prst="rect">
                          <a:avLst/>
                        </a:prstGeom>
                        <a:noFill/>
                        <a:ln w="9525" cap="flat" cmpd="sng">
                          <a:solidFill>
                            <a:schemeClr val="dk1"/>
                          </a:solidFill>
                          <a:prstDash val="solid"/>
                          <a:round/>
                          <a:headEnd type="none" w="sm" len="sm"/>
                          <a:tailEnd type="none" w="sm" len="sm"/>
                        </a:ln>
                      </wps:spPr>
                      <wps:txbx>
                        <w:txbxContent>
                          <w:p w14:paraId="0A8905B3"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97066F0" id="Rectangle 85" o:spid="_x0000_s1033" style="position:absolute;left:0;text-align:left;margin-left:1.3pt;margin-top:58.4pt;width:388.25pt;height:4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IOBAIAABEEAAAOAAAAZHJzL2Uyb0RvYy54bWysU9tuGjEQfa/Uf7D8XhZICAGxRFUoVaWo&#10;QUr7AYMvrFXfaht2+fuOvRRo+xAp6os9Y49nzpw5Xjx0RpODCFE5W9PRYEiJsMxxZXc1/f5t/eGe&#10;kpjActDOipoeRaQPy/fvFq2fi7FrnOYiEExi47z1NW1S8vOqiqwRBuLAeWHxUrpgIKEbdhUP0GJ2&#10;o6vxcHhXtS5wHxwTMeLpqr+ky5JfSsHSs5RRJKJrithSWUNZt3mtlguY7wL4RrETDHgDCgPKYtFz&#10;qhUkIPug/kllFAsuOpkGzJnKSamYKD1gN6PhX928NOBF6QXJif5MU/x/adnXw4vfBKSh9XEe0cxd&#10;dDKYvCM+0hWyjmeyRJcIw8Pb2c1wOp1QwvBucnd/M55kNqvLax9i+iycIdmoacBhFI7g8BRTH/o7&#10;JBezbq20LgPRlrQ1nU0wJWGAspAaEprG85pGuytpotOK5yf5cRGMeNSBHABHzX+MTmD+iMrlVhCb&#10;Pqhc9QoIbm95Kd0I4J8sJ+noUa4WRUszlmgo0QIljkaJS6D063HIhrZIyoXcbKVu2xGFrUxzrnyy&#10;dfy4CSR6tlaI8Qli2kBAJY6wOqoT6/7cQ0As+ovF8c9Gt5mbdO2Ea2d77YBljUPRsxQo6Z3HVD5B&#10;z/vHfXJSlZFcwJxQo+7KUE9/JAv72i9Rl5+8/AUAAP//AwBQSwMEFAAGAAgAAAAhAMYuMvfcAAAA&#10;CQEAAA8AAABkcnMvZG93bnJldi54bWxMj8FOwzAQRO9I/IO1SNyok1RKIY1TIVA/gNAKjm68jaPG&#10;6xC7Sfh7lhMcd95odqbcLa4XE46h86QgXSUgkBpvOmoVHN73D48gQtRkdO8JFXxjgF11e1PqwviZ&#10;3nCqYys4hEKhFdgYh0LK0Fh0Oqz8gMTs7EenI59jK82oZw53vcySJJdOd8QfrB7wxWJzqa9OwTh/&#10;aSmzMH0e5vpjuNDerl+PSt3fLc9bEBGX+GeG3/pcHSrudPJXMkH0CrKcjSynOS9gvtk8pSBODJJ8&#10;DbIq5f8F1Q8AAAD//wMAUEsBAi0AFAAGAAgAAAAhALaDOJL+AAAA4QEAABMAAAAAAAAAAAAAAAAA&#10;AAAAAFtDb250ZW50X1R5cGVzXS54bWxQSwECLQAUAAYACAAAACEAOP0h/9YAAACUAQAACwAAAAAA&#10;AAAAAAAAAAAvAQAAX3JlbHMvLnJlbHNQSwECLQAUAAYACAAAACEAaRLyDgQCAAARBAAADgAAAAAA&#10;AAAAAAAAAAAuAgAAZHJzL2Uyb0RvYy54bWxQSwECLQAUAAYACAAAACEAxi4y99wAAAAJAQAADwAA&#10;AAAAAAAAAAAAAABeBAAAZHJzL2Rvd25yZXYueG1sUEsFBgAAAAAEAAQA8wAAAGcFAAAAAA==&#10;" filled="f" strokecolor="black [3200]">
                <v:stroke startarrowwidth="narrow" startarrowlength="short" endarrowwidth="narrow" endarrowlength="short" joinstyle="round"/>
                <v:textbox inset="2.53958mm,2.53958mm,2.53958mm,2.53958mm">
                  <w:txbxContent>
                    <w:p w14:paraId="0A8905B3" w14:textId="77777777" w:rsidR="00153781" w:rsidRDefault="00153781">
                      <w:pPr>
                        <w:spacing w:line="240" w:lineRule="auto"/>
                        <w:textDirection w:val="btLr"/>
                      </w:pPr>
                    </w:p>
                  </w:txbxContent>
                </v:textbox>
              </v:rect>
            </w:pict>
          </mc:Fallback>
        </mc:AlternateContent>
      </w:r>
      <w:r w:rsidRPr="007E7CB6">
        <w:rPr>
          <w:rFonts w:ascii="Times New Roman" w:eastAsia="Times New Roman" w:hAnsi="Times New Roman" w:cs="Times New Roman"/>
          <w:sz w:val="24"/>
          <w:szCs w:val="24"/>
        </w:rPr>
        <w:t>company and its net profit after tax</w:t>
      </w:r>
      <w:r w:rsidR="005257BE"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U1Mzk4ODMtZTllOC00N2YxLThhOTktOWQ5ODllYzU4ZTllIiwicHJvcGVydGllcyI6eyJub3RlSW5kZXgiOjB9LCJpc0VkaXRlZCI6ZmFsc2UsIm1hbnVhbE92ZXJyaWRlIjp7ImlzTWFudWFsbHlPdmVycmlkZGVuIjpmYWxzZSwiY2l0ZXByb2NUZXh0IjoiKEl2YW4gQWR5YWtzYW5hICYjMzg7IFZpdHRhIEFkaGl2aW5uYSwgMjAyMikiLCJtYW51YWxPdmVycmlkZVRleHQiOiIifSwiY2l0YXRpb25JdGVtcyI6W3siaWQiOiJiNjY0ZWI2ZS1jMGM3LTM5NmItYTNkYS1iZDRjNjQwYzMyMzIiLCJpdGVtRGF0YSI6eyJ0eXBlIjoiYXJ0aWNsZS1qb3VybmFsIiwiaWQiOiJiNjY0ZWI2ZS1jMGM3LTM5NmItYTNkYS1iZDRjNjQwYzMyMzIiLCJ0aXRsZSI6IkRvZXMgRW52aXJvbm1lbnRhbCBJbmZvcm1hdGlvbiBEaXNjbG9zdXJlIE1lZGlhdGUgdGhlIEVmZmVjdCBvZiBFbnZpcm9ubWVudGFsIENvc3Qgb24gRW52aXJvbm1lbnRhbCBQZXJmb3JtYW5jZT8iLCJhdXRob3IiOlt7ImZhbWlseSI6Ikl2YW4gQWR5YWtzYW5hIiwiZ2l2ZW4iOiJSYWhhbmRoaWthIiwicGFyc2UtbmFtZXMiOmZhbHNlLCJkcm9wcGluZy1wYXJ0aWNsZSI6IiIsIm5vbi1kcm9wcGluZy1wYXJ0aWNsZSI6IiJ9LHsiZmFtaWx5IjoiVml0dGEgQWRoaXZpbm5hIiwiZ2l2ZW4iOiJWaWR5YSIsInBhcnNlLW5hbWVzIjpmYWxzZSwiZHJvcHBpbmctcGFydGljbGUiOiIiLCJub24tZHJvcHBpbmctcGFydGljbGUiOiIifV0sImNvbnRhaW5lci10aXRsZSI6IktuRSBTb2NpYWwgU2NpZW5jZXMiLCJET0kiOiIxMC4xODUwMi9rc3MudjdpMTQuMTIwMjQiLCJpc3N1ZWQiOnsiZGF0ZS1wYXJ0cyI6W1syMDIyLDksMjhdXX0sImFic3RyYWN0IjoiRW52aXJvbm1lbnRhbCBwZXJmb3JtYW5jZSBpcyBhIG1lYXN1cmUgY3JlYXRlZCBieSB0aGUgR292ZXJubWVudCB0byBkZXRlcm1pbmUgdGhlIGNvbXBhbnnigJlzIGNvbmNlcm4gZm9yIHRoZSBlbnZpcm9ubWVudC4gRW52aXJvbm1lbnRhbCBjb3N0cyBhcmUgc2FjcmlmaWNlcyBtYWRlIGJ5IGNvbXBhbmllcyB0byBvYnRhaW4gZ29vZCBlbnZpcm9ubWVudGFsIHBlcmZvcm1hbmNlLiBJbiBhZGRpdGlvbiwgY29tcGFuaWVzIGNhbiBkaXNjbG9zZSBpbmZvcm1hdGlvbiBhYm91dCB0aGUgYWN0aXZpdGllcyB0aGV5IGhhdmUgY2FycmllZCBvdXQgdG8gcHJlc2VydmUgdGhlIGVudmlyb25tZW50LiBUaGUgcHVycG9zZSBvZiB0aGlzIHN0dWR5IHdhcyB0byBkZXRlcm1pbmUgdGhlIGVmZmVjdCBvZiBlbnZpcm9ubWVudGFsIGNvc3RzIG9uIGVudmlyb25tZW50YWwgcGVyZm9ybWFuY2UsIG1lZGlhdGVkIGJ5IGVudmlyb25tZW50YWwgaW5mb3JtYXRpb24gZGlzY2xvc3VyZS4gRGF0YSB3ZXJlIG9idGFpbmVkIGZyb20gdGhlIGFubnVhbCByZXBvcnRzIG9mIDEyIG1hbnVmYWN0dXJpbmcgY29tcGFuaWVzIGluIEluZG9uZXNpYSwgcmVnaXN0ZXJlZCBmcm9tIDIwMTUtMjAxOS4gVGhlc2UgY29tcGFuaWVzIHdlcmUgc2VsZWN0ZWQgdXNpbmcgcHVycG9zaXZlIHNhbXBsaW5nLiBUaGUgcmVzdWx0cyBpbmRpY2F0ZWQgdGhhdDogMSkgZW52aXJvbm1lbnRhbCBjb3N0cyBoYWQgbm8gZWZmZWN0IG9uIGVudmlyb25tZW50YWwgcGVyZm9ybWFuY2U7IDIpIGVudmlyb25tZW50YWwgY29zdHMgaGFkIGEgcG9zaXRpdmUgYW5kIHNpZ25pZmljYW50IGVmZmVjdCBvbiBkaXNjbG9zdXJlIG9mIGVudmlyb25tZW50YWwgaW5mb3JtYXRpb247IDMpIGRpc2Nsb3N1cmUgb2YgZW52aXJvbm1lbnRhbCBpbmZvcm1hdGlvbiBoYWQgYSBwb3NpdGl2ZSBhbmQgc2lnbmlmaWNhbnQgZWZmZWN0IG9uIGVudmlyb25tZW50YWwgcGVyZm9ybWFuY2U7IGFuZCA0KSBkaXNjbG9zdXJlIG9mIGVudmlyb25tZW50YWwgaW5mb3JtYXRpb24gbWVkaWF0ZWQgdGhlIGVmZmVjdCBvZiBlbnZpcm9ubWVudGFsIGNvc3RzIG9uIGVudmlyb25tZW50YWwgcGVyZm9ybWFuY2UuIEJhc2VkIG9uIHRoZXNlIGZpbmRpbmdzLCBJbmRvbmVzaWFuIG1hbnVmYWN0dXJpbmcgY29tcGFuaWVzIHNob3VsZCBpbmNyZWFzZSB0aGUgcXVhbGl0eSBvZiB0aGVpciBkaXNjbG9zdXJlIG9mIGVudmlyb25tZW50YWwgaW5mb3JtYXRpb24uXHIgS2V5d29yZHM6IGVudmlyb25tZW50YWwgY29zdCwgZW52aXJvbm1lbnRhbCBwZXJmb3JtYW5jZSwgZW52aXJvbm1lbnRhbCBpbmZvcm1hdGlvbiBkaXNjbG9zdXJlIiwicHVibGlzaGVyIjoiS25vd2xlZGdlIEUgRE1DQyIsImNvbnRhaW5lci10aXRsZS1zaG9ydCI6IiJ9LCJpc1RlbXBvcmFyeSI6ZmFsc2UsInN1cHByZXNzLWF1dGhvciI6ZmFsc2UsImNvbXBvc2l0ZSI6ZmFsc2UsImF1dGhvci1vbmx5IjpmYWxzZX1dfQ=="/>
          <w:id w:val="1866943172"/>
          <w:placeholder>
            <w:docPart w:val="DefaultPlaceholder_-1854013440"/>
          </w:placeholder>
        </w:sdtPr>
        <w:sdtContent>
          <w:r w:rsidR="00AD6D10" w:rsidRPr="007E7CB6">
            <w:rPr>
              <w:rFonts w:ascii="Times New Roman" w:eastAsia="Times New Roman" w:hAnsi="Times New Roman" w:cs="Times New Roman"/>
              <w:color w:val="000000"/>
              <w:sz w:val="24"/>
            </w:rPr>
            <w:t>(Ivan Adyaksana &amp; Vitta Adhivinna, 2022)</w:t>
          </w:r>
        </w:sdtContent>
      </w:sdt>
      <w:r w:rsidR="005257BE" w:rsidRPr="007E7CB6">
        <w:rPr>
          <w:rFonts w:ascii="Times New Roman" w:eastAsia="Times New Roman" w:hAnsi="Times New Roman" w:cs="Times New Roman"/>
          <w:sz w:val="24"/>
          <w:szCs w:val="24"/>
        </w:rPr>
        <w:t>.</w:t>
      </w:r>
    </w:p>
    <w:p w14:paraId="26A02C0C" w14:textId="0396C6EF" w:rsidR="00153781" w:rsidRPr="007E7CB6" w:rsidRDefault="00000000">
      <w:pPr>
        <w:spacing w:before="200" w:line="480" w:lineRule="auto"/>
        <w:ind w:left="180" w:right="209"/>
        <w:jc w:val="both"/>
        <w:rPr>
          <w:rFonts w:ascii="Times New Roman" w:eastAsia="Times New Roman" w:hAnsi="Times New Roman" w:cs="Times New Roman"/>
          <w:color w:val="000000"/>
          <w:sz w:val="24"/>
          <w:szCs w:val="24"/>
        </w:rPr>
      </w:pPr>
      <m:oMathPara>
        <m:oMath>
          <m:r>
            <w:rPr>
              <w:rFonts w:ascii="Cambria Math" w:eastAsia="Times New Roman" w:hAnsi="Cambria Math" w:cs="Times New Roman"/>
              <w:sz w:val="24"/>
              <w:szCs w:val="24"/>
            </w:rPr>
            <m:t>GA=</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Environmental Cost</m:t>
              </m:r>
            </m:num>
            <m:den>
              <m:r>
                <w:rPr>
                  <w:rFonts w:ascii="Cambria Math" w:eastAsia="Times New Roman" w:hAnsi="Cambria Math" w:cs="Times New Roman"/>
                  <w:sz w:val="24"/>
                  <w:szCs w:val="24"/>
                </w:rPr>
                <m:t>Net Profit After Tax</m:t>
              </m:r>
            </m:den>
          </m:f>
          <m:r>
            <w:rPr>
              <w:rFonts w:ascii="Cambria Math" w:eastAsia="Times New Roman" w:hAnsi="Cambria Math" w:cs="Times New Roman"/>
              <w:sz w:val="24"/>
              <w:szCs w:val="24"/>
            </w:rPr>
            <m:t xml:space="preserve"> x 100%……………....................3.2</m:t>
          </m:r>
        </m:oMath>
      </m:oMathPara>
    </w:p>
    <w:p w14:paraId="69C68546" w14:textId="6F35F283" w:rsidR="00153781" w:rsidRPr="007E7CB6" w:rsidRDefault="00153781">
      <w:pPr>
        <w:pBdr>
          <w:top w:val="nil"/>
          <w:left w:val="nil"/>
          <w:bottom w:val="nil"/>
          <w:right w:val="nil"/>
          <w:between w:val="nil"/>
        </w:pBdr>
        <w:spacing w:line="240" w:lineRule="auto"/>
        <w:ind w:left="720" w:right="180" w:firstLine="720"/>
        <w:jc w:val="both"/>
        <w:rPr>
          <w:rFonts w:ascii="Times New Roman" w:eastAsia="Times New Roman" w:hAnsi="Times New Roman" w:cs="Times New Roman"/>
          <w:color w:val="000000"/>
          <w:sz w:val="8"/>
          <w:szCs w:val="8"/>
        </w:rPr>
      </w:pPr>
    </w:p>
    <w:p w14:paraId="7FF3C21E" w14:textId="3B18BC2D" w:rsidR="00153781" w:rsidRPr="007E7CB6" w:rsidRDefault="00000000">
      <w:pPr>
        <w:pStyle w:val="Heading4"/>
        <w:numPr>
          <w:ilvl w:val="0"/>
          <w:numId w:val="12"/>
        </w:numPr>
        <w:spacing w:before="0" w:after="0" w:line="480" w:lineRule="auto"/>
        <w:ind w:hanging="436"/>
        <w:rPr>
          <w:rFonts w:ascii="Times New Roman" w:eastAsia="Times New Roman" w:hAnsi="Times New Roman" w:cs="Times New Roman"/>
          <w:b/>
        </w:rPr>
      </w:pPr>
      <w:r w:rsidRPr="007E7CB6">
        <w:rPr>
          <w:rFonts w:ascii="Times New Roman" w:eastAsia="Times New Roman" w:hAnsi="Times New Roman" w:cs="Times New Roman"/>
          <w:b/>
          <w:color w:val="000000"/>
        </w:rPr>
        <w:t>Carbon Emission Disclosure</w:t>
      </w:r>
    </w:p>
    <w:p w14:paraId="456AE41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second independent variable in this study is carbon emission disclosure, which is the extent to which companies report information about greenhouse gas emissions generated from their operational activities. Transparency in this case is very important because it can shape stakeholders' perceptions of the company's commitment to environmental protection and sustainability.</w:t>
      </w:r>
    </w:p>
    <w:p w14:paraId="30BE5068" w14:textId="78E90C6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this study, CED was measured using a list of disclosure indicators developed by</w:t>
      </w:r>
      <w:r w:rsidR="005257BE"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A4NjEyOTctYmZkNS00NGNlLTg0YjUtYWFlMTBlNTQyNDZmIiwicHJvcGVydGllcyI6eyJub3RlSW5kZXgiOjB9LCJpc0VkaXRlZCI6ZmFsc2UsIm1hbnVhbE92ZXJyaWRlIjp7ImlzTWFudWFsbHlPdmVycmlkZGVuIjpmYWxzZSwiY2l0ZXByb2NUZXh0IjoiKEJhZSBDaG9pIGV0IGFsLiwgMjAxMykiLCJtYW51YWxPdmVycmlkZVRleHQiOiIifSwiY2l0YXRpb25JdGVtcyI6W3siaWQiOiJiMTA3Yjk0OC1lOGJlLTNjMDYtYmU5YS1jMDcwNzE2NThiZjUiLCJpdGVtRGF0YSI6eyJ0eXBlIjoiYXJ0aWNsZS1qb3VybmFsIiwiaWQiOiJiMTA3Yjk0OC1lOGJlLTNjMDYtYmU5YS1jMDcwNzE2NThiZjUiLCJ0aXRsZSI6IkFuIGFuYWx5c2lzIG9mIEF1c3RyYWxpYW4gY29tcGFueSBjYXJib24gZW1pc3Npb24gZGlzY2xvc3VyZXMiLCJhdXRob3IiOlt7ImZhbWlseSI6IkJhZSBDaG9pIiwiZ2l2ZW4iOiJCbyIsInBhcnNlLW5hbWVzIjpmYWxzZSwiZHJvcHBpbmctcGFydGljbGUiOiIiLCJub24tZHJvcHBpbmctcGFydGljbGUiOiIifSx7ImZhbWlseSI6IkxlZSIsImdpdmVuIjoiRG9vd29uIiwicGFyc2UtbmFtZXMiOmZhbHNlLCJkcm9wcGluZy1wYXJ0aWNsZSI6IiIsIm5vbi1kcm9wcGluZy1wYXJ0aWNsZSI6IiJ9LHsiZmFtaWx5IjoiUHNhcm9zIiwiZ2l2ZW4iOiJKaW0iLCJwYXJzZS1uYW1lcyI6ZmFsc2UsImRyb3BwaW5nLXBhcnRpY2xlIjoiIiwibm9uLWRyb3BwaW5nLXBhcnRpY2xlIjoiIn1dLCJjb250YWluZXItdGl0bGUiOiJQYWNpZmljIEFjY291bnRpbmcgUmV2aWV3IiwiRE9JIjoiMTAuMTEwOC8wMTE0MDU4MTMxMTMxODk2OCIsIklTU04iOiIyMDQxNTQ5NCIsImlzc3VlZCI6eyJkYXRlLXBhcnRzIjpbWzIwMTMsNCwxOV1dfSwicGFnZSI6IjU4LTc5IiwiYWJzdHJhY3QiOiJQdXJwb3NlIOKAkyBUaGlzIHN0dWR5IGFpbXMgdG8gcmVwb3J0IHRoZSBleHRlbnQgb2Ygdm9sdW50YXJ5IGNhcmJvbiBlbWlzc2lvbiBkaXNjbG9zdXJlcyBieSBtYWpvciBBdXN0cmFsaWFuIGNvbXBhbmllcyBkdXJpbmcgdGhlIHllYXJzIDIwMDYgdG8gMjAwOC4gVGhpcyBwYXBlciBwcm92aWRlcyBjb250ZW1wb3JhcnkgZGF0YSBhbmQgZXhwbGFuYXRpb25zIGFib3V0IGNhcmJvbiBlbWlzc2lvbnMgcmVwb3J0aW5nIGluIEF1c3RyYWxpYS4gQWRkaXRpb25hbGx5LCB0aGUgcGFwZXIgYWltcyB0byBkZXRlcm1pbmUgdGhlIHZhcmlhYmxlcyB0aGF0IGV4cGxhaW4gdGhlIGV4dGVudCBvZiBjYXJib24gZGlzY2xvc3VyZXMuIERlc2lnbi9tZXRob2RvbG9neS9hcHByb2FjaCDigJMgVGhlIGNhcmJvbiBkaXNjbG9zdXJlIHNjb3JlIGlzIG1lYXN1cmVkIGRpcmVjdGx5IGZyb20gaW5kaXZpZHVhbCBjb21wYW5pZXMnIGFubnVhbCByZXBvcnRzIGFuZCBzdXN0YWluYWJpbGl0eSByZXBvcnRzLiBBIGNoZWNrbGlzdCBpcyBlc3RhYmxpc2hlZCB0byBkZXRlcm1pbmUgdGhlIGJyZWFkdGggYW5kIGRlcHRoIG9mIHRoZSBpbmZvcm1hdGlvbiByZWxhdGVkIHRvIGNsaW1hdGUgY2hhbmdlIGFuZCBjYXJib24gZW1pc3Npb25zIGluY29ycG9yYXRlZCBpbiB0aGVzZSBwdWJsaWNseSBhdmFpbGFibGUgcmVwb3J0cy4gRmluZGluZ3Mg4oCTIFRoZSBvdmVyYWxsIGNhcmJvbiBkaXNjbG9zdXJlIHNjb3JlIGhhcyBpbmNyZWFzZWQgc2lnbmlmaWNhbnRseSBvdmVyIHRoZSBhdXRob3JzJyByZXNlYXJjaCBwZXJpb2QuIEZ1cnRoZXJtb3JlLCByZWdyZXNzaW9uIHJlc3VsdHMgc2hvdyB0aGF0IGxhcmdlciBmaXJtcyB3aXRoIGhpZ2hlciB2aXNpYmlsaXR5IHRlbmQgdG8gbWFrZSBtb3JlIGNvbXByZWhlbnNpdmUgY2FyYm9uIGRpc2Nsb3N1cmVzLiBPdmVyYWxsLCB0aGUgYXV0aG9ycycgcmVzdWx0cyBpbmRpY2F0ZSB0aGF0IHRoZSBsZWdpc2xhdGlvbiBvZiB0aGUgTmF0aW9uYWwgR3JlZW5ob3VzZSBhbmQgRW5lcmd5IFJlcG9ydGluZyBBY3QgKHRoZSBOR0VSIEFjdCkgaW4gMjAwNyBtYXkgaGF2ZSBlbmhhbmNlZCB0aGUgdm9sdW50YXJ5IGNhcmJvbiBlbWlzc2lvbiBkaXNjbG9zdXJlcyBpbiAyMDA4LCBldmVuIHRob3VnaCB0aGUgTkdFUiBBY3Qgd2FzIG5vdCBvcGVyYXRpdmUgdW50aWwgdGhlIDIwMDkgZmluYW5jaWFsIHllYXIuIEZyb20gYSB0aGVvcmV0aWNhbCBwZXJzcGVjdGl2ZSwgdGhlIGZpbmRpbmdzIG9mIHRoZSBwYXBlciBhcmUgY29uc2lzdGVudCB3aXRoIGxlZ2l0aW1hY3kgdGhlb3J5LiBPcmlnaW5hbGl0eS92YWx1ZSDigJMgUHJldmlvdXMgc3R1ZGllcyBleGFtaW5pbmcgZW52aXJvbm1lbnRhbCBkaXNjbG9zdXJlcyBpbiBBdXN0cmFsaWEgYXJlIGJhc2VkIG9uIGEgdGltZSBwZXJpb2QgcHJpb3IgdG8gd2lkZXNwcmVhZCBwdWJsaWMgZGlzY3Vzc2lvbiBhbmQgaW50ZXJlc3QgaW4gY2xpbWF0ZSBjaGFuZ2UgYW5kIGNhcmJvbiBlbWlzc2lvbnMuIEJ5IGludmVzdGlnYXRpbmcgdm9sdW50YXJ5IGRpc2Nsb3N1cmVzIG1hZGUgYnkgbGFyZ2UgQXVzdHJhbGlhbiBjb21wYW5pZXMgYXJvdW5kIHRoZSB0aW1lIHRoYXQgdGhlIG1hbmRhdG9yeSBlbWlzc2lvbiByZXBvcnRpbmcgc2NoZW1lIHdhcyBpbnRyb2R1Y2VkLCB0aGlzIHBhcGVyIGludmVzdGlnYXRlcyB3aGV0aGVyIHRoZSBwcm9taW5lbmNlIG9mIGRpc2N1c3Npb24gYW5kIGltcGVuZGluZyBvcGVyYXRpb24gb2YgdGhlIG1hbmRhdG9yeSBlbnZpcm9ubWVudGFsIGRpc2Nsb3N1cmVzIGhhdmUgbGVkIHRvIGEgZ3JlYXRlciBleHRlbnQgb2Ygdm9sdW50YXJ5IGNhcmJvbiBkaXNjbG9zdXJlcy4gVGhlIGZpbmRpbmdzIGNhbiBoZWxwIHJlZ3VsYXRvcnMgZHJhZnQgYXBwcm9wcmlhdGUgbGVnaXNsYXRpb24gdGhhdCB0YXJnZXRzIGluZHVzdHJpZXMgYW5kIHNwZWNpZmljIHByYWN0aWNlcyB3aGVyZSBkaXNjbG9zdXJlIGlzIG9mIGdyZWF0ZXN0IGltcG9ydGFuY2UgdG8gcmVsZXZhbnQgc3Rha2Vob2xkZXJzLiBJbiBhZGRpdGlvbiwgYW4gdW5kZXJzdGFuZGluZyBvZiB3aG8gYW5kIHdoeSBlbnRpdGllcyBkaXNjbG9zZSBjYXJib24gZ2FzIGVtaXNzaW9uIGluZm9ybWF0aW9uIGNhbiBhcm0gZ3JlZW4gZ3JvdXBzIGFuZCBvdGhlciBzdGFrZWhvbGRlcnMgd2l0aCBhbiBhcHByb3ByaWF0ZSBsZXZlbCBvZiB1bmRlcnN0YW5kaW5nIGFib3V0IHRoZSBtb3RpdmF0aW9uIGZvciBzdWNoIGRpc2Nsb3N1cmVzLiIsInB1Ymxpc2hlciI6IkVtZXJhbGQgR3JvdXAgUHVibGlzaGluZyBMdGQuIiwiaXNzdWUiOiIxIiwidm9sdW1lIjoiMjUiLCJjb250YWluZXItdGl0bGUtc2hvcnQiOiIifSwiaXNUZW1wb3JhcnkiOmZhbHNlLCJzdXBwcmVzcy1hdXRob3IiOmZhbHNlLCJjb21wb3NpdGUiOmZhbHNlLCJhdXRob3Itb25seSI6ZmFsc2V9XX0="/>
          <w:id w:val="2118714875"/>
          <w:placeholder>
            <w:docPart w:val="DefaultPlaceholder_-1854013440"/>
          </w:placeholder>
        </w:sdtPr>
        <w:sdtContent>
          <w:r w:rsidR="00AD6D10" w:rsidRPr="007E7CB6">
            <w:rPr>
              <w:rFonts w:ascii="Times New Roman" w:eastAsia="Times New Roman" w:hAnsi="Times New Roman" w:cs="Times New Roman"/>
              <w:color w:val="000000"/>
              <w:sz w:val="24"/>
              <w:szCs w:val="24"/>
            </w:rPr>
            <w:t>(Bae Choi et al., 2013)</w:t>
          </w:r>
        </w:sdtContent>
      </w:sdt>
      <w:r w:rsidRPr="007E7CB6">
        <w:rPr>
          <w:rFonts w:ascii="Times New Roman" w:eastAsia="Times New Roman" w:hAnsi="Times New Roman" w:cs="Times New Roman"/>
          <w:sz w:val="24"/>
          <w:szCs w:val="24"/>
        </w:rPr>
        <w:t xml:space="preserve"> consisting of 18 items grouped into five main categories. Each item was assessed equally based on whether it was disclosed in the company's annual report or sustainability report. The higher the disclosure score, the greater the company's level of engagement in carbon reporting and accountability for climate change.</w:t>
      </w:r>
    </w:p>
    <w:p w14:paraId="65F5C5B4" w14:textId="6ADAF4C9" w:rsidR="00571E22" w:rsidRPr="004E5C8A" w:rsidRDefault="00B640C3" w:rsidP="004E5C8A">
      <w:pPr>
        <w:pStyle w:val="Caption"/>
        <w:spacing w:after="0" w:line="480" w:lineRule="auto"/>
        <w:rPr>
          <w:rFonts w:ascii="Times New Roman" w:hAnsi="Times New Roman" w:cs="Times New Roman"/>
          <w:b/>
          <w:bCs/>
          <w:i w:val="0"/>
          <w:iCs w:val="0"/>
          <w:color w:val="000000" w:themeColor="text1"/>
          <w:sz w:val="24"/>
          <w:szCs w:val="24"/>
        </w:rPr>
      </w:pPr>
      <w:bookmarkStart w:id="74" w:name="_Toc209703361"/>
      <w:r w:rsidRPr="007E7CB6">
        <w:rPr>
          <w:rFonts w:ascii="Times New Roman" w:hAnsi="Times New Roman" w:cs="Times New Roman"/>
          <w:b/>
          <w:bCs/>
          <w:i w:val="0"/>
          <w:iCs w:val="0"/>
          <w:color w:val="000000" w:themeColor="text1"/>
          <w:sz w:val="24"/>
          <w:szCs w:val="24"/>
        </w:rPr>
        <w:t xml:space="preserve">Table </w:t>
      </w:r>
      <w:r w:rsidRPr="007E7CB6">
        <w:rPr>
          <w:rFonts w:ascii="Times New Roman" w:hAnsi="Times New Roman" w:cs="Times New Roman"/>
          <w:b/>
          <w:bCs/>
          <w:i w:val="0"/>
          <w:iCs w:val="0"/>
          <w:color w:val="000000" w:themeColor="text1"/>
          <w:sz w:val="24"/>
          <w:szCs w:val="24"/>
        </w:rPr>
        <w:fldChar w:fldCharType="begin"/>
      </w:r>
      <w:r w:rsidRPr="007E7CB6">
        <w:rPr>
          <w:rFonts w:ascii="Times New Roman" w:hAnsi="Times New Roman" w:cs="Times New Roman"/>
          <w:b/>
          <w:bCs/>
          <w:i w:val="0"/>
          <w:iCs w:val="0"/>
          <w:color w:val="000000" w:themeColor="text1"/>
          <w:sz w:val="24"/>
          <w:szCs w:val="24"/>
        </w:rPr>
        <w:instrText xml:space="preserve"> SEQ Table \* ARABIC </w:instrText>
      </w:r>
      <w:r w:rsidRPr="007E7CB6">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3</w:t>
      </w:r>
      <w:r w:rsidRPr="007E7CB6">
        <w:rPr>
          <w:rFonts w:ascii="Times New Roman" w:hAnsi="Times New Roman" w:cs="Times New Roman"/>
          <w:b/>
          <w:bCs/>
          <w:i w:val="0"/>
          <w:iCs w:val="0"/>
          <w:color w:val="000000" w:themeColor="text1"/>
          <w:sz w:val="24"/>
          <w:szCs w:val="24"/>
        </w:rPr>
        <w:fldChar w:fldCharType="end"/>
      </w:r>
      <w:r w:rsidRPr="007E7CB6">
        <w:rPr>
          <w:rFonts w:ascii="Times New Roman" w:hAnsi="Times New Roman" w:cs="Times New Roman"/>
          <w:b/>
          <w:bCs/>
          <w:i w:val="0"/>
          <w:iCs w:val="0"/>
          <w:color w:val="000000" w:themeColor="text1"/>
          <w:sz w:val="24"/>
          <w:szCs w:val="24"/>
        </w:rPr>
        <w:t>.1 Carbon Emission Disclosure Item</w:t>
      </w:r>
      <w:bookmarkEnd w:id="74"/>
      <w:r w:rsidR="00B6434E">
        <w:rPr>
          <w:rFonts w:ascii="Times New Roman" w:hAnsi="Times New Roman" w:cs="Times New Roman"/>
          <w:b/>
          <w:bCs/>
          <w:i w:val="0"/>
          <w:iCs w:val="0"/>
          <w:color w:val="000000" w:themeColor="text1"/>
          <w:sz w:val="24"/>
          <w:szCs w:val="24"/>
        </w:rPr>
        <w:t>s</w:t>
      </w:r>
    </w:p>
    <w:tbl>
      <w:tblPr>
        <w:tblStyle w:val="ad"/>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856"/>
        <w:gridCol w:w="4525"/>
      </w:tblGrid>
      <w:tr w:rsidR="00153781" w:rsidRPr="007E7CB6" w14:paraId="29E09372" w14:textId="77777777">
        <w:trPr>
          <w:trHeight w:val="518"/>
        </w:trPr>
        <w:tc>
          <w:tcPr>
            <w:tcW w:w="2546" w:type="dxa"/>
            <w:vAlign w:val="center"/>
          </w:tcPr>
          <w:p w14:paraId="1F1D1A3A"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Category</w:t>
            </w:r>
          </w:p>
        </w:tc>
        <w:tc>
          <w:tcPr>
            <w:tcW w:w="856" w:type="dxa"/>
            <w:vAlign w:val="center"/>
          </w:tcPr>
          <w:p w14:paraId="3A83E3CF"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Code</w:t>
            </w:r>
          </w:p>
        </w:tc>
        <w:tc>
          <w:tcPr>
            <w:tcW w:w="4525" w:type="dxa"/>
            <w:vAlign w:val="center"/>
          </w:tcPr>
          <w:p w14:paraId="70C753A3"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Description</w:t>
            </w:r>
          </w:p>
        </w:tc>
      </w:tr>
      <w:tr w:rsidR="00153781" w:rsidRPr="007E7CB6" w14:paraId="27B237AA" w14:textId="77777777">
        <w:trPr>
          <w:trHeight w:val="650"/>
        </w:trPr>
        <w:tc>
          <w:tcPr>
            <w:tcW w:w="2546" w:type="dxa"/>
            <w:vMerge w:val="restart"/>
          </w:tcPr>
          <w:p w14:paraId="27854060"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Climate change: risks and opportunities</w:t>
            </w:r>
          </w:p>
        </w:tc>
        <w:tc>
          <w:tcPr>
            <w:tcW w:w="856" w:type="dxa"/>
            <w:vAlign w:val="center"/>
          </w:tcPr>
          <w:p w14:paraId="3E03730C"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CC1</w:t>
            </w:r>
          </w:p>
        </w:tc>
        <w:tc>
          <w:tcPr>
            <w:tcW w:w="4525" w:type="dxa"/>
            <w:vAlign w:val="center"/>
          </w:tcPr>
          <w:p w14:paraId="25617AD6"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Disclosure of climate-related risks and actions.</w:t>
            </w:r>
          </w:p>
        </w:tc>
      </w:tr>
      <w:tr w:rsidR="00153781" w:rsidRPr="007E7CB6" w14:paraId="2922D202" w14:textId="77777777">
        <w:trPr>
          <w:trHeight w:val="591"/>
        </w:trPr>
        <w:tc>
          <w:tcPr>
            <w:tcW w:w="2546" w:type="dxa"/>
            <w:vMerge/>
          </w:tcPr>
          <w:p w14:paraId="7B0E3904"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6BAE3A7F"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CC2</w:t>
            </w:r>
          </w:p>
        </w:tc>
        <w:tc>
          <w:tcPr>
            <w:tcW w:w="4525" w:type="dxa"/>
            <w:vAlign w:val="center"/>
          </w:tcPr>
          <w:p w14:paraId="160717A5"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Explanation of financial or business impacts of climate change.</w:t>
            </w:r>
          </w:p>
        </w:tc>
      </w:tr>
      <w:tr w:rsidR="00153781" w:rsidRPr="007E7CB6" w14:paraId="4FA8AA49" w14:textId="77777777">
        <w:trPr>
          <w:trHeight w:val="983"/>
        </w:trPr>
        <w:tc>
          <w:tcPr>
            <w:tcW w:w="2546" w:type="dxa"/>
            <w:vMerge w:val="restart"/>
          </w:tcPr>
          <w:p w14:paraId="37DF71FD"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 emissions accounting</w:t>
            </w:r>
          </w:p>
        </w:tc>
        <w:tc>
          <w:tcPr>
            <w:tcW w:w="856" w:type="dxa"/>
            <w:vAlign w:val="center"/>
          </w:tcPr>
          <w:p w14:paraId="1224D9E5"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GHG1</w:t>
            </w:r>
          </w:p>
        </w:tc>
        <w:tc>
          <w:tcPr>
            <w:tcW w:w="4525" w:type="dxa"/>
            <w:vAlign w:val="center"/>
          </w:tcPr>
          <w:p w14:paraId="2AC7D7A5" w14:textId="4769CDED"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Description of the methodology used to calculate GHG emissions (e.g</w:t>
            </w:r>
            <w:r w:rsidR="00B640C3" w:rsidRPr="007E7CB6">
              <w:rPr>
                <w:rFonts w:ascii="Times New Roman" w:eastAsia="Times New Roman" w:hAnsi="Times New Roman" w:cs="Times New Roman"/>
                <w:color w:val="000000"/>
                <w:sz w:val="24"/>
                <w:szCs w:val="24"/>
              </w:rPr>
              <w:t xml:space="preserve">. </w:t>
            </w:r>
            <w:r w:rsidRPr="007E7CB6">
              <w:rPr>
                <w:rFonts w:ascii="Times New Roman" w:eastAsia="Times New Roman" w:hAnsi="Times New Roman" w:cs="Times New Roman"/>
                <w:color w:val="000000"/>
                <w:sz w:val="24"/>
                <w:szCs w:val="24"/>
              </w:rPr>
              <w:t>GHG protocol of ISO)</w:t>
            </w:r>
          </w:p>
        </w:tc>
      </w:tr>
      <w:tr w:rsidR="00153781" w:rsidRPr="007E7CB6" w14:paraId="76AAFDD6" w14:textId="77777777">
        <w:trPr>
          <w:trHeight w:val="713"/>
        </w:trPr>
        <w:tc>
          <w:tcPr>
            <w:tcW w:w="2546" w:type="dxa"/>
            <w:vMerge/>
          </w:tcPr>
          <w:p w14:paraId="14998817"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61069E77"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GHG2</w:t>
            </w:r>
          </w:p>
        </w:tc>
        <w:tc>
          <w:tcPr>
            <w:tcW w:w="4525" w:type="dxa"/>
            <w:vAlign w:val="center"/>
          </w:tcPr>
          <w:p w14:paraId="55FA1957"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Information on third-party verification of GHG data.</w:t>
            </w:r>
          </w:p>
        </w:tc>
      </w:tr>
      <w:tr w:rsidR="00153781" w:rsidRPr="007E7CB6" w14:paraId="7CE8681D" w14:textId="77777777">
        <w:trPr>
          <w:trHeight w:val="412"/>
        </w:trPr>
        <w:tc>
          <w:tcPr>
            <w:tcW w:w="2546" w:type="dxa"/>
            <w:vMerge/>
          </w:tcPr>
          <w:p w14:paraId="18D8F5C7"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565990A9"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GHG3</w:t>
            </w:r>
          </w:p>
        </w:tc>
        <w:tc>
          <w:tcPr>
            <w:tcW w:w="4525" w:type="dxa"/>
            <w:vAlign w:val="center"/>
          </w:tcPr>
          <w:p w14:paraId="450F742B"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Total GHG emissions (in CO2-e metric tons).</w:t>
            </w:r>
          </w:p>
        </w:tc>
      </w:tr>
      <w:tr w:rsidR="00153781" w:rsidRPr="007E7CB6" w14:paraId="4F2035BE" w14:textId="77777777">
        <w:trPr>
          <w:trHeight w:val="687"/>
        </w:trPr>
        <w:tc>
          <w:tcPr>
            <w:tcW w:w="2546" w:type="dxa"/>
            <w:vMerge/>
          </w:tcPr>
          <w:p w14:paraId="7AEF2036"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42B3A53D"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GHG4</w:t>
            </w:r>
          </w:p>
        </w:tc>
        <w:tc>
          <w:tcPr>
            <w:tcW w:w="4525" w:type="dxa"/>
            <w:vAlign w:val="center"/>
          </w:tcPr>
          <w:p w14:paraId="00D6E51D"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Disclosure of emissions by scope (Scope 1, 2, 3).</w:t>
            </w:r>
          </w:p>
        </w:tc>
      </w:tr>
      <w:tr w:rsidR="00153781" w:rsidRPr="007E7CB6" w14:paraId="013601A1" w14:textId="77777777">
        <w:trPr>
          <w:trHeight w:val="710"/>
        </w:trPr>
        <w:tc>
          <w:tcPr>
            <w:tcW w:w="2546" w:type="dxa"/>
            <w:vMerge/>
          </w:tcPr>
          <w:p w14:paraId="21BA9A4F"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0EBE974D"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GHG5</w:t>
            </w:r>
          </w:p>
        </w:tc>
        <w:tc>
          <w:tcPr>
            <w:tcW w:w="4525" w:type="dxa"/>
            <w:vAlign w:val="center"/>
          </w:tcPr>
          <w:p w14:paraId="40BF2D34" w14:textId="0A73D12B"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Disclosure of GHG emissions by sources (e.g</w:t>
            </w:r>
            <w:r w:rsidR="00B640C3" w:rsidRPr="007E7CB6">
              <w:rPr>
                <w:rFonts w:ascii="Times New Roman" w:eastAsia="Times New Roman" w:hAnsi="Times New Roman" w:cs="Times New Roman"/>
                <w:color w:val="000000"/>
                <w:sz w:val="24"/>
                <w:szCs w:val="24"/>
              </w:rPr>
              <w:t xml:space="preserve">. </w:t>
            </w:r>
            <w:r w:rsidRPr="007E7CB6">
              <w:rPr>
                <w:rFonts w:ascii="Times New Roman" w:eastAsia="Times New Roman" w:hAnsi="Times New Roman" w:cs="Times New Roman"/>
                <w:color w:val="000000"/>
                <w:sz w:val="24"/>
                <w:szCs w:val="24"/>
              </w:rPr>
              <w:t>energy, coal, fuel, electricity, etc.)</w:t>
            </w:r>
          </w:p>
        </w:tc>
      </w:tr>
      <w:tr w:rsidR="00153781" w:rsidRPr="007E7CB6" w14:paraId="4DC3ACB4" w14:textId="77777777">
        <w:trPr>
          <w:trHeight w:val="693"/>
        </w:trPr>
        <w:tc>
          <w:tcPr>
            <w:tcW w:w="2546" w:type="dxa"/>
            <w:vMerge/>
          </w:tcPr>
          <w:p w14:paraId="0FE939E2"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6" w:type="dxa"/>
            <w:vAlign w:val="center"/>
          </w:tcPr>
          <w:p w14:paraId="015E5605"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GHG6</w:t>
            </w:r>
          </w:p>
        </w:tc>
        <w:tc>
          <w:tcPr>
            <w:tcW w:w="4525" w:type="dxa"/>
            <w:vAlign w:val="center"/>
          </w:tcPr>
          <w:p w14:paraId="1B169E4D"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Disclosure of GHG emissions by facility or segment.</w:t>
            </w:r>
          </w:p>
        </w:tc>
      </w:tr>
      <w:tr w:rsidR="00153781" w:rsidRPr="007E7CB6" w14:paraId="308A01C8" w14:textId="77777777">
        <w:trPr>
          <w:trHeight w:val="703"/>
        </w:trPr>
        <w:tc>
          <w:tcPr>
            <w:tcW w:w="2546" w:type="dxa"/>
            <w:vMerge/>
          </w:tcPr>
          <w:p w14:paraId="66C54FFA"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3A9A1AD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GHG7</w:t>
            </w:r>
          </w:p>
        </w:tc>
        <w:tc>
          <w:tcPr>
            <w:tcW w:w="4525" w:type="dxa"/>
            <w:vAlign w:val="center"/>
          </w:tcPr>
          <w:p w14:paraId="4503741B"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Comparison of GHG emissions with previous years.</w:t>
            </w:r>
          </w:p>
        </w:tc>
      </w:tr>
      <w:tr w:rsidR="00153781" w:rsidRPr="007E7CB6" w14:paraId="2AAFA37A" w14:textId="77777777">
        <w:trPr>
          <w:trHeight w:val="415"/>
        </w:trPr>
        <w:tc>
          <w:tcPr>
            <w:tcW w:w="2546" w:type="dxa"/>
            <w:vMerge w:val="restart"/>
          </w:tcPr>
          <w:p w14:paraId="3973248E"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Energy consumption accounting</w:t>
            </w:r>
          </w:p>
        </w:tc>
        <w:tc>
          <w:tcPr>
            <w:tcW w:w="856" w:type="dxa"/>
            <w:vAlign w:val="center"/>
          </w:tcPr>
          <w:p w14:paraId="114E3FB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EC1</w:t>
            </w:r>
          </w:p>
        </w:tc>
        <w:tc>
          <w:tcPr>
            <w:tcW w:w="4525" w:type="dxa"/>
            <w:vAlign w:val="center"/>
          </w:tcPr>
          <w:p w14:paraId="01EE368E"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Disclosure of total energy consumed.</w:t>
            </w:r>
          </w:p>
        </w:tc>
      </w:tr>
      <w:tr w:rsidR="00153781" w:rsidRPr="007E7CB6" w14:paraId="220BA17D" w14:textId="77777777">
        <w:trPr>
          <w:trHeight w:val="421"/>
        </w:trPr>
        <w:tc>
          <w:tcPr>
            <w:tcW w:w="2546" w:type="dxa"/>
            <w:vMerge/>
          </w:tcPr>
          <w:p w14:paraId="2F1F5A83"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60E0203D"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EC2</w:t>
            </w:r>
          </w:p>
        </w:tc>
        <w:tc>
          <w:tcPr>
            <w:tcW w:w="4525" w:type="dxa"/>
            <w:vAlign w:val="center"/>
          </w:tcPr>
          <w:p w14:paraId="1141BD66"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Disclosure of renewable energy usage.</w:t>
            </w:r>
          </w:p>
        </w:tc>
      </w:tr>
      <w:tr w:rsidR="00153781" w:rsidRPr="007E7CB6" w14:paraId="6A82BCCD" w14:textId="77777777">
        <w:trPr>
          <w:trHeight w:val="683"/>
        </w:trPr>
        <w:tc>
          <w:tcPr>
            <w:tcW w:w="2546" w:type="dxa"/>
            <w:vMerge/>
          </w:tcPr>
          <w:p w14:paraId="333EEB10"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0FCC969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EC3</w:t>
            </w:r>
          </w:p>
        </w:tc>
        <w:tc>
          <w:tcPr>
            <w:tcW w:w="4525" w:type="dxa"/>
            <w:vAlign w:val="center"/>
          </w:tcPr>
          <w:p w14:paraId="36B8CC4F"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Disclosure of energy consumption by type, facility of segment.</w:t>
            </w:r>
          </w:p>
        </w:tc>
      </w:tr>
      <w:tr w:rsidR="00153781" w:rsidRPr="007E7CB6" w14:paraId="0BB825E0" w14:textId="77777777">
        <w:trPr>
          <w:trHeight w:val="707"/>
        </w:trPr>
        <w:tc>
          <w:tcPr>
            <w:tcW w:w="2546" w:type="dxa"/>
            <w:vMerge w:val="restart"/>
          </w:tcPr>
          <w:p w14:paraId="3491F6F7"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GHG reduction and cost</w:t>
            </w:r>
          </w:p>
        </w:tc>
        <w:tc>
          <w:tcPr>
            <w:tcW w:w="856" w:type="dxa"/>
            <w:vAlign w:val="center"/>
          </w:tcPr>
          <w:p w14:paraId="5EBC2A2F"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RC1</w:t>
            </w:r>
          </w:p>
        </w:tc>
        <w:tc>
          <w:tcPr>
            <w:tcW w:w="4525" w:type="dxa"/>
            <w:vAlign w:val="center"/>
          </w:tcPr>
          <w:p w14:paraId="73AB3FB6"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Detail of plans or strategies to reduce GHG emissions.</w:t>
            </w:r>
          </w:p>
        </w:tc>
      </w:tr>
      <w:tr w:rsidR="00153781" w:rsidRPr="007E7CB6" w14:paraId="1FF3A5E0" w14:textId="77777777">
        <w:trPr>
          <w:trHeight w:val="405"/>
        </w:trPr>
        <w:tc>
          <w:tcPr>
            <w:tcW w:w="2546" w:type="dxa"/>
            <w:vMerge/>
          </w:tcPr>
          <w:p w14:paraId="3291C67C"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1D786129"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RC2</w:t>
            </w:r>
          </w:p>
        </w:tc>
        <w:tc>
          <w:tcPr>
            <w:tcW w:w="4525" w:type="dxa"/>
            <w:vAlign w:val="center"/>
          </w:tcPr>
          <w:p w14:paraId="2E341AC4"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Targets or goals for emission reduction.</w:t>
            </w:r>
          </w:p>
        </w:tc>
      </w:tr>
      <w:tr w:rsidR="00153781" w:rsidRPr="007E7CB6" w14:paraId="659A534A" w14:textId="77777777">
        <w:trPr>
          <w:trHeight w:val="709"/>
        </w:trPr>
        <w:tc>
          <w:tcPr>
            <w:tcW w:w="2546" w:type="dxa"/>
            <w:vMerge/>
          </w:tcPr>
          <w:p w14:paraId="612F3F97"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6CA76D0D"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RC3</w:t>
            </w:r>
          </w:p>
        </w:tc>
        <w:tc>
          <w:tcPr>
            <w:tcW w:w="4525" w:type="dxa"/>
            <w:vAlign w:val="center"/>
          </w:tcPr>
          <w:p w14:paraId="6E0F8CD2"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Actual reductions achieved and associated costs/savings.</w:t>
            </w:r>
          </w:p>
        </w:tc>
      </w:tr>
      <w:tr w:rsidR="00153781" w:rsidRPr="007E7CB6" w14:paraId="6356959A" w14:textId="77777777">
        <w:trPr>
          <w:trHeight w:val="705"/>
        </w:trPr>
        <w:tc>
          <w:tcPr>
            <w:tcW w:w="2546" w:type="dxa"/>
            <w:vMerge/>
          </w:tcPr>
          <w:p w14:paraId="6C7A3996"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28002B6D"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RC4</w:t>
            </w:r>
          </w:p>
        </w:tc>
        <w:tc>
          <w:tcPr>
            <w:tcW w:w="4525" w:type="dxa"/>
            <w:vAlign w:val="center"/>
          </w:tcPr>
          <w:p w14:paraId="298EB8DC"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Cost of future emissions factored into capital expenditure planning</w:t>
            </w:r>
          </w:p>
        </w:tc>
      </w:tr>
      <w:tr w:rsidR="00153781" w:rsidRPr="007E7CB6" w14:paraId="03400DA4" w14:textId="77777777">
        <w:trPr>
          <w:trHeight w:val="418"/>
        </w:trPr>
        <w:tc>
          <w:tcPr>
            <w:tcW w:w="2546" w:type="dxa"/>
            <w:vMerge w:val="restart"/>
          </w:tcPr>
          <w:p w14:paraId="0BB6324E"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Carbon emission accountability</w:t>
            </w:r>
          </w:p>
        </w:tc>
        <w:tc>
          <w:tcPr>
            <w:tcW w:w="856" w:type="dxa"/>
            <w:vAlign w:val="center"/>
          </w:tcPr>
          <w:p w14:paraId="67B48964"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ACC1</w:t>
            </w:r>
          </w:p>
        </w:tc>
        <w:tc>
          <w:tcPr>
            <w:tcW w:w="4525" w:type="dxa"/>
            <w:vAlign w:val="center"/>
          </w:tcPr>
          <w:p w14:paraId="14079DDE"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Identification of climate strategy leadership.</w:t>
            </w:r>
          </w:p>
        </w:tc>
      </w:tr>
      <w:tr w:rsidR="00153781" w:rsidRPr="007E7CB6" w14:paraId="126810BF" w14:textId="77777777">
        <w:trPr>
          <w:trHeight w:val="693"/>
        </w:trPr>
        <w:tc>
          <w:tcPr>
            <w:tcW w:w="2546" w:type="dxa"/>
            <w:vMerge/>
          </w:tcPr>
          <w:p w14:paraId="4B5804B3"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6" w:type="dxa"/>
            <w:vAlign w:val="center"/>
          </w:tcPr>
          <w:p w14:paraId="0AB922BF"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ACC2</w:t>
            </w:r>
          </w:p>
        </w:tc>
        <w:tc>
          <w:tcPr>
            <w:tcW w:w="4525" w:type="dxa"/>
            <w:vAlign w:val="center"/>
          </w:tcPr>
          <w:p w14:paraId="7B76AA16"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Mechanism for reviewing climate performance.</w:t>
            </w:r>
          </w:p>
        </w:tc>
      </w:tr>
    </w:tbl>
    <w:p w14:paraId="3D572184" w14:textId="2CF6B676" w:rsidR="00153781" w:rsidRPr="007E7CB6" w:rsidRDefault="00000000">
      <w:pPr>
        <w:pBdr>
          <w:top w:val="nil"/>
          <w:left w:val="nil"/>
          <w:bottom w:val="nil"/>
          <w:right w:val="nil"/>
          <w:between w:val="nil"/>
        </w:pBdr>
        <w:spacing w:after="200" w:line="240" w:lineRule="auto"/>
        <w:jc w:val="both"/>
        <w:rPr>
          <w:rFonts w:ascii="Times New Roman" w:eastAsia="Times New Roman" w:hAnsi="Times New Roman" w:cs="Times New Roman"/>
          <w:i/>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Choi et al.</w:t>
      </w:r>
      <w:r w:rsidR="00B640C3" w:rsidRPr="007E7CB6">
        <w:rPr>
          <w:rFonts w:ascii="Times New Roman" w:eastAsia="Times New Roman" w:hAnsi="Times New Roman" w:cs="Times New Roman"/>
          <w:i/>
          <w:color w:val="000000"/>
        </w:rPr>
        <w:t xml:space="preserve">, </w:t>
      </w:r>
      <w:r w:rsidRPr="007E7CB6">
        <w:rPr>
          <w:rFonts w:ascii="Times New Roman" w:eastAsia="Times New Roman" w:hAnsi="Times New Roman" w:cs="Times New Roman"/>
          <w:i/>
          <w:color w:val="000000"/>
        </w:rPr>
        <w:t>2013</w:t>
      </w:r>
    </w:p>
    <w:p w14:paraId="52AD8C49" w14:textId="77777777" w:rsidR="00153781" w:rsidRPr="007E7CB6" w:rsidRDefault="00000000">
      <w:pPr>
        <w:pBdr>
          <w:top w:val="nil"/>
          <w:left w:val="nil"/>
          <w:bottom w:val="nil"/>
          <w:right w:val="nil"/>
          <w:between w:val="nil"/>
        </w:pBdr>
        <w:spacing w:after="200" w:line="240" w:lineRule="auto"/>
        <w:jc w:val="both"/>
        <w:rPr>
          <w:rFonts w:ascii="Times New Roman" w:eastAsia="Times New Roman" w:hAnsi="Times New Roman" w:cs="Times New Roman"/>
          <w:i/>
          <w:sz w:val="2"/>
          <w:szCs w:val="2"/>
        </w:rPr>
      </w:pPr>
      <w:r w:rsidRPr="007E7CB6">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303FF1F0" wp14:editId="20316359">
                <wp:simplePos x="0" y="0"/>
                <wp:positionH relativeFrom="column">
                  <wp:posOffset>-39157</wp:posOffset>
                </wp:positionH>
                <wp:positionV relativeFrom="paragraph">
                  <wp:posOffset>18217</wp:posOffset>
                </wp:positionV>
                <wp:extent cx="5045075" cy="568325"/>
                <wp:effectExtent l="0" t="0" r="0" b="0"/>
                <wp:wrapNone/>
                <wp:docPr id="86" name="Rectangle 86"/>
                <wp:cNvGraphicFramePr/>
                <a:graphic xmlns:a="http://schemas.openxmlformats.org/drawingml/2006/main">
                  <a:graphicData uri="http://schemas.microsoft.com/office/word/2010/wordprocessingShape">
                    <wps:wsp>
                      <wps:cNvSpPr/>
                      <wps:spPr>
                        <a:xfrm>
                          <a:off x="2828225" y="3500600"/>
                          <a:ext cx="5035550" cy="558800"/>
                        </a:xfrm>
                        <a:prstGeom prst="rect">
                          <a:avLst/>
                        </a:prstGeom>
                        <a:noFill/>
                        <a:ln w="9525" cap="flat" cmpd="sng">
                          <a:solidFill>
                            <a:schemeClr val="dk1"/>
                          </a:solidFill>
                          <a:prstDash val="solid"/>
                          <a:round/>
                          <a:headEnd type="none" w="sm" len="sm"/>
                          <a:tailEnd type="none" w="sm" len="sm"/>
                        </a:ln>
                      </wps:spPr>
                      <wps:txbx>
                        <w:txbxContent>
                          <w:p w14:paraId="7E7ACEFB"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3FF1F0" id="Rectangle 86" o:spid="_x0000_s1034" style="position:absolute;left:0;text-align:left;margin-left:-3.1pt;margin-top:1.45pt;width:397.25pt;height:44.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eGDwIAAB0EAAAOAAAAZHJzL2Uyb0RvYy54bWysU9uK2zAQfS/0H4TeGzvZumRDnKVsmlJY&#10;2sC2HzDRJRbVrZISO3/fkZzdpN2HhVIM8ox1PHPm6Gh5NxhNjiJE5WxLp5OaEmGZ48ruW/rj++bd&#10;nJKYwHLQzoqWnkSkd6u3b5a9X4iZ65zmIhAsYuOi9y3tUvKLqoqsEwbixHlhcVO6YCBhGvYVD9Bj&#10;daOrWV1/qHoXuA+OiRjx63rcpKtSX0rB0jcpo0hEtxS5pbKGsu7yWq2WsNgH8J1iZxrwDywMKItN&#10;n0utIQE5BPWilFEsuOhkmjBnKielYqLMgNNM67+meezAizILihP9s0zx/5VlX4+PfhtQht7HRcQw&#10;TzHIYPIb+ZGhpbM5PrOGklNLbxpUvT4LJ4ZEGAKa+qZpGtSXIaJp5vMRUF0q+RDTZ+EMyUFLAx5M&#10;0QuODzFhd4Q+QXJj6zZK63I42pK+pbdN7s8ALSI1JAyN5y2Ndl/KRKcVz7/kn4t5xL0O5Ah47Pzn&#10;NB8zdvgDldutIXYjqGyNbgjuYHlp3Qngnywn6eTRuhYNTDOXaCjRAu2OQcElUPp1HBLQFnlchM5R&#10;GnYDUTjKPNfKX3aOn7aBRM82Cjk+QExbCOjKKXZHp2LfXwcIyEV/sWiF2+n7rE26TsJ1srtOwLLO&#10;4QVgKVAyJvepXIhR94+H5KQqR3Ihc2aNHiw6nu9LNvl1XlCXW736DQAA//8DAFBLAwQUAAYACAAA&#10;ACEAPtwsndsAAAAHAQAADwAAAGRycy9kb3ducmV2LnhtbEyOwU7DMBBE70j8g7VI3FoHF5U0zaZC&#10;oH4AoQiObuzGUeN1sN0k/D3mRI+jGb155W62PRu1D50jhIdlBkxT41RHLcLhfb/IgYUoScnekUb4&#10;0QF21e1NKQvlJnrTYx1bliAUColgYhwKzkNjtJVh6QZNqTs5b2VM0bdceTkluO25yLI1t7Kj9GDk&#10;oF+Mbs71xSL46VtyLsL4dZjqz+FMe7N6/UC8v5uft8CinuP/GP70kzpUyenoLqQC6xEWa5GWCGID&#10;LNVPeb4CdkTYiEfgVcmv/atfAAAA//8DAFBLAQItABQABgAIAAAAIQC2gziS/gAAAOEBAAATAAAA&#10;AAAAAAAAAAAAAAAAAABbQ29udGVudF9UeXBlc10ueG1sUEsBAi0AFAAGAAgAAAAhADj9If/WAAAA&#10;lAEAAAsAAAAAAAAAAAAAAAAALwEAAF9yZWxzLy5yZWxzUEsBAi0AFAAGAAgAAAAhAEXtR4YPAgAA&#10;HQQAAA4AAAAAAAAAAAAAAAAALgIAAGRycy9lMm9Eb2MueG1sUEsBAi0AFAAGAAgAAAAhAD7cLJ3b&#10;AAAABwEAAA8AAAAAAAAAAAAAAAAAaQQAAGRycy9kb3ducmV2LnhtbFBLBQYAAAAABAAEAPMAAABx&#10;BQAAAAA=&#10;" filled="f" strokecolor="black [3200]">
                <v:stroke startarrowwidth="narrow" startarrowlength="short" endarrowwidth="narrow" endarrowlength="short" joinstyle="round"/>
                <v:textbox inset="2.53958mm,2.53958mm,2.53958mm,2.53958mm">
                  <w:txbxContent>
                    <w:p w14:paraId="7E7ACEFB" w14:textId="77777777" w:rsidR="00153781" w:rsidRDefault="00153781">
                      <w:pPr>
                        <w:spacing w:line="240" w:lineRule="auto"/>
                        <w:textDirection w:val="btLr"/>
                      </w:pPr>
                    </w:p>
                  </w:txbxContent>
                </v:textbox>
              </v:rect>
            </w:pict>
          </mc:Fallback>
        </mc:AlternateContent>
      </w:r>
    </w:p>
    <w:p w14:paraId="66EBA35C" w14:textId="77777777" w:rsidR="00153781" w:rsidRPr="007E7CB6" w:rsidRDefault="0000000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32"/>
          <w:szCs w:val="32"/>
        </w:rPr>
      </w:pPr>
      <m:oMath>
        <m:r>
          <w:rPr>
            <w:rFonts w:ascii="Cambria Math" w:eastAsia="Cambria Math" w:hAnsi="Cambria Math" w:cs="Times New Roman"/>
            <w:color w:val="000000"/>
            <w:sz w:val="24"/>
            <w:szCs w:val="24"/>
          </w:rPr>
          <m:t>CED=</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Total Items Disclosed</m:t>
            </m:r>
          </m:num>
          <m:den>
            <m:r>
              <w:rPr>
                <w:rFonts w:ascii="Cambria Math" w:eastAsia="Cambria Math" w:hAnsi="Cambria Math" w:cs="Times New Roman"/>
                <w:color w:val="000000"/>
                <w:sz w:val="24"/>
                <w:szCs w:val="24"/>
              </w:rPr>
              <m:t>Maximum Total Score</m:t>
            </m:r>
          </m:den>
        </m:f>
      </m:oMath>
      <w:r w:rsidRPr="007E7CB6">
        <w:rPr>
          <w:rFonts w:ascii="Times New Roman" w:eastAsia="Times New Roman" w:hAnsi="Times New Roman" w:cs="Times New Roman"/>
          <w:color w:val="000000"/>
          <w:sz w:val="24"/>
          <w:szCs w:val="24"/>
        </w:rPr>
        <w:t xml:space="preserve"> x 100%...............................................................3.3</w:t>
      </w:r>
    </w:p>
    <w:p w14:paraId="78E6EE43" w14:textId="77777777" w:rsidR="00153781" w:rsidRPr="007E7CB6" w:rsidRDefault="00153781">
      <w:pPr>
        <w:pBdr>
          <w:top w:val="nil"/>
          <w:left w:val="nil"/>
          <w:bottom w:val="nil"/>
          <w:right w:val="nil"/>
          <w:between w:val="nil"/>
        </w:pBdr>
        <w:spacing w:line="240" w:lineRule="auto"/>
        <w:rPr>
          <w:rFonts w:ascii="Times New Roman" w:eastAsia="Times New Roman" w:hAnsi="Times New Roman" w:cs="Times New Roman"/>
          <w:color w:val="000000"/>
          <w:sz w:val="32"/>
          <w:szCs w:val="32"/>
        </w:rPr>
      </w:pPr>
    </w:p>
    <w:p w14:paraId="4E4F8B7B" w14:textId="77777777" w:rsidR="00153781" w:rsidRPr="007E7CB6" w:rsidRDefault="00000000">
      <w:pPr>
        <w:pStyle w:val="Heading4"/>
        <w:numPr>
          <w:ilvl w:val="0"/>
          <w:numId w:val="13"/>
        </w:numPr>
        <w:spacing w:before="0" w:after="0" w:line="480" w:lineRule="auto"/>
        <w:ind w:hanging="436"/>
        <w:rPr>
          <w:rFonts w:ascii="Times New Roman" w:eastAsia="Times New Roman" w:hAnsi="Times New Roman" w:cs="Times New Roman"/>
          <w:b/>
        </w:rPr>
      </w:pPr>
      <w:r w:rsidRPr="007E7CB6">
        <w:rPr>
          <w:rFonts w:ascii="Times New Roman" w:eastAsia="Times New Roman" w:hAnsi="Times New Roman" w:cs="Times New Roman"/>
          <w:b/>
          <w:color w:val="000000"/>
        </w:rPr>
        <w:t>Green Capital Structure</w:t>
      </w:r>
    </w:p>
    <w:p w14:paraId="5CA6D35C" w14:textId="2410FFAA" w:rsidR="00153781" w:rsidRPr="007E7CB6" w:rsidRDefault="00000000">
      <w:pPr>
        <w:spacing w:after="200" w:line="480" w:lineRule="auto"/>
        <w:ind w:firstLine="720"/>
        <w:jc w:val="both"/>
        <w:rPr>
          <w:rFonts w:ascii="Times New Roman" w:eastAsia="Times New Roman" w:hAnsi="Times New Roman" w:cs="Times New Roman"/>
          <w:sz w:val="24"/>
          <w:szCs w:val="24"/>
        </w:rPr>
      </w:pPr>
      <w:r w:rsidRPr="007E7CB6">
        <w:rPr>
          <w:rFonts w:ascii="Times New Roman" w:eastAsia="Cambria Math" w:hAnsi="Times New Roman" w:cs="Times New Roman"/>
          <w:sz w:val="24"/>
          <w:szCs w:val="24"/>
        </w:rPr>
        <w:t xml:space="preserve">The third independent variable in this study is green capital structure, which is the proportion of funds raised by companies and specifically allocated for environmental protection purposes. This structure reflects the company's financial </w:t>
      </w:r>
      <w:r w:rsidRPr="007E7CB6">
        <w:rPr>
          <w:rFonts w:ascii="Times New Roman" w:eastAsia="Cambria Math" w:hAnsi="Times New Roman" w:cs="Times New Roman"/>
          <w:sz w:val="24"/>
          <w:szCs w:val="24"/>
        </w:rPr>
        <w:lastRenderedPageBreak/>
        <w:t xml:space="preserve">orientation towards environmentally friendly sustainable development. In this study, green capital structure is measured using the ratio between environmental project financing and the company's shareholder </w:t>
      </w:r>
      <w:r w:rsidR="00310715" w:rsidRPr="007E7CB6">
        <w:rPr>
          <w:rFonts w:ascii="Times New Roman" w:hAnsi="Times New Roman" w:cs="Times New Roman"/>
          <w:noProof/>
        </w:rPr>
        <mc:AlternateContent>
          <mc:Choice Requires="wps">
            <w:drawing>
              <wp:anchor distT="0" distB="0" distL="114300" distR="114300" simplePos="0" relativeHeight="251668480" behindDoc="0" locked="0" layoutInCell="1" hidden="0" allowOverlap="1" wp14:anchorId="21BD1B09" wp14:editId="58AB409D">
                <wp:simplePos x="0" y="0"/>
                <wp:positionH relativeFrom="column">
                  <wp:posOffset>-40005</wp:posOffset>
                </wp:positionH>
                <wp:positionV relativeFrom="paragraph">
                  <wp:posOffset>1421054</wp:posOffset>
                </wp:positionV>
                <wp:extent cx="5045075" cy="568325"/>
                <wp:effectExtent l="0" t="0" r="0" b="0"/>
                <wp:wrapNone/>
                <wp:docPr id="84" name="Rectangle 84"/>
                <wp:cNvGraphicFramePr/>
                <a:graphic xmlns:a="http://schemas.openxmlformats.org/drawingml/2006/main">
                  <a:graphicData uri="http://schemas.microsoft.com/office/word/2010/wordprocessingShape">
                    <wps:wsp>
                      <wps:cNvSpPr/>
                      <wps:spPr>
                        <a:xfrm>
                          <a:off x="0" y="0"/>
                          <a:ext cx="5045075" cy="568325"/>
                        </a:xfrm>
                        <a:prstGeom prst="rect">
                          <a:avLst/>
                        </a:prstGeom>
                        <a:noFill/>
                        <a:ln w="9525" cap="flat" cmpd="sng">
                          <a:solidFill>
                            <a:schemeClr val="dk1"/>
                          </a:solidFill>
                          <a:prstDash val="solid"/>
                          <a:round/>
                          <a:headEnd type="none" w="sm" len="sm"/>
                          <a:tailEnd type="none" w="sm" len="sm"/>
                        </a:ln>
                      </wps:spPr>
                      <wps:txbx>
                        <w:txbxContent>
                          <w:p w14:paraId="2B3A241C"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1BD1B09" id="Rectangle 84" o:spid="_x0000_s1035" style="position:absolute;left:0;text-align:left;margin-left:-3.15pt;margin-top:111.9pt;width:397.25pt;height:4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H6BAIAABEEAAAOAAAAZHJzL2Uyb0RvYy54bWysU9tuEzEQfUfiHyy/k92EbmmibCrUUIRU&#10;0UiFD5j4krXwDdvJbv6esTckAR6QEC/2jD2eOXPmeHk/GE0OIkTlbEunk5oSYZnjyu5a+vXL45s7&#10;SmICy0E7K1p6FJHer16/WvZ+IWauc5qLQDCJjYvet7RLyS+qKrJOGIgT54XFS+mCgYRu2FU8QI/Z&#10;ja5mdX1b9S5wHxwTMeLperykq5JfSsHSs5RRJKJbithSWUNZt3mtVktY7AL4TrETDPgHFAaUxaLn&#10;VGtIQPZB/ZHKKBZcdDJNmDOVk1IxUXrAbqb1b928dOBF6QXJif5MU/x/adnnw4vfBKSh93ER0cxd&#10;DDKYvCM+MhSyjmeyxJAIw8Omvmnqdw0lDO+a27u3syazWV1e+xDTR+EMyUZLAw6jcASHp5jG0J8h&#10;uZh1j0rrMhBtSd/SeYMpCQOUhdSQ0DSetzTaXUkTnVY8P8mPi2DEgw7kADhq/m16AvNLVC63htiN&#10;QeVqVEBwe8tL6U4A/2A5SUePcrUoWpqxREOJFihxNEpcAqX/HodsaIukXMjNVhq2A1HYyjznyidb&#10;x4+bQKJnjwoxPkFMGwioxClWR3Vi3e97CIhFf7I4/vn0JnOTrp1w7WyvHbCscyh6lgIlo/OQyicY&#10;eX+/T06qMpILmBNq1F0Z6umPZGFf+yXq8pNXPwAAAP//AwBQSwMEFAAGAAgAAAAhANzfAUfdAAAA&#10;CgEAAA8AAABkcnMvZG93bnJldi54bWxMj0FOwzAQRfdI3MEaJHatU1sqUYhTIVAPQFpUlm48JFHj&#10;cbDdJNy+ZgXL0Tz9/365W+zAJvShd6Rgs86AITXO9NQqOB72qxxYiJqMHhyhgh8MsKvu70pdGDfT&#10;O051bFkKoVBoBV2MY8F5aDq0OqzdiJR+X85bHdPpW268nlO4HbjIsi23uqfU0OkRXztsLvXVKvDz&#10;t+ZchOnzONen8UL7Tr59KPX4sLw8A4u4xD8YfvWTOlTJ6eyuZAIbFKy2MpEKhJBpQgKe8lwAOyuQ&#10;GymBVyX/P6G6AQAA//8DAFBLAQItABQABgAIAAAAIQC2gziS/gAAAOEBAAATAAAAAAAAAAAAAAAA&#10;AAAAAABbQ29udGVudF9UeXBlc10ueG1sUEsBAi0AFAAGAAgAAAAhADj9If/WAAAAlAEAAAsAAAAA&#10;AAAAAAAAAAAALwEAAF9yZWxzLy5yZWxzUEsBAi0AFAAGAAgAAAAhAFuG8foEAgAAEQQAAA4AAAAA&#10;AAAAAAAAAAAALgIAAGRycy9lMm9Eb2MueG1sUEsBAi0AFAAGAAgAAAAhANzfAUfdAAAACgEAAA8A&#10;AAAAAAAAAAAAAAAAXgQAAGRycy9kb3ducmV2LnhtbFBLBQYAAAAABAAEAPMAAABoBQAAAAA=&#10;" filled="f" strokecolor="black [3200]">
                <v:stroke startarrowwidth="narrow" startarrowlength="short" endarrowwidth="narrow" endarrowlength="short" joinstyle="round"/>
                <v:textbox inset="2.53958mm,2.53958mm,2.53958mm,2.53958mm">
                  <w:txbxContent>
                    <w:p w14:paraId="2B3A241C" w14:textId="77777777" w:rsidR="00153781" w:rsidRDefault="00153781">
                      <w:pPr>
                        <w:spacing w:line="240" w:lineRule="auto"/>
                        <w:textDirection w:val="btLr"/>
                      </w:pPr>
                    </w:p>
                  </w:txbxContent>
                </v:textbox>
              </v:rect>
            </w:pict>
          </mc:Fallback>
        </mc:AlternateContent>
      </w:r>
      <w:r w:rsidRPr="007E7CB6">
        <w:rPr>
          <w:rFonts w:ascii="Times New Roman" w:eastAsia="Cambria Math" w:hAnsi="Times New Roman" w:cs="Times New Roman"/>
          <w:sz w:val="24"/>
          <w:szCs w:val="24"/>
        </w:rPr>
        <w:t>equity, as developed by</w:t>
      </w:r>
      <w:r w:rsidR="00310715" w:rsidRPr="007E7CB6">
        <w:rPr>
          <w:rFonts w:ascii="Times New Roman" w:eastAsia="Cambria Math" w:hAnsi="Times New Roman" w:cs="Times New Roman"/>
          <w:sz w:val="24"/>
          <w:szCs w:val="24"/>
        </w:rPr>
        <w:t xml:space="preserve"> </w:t>
      </w:r>
      <w:sdt>
        <w:sdtPr>
          <w:rPr>
            <w:rFonts w:ascii="Times New Roman" w:eastAsia="Cambria Math" w:hAnsi="Times New Roman" w:cs="Times New Roman"/>
            <w:color w:val="000000"/>
            <w:sz w:val="24"/>
            <w:szCs w:val="24"/>
          </w:rPr>
          <w:tag w:val="MENDELEY_CITATION_v3_eyJjaXRhdGlvbklEIjoiTUVOREVMRVlfQ0lUQVRJT05fNGFhNTY2M2QtOTQ5Yi00N2ZiLTljNzItZjY3NjkzYzE0Yjk0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
          <w:id w:val="-1421009912"/>
          <w:placeholder>
            <w:docPart w:val="DefaultPlaceholder_-1854013440"/>
          </w:placeholder>
        </w:sdtPr>
        <w:sdtContent>
          <w:r w:rsidR="00AD6D10" w:rsidRPr="007E7CB6">
            <w:rPr>
              <w:rFonts w:ascii="Times New Roman" w:eastAsia="Times New Roman" w:hAnsi="Times New Roman" w:cs="Times New Roman"/>
              <w:color w:val="000000"/>
              <w:sz w:val="24"/>
            </w:rPr>
            <w:t>(Zhou &amp; Fan, 2023)</w:t>
          </w:r>
        </w:sdtContent>
      </w:sdt>
      <w:r w:rsidR="00310715" w:rsidRPr="007E7CB6">
        <w:rPr>
          <w:rFonts w:ascii="Times New Roman" w:eastAsia="Cambria Math" w:hAnsi="Times New Roman" w:cs="Times New Roman"/>
          <w:sz w:val="24"/>
          <w:szCs w:val="24"/>
        </w:rPr>
        <w:t>.</w:t>
      </w:r>
    </w:p>
    <w:p w14:paraId="07075CEC"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m:oMath>
        <m:r>
          <w:rPr>
            <w:rFonts w:ascii="Cambria Math" w:eastAsia="Cambria Math" w:hAnsi="Cambria Math" w:cs="Times New Roman"/>
            <w:color w:val="000000"/>
            <w:sz w:val="24"/>
            <w:szCs w:val="24"/>
          </w:rPr>
          <m:t xml:space="preserve">    GCS=</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Net Green Financing</m:t>
            </m:r>
          </m:num>
          <m:den>
            <m:r>
              <w:rPr>
                <w:rFonts w:ascii="Cambria Math" w:eastAsia="Cambria Math" w:hAnsi="Cambria Math" w:cs="Times New Roman"/>
                <w:color w:val="000000"/>
                <w:sz w:val="24"/>
                <w:szCs w:val="24"/>
              </w:rPr>
              <m:t>Total Equity</m:t>
            </m:r>
          </m:den>
        </m:f>
      </m:oMath>
      <w:r w:rsidRPr="007E7CB6">
        <w:rPr>
          <w:rFonts w:ascii="Times New Roman" w:eastAsia="Times New Roman" w:hAnsi="Times New Roman" w:cs="Times New Roman"/>
          <w:color w:val="000000"/>
          <w:sz w:val="24"/>
          <w:szCs w:val="24"/>
        </w:rPr>
        <w:t>...............................................................................3.4</w:t>
      </w:r>
    </w:p>
    <w:p w14:paraId="40847DCF" w14:textId="5F8BE4EF" w:rsidR="00153781" w:rsidRPr="007E7CB6" w:rsidRDefault="00000000">
      <w:pPr>
        <w:pStyle w:val="Heading3"/>
        <w:spacing w:before="200" w:after="0" w:line="480" w:lineRule="auto"/>
        <w:rPr>
          <w:rFonts w:ascii="Times New Roman" w:eastAsia="Times New Roman" w:hAnsi="Times New Roman" w:cs="Times New Roman"/>
          <w:b/>
        </w:rPr>
      </w:pPr>
      <w:bookmarkStart w:id="75" w:name="_Toc210744237"/>
      <w:r w:rsidRPr="007E7CB6">
        <w:rPr>
          <w:rFonts w:ascii="Times New Roman" w:eastAsia="Times New Roman" w:hAnsi="Times New Roman" w:cs="Times New Roman"/>
          <w:b/>
          <w:color w:val="000000"/>
          <w:sz w:val="24"/>
          <w:szCs w:val="24"/>
        </w:rPr>
        <w:t>3.1.3</w:t>
      </w:r>
      <w:r w:rsidRPr="007E7CB6">
        <w:rPr>
          <w:rFonts w:ascii="Times New Roman" w:eastAsia="Times New Roman" w:hAnsi="Times New Roman" w:cs="Times New Roman"/>
          <w:b/>
          <w:color w:val="000000"/>
          <w:sz w:val="24"/>
          <w:szCs w:val="24"/>
        </w:rPr>
        <w:tab/>
        <w:t>Moderating Variable</w:t>
      </w:r>
      <w:bookmarkEnd w:id="75"/>
    </w:p>
    <w:p w14:paraId="35DB5141" w14:textId="5098C6A5" w:rsidR="00153781" w:rsidRPr="007E7CB6" w:rsidRDefault="00000000">
      <w:pPr>
        <w:spacing w:line="480" w:lineRule="auto"/>
        <w:ind w:firstLine="720"/>
        <w:jc w:val="both"/>
        <w:rPr>
          <w:rFonts w:ascii="Times New Roman" w:hAnsi="Times New Roman" w:cs="Times New Roman"/>
        </w:rPr>
      </w:pPr>
      <w:r w:rsidRPr="007E7CB6">
        <w:rPr>
          <w:rFonts w:ascii="Times New Roman" w:eastAsia="Times New Roman" w:hAnsi="Times New Roman" w:cs="Times New Roman"/>
          <w:sz w:val="24"/>
          <w:szCs w:val="24"/>
        </w:rPr>
        <w:t>The moderating variable used in this study is Green Intellectual Capital (GIC), which is an intellectual capital concept that focuses on environmental sustainability. GIC consists of three main elements: Green Human Capital (GHC), Green Structural Capital (GSC), and Green Relational Capital (GRC), each of which plays a role in creating sustainability-based competitive advantage. In this study, Green Intellectual Capital (GIC) is measured using indicators developed by</w:t>
      </w:r>
      <w:r w:rsidR="0031071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jcxMGE4NTItNDZhZC00MWIzLWIwMDItY2E5NzVmYmVjYmM2IiwicHJvcGVydGllcyI6eyJub3RlSW5kZXgiOjB9LCJpc0VkaXRlZCI6ZmFsc2UsIm1hbnVhbE92ZXJyaWRlIjp7ImlzTWFudWFsbHlPdmVycmlkZGVuIjpmYWxzZSwiY2l0ZXByb2NUZXh0IjoiKENoYW5nICYjMzg7IENoZW4sIDIwMTIpIiwibWFudWFsT3ZlcnJpZGVUZXh0IjoiIn0sImNpdGF0aW9uSXRlbXMiOlt7ImlkIjoiNGJhMjY3YTctYzAyMy0zOWY5LTlmZDMtNmQ1ZGQ2MzhhNmQzIiwiaXRlbURhdGEiOnsidHlwZSI6ImFydGljbGUtam91cm5hbCIsImlkIjoiNGJhMjY3YTctYzAyMy0zOWY5LTlmZDMtNmQ1ZGQ2MzhhNmQzIiwidGl0bGUiOiJUaGUgZGV0ZXJtaW5hbnRzIG9mIGdyZWVuIGludGVsbGVjdHVhbCBjYXBpdGFsIiwiYXV0aG9yIjpbeyJmYW1pbHkiOiJDaGFuZyIsImdpdmVuIjoiQ2hpbmcgSHN1biIsInBhcnNlLW5hbWVzIjpmYWxzZSwiZHJvcHBpbmctcGFydGljbGUiOiIiLCJub24tZHJvcHBpbmctcGFydGljbGUiOiIifSx7ImZhbWlseSI6IkNoZW4iLCJnaXZlbiI6Ill1IFNoYW4iLCJwYXJzZS1uYW1lcyI6ZmFsc2UsImRyb3BwaW5nLXBhcnRpY2xlIjoiIiwibm9uLWRyb3BwaW5nLXBhcnRpY2xlIjoiIn1dLCJjb250YWluZXItdGl0bGUiOiJNYW5hZ2VtZW50IERlY2lzaW9uIiwiRE9JIjoiMTAuMTEwOC8wMDI1MTc0MTIxMTE5NDg4NiIsIklTU04iOiIwMDI1MTc0NyIsImlzc3VlZCI6eyJkYXRlLXBhcnRzIjpbWzIwMTIsMl1dfSwicGFnZSI6Ijc0LTk0IiwiYWJzdHJhY3QiOiJQdXJwb3NlOiBUaGlzIHN0dWR5IGFpbXMgdG8gZGV2ZWxvcCBhbiBvcmlnaW5hbCBmcmFtZXdvcmsgb2YgZ3JlZW4gaW50ZWxsZWN0dWFsIGNhcGl0YWwgdG8gZXhwbG9yZSB0aGUgcG9zaXRpdmUgZWZmZWN0IG9mIGNvcnBvcmF0ZSBzb2NpYWwgcmVzcG9uc2liaWxpdHkgKENTUikgb24gZ3JlZW4gaW50ZWxsZWN0dWFsIGNhcGl0YWwgdGhyb3VnaCB0aGUgcGFydGlhbCBtZWRpYXRvciAtIGVudmlyb25tZW50YWwgY29uc2Npb3VzbmVzcy4gRGVzaWduL21ldGhvZG9sb2d5L2FwcHJvYWNoOiBUaGlzIHN0dWR5IHN1bW1hcml6ZXMgdGhlIGNvbmNlcHRzIG9mIENTUiBhbmQgZ3JlZW4gbWFuYWdlbWVudCB0byBkZXZlbG9wIGFuIGludGVncmFsIGZyYW1ld29yayB0byBlbmhhbmNlIGdyZWVuIGludGVsbGVjdHVhbCBjYXBpdGFsLiBTdHJ1Y3R1cmFsIGVxdWF0aW9uIG1vZGVsaW5nIChTRU0pIGlzIGFwcGxpZWQgdG8gdmVyaWZ5IHRoZSByZXNlYXJjaCBmcmFtZXdvcmsuIEZpbmRpbmdzOiBUaGlzIHN0dWR5IHV0aWxpemVzIFNFTSB0byBleHBsb3JlIHRoZSBpbmZsdWVuY2VzIG9mIENTUiBhbmQgZW52aXJvbm1lbnRhbCBjb25zY2lvdXNuZXNzIG9uIHRocmVlIHR5cGVzIG9mIGdyZWVuIGludGVsbGVjdHVhbCBjYXBpdGFsIC0gZ3JlZW4gaHVtYW4gY2FwaXRhbCwgZ3JlZW4gc3RydWN0dXJhbCBjYXBpdGFsLCBhbmQgZ3JlZW4gcmVsYXRpb25zaGlwIGNhcGl0YWwuIFRoZSBlbXBpcmljYWwgcmVzdWx0cyBvZiB0aGlzIHN0dWR5IGRlbW9uc3RyYXRlIHRoYXQgQ1NSIGFuZCBlbnZpcm9ubWVudGFsIGNvbnNjaW91c25lc3MgaGF2ZSBwb3NpdGl2ZSBlZmZlY3RzIG9uIHRocmVlIHR5cGVzIG9mIGdyZWVuIGludGVsbGVjdHVhbCBjYXBpdGFsLiBCZXNpZGVzLCB0aGlzIHN0dWR5IHZlcmlmaWVzIHRoYXQgZW52aXJvbm1lbnRhbCBjb25zY2lvdXNuZXNzIGlzIGEgcGFydGlhbCBtZWRpYXRvciBiZXR3ZWVuIENTUiBhbmQgdGhyZWUgdHlwZXMgb2YgZ3JlZW4gaW50ZWxsZWN0dWFsIGNhcGl0YWwuIEluIGFkZGl0aW9uLCB0aGlzIHN0dWR5IGNsYXNzaWZpZXMgdGhlIFRhaXdhbmVzZSBtYW51ZmFjdHVyaW5nIGNvbXBhbmllcyBpbnRvIHRocmVlIGdyb3VwcyAtIGhpZ2hseSwgbWVkaWFsbHksIGFuZCBsb3dseSBldGhpYyBjb21wYW5pZXMuIFRoZSByZXN1bHRzIHNob3cgdGhhdCB0aHJlZSB0eXBlcyBvZiBncmVlbiBpbnRlbGxlY3R1YWwgY2FwaXRhbCBvZiBoaWdobHkgZXRoaWMgY29tcGFuaWVzIGFyZSB0aGUgbW9zdCwgYW5kIHRob3NlIG9mIG1lZGlhbGx5IGV0aGljIGNvbXBhbmllcyBhcmUgdGhlIG5leHQsIHdoaWxlIHRob3NlIG9mIGxvd2x5IGV0aGljIGNvbXBhbmllcyBhcmUgdGhlIGxlYXN0LiBPcmlnaW5hbGl0eS92YWx1ZTogVGhpcyBzdHVkeSBpbnRlZ3JhdGVzIHRoZSB0aGVvcmllcyBvZiBDU1IgYW5kIGdyZWVuIG1hbmFnZW1lbnQgdG8gZGV2ZWxvcCBhbiBpbnRlZ3JhbCBjb25jZXB0dWFsIG1vZGVsIG9mIGdyZWVuIGludGVsbGVjdHVhbCBjYXBpdGFsIHRvIGV4cGxvcmUgaXRzIG1hbmFnZXJpYWwgaW1wbGljYXRpb25zIGFuZCBkZXRlcm1pbmFudHMuIMKpIEVtZXJhbGQgR3JvdXAgUHVibGlzaGluZyBMaW1pdGVkLiIsImlzc3VlIjoiMSIsInZvbHVtZSI6IjUwIiwiY29udGFpbmVyLXRpdGxlLXNob3J0IjoiIn0sImlzVGVtcG9yYXJ5IjpmYWxzZSwic3VwcHJlc3MtYXV0aG9yIjpmYWxzZSwiY29tcG9zaXRlIjpmYWxzZSwiYXV0aG9yLW9ubHkiOmZhbHNlfV19"/>
          <w:id w:val="-586070236"/>
          <w:placeholder>
            <w:docPart w:val="DefaultPlaceholder_-1854013440"/>
          </w:placeholder>
        </w:sdtPr>
        <w:sdtContent>
          <w:r w:rsidR="00AD6D10" w:rsidRPr="007E7CB6">
            <w:rPr>
              <w:rFonts w:ascii="Times New Roman" w:eastAsia="Times New Roman" w:hAnsi="Times New Roman" w:cs="Times New Roman"/>
              <w:color w:val="000000"/>
              <w:sz w:val="24"/>
            </w:rPr>
            <w:t>(Chang &amp; Chen, 2012)</w:t>
          </w:r>
        </w:sdtContent>
      </w:sdt>
      <w:r w:rsidR="00310715" w:rsidRPr="007E7CB6">
        <w:rPr>
          <w:rFonts w:ascii="Times New Roman" w:eastAsia="Times New Roman" w:hAnsi="Times New Roman" w:cs="Times New Roman"/>
          <w:sz w:val="24"/>
          <w:szCs w:val="24"/>
        </w:rPr>
        <w:t>.</w:t>
      </w:r>
    </w:p>
    <w:p w14:paraId="39C90966" w14:textId="54DFA2E3" w:rsidR="00153781" w:rsidRPr="007E7CB6" w:rsidRDefault="00310715" w:rsidP="00310715">
      <w:pPr>
        <w:pStyle w:val="Caption"/>
        <w:spacing w:after="0" w:line="480" w:lineRule="auto"/>
        <w:rPr>
          <w:rFonts w:ascii="Times New Roman" w:eastAsia="Times New Roman" w:hAnsi="Times New Roman" w:cs="Times New Roman"/>
          <w:b/>
          <w:bCs/>
          <w:i w:val="0"/>
          <w:iCs w:val="0"/>
          <w:color w:val="000000" w:themeColor="text1"/>
          <w:sz w:val="24"/>
          <w:szCs w:val="24"/>
        </w:rPr>
      </w:pPr>
      <w:bookmarkStart w:id="76" w:name="_Toc209703362"/>
      <w:r w:rsidRPr="007E7CB6">
        <w:rPr>
          <w:rFonts w:ascii="Times New Roman" w:hAnsi="Times New Roman" w:cs="Times New Roman"/>
          <w:b/>
          <w:bCs/>
          <w:i w:val="0"/>
          <w:iCs w:val="0"/>
          <w:color w:val="000000" w:themeColor="text1"/>
          <w:sz w:val="24"/>
          <w:szCs w:val="24"/>
        </w:rPr>
        <w:t xml:space="preserve">Table 3.2 Green Intellectual Capital Indicator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4</w:t>
      </w:r>
      <w:bookmarkEnd w:id="76"/>
      <w:r w:rsidRPr="007E7CB6">
        <w:rPr>
          <w:rFonts w:ascii="Times New Roman" w:hAnsi="Times New Roman" w:cs="Times New Roman"/>
          <w:b/>
          <w:bCs/>
          <w:i w:val="0"/>
          <w:iCs w:val="0"/>
          <w:color w:val="FFFFFF" w:themeColor="background1"/>
          <w:sz w:val="24"/>
          <w:szCs w:val="24"/>
        </w:rPr>
        <w:fldChar w:fldCharType="end"/>
      </w:r>
    </w:p>
    <w:tbl>
      <w:tblPr>
        <w:tblStyle w:val="ae"/>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850"/>
        <w:gridCol w:w="5097"/>
      </w:tblGrid>
      <w:tr w:rsidR="00153781" w:rsidRPr="007E7CB6" w14:paraId="0C3603A1" w14:textId="77777777">
        <w:trPr>
          <w:trHeight w:val="518"/>
        </w:trPr>
        <w:tc>
          <w:tcPr>
            <w:tcW w:w="1980" w:type="dxa"/>
            <w:vAlign w:val="center"/>
          </w:tcPr>
          <w:p w14:paraId="707A5F46"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Category</w:t>
            </w:r>
          </w:p>
        </w:tc>
        <w:tc>
          <w:tcPr>
            <w:tcW w:w="850" w:type="dxa"/>
            <w:vAlign w:val="center"/>
          </w:tcPr>
          <w:p w14:paraId="21A5FCBD"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Code</w:t>
            </w:r>
          </w:p>
        </w:tc>
        <w:tc>
          <w:tcPr>
            <w:tcW w:w="5097" w:type="dxa"/>
            <w:vAlign w:val="center"/>
          </w:tcPr>
          <w:p w14:paraId="77DD9F52"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Description</w:t>
            </w:r>
          </w:p>
        </w:tc>
      </w:tr>
      <w:tr w:rsidR="00153781" w:rsidRPr="007E7CB6" w14:paraId="107E9359" w14:textId="77777777">
        <w:trPr>
          <w:trHeight w:val="650"/>
        </w:trPr>
        <w:tc>
          <w:tcPr>
            <w:tcW w:w="1980" w:type="dxa"/>
            <w:vMerge w:val="restart"/>
          </w:tcPr>
          <w:p w14:paraId="0F35EE44"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Green Human Capital (GHC)</w:t>
            </w:r>
          </w:p>
        </w:tc>
        <w:tc>
          <w:tcPr>
            <w:tcW w:w="850" w:type="dxa"/>
            <w:vAlign w:val="center"/>
          </w:tcPr>
          <w:p w14:paraId="230251B7"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GHC1</w:t>
            </w:r>
          </w:p>
        </w:tc>
        <w:tc>
          <w:tcPr>
            <w:tcW w:w="5097" w:type="dxa"/>
            <w:vAlign w:val="center"/>
          </w:tcPr>
          <w:p w14:paraId="2B059700"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Employees demonstrate strong productivity and contribution toward environmental protection.</w:t>
            </w:r>
          </w:p>
        </w:tc>
      </w:tr>
      <w:tr w:rsidR="00153781" w:rsidRPr="007E7CB6" w14:paraId="2E106549" w14:textId="77777777">
        <w:trPr>
          <w:trHeight w:val="733"/>
        </w:trPr>
        <w:tc>
          <w:tcPr>
            <w:tcW w:w="1980" w:type="dxa"/>
            <w:vMerge/>
          </w:tcPr>
          <w:p w14:paraId="62E78796"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0" w:type="dxa"/>
            <w:vAlign w:val="center"/>
          </w:tcPr>
          <w:p w14:paraId="67495F8E"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GHC2</w:t>
            </w:r>
          </w:p>
        </w:tc>
        <w:tc>
          <w:tcPr>
            <w:tcW w:w="5097" w:type="dxa"/>
            <w:vAlign w:val="center"/>
          </w:tcPr>
          <w:p w14:paraId="04E3B12B"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Employees have sufficient knowledge and skills in environmental management.</w:t>
            </w:r>
          </w:p>
        </w:tc>
      </w:tr>
      <w:tr w:rsidR="00153781" w:rsidRPr="007E7CB6" w14:paraId="13D9A803" w14:textId="77777777">
        <w:trPr>
          <w:trHeight w:val="701"/>
        </w:trPr>
        <w:tc>
          <w:tcPr>
            <w:tcW w:w="1980" w:type="dxa"/>
            <w:vMerge/>
          </w:tcPr>
          <w:p w14:paraId="460A70DE"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0" w:type="dxa"/>
            <w:vAlign w:val="center"/>
          </w:tcPr>
          <w:p w14:paraId="1998DC34"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GHC3</w:t>
            </w:r>
          </w:p>
        </w:tc>
        <w:tc>
          <w:tcPr>
            <w:tcW w:w="5097" w:type="dxa"/>
            <w:vAlign w:val="center"/>
          </w:tcPr>
          <w:p w14:paraId="18446B6B"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Employees provide environmentally friendly products and services.</w:t>
            </w:r>
          </w:p>
        </w:tc>
      </w:tr>
      <w:tr w:rsidR="00153781" w:rsidRPr="007E7CB6" w14:paraId="324B1EB8" w14:textId="77777777">
        <w:trPr>
          <w:trHeight w:val="713"/>
        </w:trPr>
        <w:tc>
          <w:tcPr>
            <w:tcW w:w="1980" w:type="dxa"/>
            <w:vMerge/>
          </w:tcPr>
          <w:p w14:paraId="200F4126"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0" w:type="dxa"/>
            <w:vAlign w:val="center"/>
          </w:tcPr>
          <w:p w14:paraId="04432247"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GHC4</w:t>
            </w:r>
          </w:p>
        </w:tc>
        <w:tc>
          <w:tcPr>
            <w:tcW w:w="5097" w:type="dxa"/>
            <w:vAlign w:val="center"/>
          </w:tcPr>
          <w:p w14:paraId="1E86BE9C" w14:textId="77777777" w:rsidR="00153781" w:rsidRPr="007E7CB6" w:rsidRDefault="00000000">
            <w:pPr>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Teams work collaboratively on environmental initiatives.</w:t>
            </w:r>
          </w:p>
        </w:tc>
      </w:tr>
      <w:tr w:rsidR="00153781" w:rsidRPr="007E7CB6" w14:paraId="633D433A" w14:textId="77777777">
        <w:trPr>
          <w:trHeight w:val="693"/>
        </w:trPr>
        <w:tc>
          <w:tcPr>
            <w:tcW w:w="1980" w:type="dxa"/>
            <w:vMerge/>
          </w:tcPr>
          <w:p w14:paraId="06E64D97"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850" w:type="dxa"/>
            <w:vAlign w:val="center"/>
          </w:tcPr>
          <w:p w14:paraId="4C3B5E0A"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GHC5</w:t>
            </w:r>
          </w:p>
        </w:tc>
        <w:tc>
          <w:tcPr>
            <w:tcW w:w="5097" w:type="dxa"/>
            <w:vAlign w:val="center"/>
          </w:tcPr>
          <w:p w14:paraId="1C938AB7" w14:textId="77777777" w:rsidR="00153781" w:rsidRPr="007E7CB6"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Managers support employees in achieving environmental goals.</w:t>
            </w:r>
          </w:p>
        </w:tc>
      </w:tr>
      <w:tr w:rsidR="00153781" w:rsidRPr="007E7CB6" w14:paraId="6CAF07FD" w14:textId="77777777">
        <w:trPr>
          <w:trHeight w:val="689"/>
        </w:trPr>
        <w:tc>
          <w:tcPr>
            <w:tcW w:w="1980" w:type="dxa"/>
            <w:vMerge w:val="restart"/>
          </w:tcPr>
          <w:p w14:paraId="4049037A"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lastRenderedPageBreak/>
              <w:t>Green Structural Capital (GSC)</w:t>
            </w:r>
          </w:p>
        </w:tc>
        <w:tc>
          <w:tcPr>
            <w:tcW w:w="850" w:type="dxa"/>
            <w:vAlign w:val="center"/>
          </w:tcPr>
          <w:p w14:paraId="4C173F6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GSC1</w:t>
            </w:r>
          </w:p>
        </w:tc>
        <w:tc>
          <w:tcPr>
            <w:tcW w:w="5097" w:type="dxa"/>
            <w:vAlign w:val="center"/>
          </w:tcPr>
          <w:p w14:paraId="32E740D5"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has an effective environmental management system.</w:t>
            </w:r>
          </w:p>
        </w:tc>
      </w:tr>
      <w:tr w:rsidR="00153781" w:rsidRPr="007E7CB6" w14:paraId="2CD6A3F6" w14:textId="77777777">
        <w:trPr>
          <w:trHeight w:val="699"/>
        </w:trPr>
        <w:tc>
          <w:tcPr>
            <w:tcW w:w="1980" w:type="dxa"/>
            <w:vMerge/>
          </w:tcPr>
          <w:p w14:paraId="11D2623C"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4F0F4BDF"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GSC2</w:t>
            </w:r>
          </w:p>
        </w:tc>
        <w:tc>
          <w:tcPr>
            <w:tcW w:w="5097" w:type="dxa"/>
            <w:vAlign w:val="center"/>
          </w:tcPr>
          <w:p w14:paraId="18DE8D12"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generates profit from its environmental protection activities.</w:t>
            </w:r>
          </w:p>
        </w:tc>
      </w:tr>
      <w:tr w:rsidR="00153781" w:rsidRPr="007E7CB6" w14:paraId="0D7E4352" w14:textId="77777777">
        <w:trPr>
          <w:trHeight w:val="683"/>
        </w:trPr>
        <w:tc>
          <w:tcPr>
            <w:tcW w:w="1980" w:type="dxa"/>
            <w:vMerge/>
          </w:tcPr>
          <w:p w14:paraId="415CE597"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23E0A7CD"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GSC3</w:t>
            </w:r>
          </w:p>
        </w:tc>
        <w:tc>
          <w:tcPr>
            <w:tcW w:w="5097" w:type="dxa"/>
            <w:vAlign w:val="center"/>
          </w:tcPr>
          <w:p w14:paraId="7C92240F"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invests in environmental R&amp;D in proportion to its overall operations.</w:t>
            </w:r>
          </w:p>
        </w:tc>
      </w:tr>
      <w:tr w:rsidR="00153781" w:rsidRPr="007E7CB6" w14:paraId="46D3B4E0" w14:textId="77777777">
        <w:trPr>
          <w:trHeight w:val="707"/>
        </w:trPr>
        <w:tc>
          <w:tcPr>
            <w:tcW w:w="1980" w:type="dxa"/>
            <w:vMerge/>
          </w:tcPr>
          <w:p w14:paraId="3FE95B9C"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766C39B3"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GSC4</w:t>
            </w:r>
          </w:p>
        </w:tc>
        <w:tc>
          <w:tcPr>
            <w:tcW w:w="5097" w:type="dxa"/>
            <w:vAlign w:val="center"/>
          </w:tcPr>
          <w:p w14:paraId="30EE738D"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engages in innovation related to environmental protection.</w:t>
            </w:r>
          </w:p>
        </w:tc>
      </w:tr>
      <w:tr w:rsidR="00153781" w:rsidRPr="007E7CB6" w14:paraId="61B61CD1" w14:textId="77777777">
        <w:trPr>
          <w:trHeight w:val="714"/>
        </w:trPr>
        <w:tc>
          <w:tcPr>
            <w:tcW w:w="1980" w:type="dxa"/>
            <w:vMerge/>
          </w:tcPr>
          <w:p w14:paraId="42CEC83F"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11E4EEAF"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GSC5</w:t>
            </w:r>
          </w:p>
        </w:tc>
        <w:tc>
          <w:tcPr>
            <w:tcW w:w="5097" w:type="dxa"/>
            <w:vAlign w:val="center"/>
          </w:tcPr>
          <w:p w14:paraId="16A5623B"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allocates funding to develop environmental protection facilities.</w:t>
            </w:r>
          </w:p>
        </w:tc>
      </w:tr>
      <w:tr w:rsidR="00153781" w:rsidRPr="007E7CB6" w14:paraId="4CA75412" w14:textId="77777777">
        <w:trPr>
          <w:trHeight w:val="981"/>
        </w:trPr>
        <w:tc>
          <w:tcPr>
            <w:tcW w:w="1980" w:type="dxa"/>
            <w:vMerge/>
          </w:tcPr>
          <w:p w14:paraId="227C5E49"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1839E0A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GSC6</w:t>
            </w:r>
          </w:p>
        </w:tc>
        <w:tc>
          <w:tcPr>
            <w:tcW w:w="5097" w:type="dxa"/>
            <w:vAlign w:val="center"/>
          </w:tcPr>
          <w:p w14:paraId="7F6B2640"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has a knowledge management system that facilitates learning and sharing of environmental practices.</w:t>
            </w:r>
          </w:p>
        </w:tc>
      </w:tr>
      <w:tr w:rsidR="00153781" w:rsidRPr="007E7CB6" w14:paraId="58D8F0FF" w14:textId="77777777">
        <w:trPr>
          <w:trHeight w:val="697"/>
        </w:trPr>
        <w:tc>
          <w:tcPr>
            <w:tcW w:w="1980" w:type="dxa"/>
            <w:vMerge w:val="restart"/>
          </w:tcPr>
          <w:p w14:paraId="4A5102E4"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Green Relational Capital (GRC)</w:t>
            </w:r>
          </w:p>
        </w:tc>
        <w:tc>
          <w:tcPr>
            <w:tcW w:w="850" w:type="dxa"/>
            <w:vAlign w:val="center"/>
          </w:tcPr>
          <w:p w14:paraId="20E8C23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GRC1</w:t>
            </w:r>
          </w:p>
        </w:tc>
        <w:tc>
          <w:tcPr>
            <w:tcW w:w="5097" w:type="dxa"/>
            <w:vAlign w:val="center"/>
          </w:tcPr>
          <w:p w14:paraId="1C6E91B8"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designs products and services that align with customers’ environmental preferences.</w:t>
            </w:r>
          </w:p>
        </w:tc>
      </w:tr>
      <w:tr w:rsidR="00153781" w:rsidRPr="007E7CB6" w14:paraId="691EDE34" w14:textId="77777777">
        <w:trPr>
          <w:trHeight w:val="977"/>
        </w:trPr>
        <w:tc>
          <w:tcPr>
            <w:tcW w:w="1980" w:type="dxa"/>
            <w:vMerge/>
          </w:tcPr>
          <w:p w14:paraId="15A24679"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0D764FA6"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GRC2</w:t>
            </w:r>
          </w:p>
        </w:tc>
        <w:tc>
          <w:tcPr>
            <w:tcW w:w="5097" w:type="dxa"/>
            <w:vAlign w:val="center"/>
          </w:tcPr>
          <w:p w14:paraId="0EDA55EB"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maintains stable cooperative relationships with suppliers and clients regarding environmental efforts.</w:t>
            </w:r>
          </w:p>
        </w:tc>
      </w:tr>
      <w:tr w:rsidR="00153781" w:rsidRPr="007E7CB6" w14:paraId="6E0B2756" w14:textId="77777777">
        <w:trPr>
          <w:trHeight w:val="693"/>
        </w:trPr>
        <w:tc>
          <w:tcPr>
            <w:tcW w:w="1980" w:type="dxa"/>
            <w:vMerge/>
          </w:tcPr>
          <w:p w14:paraId="603F55D1" w14:textId="77777777" w:rsidR="00153781" w:rsidRPr="007E7CB6" w:rsidRDefault="00153781">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850" w:type="dxa"/>
            <w:vAlign w:val="center"/>
          </w:tcPr>
          <w:p w14:paraId="78CC2676"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GRC3</w:t>
            </w:r>
          </w:p>
        </w:tc>
        <w:tc>
          <w:tcPr>
            <w:tcW w:w="5097" w:type="dxa"/>
            <w:vAlign w:val="center"/>
          </w:tcPr>
          <w:p w14:paraId="4AEC8084" w14:textId="77777777" w:rsidR="00153781" w:rsidRPr="007E7CB6" w:rsidRDefault="00000000">
            <w:pPr>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The company engages in long-term partnerships for environmental collaboration.</w:t>
            </w:r>
          </w:p>
        </w:tc>
      </w:tr>
    </w:tbl>
    <w:p w14:paraId="3CF0F0D9" w14:textId="6E463411" w:rsidR="00153781" w:rsidRPr="007E7CB6" w:rsidRDefault="00000000">
      <w:pPr>
        <w:pBdr>
          <w:top w:val="nil"/>
          <w:left w:val="nil"/>
          <w:bottom w:val="nil"/>
          <w:right w:val="nil"/>
          <w:between w:val="nil"/>
        </w:pBdr>
        <w:spacing w:after="200" w:line="240" w:lineRule="auto"/>
        <w:jc w:val="both"/>
        <w:rPr>
          <w:rFonts w:ascii="Times New Roman" w:eastAsia="Times New Roman" w:hAnsi="Times New Roman" w:cs="Times New Roman"/>
          <w:i/>
        </w:rPr>
      </w:pPr>
      <w:r w:rsidRPr="007E7CB6">
        <w:rPr>
          <w:rFonts w:ascii="Times New Roman" w:eastAsia="Times New Roman" w:hAnsi="Times New Roman" w:cs="Times New Roman"/>
          <w:i/>
        </w:rPr>
        <w:t>Source</w:t>
      </w:r>
      <w:r w:rsidRPr="007E7CB6">
        <w:rPr>
          <w:rFonts w:ascii="Times New Roman" w:eastAsia="Times New Roman" w:hAnsi="Times New Roman" w:cs="Times New Roman"/>
          <w:i/>
          <w:color w:val="000000"/>
        </w:rPr>
        <w:t>:  Chen dan Chang, 2012</w:t>
      </w:r>
    </w:p>
    <w:p w14:paraId="0254902C" w14:textId="164866DD" w:rsidR="00153781" w:rsidRPr="007E7CB6" w:rsidRDefault="00310715">
      <w:pPr>
        <w:pBdr>
          <w:top w:val="nil"/>
          <w:left w:val="nil"/>
          <w:bottom w:val="nil"/>
          <w:right w:val="nil"/>
          <w:between w:val="nil"/>
        </w:pBdr>
        <w:spacing w:line="240" w:lineRule="auto"/>
        <w:jc w:val="both"/>
        <w:rPr>
          <w:rFonts w:ascii="Times New Roman" w:eastAsia="Times New Roman" w:hAnsi="Times New Roman" w:cs="Times New Roman"/>
          <w:i/>
          <w:sz w:val="14"/>
          <w:szCs w:val="14"/>
        </w:rPr>
      </w:pPr>
      <w:r w:rsidRPr="007E7CB6">
        <w:rPr>
          <w:rFonts w:ascii="Times New Roman" w:hAnsi="Times New Roman" w:cs="Times New Roman"/>
          <w:noProof/>
        </w:rPr>
        <mc:AlternateContent>
          <mc:Choice Requires="wps">
            <w:drawing>
              <wp:anchor distT="0" distB="0" distL="114300" distR="114300" simplePos="0" relativeHeight="251669504" behindDoc="0" locked="0" layoutInCell="1" hidden="0" allowOverlap="1" wp14:anchorId="4688C822" wp14:editId="581CDDEB">
                <wp:simplePos x="0" y="0"/>
                <wp:positionH relativeFrom="column">
                  <wp:posOffset>9525</wp:posOffset>
                </wp:positionH>
                <wp:positionV relativeFrom="paragraph">
                  <wp:posOffset>10795</wp:posOffset>
                </wp:positionV>
                <wp:extent cx="5045075" cy="568325"/>
                <wp:effectExtent l="0" t="0" r="22225" b="22225"/>
                <wp:wrapNone/>
                <wp:docPr id="83" name="Rectangle 83"/>
                <wp:cNvGraphicFramePr/>
                <a:graphic xmlns:a="http://schemas.openxmlformats.org/drawingml/2006/main">
                  <a:graphicData uri="http://schemas.microsoft.com/office/word/2010/wordprocessingShape">
                    <wps:wsp>
                      <wps:cNvSpPr/>
                      <wps:spPr>
                        <a:xfrm>
                          <a:off x="0" y="0"/>
                          <a:ext cx="5045075" cy="568325"/>
                        </a:xfrm>
                        <a:prstGeom prst="rect">
                          <a:avLst/>
                        </a:prstGeom>
                        <a:noFill/>
                        <a:ln w="9525" cap="flat" cmpd="sng">
                          <a:solidFill>
                            <a:schemeClr val="dk1"/>
                          </a:solidFill>
                          <a:prstDash val="solid"/>
                          <a:round/>
                          <a:headEnd type="none" w="sm" len="sm"/>
                          <a:tailEnd type="none" w="sm" len="sm"/>
                        </a:ln>
                      </wps:spPr>
                      <wps:txbx>
                        <w:txbxContent>
                          <w:p w14:paraId="2D94EF0D"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88C822" id="Rectangle 83" o:spid="_x0000_s1036" style="position:absolute;left:0;text-align:left;margin-left:.75pt;margin-top:.85pt;width:397.25pt;height:4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XRBAIAABIEAAAOAAAAZHJzL2Uyb0RvYy54bWysU9uO0zAQfUfiHyy/0yRls+xGTVdoSxHS&#10;iq208AFT22ksfMN2m/TvGTulLfCAhHixZ+zxzJkzx4uHUStyED5Ia1pazUpKhGGWS7Nr6dcv6zd3&#10;lIQIhoOyRrT0KAJ9WL5+tRhcI+a2t4oLTzCJCc3gWtrH6JqiCKwXGsLMOmHwsrNeQ0TX7wruYcDs&#10;WhXzsrwtBuu585aJEPB0NV3SZc7fdYLF564LIhLVUsQW8+rzuk1rsVxAs/PgeslOMOAfUGiQBoue&#10;U60gAtl7+UcqLZm3wXZxxqwubNdJJnIP2E1V/tbNSw9O5F6QnODONIX/l5Z9Pry4jUcaBheagGbq&#10;Yuy8TjviI2Mm63gmS4yRMDysy5u6fFdTwvCuvr17O68Tm8XltfMhfhRWk2S01OMwMkdweApxCv0Z&#10;kooZu5ZK5YEoQ4aW3teYkjBAWXQKIpra8ZYGs8tpglWSpyfpcRaMeFSeHABHzb9VJzC/RKVyKwj9&#10;FJSvJgV4uzc8l+4F8A+Gk3h0KFeDoqUJS9CUKIESRyPHRZDq73HIhjJIyoXcZMVxOxKJrVRZgOlo&#10;a/lx40lwbC0R5BOEuAGPUqywPMoTC3/fg0cw6pPB+d9XN4mceO34a2d77YBhvUXVs+gpmZzHmH/B&#10;RPz7fbSdzDO5gDnBRuHlqZ4+SVL2tZ+jLl95+QMAAP//AwBQSwMEFAAGAAgAAAAhAMOhfSDaAAAA&#10;BgEAAA8AAABkcnMvZG93bnJldi54bWxMj81OwzAQhO9IvIO1SNyo0yD6E+JUCNQHIBTB0Y23cdR4&#10;HWw3CW/PcoLTajSj2W/K3ex6MWKInScFy0UGAqnxpqNWweFtf7cBEZMmo3tPqOAbI+yq66tSF8ZP&#10;9IpjnVrBJRQLrcCmNBRSxsai03HhByT2Tj44nViGVpqgJy53vcyzbCWd7og/WD3gs8XmXF+cgjB9&#10;aSnzOH4epvpjONPe3r+8K3V7Mz89gkg4p78w/OIzOlTMdPQXMlH0rB84yGcNgt31dsXLjgq2yxxk&#10;Vcr/+NUPAAAA//8DAFBLAQItABQABgAIAAAAIQC2gziS/gAAAOEBAAATAAAAAAAAAAAAAAAAAAAA&#10;AABbQ29udGVudF9UeXBlc10ueG1sUEsBAi0AFAAGAAgAAAAhADj9If/WAAAAlAEAAAsAAAAAAAAA&#10;AAAAAAAALwEAAF9yZWxzLy5yZWxzUEsBAi0AFAAGAAgAAAAhAJQCRdEEAgAAEgQAAA4AAAAAAAAA&#10;AAAAAAAALgIAAGRycy9lMm9Eb2MueG1sUEsBAi0AFAAGAAgAAAAhAMOhfSDaAAAABgEAAA8AAAAA&#10;AAAAAAAAAAAAXgQAAGRycy9kb3ducmV2LnhtbFBLBQYAAAAABAAEAPMAAABlBQAAAAA=&#10;" filled="f" strokecolor="black [3200]">
                <v:stroke startarrowwidth="narrow" startarrowlength="short" endarrowwidth="narrow" endarrowlength="short" joinstyle="round"/>
                <v:textbox inset="2.53958mm,2.53958mm,2.53958mm,2.53958mm">
                  <w:txbxContent>
                    <w:p w14:paraId="2D94EF0D" w14:textId="77777777" w:rsidR="00153781" w:rsidRDefault="00153781">
                      <w:pPr>
                        <w:spacing w:line="240" w:lineRule="auto"/>
                        <w:textDirection w:val="btLr"/>
                      </w:pPr>
                    </w:p>
                  </w:txbxContent>
                </v:textbox>
              </v:rect>
            </w:pict>
          </mc:Fallback>
        </mc:AlternateContent>
      </w:r>
    </w:p>
    <w:p w14:paraId="012BAB93" w14:textId="0905AC87" w:rsidR="00153781" w:rsidRPr="007E7CB6" w:rsidRDefault="00000000">
      <w:pPr>
        <w:spacing w:after="200"/>
        <w:jc w:val="center"/>
        <w:rPr>
          <w:rFonts w:ascii="Times New Roman" w:eastAsia="Times New Roman" w:hAnsi="Times New Roman" w:cs="Times New Roman"/>
          <w:color w:val="000000"/>
          <w:sz w:val="32"/>
          <w:szCs w:val="32"/>
        </w:rPr>
      </w:pPr>
      <m:oMathPara>
        <m:oMath>
          <m:r>
            <w:rPr>
              <w:rFonts w:ascii="Cambria Math" w:eastAsia="Times New Roman" w:hAnsi="Cambria Math" w:cs="Times New Roman"/>
              <w:sz w:val="24"/>
              <w:szCs w:val="24"/>
            </w:rPr>
            <m:t>GIC=</m:t>
          </m:r>
          <m:f>
            <m:fPr>
              <m:ctrlPr>
                <w:rPr>
                  <w:rFonts w:ascii="Cambria Math" w:eastAsia="Times New Roman" w:hAnsi="Cambria Math" w:cs="Times New Roman"/>
                  <w:sz w:val="24"/>
                  <w:szCs w:val="24"/>
                </w:rPr>
              </m:ctrlPr>
            </m:fPr>
            <m:num>
              <m:r>
                <w:rPr>
                  <w:rFonts w:ascii="Cambria Math" w:eastAsia="Times New Roman" w:hAnsi="Cambria Math" w:cs="Times New Roman"/>
                  <w:sz w:val="24"/>
                  <w:szCs w:val="24"/>
                </w:rPr>
                <m:t>Total Items Disclosed</m:t>
              </m:r>
            </m:num>
            <m:den>
              <m:r>
                <w:rPr>
                  <w:rFonts w:ascii="Cambria Math" w:eastAsia="Times New Roman" w:hAnsi="Cambria Math" w:cs="Times New Roman"/>
                  <w:sz w:val="24"/>
                  <w:szCs w:val="24"/>
                </w:rPr>
                <m:t>Maximum Total Score</m:t>
              </m:r>
            </m:den>
          </m:f>
          <m:r>
            <w:rPr>
              <w:rFonts w:ascii="Cambria Math" w:eastAsia="Times New Roman" w:hAnsi="Cambria Math" w:cs="Times New Roman"/>
              <w:sz w:val="24"/>
              <w:szCs w:val="24"/>
            </w:rPr>
            <m:t xml:space="preserve"> x 100%......................................3.5</m:t>
          </m:r>
        </m:oMath>
      </m:oMathPara>
    </w:p>
    <w:p w14:paraId="0361D3BE" w14:textId="77777777" w:rsidR="00153781" w:rsidRPr="007E7CB6" w:rsidRDefault="00153781">
      <w:pPr>
        <w:pStyle w:val="Heading2"/>
        <w:spacing w:line="480" w:lineRule="auto"/>
        <w:rPr>
          <w:rFonts w:ascii="Times New Roman" w:eastAsia="Times New Roman" w:hAnsi="Times New Roman" w:cs="Times New Roman"/>
          <w:b/>
          <w:sz w:val="2"/>
          <w:szCs w:val="2"/>
        </w:rPr>
      </w:pPr>
      <w:bookmarkStart w:id="77" w:name="_heading=h.d0aiawdhsztz" w:colFirst="0" w:colLast="0"/>
      <w:bookmarkEnd w:id="77"/>
    </w:p>
    <w:p w14:paraId="5B04C003" w14:textId="77777777" w:rsidR="00153781" w:rsidRPr="007E7CB6" w:rsidRDefault="00000000" w:rsidP="00310715">
      <w:pPr>
        <w:pStyle w:val="Heading2"/>
        <w:spacing w:before="240" w:line="480" w:lineRule="auto"/>
        <w:rPr>
          <w:rFonts w:ascii="Times New Roman" w:eastAsia="Times New Roman" w:hAnsi="Times New Roman" w:cs="Times New Roman"/>
          <w:b/>
        </w:rPr>
      </w:pPr>
      <w:bookmarkStart w:id="78" w:name="_Toc210744238"/>
      <w:r w:rsidRPr="007E7CB6">
        <w:rPr>
          <w:rFonts w:ascii="Times New Roman" w:eastAsia="Times New Roman" w:hAnsi="Times New Roman" w:cs="Times New Roman"/>
          <w:b/>
          <w:color w:val="000000"/>
          <w:sz w:val="24"/>
          <w:szCs w:val="24"/>
        </w:rPr>
        <w:t>3.2</w:t>
      </w:r>
      <w:r w:rsidRPr="007E7CB6">
        <w:rPr>
          <w:rFonts w:ascii="Times New Roman" w:eastAsia="Times New Roman" w:hAnsi="Times New Roman" w:cs="Times New Roman"/>
          <w:b/>
          <w:color w:val="000000"/>
          <w:sz w:val="24"/>
          <w:szCs w:val="24"/>
        </w:rPr>
        <w:tab/>
      </w:r>
      <w:r w:rsidRPr="007E7CB6">
        <w:rPr>
          <w:rFonts w:ascii="Times New Roman" w:eastAsia="Times New Roman" w:hAnsi="Times New Roman" w:cs="Times New Roman"/>
          <w:b/>
          <w:sz w:val="24"/>
          <w:szCs w:val="24"/>
        </w:rPr>
        <w:t>Population and Sample</w:t>
      </w:r>
      <w:bookmarkEnd w:id="78"/>
    </w:p>
    <w:p w14:paraId="60470F4E"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79" w:name="_Toc210744239"/>
      <w:r w:rsidRPr="007E7CB6">
        <w:rPr>
          <w:rFonts w:ascii="Times New Roman" w:eastAsia="Times New Roman" w:hAnsi="Times New Roman" w:cs="Times New Roman"/>
          <w:b/>
          <w:color w:val="000000"/>
          <w:sz w:val="24"/>
          <w:szCs w:val="24"/>
        </w:rPr>
        <w:t>3.2.1</w:t>
      </w:r>
      <w:r w:rsidRPr="007E7CB6">
        <w:rPr>
          <w:rFonts w:ascii="Times New Roman" w:eastAsia="Times New Roman" w:hAnsi="Times New Roman" w:cs="Times New Roman"/>
          <w:b/>
          <w:color w:val="000000"/>
          <w:sz w:val="24"/>
          <w:szCs w:val="24"/>
        </w:rPr>
        <w:tab/>
        <w:t>Population</w:t>
      </w:r>
      <w:bookmarkEnd w:id="79"/>
    </w:p>
    <w:p w14:paraId="21231C0C" w14:textId="29F1FDAD" w:rsidR="00153781" w:rsidRPr="007E7CB6" w:rsidRDefault="00000000">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b/>
      </w:r>
      <w:r w:rsidRPr="007E7CB6">
        <w:rPr>
          <w:rFonts w:ascii="Times New Roman" w:eastAsia="Times New Roman" w:hAnsi="Times New Roman" w:cs="Times New Roman"/>
          <w:sz w:val="24"/>
          <w:szCs w:val="24"/>
        </w:rPr>
        <w:t xml:space="preserve">This study uses companies operating in the energy sector as its research population. The determination of the energy sector in this study adopts the conceptual approach of the Sectoral Decarbonization Approach (SDA), which emphasizes that sector classification in the context of climate change mitigation should not be based solely on formal categorization, such as sector classification on </w:t>
      </w:r>
      <w:r w:rsidRPr="007E7CB6">
        <w:rPr>
          <w:rFonts w:ascii="Times New Roman" w:eastAsia="Times New Roman" w:hAnsi="Times New Roman" w:cs="Times New Roman"/>
          <w:sz w:val="24"/>
          <w:szCs w:val="24"/>
        </w:rPr>
        <w:lastRenderedPageBreak/>
        <w:t>the Indonesia Stock Exchange (IDX), but should also consider actual activities and sectoral emission intensity</w:t>
      </w:r>
      <w:r w:rsidR="00310715"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WVjNzI0ZDEtY2Y2MS00NTQ3LWI4NTEtMzFlMjUzOGFjNjAyIiwicHJvcGVydGllcyI6eyJub3RlSW5kZXgiOjB9LCJpc0VkaXRlZCI6ZmFsc2UsIm1hbnVhbE92ZXJyaWRlIjp7ImlzTWFudWFsbHlPdmVycmlkZGVuIjp0cnVlLCJjaXRlcHJvY1RleHQiOiIoU0VDVE9SQUwgREVDQVJCT05JWkFUSU9OIEFQUFJPQUNIIChTREEpOiBBIE1ldGhvZCBmb3IgU2V0dGluZyBDb3Jwb3JhdGUgRW1pc3Npb24gUmVkdWN0aW9uIFRhcmdldHMgaW4gTGluZSB3aXRoIENsaW1hdGUgU2NpZW5jZSwgbi5kLikiLCJtYW51YWxPdmVycmlkZVRleHQiOiIoU2NpZW5jZSBCYXNlZCBUYXJnZXRzIEluaXRpYXRpdmUsIDIwMTUpIn0sImNpdGF0aW9uSXRlbXMiOlt7ImlkIjoiOTVmM2U0ZDUtNjgzZi0zNWRmLWEzNWUtMjI4OTc2ZWJmOGU5IiwiaXRlbURhdGEiOnsidHlwZSI6InJlcG9ydCIsImlkIjoiOTVmM2U0ZDUtNjgzZi0zNWRmLWEzNWUtMjI4OTc2ZWJmOGU5IiwidGl0bGUiOiJTRUNUT1JBTCBERUNBUkJPTklaQVRJT04gQVBQUk9BQ0ggKFNEQSk6IEEgbWV0aG9kIGZvciBzZXR0aW5nIGNvcnBvcmF0ZSBlbWlzc2lvbiByZWR1Y3Rpb24gdGFyZ2V0cyBpbiBsaW5lIHdpdGggY2xpbWF0ZSBzY2llbmNlIiwiY29udGFpbmVyLXRpdGxlLXNob3J0IjoiIn0sImlzVGVtcG9yYXJ5IjpmYWxzZSwic3VwcHJlc3MtYXV0aG9yIjpmYWxzZSwiY29tcG9zaXRlIjpmYWxzZSwiYXV0aG9yLW9ubHkiOmZhbHNlfV19"/>
          <w:id w:val="-1278401260"/>
          <w:placeholder>
            <w:docPart w:val="DefaultPlaceholder_-1854013440"/>
          </w:placeholder>
        </w:sdtPr>
        <w:sdtContent>
          <w:r w:rsidR="00AD6D10" w:rsidRPr="007E7CB6">
            <w:rPr>
              <w:rFonts w:ascii="Times New Roman" w:eastAsia="Times New Roman" w:hAnsi="Times New Roman" w:cs="Times New Roman"/>
              <w:color w:val="000000"/>
              <w:sz w:val="24"/>
              <w:szCs w:val="24"/>
            </w:rPr>
            <w:t>(Science Based Targets Initiative, 2015)</w:t>
          </w:r>
        </w:sdtContent>
      </w:sdt>
      <w:r w:rsidR="00310715" w:rsidRPr="007E7CB6">
        <w:rPr>
          <w:rFonts w:ascii="Times New Roman" w:eastAsia="Times New Roman" w:hAnsi="Times New Roman" w:cs="Times New Roman"/>
          <w:color w:val="000000"/>
          <w:sz w:val="24"/>
          <w:szCs w:val="24"/>
        </w:rPr>
        <w:t>.</w:t>
      </w:r>
      <w:r w:rsidRPr="007E7CB6">
        <w:rPr>
          <w:rFonts w:ascii="Times New Roman" w:eastAsia="Times New Roman" w:hAnsi="Times New Roman" w:cs="Times New Roman"/>
          <w:sz w:val="24"/>
          <w:szCs w:val="24"/>
        </w:rPr>
        <w:t xml:space="preserve"> </w:t>
      </w:r>
    </w:p>
    <w:p w14:paraId="5AF7C3BC" w14:textId="77777777" w:rsidR="00153781" w:rsidRPr="007E7CB6" w:rsidRDefault="00000000">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Based on data developed by the World Resources Institute (WRI), the energy sector is the largest contributor to global greenhouse gas emissions, accounting for approximately 73.2% of total carbon emissions. Therefore, this study expands the scope of the energy sector while still referring to the principle of </w:t>
      </w:r>
      <w:r w:rsidRPr="007E7CB6">
        <w:rPr>
          <w:rFonts w:ascii="Times New Roman" w:eastAsia="Times New Roman" w:hAnsi="Times New Roman" w:cs="Times New Roman"/>
          <w:i/>
          <w:sz w:val="24"/>
          <w:szCs w:val="24"/>
        </w:rPr>
        <w:t>sectoral functionality</w:t>
      </w:r>
      <w:r w:rsidRPr="007E7CB6">
        <w:rPr>
          <w:rFonts w:ascii="Times New Roman" w:eastAsia="Times New Roman" w:hAnsi="Times New Roman" w:cs="Times New Roman"/>
          <w:sz w:val="24"/>
          <w:szCs w:val="24"/>
        </w:rPr>
        <w:t xml:space="preserve"> in SDA. This means that in addition to companies that are formally classified in the energy sector on the IDX, this study also includes companies from other sectors such as </w:t>
      </w:r>
      <w:r w:rsidRPr="007E7CB6">
        <w:rPr>
          <w:rFonts w:ascii="Times New Roman" w:eastAsia="Times New Roman" w:hAnsi="Times New Roman" w:cs="Times New Roman"/>
          <w:i/>
          <w:sz w:val="24"/>
          <w:szCs w:val="24"/>
        </w:rPr>
        <w:t xml:space="preserve">Basic Materials, Industrials, Infrastructure, </w:t>
      </w:r>
      <w:r w:rsidRPr="007E7CB6">
        <w:rPr>
          <w:rFonts w:ascii="Times New Roman" w:eastAsia="Times New Roman" w:hAnsi="Times New Roman" w:cs="Times New Roman"/>
          <w:sz w:val="24"/>
          <w:szCs w:val="24"/>
        </w:rPr>
        <w:t xml:space="preserve">and </w:t>
      </w:r>
      <w:r w:rsidRPr="007E7CB6">
        <w:rPr>
          <w:rFonts w:ascii="Times New Roman" w:eastAsia="Times New Roman" w:hAnsi="Times New Roman" w:cs="Times New Roman"/>
          <w:i/>
          <w:sz w:val="24"/>
          <w:szCs w:val="24"/>
        </w:rPr>
        <w:t>Transportation &amp; Logistics,</w:t>
      </w:r>
      <w:r w:rsidRPr="007E7CB6">
        <w:rPr>
          <w:rFonts w:ascii="Times New Roman" w:eastAsia="Times New Roman" w:hAnsi="Times New Roman" w:cs="Times New Roman"/>
          <w:sz w:val="24"/>
          <w:szCs w:val="24"/>
        </w:rPr>
        <w:t xml:space="preserve"> which have high energy consumption intensity and substantial emission contributions.</w:t>
      </w:r>
    </w:p>
    <w:p w14:paraId="6E1CF928" w14:textId="77777777" w:rsidR="00153781" w:rsidRPr="007E7CB6" w:rsidRDefault="00000000">
      <w:pPr>
        <w:pBdr>
          <w:top w:val="nil"/>
          <w:left w:val="nil"/>
          <w:bottom w:val="nil"/>
          <w:right w:val="nil"/>
          <w:between w:val="nil"/>
        </w:pBd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Thus, the approach used does not limit the energy sector to administrative classifications, but also includes sub-sectors that are operationally relevant and significant in the context of decarbonization. To support this classification, the following is presented:</w:t>
      </w:r>
    </w:p>
    <w:p w14:paraId="688F6904" w14:textId="3DBCE253" w:rsidR="00153781" w:rsidRPr="007E7CB6" w:rsidRDefault="00400B78" w:rsidP="00AD449C">
      <w:pPr>
        <w:pStyle w:val="Caption"/>
        <w:spacing w:after="0" w:line="360" w:lineRule="auto"/>
        <w:ind w:left="993" w:hanging="993"/>
        <w:jc w:val="both"/>
        <w:rPr>
          <w:rFonts w:ascii="Times New Roman" w:eastAsia="Times New Roman" w:hAnsi="Times New Roman" w:cs="Times New Roman"/>
          <w:b/>
          <w:bCs/>
          <w:i w:val="0"/>
          <w:iCs w:val="0"/>
          <w:color w:val="000000" w:themeColor="text1"/>
          <w:sz w:val="36"/>
          <w:szCs w:val="36"/>
        </w:rPr>
      </w:pPr>
      <w:bookmarkStart w:id="80" w:name="_Toc209703363"/>
      <w:r w:rsidRPr="007E7CB6">
        <w:rPr>
          <w:rFonts w:ascii="Times New Roman" w:hAnsi="Times New Roman" w:cs="Times New Roman"/>
          <w:b/>
          <w:bCs/>
          <w:i w:val="0"/>
          <w:iCs w:val="0"/>
          <w:color w:val="000000" w:themeColor="text1"/>
          <w:sz w:val="24"/>
          <w:szCs w:val="24"/>
        </w:rPr>
        <w:t xml:space="preserve">Table 3.3 Detailed mapping of WRI’S energy sector categories to relevant </w:t>
      </w:r>
      <w:r w:rsidR="004E5C8A">
        <w:rPr>
          <w:rFonts w:ascii="Times New Roman" w:hAnsi="Times New Roman" w:cs="Times New Roman"/>
          <w:b/>
          <w:bCs/>
          <w:i w:val="0"/>
          <w:iCs w:val="0"/>
          <w:color w:val="000000" w:themeColor="text1"/>
          <w:sz w:val="24"/>
          <w:szCs w:val="24"/>
        </w:rPr>
        <w:t>IDX</w:t>
      </w:r>
      <w:r w:rsidRPr="007E7CB6">
        <w:rPr>
          <w:rFonts w:ascii="Times New Roman" w:hAnsi="Times New Roman" w:cs="Times New Roman"/>
          <w:b/>
          <w:bCs/>
          <w:i w:val="0"/>
          <w:iCs w:val="0"/>
          <w:color w:val="000000" w:themeColor="text1"/>
          <w:sz w:val="24"/>
          <w:szCs w:val="24"/>
        </w:rPr>
        <w:t xml:space="preserve"> sectors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5</w:t>
      </w:r>
      <w:bookmarkEnd w:id="80"/>
      <w:r w:rsidRPr="007E7CB6">
        <w:rPr>
          <w:rFonts w:ascii="Times New Roman" w:hAnsi="Times New Roman" w:cs="Times New Roman"/>
          <w:b/>
          <w:bCs/>
          <w:i w:val="0"/>
          <w:iCs w:val="0"/>
          <w:color w:val="FFFFFF" w:themeColor="background1"/>
          <w:sz w:val="24"/>
          <w:szCs w:val="24"/>
        </w:rPr>
        <w:fldChar w:fldCharType="end"/>
      </w:r>
    </w:p>
    <w:tbl>
      <w:tblPr>
        <w:tblStyle w:val="af"/>
        <w:tblW w:w="7920" w:type="dxa"/>
        <w:tblLayout w:type="fixed"/>
        <w:tblLook w:val="0400" w:firstRow="0" w:lastRow="0" w:firstColumn="0" w:lastColumn="0" w:noHBand="0" w:noVBand="1"/>
      </w:tblPr>
      <w:tblGrid>
        <w:gridCol w:w="618"/>
        <w:gridCol w:w="2493"/>
        <w:gridCol w:w="4809"/>
      </w:tblGrid>
      <w:tr w:rsidR="00153781" w:rsidRPr="007E7CB6" w14:paraId="76AA216A" w14:textId="77777777" w:rsidTr="00AD449C">
        <w:trPr>
          <w:trHeight w:val="406"/>
        </w:trPr>
        <w:tc>
          <w:tcPr>
            <w:tcW w:w="6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BCB77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No.</w:t>
            </w:r>
          </w:p>
        </w:tc>
        <w:tc>
          <w:tcPr>
            <w:tcW w:w="24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2D7111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WRI</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B89147" w14:textId="7D067916" w:rsidR="00153781" w:rsidRPr="007E7CB6" w:rsidRDefault="004E5C8A">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IDX</w:t>
            </w:r>
          </w:p>
        </w:tc>
      </w:tr>
      <w:tr w:rsidR="00153781" w:rsidRPr="007E7CB6" w14:paraId="0CAA1A55" w14:textId="77777777" w:rsidTr="00AD449C">
        <w:trPr>
          <w:trHeight w:val="413"/>
        </w:trPr>
        <w:tc>
          <w:tcPr>
            <w:tcW w:w="618"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7D0CA6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2493"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FF2BF98"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Electricity and Heat: 29.7%</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ACF7C5"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0"/>
                <w:id w:val="896731263"/>
              </w:sdtPr>
              <w:sdtContent>
                <w:r w:rsidRPr="007E7CB6">
                  <w:rPr>
                    <w:rFonts w:ascii="Times New Roman" w:eastAsia="Cardo" w:hAnsi="Times New Roman" w:cs="Times New Roman"/>
                    <w:color w:val="000000"/>
                    <w:sz w:val="24"/>
                    <w:szCs w:val="24"/>
                  </w:rPr>
                  <w:t xml:space="preserve">Energy → </w:t>
                </w:r>
              </w:sdtContent>
            </w:sdt>
            <w:r w:rsidRPr="007E7CB6">
              <w:rPr>
                <w:rFonts w:ascii="Times New Roman" w:eastAsia="Times New Roman" w:hAnsi="Times New Roman" w:cs="Times New Roman"/>
                <w:sz w:val="24"/>
                <w:szCs w:val="24"/>
              </w:rPr>
              <w:t>Electricity and Heat Companies</w:t>
            </w:r>
          </w:p>
        </w:tc>
      </w:tr>
      <w:tr w:rsidR="00153781" w:rsidRPr="007E7CB6" w14:paraId="2232DE3D" w14:textId="77777777" w:rsidTr="00AD449C">
        <w:trPr>
          <w:trHeight w:val="315"/>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C0F99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A33A6A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8CAF6E"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1"/>
                <w:id w:val="452392253"/>
              </w:sdtPr>
              <w:sdtContent>
                <w:r w:rsidRPr="007E7CB6">
                  <w:rPr>
                    <w:rFonts w:ascii="Times New Roman" w:eastAsia="Cardo" w:hAnsi="Times New Roman" w:cs="Times New Roman"/>
                    <w:color w:val="000000"/>
                    <w:sz w:val="24"/>
                    <w:szCs w:val="24"/>
                  </w:rPr>
                  <w:t xml:space="preserve">Infrastructure → </w:t>
                </w:r>
              </w:sdtContent>
            </w:sdt>
            <w:r w:rsidRPr="007E7CB6">
              <w:rPr>
                <w:rFonts w:ascii="Times New Roman" w:eastAsia="Times New Roman" w:hAnsi="Times New Roman" w:cs="Times New Roman"/>
                <w:sz w:val="24"/>
                <w:szCs w:val="24"/>
              </w:rPr>
              <w:t>S</w:t>
            </w:r>
            <w:r w:rsidRPr="007E7CB6">
              <w:rPr>
                <w:rFonts w:ascii="Times New Roman" w:eastAsia="Times New Roman" w:hAnsi="Times New Roman" w:cs="Times New Roman"/>
                <w:color w:val="000000"/>
                <w:sz w:val="24"/>
                <w:szCs w:val="24"/>
              </w:rPr>
              <w:t xml:space="preserve">ub </w:t>
            </w:r>
            <w:r w:rsidRPr="007E7CB6">
              <w:rPr>
                <w:rFonts w:ascii="Times New Roman" w:eastAsia="Times New Roman" w:hAnsi="Times New Roman" w:cs="Times New Roman"/>
                <w:sz w:val="24"/>
                <w:szCs w:val="24"/>
              </w:rPr>
              <w:t>S</w:t>
            </w:r>
            <w:r w:rsidRPr="007E7CB6">
              <w:rPr>
                <w:rFonts w:ascii="Times New Roman" w:eastAsia="Times New Roman" w:hAnsi="Times New Roman" w:cs="Times New Roman"/>
                <w:color w:val="000000"/>
                <w:sz w:val="24"/>
                <w:szCs w:val="24"/>
              </w:rPr>
              <w:t xml:space="preserve">ector </w:t>
            </w:r>
            <w:r w:rsidRPr="007E7CB6">
              <w:rPr>
                <w:rFonts w:ascii="Times New Roman" w:eastAsia="Times New Roman" w:hAnsi="Times New Roman" w:cs="Times New Roman"/>
                <w:sz w:val="24"/>
                <w:szCs w:val="24"/>
              </w:rPr>
              <w:t>U</w:t>
            </w:r>
            <w:r w:rsidRPr="007E7CB6">
              <w:rPr>
                <w:rFonts w:ascii="Times New Roman" w:eastAsia="Times New Roman" w:hAnsi="Times New Roman" w:cs="Times New Roman"/>
                <w:color w:val="000000"/>
                <w:sz w:val="24"/>
                <w:szCs w:val="24"/>
              </w:rPr>
              <w:t>tilities</w:t>
            </w:r>
          </w:p>
        </w:tc>
      </w:tr>
      <w:tr w:rsidR="00153781" w:rsidRPr="007E7CB6" w14:paraId="19183A09" w14:textId="77777777" w:rsidTr="00AD449C">
        <w:trPr>
          <w:trHeight w:val="315"/>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4848462"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AD75C3F"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FAC303"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2"/>
                <w:id w:val="-1541143754"/>
              </w:sdtPr>
              <w:sdtContent>
                <w:r w:rsidRPr="007E7CB6">
                  <w:rPr>
                    <w:rFonts w:ascii="Times New Roman" w:eastAsia="Cardo" w:hAnsi="Times New Roman" w:cs="Times New Roman"/>
                    <w:color w:val="000000"/>
                    <w:sz w:val="24"/>
                    <w:szCs w:val="24"/>
                  </w:rPr>
                  <w:t xml:space="preserve">Basic Materials → </w:t>
                </w:r>
              </w:sdtContent>
            </w:sdt>
            <w:r w:rsidRPr="007E7CB6">
              <w:rPr>
                <w:rFonts w:ascii="Times New Roman" w:eastAsia="Times New Roman" w:hAnsi="Times New Roman" w:cs="Times New Roman"/>
                <w:sz w:val="24"/>
                <w:szCs w:val="24"/>
              </w:rPr>
              <w:t>I</w:t>
            </w:r>
            <w:r w:rsidRPr="007E7CB6">
              <w:rPr>
                <w:rFonts w:ascii="Times New Roman" w:eastAsia="Times New Roman" w:hAnsi="Times New Roman" w:cs="Times New Roman"/>
                <w:color w:val="000000"/>
                <w:sz w:val="24"/>
                <w:szCs w:val="24"/>
              </w:rPr>
              <w:t xml:space="preserve">ndustry </w:t>
            </w:r>
            <w:r w:rsidRPr="007E7CB6">
              <w:rPr>
                <w:rFonts w:ascii="Times New Roman" w:eastAsia="Times New Roman" w:hAnsi="Times New Roman" w:cs="Times New Roman"/>
                <w:sz w:val="24"/>
                <w:szCs w:val="24"/>
              </w:rPr>
              <w:t>i</w:t>
            </w:r>
            <w:r w:rsidRPr="007E7CB6">
              <w:rPr>
                <w:rFonts w:ascii="Times New Roman" w:eastAsia="Times New Roman" w:hAnsi="Times New Roman" w:cs="Times New Roman"/>
                <w:color w:val="000000"/>
                <w:sz w:val="24"/>
                <w:szCs w:val="24"/>
              </w:rPr>
              <w:t xml:space="preserve">ron and </w:t>
            </w:r>
            <w:r w:rsidRPr="007E7CB6">
              <w:rPr>
                <w:rFonts w:ascii="Times New Roman" w:eastAsia="Times New Roman" w:hAnsi="Times New Roman" w:cs="Times New Roman"/>
                <w:sz w:val="24"/>
                <w:szCs w:val="24"/>
              </w:rPr>
              <w:t>s</w:t>
            </w:r>
            <w:r w:rsidRPr="007E7CB6">
              <w:rPr>
                <w:rFonts w:ascii="Times New Roman" w:eastAsia="Times New Roman" w:hAnsi="Times New Roman" w:cs="Times New Roman"/>
                <w:color w:val="000000"/>
                <w:sz w:val="24"/>
                <w:szCs w:val="24"/>
              </w:rPr>
              <w:t xml:space="preserve">teel, </w:t>
            </w:r>
            <w:r w:rsidRPr="007E7CB6">
              <w:rPr>
                <w:rFonts w:ascii="Times New Roman" w:eastAsia="Times New Roman" w:hAnsi="Times New Roman" w:cs="Times New Roman"/>
                <w:sz w:val="24"/>
                <w:szCs w:val="24"/>
              </w:rPr>
              <w:t>c</w:t>
            </w:r>
            <w:r w:rsidRPr="007E7CB6">
              <w:rPr>
                <w:rFonts w:ascii="Times New Roman" w:eastAsia="Times New Roman" w:hAnsi="Times New Roman" w:cs="Times New Roman"/>
                <w:color w:val="000000"/>
                <w:sz w:val="24"/>
                <w:szCs w:val="24"/>
              </w:rPr>
              <w:t xml:space="preserve">hemicals, </w:t>
            </w:r>
            <w:r w:rsidRPr="007E7CB6">
              <w:rPr>
                <w:rFonts w:ascii="Times New Roman" w:eastAsia="Times New Roman" w:hAnsi="Times New Roman" w:cs="Times New Roman"/>
                <w:sz w:val="24"/>
                <w:szCs w:val="24"/>
              </w:rPr>
              <w:t>n</w:t>
            </w:r>
            <w:r w:rsidRPr="007E7CB6">
              <w:rPr>
                <w:rFonts w:ascii="Times New Roman" w:eastAsia="Times New Roman" w:hAnsi="Times New Roman" w:cs="Times New Roman"/>
                <w:color w:val="000000"/>
                <w:sz w:val="24"/>
                <w:szCs w:val="24"/>
              </w:rPr>
              <w:t xml:space="preserve">on-metallic </w:t>
            </w:r>
            <w:r w:rsidRPr="007E7CB6">
              <w:rPr>
                <w:rFonts w:ascii="Times New Roman" w:eastAsia="Times New Roman" w:hAnsi="Times New Roman" w:cs="Times New Roman"/>
                <w:sz w:val="24"/>
                <w:szCs w:val="24"/>
              </w:rPr>
              <w:t>m</w:t>
            </w:r>
            <w:r w:rsidRPr="007E7CB6">
              <w:rPr>
                <w:rFonts w:ascii="Times New Roman" w:eastAsia="Times New Roman" w:hAnsi="Times New Roman" w:cs="Times New Roman"/>
                <w:color w:val="000000"/>
                <w:sz w:val="24"/>
                <w:szCs w:val="24"/>
              </w:rPr>
              <w:t>inerals</w:t>
            </w:r>
          </w:p>
        </w:tc>
      </w:tr>
      <w:tr w:rsidR="00153781" w:rsidRPr="007E7CB6" w14:paraId="422F3443" w14:textId="77777777" w:rsidTr="00AD449C">
        <w:trPr>
          <w:trHeight w:val="615"/>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1772D2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0B3E3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5F1ED9"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3"/>
                <w:id w:val="-1603721452"/>
              </w:sdtPr>
              <w:sdtContent>
                <w:r w:rsidRPr="007E7CB6">
                  <w:rPr>
                    <w:rFonts w:ascii="Times New Roman" w:eastAsia="Cardo" w:hAnsi="Times New Roman" w:cs="Times New Roman"/>
                    <w:color w:val="000000"/>
                    <w:sz w:val="24"/>
                    <w:szCs w:val="24"/>
                  </w:rPr>
                  <w:t xml:space="preserve">Industrials → </w:t>
                </w:r>
              </w:sdtContent>
            </w:sdt>
            <w:r w:rsidRPr="007E7CB6">
              <w:rPr>
                <w:rFonts w:ascii="Times New Roman" w:eastAsia="Times New Roman" w:hAnsi="Times New Roman" w:cs="Times New Roman"/>
                <w:sz w:val="24"/>
                <w:szCs w:val="24"/>
              </w:rPr>
              <w:t>High energy consumption in operations, production of equipment for the energy and mining sectors</w:t>
            </w:r>
          </w:p>
        </w:tc>
      </w:tr>
      <w:tr w:rsidR="00153781" w:rsidRPr="007E7CB6" w14:paraId="0D745563" w14:textId="77777777" w:rsidTr="00AD449C">
        <w:trPr>
          <w:trHeight w:val="408"/>
        </w:trPr>
        <w:tc>
          <w:tcPr>
            <w:tcW w:w="618"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27F4C87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w:t>
            </w:r>
          </w:p>
        </w:tc>
        <w:tc>
          <w:tcPr>
            <w:tcW w:w="2493"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74BBDDDD"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Transportation: 13.7%</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3B568D"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4"/>
                <w:id w:val="1695203250"/>
              </w:sdtPr>
              <w:sdtContent>
                <w:r w:rsidRPr="007E7CB6">
                  <w:rPr>
                    <w:rFonts w:ascii="Times New Roman" w:eastAsia="Cardo" w:hAnsi="Times New Roman" w:cs="Times New Roman"/>
                    <w:color w:val="000000"/>
                    <w:sz w:val="24"/>
                    <w:szCs w:val="24"/>
                  </w:rPr>
                  <w:t xml:space="preserve">Energy → </w:t>
                </w:r>
              </w:sdtContent>
            </w:sdt>
            <w:r w:rsidRPr="007E7CB6">
              <w:rPr>
                <w:rFonts w:ascii="Times New Roman" w:eastAsia="Times New Roman" w:hAnsi="Times New Roman" w:cs="Times New Roman"/>
                <w:sz w:val="24"/>
                <w:szCs w:val="24"/>
              </w:rPr>
              <w:t>fuel for transportation</w:t>
            </w:r>
          </w:p>
        </w:tc>
      </w:tr>
      <w:tr w:rsidR="00153781" w:rsidRPr="007E7CB6" w14:paraId="52AA5664" w14:textId="77777777" w:rsidTr="00AD449C">
        <w:trPr>
          <w:trHeight w:val="315"/>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42FC7B9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1E851B"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E54590"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Transportation and Logistics</w:t>
            </w:r>
          </w:p>
        </w:tc>
      </w:tr>
      <w:tr w:rsidR="00153781" w:rsidRPr="007E7CB6" w14:paraId="414805AD" w14:textId="77777777" w:rsidTr="00AD449C">
        <w:trPr>
          <w:trHeight w:val="333"/>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BC1133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90A28F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D2C122" w14:textId="77777777" w:rsidR="00153781" w:rsidRPr="007E7CB6" w:rsidRDefault="00000000">
            <w:pPr>
              <w:pBdr>
                <w:top w:val="nil"/>
                <w:left w:val="nil"/>
                <w:bottom w:val="nil"/>
                <w:right w:val="nil"/>
                <w:between w:val="nil"/>
              </w:pBdr>
              <w:spacing w:line="240" w:lineRule="auto"/>
              <w:jc w:val="both"/>
              <w:rPr>
                <w:rFonts w:ascii="Times New Roman" w:hAnsi="Times New Roman" w:cs="Times New Roman"/>
              </w:rPr>
            </w:pPr>
            <w:sdt>
              <w:sdtPr>
                <w:rPr>
                  <w:rFonts w:ascii="Times New Roman" w:hAnsi="Times New Roman" w:cs="Times New Roman"/>
                </w:rPr>
                <w:tag w:val="goog_rdk_5"/>
                <w:id w:val="638653135"/>
              </w:sdtPr>
              <w:sdtContent>
                <w:r w:rsidRPr="007E7CB6">
                  <w:rPr>
                    <w:rFonts w:ascii="Times New Roman" w:eastAsia="Cardo" w:hAnsi="Times New Roman" w:cs="Times New Roman"/>
                    <w:color w:val="000000"/>
                    <w:sz w:val="24"/>
                    <w:szCs w:val="24"/>
                  </w:rPr>
                  <w:t xml:space="preserve">Infrastructure → Airlines, </w:t>
                </w:r>
              </w:sdtContent>
            </w:sdt>
            <w:r w:rsidRPr="007E7CB6">
              <w:rPr>
                <w:rFonts w:ascii="Times New Roman" w:eastAsia="Times New Roman" w:hAnsi="Times New Roman" w:cs="Times New Roman"/>
                <w:sz w:val="24"/>
                <w:szCs w:val="24"/>
              </w:rPr>
              <w:t>s</w:t>
            </w:r>
            <w:r w:rsidRPr="007E7CB6">
              <w:rPr>
                <w:rFonts w:ascii="Times New Roman" w:eastAsia="Times New Roman" w:hAnsi="Times New Roman" w:cs="Times New Roman"/>
                <w:color w:val="000000"/>
                <w:sz w:val="24"/>
                <w:szCs w:val="24"/>
              </w:rPr>
              <w:t xml:space="preserve">hipping, </w:t>
            </w:r>
            <w:r w:rsidRPr="007E7CB6">
              <w:rPr>
                <w:rFonts w:ascii="Times New Roman" w:eastAsia="Times New Roman" w:hAnsi="Times New Roman" w:cs="Times New Roman"/>
                <w:sz w:val="24"/>
                <w:szCs w:val="24"/>
              </w:rPr>
              <w:t>r</w:t>
            </w:r>
            <w:r w:rsidRPr="007E7CB6">
              <w:rPr>
                <w:rFonts w:ascii="Times New Roman" w:eastAsia="Times New Roman" w:hAnsi="Times New Roman" w:cs="Times New Roman"/>
                <w:color w:val="000000"/>
                <w:sz w:val="24"/>
                <w:szCs w:val="24"/>
              </w:rPr>
              <w:t>ailways</w:t>
            </w:r>
          </w:p>
        </w:tc>
      </w:tr>
      <w:tr w:rsidR="00153781" w:rsidRPr="007E7CB6" w14:paraId="371AABD8" w14:textId="77777777" w:rsidTr="00AD449C">
        <w:trPr>
          <w:trHeight w:val="410"/>
        </w:trPr>
        <w:tc>
          <w:tcPr>
            <w:tcW w:w="618"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30E8CE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lastRenderedPageBreak/>
              <w:t>3</w:t>
            </w:r>
          </w:p>
        </w:tc>
        <w:tc>
          <w:tcPr>
            <w:tcW w:w="2493"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0401F3B"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Manufacturing and Construction: 12.7%</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FB05D0"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6"/>
                <w:id w:val="1085880796"/>
              </w:sdtPr>
              <w:sdtContent>
                <w:r w:rsidRPr="007E7CB6">
                  <w:rPr>
                    <w:rFonts w:ascii="Times New Roman" w:eastAsia="Cardo" w:hAnsi="Times New Roman" w:cs="Times New Roman"/>
                    <w:color w:val="000000"/>
                    <w:sz w:val="24"/>
                    <w:szCs w:val="24"/>
                  </w:rPr>
                  <w:t xml:space="preserve">Energy → Mining and </w:t>
                </w:r>
              </w:sdtContent>
            </w:sdt>
            <w:r w:rsidRPr="007E7CB6">
              <w:rPr>
                <w:rFonts w:ascii="Times New Roman" w:eastAsia="Times New Roman" w:hAnsi="Times New Roman" w:cs="Times New Roman"/>
                <w:sz w:val="24"/>
                <w:szCs w:val="24"/>
              </w:rPr>
              <w:t>q</w:t>
            </w:r>
            <w:r w:rsidRPr="007E7CB6">
              <w:rPr>
                <w:rFonts w:ascii="Times New Roman" w:eastAsia="Times New Roman" w:hAnsi="Times New Roman" w:cs="Times New Roman"/>
                <w:color w:val="000000"/>
                <w:sz w:val="24"/>
                <w:szCs w:val="24"/>
              </w:rPr>
              <w:t>uarrying</w:t>
            </w:r>
          </w:p>
        </w:tc>
      </w:tr>
      <w:tr w:rsidR="00153781" w:rsidRPr="007E7CB6" w14:paraId="5D02F032" w14:textId="77777777" w:rsidTr="00AD449C">
        <w:trPr>
          <w:trHeight w:val="669"/>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153F488D"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7CEFCD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AC6F071"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7"/>
                <w:id w:val="-384236422"/>
              </w:sdtPr>
              <w:sdtContent>
                <w:r w:rsidRPr="007E7CB6">
                  <w:rPr>
                    <w:rFonts w:ascii="Times New Roman" w:eastAsia="Cardo" w:hAnsi="Times New Roman" w:cs="Times New Roman"/>
                    <w:color w:val="000000"/>
                    <w:sz w:val="24"/>
                    <w:szCs w:val="24"/>
                  </w:rPr>
                  <w:t xml:space="preserve">Basic Materials → Iron and </w:t>
                </w:r>
              </w:sdtContent>
            </w:sdt>
            <w:r w:rsidRPr="007E7CB6">
              <w:rPr>
                <w:rFonts w:ascii="Times New Roman" w:eastAsia="Times New Roman" w:hAnsi="Times New Roman" w:cs="Times New Roman"/>
                <w:sz w:val="24"/>
                <w:szCs w:val="24"/>
              </w:rPr>
              <w:t>s</w:t>
            </w:r>
            <w:r w:rsidRPr="007E7CB6">
              <w:rPr>
                <w:rFonts w:ascii="Times New Roman" w:eastAsia="Times New Roman" w:hAnsi="Times New Roman" w:cs="Times New Roman"/>
                <w:color w:val="000000"/>
                <w:sz w:val="24"/>
                <w:szCs w:val="24"/>
              </w:rPr>
              <w:t xml:space="preserve">teel, </w:t>
            </w:r>
            <w:r w:rsidRPr="007E7CB6">
              <w:rPr>
                <w:rFonts w:ascii="Times New Roman" w:eastAsia="Times New Roman" w:hAnsi="Times New Roman" w:cs="Times New Roman"/>
                <w:sz w:val="24"/>
                <w:szCs w:val="24"/>
              </w:rPr>
              <w:t>c</w:t>
            </w:r>
            <w:r w:rsidRPr="007E7CB6">
              <w:rPr>
                <w:rFonts w:ascii="Times New Roman" w:eastAsia="Times New Roman" w:hAnsi="Times New Roman" w:cs="Times New Roman"/>
                <w:color w:val="000000"/>
                <w:sz w:val="24"/>
                <w:szCs w:val="24"/>
              </w:rPr>
              <w:t xml:space="preserve">hemicals, </w:t>
            </w:r>
            <w:r w:rsidRPr="007E7CB6">
              <w:rPr>
                <w:rFonts w:ascii="Times New Roman" w:eastAsia="Times New Roman" w:hAnsi="Times New Roman" w:cs="Times New Roman"/>
                <w:sz w:val="24"/>
                <w:szCs w:val="24"/>
              </w:rPr>
              <w:t>n</w:t>
            </w:r>
            <w:r w:rsidRPr="007E7CB6">
              <w:rPr>
                <w:rFonts w:ascii="Times New Roman" w:eastAsia="Times New Roman" w:hAnsi="Times New Roman" w:cs="Times New Roman"/>
                <w:color w:val="000000"/>
                <w:sz w:val="24"/>
                <w:szCs w:val="24"/>
              </w:rPr>
              <w:t xml:space="preserve">on-metallic minerals, </w:t>
            </w:r>
            <w:r w:rsidRPr="007E7CB6">
              <w:rPr>
                <w:rFonts w:ascii="Times New Roman" w:eastAsia="Times New Roman" w:hAnsi="Times New Roman" w:cs="Times New Roman"/>
                <w:sz w:val="24"/>
                <w:szCs w:val="24"/>
              </w:rPr>
              <w:t>p</w:t>
            </w:r>
            <w:r w:rsidRPr="007E7CB6">
              <w:rPr>
                <w:rFonts w:ascii="Times New Roman" w:eastAsia="Times New Roman" w:hAnsi="Times New Roman" w:cs="Times New Roman"/>
                <w:color w:val="000000"/>
                <w:sz w:val="24"/>
                <w:szCs w:val="24"/>
              </w:rPr>
              <w:t xml:space="preserve">ulp and </w:t>
            </w:r>
            <w:r w:rsidRPr="007E7CB6">
              <w:rPr>
                <w:rFonts w:ascii="Times New Roman" w:eastAsia="Times New Roman" w:hAnsi="Times New Roman" w:cs="Times New Roman"/>
                <w:sz w:val="24"/>
                <w:szCs w:val="24"/>
              </w:rPr>
              <w:t>p</w:t>
            </w:r>
            <w:r w:rsidRPr="007E7CB6">
              <w:rPr>
                <w:rFonts w:ascii="Times New Roman" w:eastAsia="Times New Roman" w:hAnsi="Times New Roman" w:cs="Times New Roman"/>
                <w:color w:val="000000"/>
                <w:sz w:val="24"/>
                <w:szCs w:val="24"/>
              </w:rPr>
              <w:t>aper</w:t>
            </w:r>
          </w:p>
        </w:tc>
      </w:tr>
      <w:tr w:rsidR="00153781" w:rsidRPr="007E7CB6" w14:paraId="2F83A609" w14:textId="77777777" w:rsidTr="00AD449C">
        <w:trPr>
          <w:trHeight w:val="680"/>
        </w:trPr>
        <w:tc>
          <w:tcPr>
            <w:tcW w:w="618"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4C5A38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2493" w:type="dxa"/>
            <w:vMerge w:val="restart"/>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1E5093"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Buildings: 6.6%</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05E088"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8"/>
                <w:id w:val="145872166"/>
              </w:sdtPr>
              <w:sdtContent>
                <w:r w:rsidRPr="007E7CB6">
                  <w:rPr>
                    <w:rFonts w:ascii="Times New Roman" w:eastAsia="Cardo" w:hAnsi="Times New Roman" w:cs="Times New Roman"/>
                    <w:color w:val="000000"/>
                    <w:sz w:val="24"/>
                    <w:szCs w:val="24"/>
                  </w:rPr>
                  <w:t xml:space="preserve">Properties &amp; Real Estate → </w:t>
                </w:r>
              </w:sdtContent>
            </w:sdt>
            <w:r w:rsidRPr="007E7CB6">
              <w:rPr>
                <w:rFonts w:ascii="Times New Roman" w:eastAsia="Times New Roman" w:hAnsi="Times New Roman" w:cs="Times New Roman"/>
                <w:sz w:val="24"/>
                <w:szCs w:val="24"/>
              </w:rPr>
              <w:t>Residential and commercial property developers</w:t>
            </w:r>
          </w:p>
        </w:tc>
      </w:tr>
      <w:tr w:rsidR="00153781" w:rsidRPr="007E7CB6" w14:paraId="08158B45" w14:textId="77777777" w:rsidTr="00AD449C">
        <w:trPr>
          <w:trHeight w:val="391"/>
        </w:trPr>
        <w:tc>
          <w:tcPr>
            <w:tcW w:w="618"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8857EEF"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2493" w:type="dxa"/>
            <w:vMerge/>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6463849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E29907"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9"/>
                <w:id w:val="657072037"/>
              </w:sdtPr>
              <w:sdtContent>
                <w:r w:rsidRPr="007E7CB6">
                  <w:rPr>
                    <w:rFonts w:ascii="Times New Roman" w:eastAsia="Cardo" w:hAnsi="Times New Roman" w:cs="Times New Roman"/>
                    <w:color w:val="000000"/>
                    <w:sz w:val="24"/>
                    <w:szCs w:val="24"/>
                  </w:rPr>
                  <w:t xml:space="preserve">Infrastructure → </w:t>
                </w:r>
              </w:sdtContent>
            </w:sdt>
            <w:r w:rsidRPr="007E7CB6">
              <w:rPr>
                <w:rFonts w:ascii="Times New Roman" w:eastAsia="Times New Roman" w:hAnsi="Times New Roman" w:cs="Times New Roman"/>
                <w:sz w:val="24"/>
                <w:szCs w:val="24"/>
              </w:rPr>
              <w:t>Building utilities</w:t>
            </w:r>
          </w:p>
        </w:tc>
      </w:tr>
      <w:tr w:rsidR="00153781" w:rsidRPr="007E7CB6" w14:paraId="28F4D1EF" w14:textId="77777777" w:rsidTr="00AD449C">
        <w:trPr>
          <w:trHeight w:val="315"/>
        </w:trPr>
        <w:tc>
          <w:tcPr>
            <w:tcW w:w="6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3D8C94D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w:t>
            </w:r>
          </w:p>
        </w:tc>
        <w:tc>
          <w:tcPr>
            <w:tcW w:w="24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53777A4"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Fugitive Emissions: 6.6%</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59F80"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10"/>
                <w:id w:val="1485179903"/>
              </w:sdtPr>
              <w:sdtContent>
                <w:r w:rsidRPr="007E7CB6">
                  <w:rPr>
                    <w:rFonts w:ascii="Times New Roman" w:eastAsia="Cardo" w:hAnsi="Times New Roman" w:cs="Times New Roman"/>
                    <w:color w:val="000000"/>
                    <w:sz w:val="24"/>
                    <w:szCs w:val="24"/>
                  </w:rPr>
                  <w:t xml:space="preserve">Energy → </w:t>
                </w:r>
              </w:sdtContent>
            </w:sdt>
            <w:r w:rsidRPr="007E7CB6">
              <w:rPr>
                <w:rFonts w:ascii="Times New Roman" w:eastAsia="Times New Roman" w:hAnsi="Times New Roman" w:cs="Times New Roman"/>
                <w:sz w:val="24"/>
                <w:szCs w:val="24"/>
              </w:rPr>
              <w:t>Fuel</w:t>
            </w:r>
          </w:p>
        </w:tc>
      </w:tr>
      <w:tr w:rsidR="00153781" w:rsidRPr="007E7CB6" w14:paraId="13A85A33" w14:textId="77777777" w:rsidTr="00AD449C">
        <w:trPr>
          <w:trHeight w:val="315"/>
        </w:trPr>
        <w:tc>
          <w:tcPr>
            <w:tcW w:w="618"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53268EE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w:t>
            </w:r>
          </w:p>
        </w:tc>
        <w:tc>
          <w:tcPr>
            <w:tcW w:w="249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tcPr>
          <w:p w14:paraId="0944D59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Other Fuel Combustion: 4.4%</w:t>
            </w:r>
          </w:p>
        </w:tc>
        <w:tc>
          <w:tcPr>
            <w:tcW w:w="480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C1BE25"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sdt>
              <w:sdtPr>
                <w:rPr>
                  <w:rFonts w:ascii="Times New Roman" w:hAnsi="Times New Roman" w:cs="Times New Roman"/>
                </w:rPr>
                <w:tag w:val="goog_rdk_11"/>
                <w:id w:val="-866030267"/>
              </w:sdtPr>
              <w:sdtContent>
                <w:r w:rsidRPr="007E7CB6">
                  <w:rPr>
                    <w:rFonts w:ascii="Times New Roman" w:eastAsia="Cardo" w:hAnsi="Times New Roman" w:cs="Times New Roman"/>
                    <w:color w:val="000000"/>
                    <w:sz w:val="24"/>
                    <w:szCs w:val="24"/>
                  </w:rPr>
                  <w:t xml:space="preserve">Energy → </w:t>
                </w:r>
              </w:sdtContent>
            </w:sdt>
            <w:r w:rsidRPr="007E7CB6">
              <w:rPr>
                <w:rFonts w:ascii="Times New Roman" w:eastAsia="Times New Roman" w:hAnsi="Times New Roman" w:cs="Times New Roman"/>
                <w:sz w:val="24"/>
                <w:szCs w:val="24"/>
              </w:rPr>
              <w:t>Fuel</w:t>
            </w:r>
          </w:p>
        </w:tc>
      </w:tr>
    </w:tbl>
    <w:p w14:paraId="3C991851" w14:textId="77777777" w:rsidR="00153781" w:rsidRPr="007E7CB6"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 Author,</w:t>
      </w:r>
      <w:r w:rsidRPr="007E7CB6">
        <w:rPr>
          <w:rFonts w:ascii="Times New Roman" w:eastAsia="Times New Roman" w:hAnsi="Times New Roman" w:cs="Times New Roman"/>
          <w:i/>
          <w:color w:val="000000"/>
        </w:rPr>
        <w:t xml:space="preserve"> 2025</w:t>
      </w:r>
    </w:p>
    <w:p w14:paraId="5846A155" w14:textId="4C88A2BB" w:rsidR="00153781" w:rsidRPr="007E7CB6" w:rsidRDefault="00AD449C" w:rsidP="00AD449C">
      <w:pPr>
        <w:pStyle w:val="Caption"/>
        <w:rPr>
          <w:rFonts w:ascii="Times New Roman" w:eastAsia="Times New Roman" w:hAnsi="Times New Roman" w:cs="Times New Roman"/>
          <w:b/>
          <w:bCs/>
          <w:i w:val="0"/>
          <w:iCs w:val="0"/>
          <w:color w:val="000000" w:themeColor="text1"/>
          <w:sz w:val="36"/>
          <w:szCs w:val="36"/>
        </w:rPr>
      </w:pPr>
      <w:bookmarkStart w:id="81" w:name="_Toc209703364"/>
      <w:r w:rsidRPr="007E7CB6">
        <w:rPr>
          <w:rFonts w:ascii="Times New Roman" w:hAnsi="Times New Roman" w:cs="Times New Roman"/>
          <w:b/>
          <w:bCs/>
          <w:i w:val="0"/>
          <w:iCs w:val="0"/>
          <w:color w:val="000000" w:themeColor="text1"/>
          <w:sz w:val="24"/>
          <w:szCs w:val="24"/>
        </w:rPr>
        <w:t xml:space="preserve">Table 3.4 Alignment between the IDX sector and the WRI energy sector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6</w:t>
      </w:r>
      <w:bookmarkEnd w:id="81"/>
      <w:r w:rsidRPr="007E7CB6">
        <w:rPr>
          <w:rFonts w:ascii="Times New Roman" w:hAnsi="Times New Roman" w:cs="Times New Roman"/>
          <w:b/>
          <w:bCs/>
          <w:i w:val="0"/>
          <w:iCs w:val="0"/>
          <w:color w:val="FFFFFF" w:themeColor="background1"/>
          <w:sz w:val="24"/>
          <w:szCs w:val="24"/>
        </w:rPr>
        <w:fldChar w:fldCharType="end"/>
      </w:r>
    </w:p>
    <w:tbl>
      <w:tblPr>
        <w:tblStyle w:val="af0"/>
        <w:tblW w:w="7920" w:type="dxa"/>
        <w:tblLayout w:type="fixed"/>
        <w:tblLook w:val="0400" w:firstRow="0" w:lastRow="0" w:firstColumn="0" w:lastColumn="0" w:noHBand="0" w:noVBand="1"/>
      </w:tblPr>
      <w:tblGrid>
        <w:gridCol w:w="1830"/>
        <w:gridCol w:w="2445"/>
        <w:gridCol w:w="3645"/>
      </w:tblGrid>
      <w:tr w:rsidR="00153781" w:rsidRPr="007E7CB6" w14:paraId="6C5CDF0F" w14:textId="77777777">
        <w:trPr>
          <w:trHeight w:val="684"/>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8A825C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BEI sectors</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BE0C5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Included in the WRI energy sector?</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EC8FF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Description</w:t>
            </w:r>
          </w:p>
        </w:tc>
      </w:tr>
      <w:tr w:rsidR="00153781" w:rsidRPr="007E7CB6" w14:paraId="7D24180F" w14:textId="77777777">
        <w:trPr>
          <w:trHeight w:val="694"/>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E62FE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Energ</w:t>
            </w:r>
            <w:r w:rsidRPr="007E7CB6">
              <w:rPr>
                <w:rFonts w:ascii="Times New Roman" w:eastAsia="Times New Roman" w:hAnsi="Times New Roman" w:cs="Times New Roman"/>
                <w:sz w:val="24"/>
                <w:szCs w:val="24"/>
              </w:rPr>
              <w:t>y</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C932B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Y</w:t>
            </w:r>
            <w:r w:rsidRPr="007E7CB6">
              <w:rPr>
                <w:rFonts w:ascii="Times New Roman" w:eastAsia="Times New Roman" w:hAnsi="Times New Roman" w:cs="Times New Roman"/>
                <w:sz w:val="24"/>
                <w:szCs w:val="24"/>
              </w:rPr>
              <w:t>es</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ACA433"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Produ</w:t>
            </w:r>
            <w:r w:rsidRPr="007E7CB6">
              <w:rPr>
                <w:rFonts w:ascii="Times New Roman" w:eastAsia="Times New Roman" w:hAnsi="Times New Roman" w:cs="Times New Roman"/>
                <w:sz w:val="24"/>
                <w:szCs w:val="24"/>
              </w:rPr>
              <w:t>ction and distribution of electricity, oil, gas, coal</w:t>
            </w:r>
          </w:p>
        </w:tc>
      </w:tr>
      <w:tr w:rsidR="00153781" w:rsidRPr="007E7CB6" w14:paraId="6D3AC335" w14:textId="77777777">
        <w:trPr>
          <w:trHeight w:val="315"/>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BBE7F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Transpor</w:t>
            </w:r>
            <w:r w:rsidRPr="007E7CB6">
              <w:rPr>
                <w:rFonts w:ascii="Times New Roman" w:eastAsia="Times New Roman" w:hAnsi="Times New Roman" w:cs="Times New Roman"/>
                <w:sz w:val="24"/>
                <w:szCs w:val="24"/>
              </w:rPr>
              <w:t>tation &amp; Logistics</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BFCE8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Yes</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6296A9"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Direct emissions from fuel combustion</w:t>
            </w:r>
          </w:p>
        </w:tc>
      </w:tr>
      <w:tr w:rsidR="00153781" w:rsidRPr="007E7CB6" w14:paraId="483F45DB" w14:textId="77777777">
        <w:trPr>
          <w:trHeight w:val="698"/>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25FC52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Basic Materials</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1B87F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Y</w:t>
            </w:r>
            <w:r w:rsidRPr="007E7CB6">
              <w:rPr>
                <w:rFonts w:ascii="Times New Roman" w:eastAsia="Times New Roman" w:hAnsi="Times New Roman" w:cs="Times New Roman"/>
                <w:sz w:val="24"/>
                <w:szCs w:val="24"/>
              </w:rPr>
              <w:t>es</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3AFE6C"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High energy consumption and emissions from industry processes</w:t>
            </w:r>
          </w:p>
        </w:tc>
      </w:tr>
      <w:tr w:rsidR="00153781" w:rsidRPr="007E7CB6" w14:paraId="196D07D3" w14:textId="77777777">
        <w:trPr>
          <w:trHeight w:val="396"/>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67CD7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Industrials</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F42C93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Partly Yes</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2F1608"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Energy use for production</w:t>
            </w:r>
          </w:p>
        </w:tc>
      </w:tr>
      <w:tr w:rsidR="00153781" w:rsidRPr="007E7CB6" w14:paraId="5E8C1E3D" w14:textId="77777777">
        <w:trPr>
          <w:trHeight w:val="416"/>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D1F81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Infrastructure</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27DE1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Partly Yes</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80716C"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Utilitas seperti listrik dan gas</w:t>
            </w:r>
          </w:p>
        </w:tc>
      </w:tr>
      <w:tr w:rsidR="00153781" w:rsidRPr="007E7CB6" w14:paraId="13EFAC6F" w14:textId="77777777">
        <w:trPr>
          <w:trHeight w:val="692"/>
        </w:trPr>
        <w:tc>
          <w:tcPr>
            <w:tcW w:w="18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70FA7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Properties &amp; Real Estate</w:t>
            </w:r>
          </w:p>
        </w:tc>
        <w:tc>
          <w:tcPr>
            <w:tcW w:w="24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45FEE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No</w:t>
            </w:r>
          </w:p>
        </w:tc>
        <w:tc>
          <w:tcPr>
            <w:tcW w:w="36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4FA813"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Included in “Building energy use,” but not an energy producer</w:t>
            </w:r>
          </w:p>
        </w:tc>
      </w:tr>
    </w:tbl>
    <w:p w14:paraId="6CB6D565" w14:textId="77777777" w:rsidR="00153781" w:rsidRPr="007E7CB6" w:rsidRDefault="0000000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 Author</w:t>
      </w:r>
      <w:r w:rsidRPr="007E7CB6">
        <w:rPr>
          <w:rFonts w:ascii="Times New Roman" w:eastAsia="Times New Roman" w:hAnsi="Times New Roman" w:cs="Times New Roman"/>
          <w:i/>
          <w:color w:val="000000"/>
        </w:rPr>
        <w:t>, 2025</w:t>
      </w:r>
    </w:p>
    <w:p w14:paraId="3D2570F0"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tables above are used as a basis in the process of classifying and selecting companies to be included in the research sample.</w:t>
      </w:r>
    </w:p>
    <w:p w14:paraId="606A7ABB" w14:textId="77777777" w:rsidR="00153781" w:rsidRPr="007E7CB6" w:rsidRDefault="00000000">
      <w:pPr>
        <w:pStyle w:val="Heading3"/>
        <w:spacing w:before="0" w:after="0" w:line="480" w:lineRule="auto"/>
        <w:rPr>
          <w:rFonts w:ascii="Times New Roman" w:eastAsia="Times New Roman" w:hAnsi="Times New Roman" w:cs="Times New Roman"/>
          <w:b/>
          <w:color w:val="000000"/>
        </w:rPr>
      </w:pPr>
      <w:bookmarkStart w:id="82" w:name="_Toc210744240"/>
      <w:r w:rsidRPr="007E7CB6">
        <w:rPr>
          <w:rFonts w:ascii="Times New Roman" w:eastAsia="Times New Roman" w:hAnsi="Times New Roman" w:cs="Times New Roman"/>
          <w:b/>
          <w:color w:val="000000"/>
          <w:sz w:val="24"/>
          <w:szCs w:val="24"/>
        </w:rPr>
        <w:t>3.2.2</w:t>
      </w:r>
      <w:r w:rsidRPr="007E7CB6">
        <w:rPr>
          <w:rFonts w:ascii="Times New Roman" w:eastAsia="Times New Roman" w:hAnsi="Times New Roman" w:cs="Times New Roman"/>
          <w:b/>
          <w:color w:val="000000"/>
          <w:sz w:val="24"/>
          <w:szCs w:val="24"/>
        </w:rPr>
        <w:tab/>
        <w:t>Sample</w:t>
      </w:r>
      <w:bookmarkEnd w:id="82"/>
    </w:p>
    <w:p w14:paraId="6FF34613"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This study uses the purposive sampling method in selecting samples. This technique is carried out by setting certain criteria so that the selected samples are in line with the research objectives. One of these criteria is sector classification based on functional contribution to carbon emissions. This approach refers to the Sectoral </w:t>
      </w:r>
      <w:r w:rsidRPr="007E7CB6">
        <w:rPr>
          <w:rFonts w:ascii="Times New Roman" w:eastAsia="Times New Roman" w:hAnsi="Times New Roman" w:cs="Times New Roman"/>
          <w:sz w:val="24"/>
          <w:szCs w:val="24"/>
        </w:rPr>
        <w:lastRenderedPageBreak/>
        <w:t>Decarbonization Approach (SDA) framework developed by the Science Based Targets initiative (SBTi), which emphasizes that setting targets and grouping sectors for sustainability issues should be based on emission intensity levels and actual sectoral roles, rather than solely on formal stock market classifications. The criteria used in sample selection are as follows:</w:t>
      </w:r>
    </w:p>
    <w:p w14:paraId="62D4478D" w14:textId="77777777" w:rsidR="00153781" w:rsidRPr="007E7CB6" w:rsidRDefault="00000000">
      <w:pPr>
        <w:numPr>
          <w:ilvl w:val="0"/>
          <w:numId w:val="4"/>
        </w:numPr>
        <w:spacing w:line="480" w:lineRule="auto"/>
        <w:ind w:left="359" w:hanging="359"/>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company is listed in the ESG Quality 45 Index (ESGQ-KEHATI) during the observation period of 2021–2024</w:t>
      </w:r>
    </w:p>
    <w:p w14:paraId="04C9E7C9" w14:textId="77777777" w:rsidR="00153781" w:rsidRPr="007E7CB6" w:rsidRDefault="00000000">
      <w:pPr>
        <w:numPr>
          <w:ilvl w:val="0"/>
          <w:numId w:val="4"/>
        </w:numPr>
        <w:spacing w:line="480" w:lineRule="auto"/>
        <w:ind w:left="359" w:hanging="359"/>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Companies have main activities relevant to the energy sector based on the functional approach of the World Resources Institute (WRI)</w:t>
      </w:r>
    </w:p>
    <w:p w14:paraId="50CDAB49" w14:textId="77777777" w:rsidR="00153781" w:rsidRPr="007E7CB6" w:rsidRDefault="00000000">
      <w:pPr>
        <w:numPr>
          <w:ilvl w:val="0"/>
          <w:numId w:val="4"/>
        </w:numPr>
        <w:spacing w:line="480" w:lineRule="auto"/>
        <w:ind w:left="359" w:hanging="359"/>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Companies publish complete annual reports and sustainability reports for the reporting period 2021–2024</w:t>
      </w:r>
    </w:p>
    <w:p w14:paraId="7D31023B" w14:textId="5BF41E4F" w:rsidR="00153781" w:rsidRPr="007E7CB6" w:rsidRDefault="00AD449C" w:rsidP="00AD449C">
      <w:pPr>
        <w:pStyle w:val="Caption"/>
        <w:spacing w:after="0" w:line="480" w:lineRule="auto"/>
        <w:rPr>
          <w:rFonts w:ascii="Times New Roman" w:eastAsia="Times New Roman" w:hAnsi="Times New Roman" w:cs="Times New Roman"/>
          <w:b/>
          <w:bCs/>
          <w:i w:val="0"/>
          <w:iCs w:val="0"/>
          <w:color w:val="000000" w:themeColor="text1"/>
          <w:sz w:val="36"/>
          <w:szCs w:val="36"/>
        </w:rPr>
      </w:pPr>
      <w:bookmarkStart w:id="83" w:name="_Toc209703365"/>
      <w:r w:rsidRPr="007E7CB6">
        <w:rPr>
          <w:rFonts w:ascii="Times New Roman" w:hAnsi="Times New Roman" w:cs="Times New Roman"/>
          <w:b/>
          <w:bCs/>
          <w:i w:val="0"/>
          <w:iCs w:val="0"/>
          <w:color w:val="000000" w:themeColor="text1"/>
          <w:sz w:val="24"/>
          <w:szCs w:val="24"/>
        </w:rPr>
        <w:t xml:space="preserve">Table 3.5 Number of Research Samples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7</w:t>
      </w:r>
      <w:bookmarkEnd w:id="83"/>
      <w:r w:rsidRPr="007E7CB6">
        <w:rPr>
          <w:rFonts w:ascii="Times New Roman" w:hAnsi="Times New Roman" w:cs="Times New Roman"/>
          <w:b/>
          <w:bCs/>
          <w:i w:val="0"/>
          <w:iCs w:val="0"/>
          <w:color w:val="FFFFFF" w:themeColor="background1"/>
          <w:sz w:val="24"/>
          <w:szCs w:val="24"/>
        </w:rPr>
        <w:fldChar w:fldCharType="end"/>
      </w:r>
    </w:p>
    <w:tbl>
      <w:tblPr>
        <w:tblStyle w:val="af1"/>
        <w:tblW w:w="7927" w:type="dxa"/>
        <w:tblLayout w:type="fixed"/>
        <w:tblLook w:val="0400" w:firstRow="0" w:lastRow="0" w:firstColumn="0" w:lastColumn="0" w:noHBand="0" w:noVBand="1"/>
      </w:tblPr>
      <w:tblGrid>
        <w:gridCol w:w="570"/>
        <w:gridCol w:w="6367"/>
        <w:gridCol w:w="990"/>
      </w:tblGrid>
      <w:tr w:rsidR="00153781" w:rsidRPr="007E7CB6" w14:paraId="71CAF918" w14:textId="77777777">
        <w:trPr>
          <w:trHeight w:val="451"/>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F952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No.</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A05F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436D7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Total</w:t>
            </w:r>
          </w:p>
        </w:tc>
      </w:tr>
      <w:tr w:rsidR="00153781" w:rsidRPr="007E7CB6" w14:paraId="33E56691" w14:textId="77777777">
        <w:trPr>
          <w:trHeight w:val="699"/>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2F49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2E5431"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 xml:space="preserve">Companies listed in the </w:t>
            </w:r>
            <w:r w:rsidRPr="007E7CB6">
              <w:rPr>
                <w:rFonts w:ascii="Times New Roman" w:eastAsia="Times New Roman" w:hAnsi="Times New Roman" w:cs="Times New Roman"/>
                <w:color w:val="000000"/>
                <w:sz w:val="24"/>
                <w:szCs w:val="24"/>
              </w:rPr>
              <w:t>ESG Quality 45 (ESGQ-KEHATI) index</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60C7F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45</w:t>
            </w:r>
          </w:p>
        </w:tc>
      </w:tr>
      <w:tr w:rsidR="00153781" w:rsidRPr="007E7CB6" w14:paraId="3AEAFD1E" w14:textId="77777777">
        <w:trPr>
          <w:trHeight w:val="707"/>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C95E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30895A"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Companies listed in the ESGQ-KEHATI index that do not have core activities related to the energy sector according to the WRI approach</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21CE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w:t>
            </w:r>
          </w:p>
        </w:tc>
      </w:tr>
      <w:tr w:rsidR="00153781" w:rsidRPr="007E7CB6" w14:paraId="00D559A4" w14:textId="77777777">
        <w:trPr>
          <w:trHeight w:val="974"/>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FD3AD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C74D3C"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Companies with core activities relevant to the energy sector based on the functional approach of the World Resources Institute (WRI)</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AA55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w:t>
            </w:r>
          </w:p>
        </w:tc>
      </w:tr>
      <w:tr w:rsidR="00153781" w:rsidRPr="007E7CB6" w14:paraId="6096FC22" w14:textId="77777777">
        <w:trPr>
          <w:trHeight w:val="868"/>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C9F0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6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E9197"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Companies that published annual reports and sustainability reports completely during the reporting period 2021-2024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400F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w:t>
            </w:r>
          </w:p>
        </w:tc>
      </w:tr>
      <w:tr w:rsidR="00153781" w:rsidRPr="007E7CB6" w14:paraId="13FB99FD" w14:textId="77777777">
        <w:trPr>
          <w:trHeight w:val="314"/>
        </w:trPr>
        <w:tc>
          <w:tcPr>
            <w:tcW w:w="69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37D12"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Total </w:t>
            </w:r>
            <w:r w:rsidRPr="007E7CB6">
              <w:rPr>
                <w:rFonts w:ascii="Times New Roman" w:eastAsia="Times New Roman" w:hAnsi="Times New Roman" w:cs="Times New Roman"/>
                <w:sz w:val="24"/>
                <w:szCs w:val="24"/>
              </w:rPr>
              <w:t>companies</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1D16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w:t>
            </w:r>
          </w:p>
        </w:tc>
      </w:tr>
      <w:tr w:rsidR="00153781" w:rsidRPr="007E7CB6" w14:paraId="4F30AC8D" w14:textId="77777777">
        <w:trPr>
          <w:trHeight w:val="303"/>
        </w:trPr>
        <w:tc>
          <w:tcPr>
            <w:tcW w:w="693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F47AB"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Number of samples</w:t>
            </w:r>
            <w:r w:rsidRPr="007E7CB6">
              <w:rPr>
                <w:rFonts w:ascii="Times New Roman" w:eastAsia="Times New Roman" w:hAnsi="Times New Roman" w:cs="Times New Roman"/>
                <w:b/>
                <w:color w:val="000000"/>
                <w:sz w:val="24"/>
                <w:szCs w:val="24"/>
              </w:rPr>
              <w:t xml:space="preserve"> (16 x 4 </w:t>
            </w:r>
            <w:r w:rsidRPr="007E7CB6">
              <w:rPr>
                <w:rFonts w:ascii="Times New Roman" w:eastAsia="Times New Roman" w:hAnsi="Times New Roman" w:cs="Times New Roman"/>
                <w:b/>
                <w:sz w:val="24"/>
                <w:szCs w:val="24"/>
              </w:rPr>
              <w:t>years</w:t>
            </w:r>
            <w:r w:rsidRPr="007E7CB6">
              <w:rPr>
                <w:rFonts w:ascii="Times New Roman" w:eastAsia="Times New Roman" w:hAnsi="Times New Roman" w:cs="Times New Roman"/>
                <w:b/>
                <w:color w:val="000000"/>
                <w:sz w:val="24"/>
                <w:szCs w:val="24"/>
              </w:rPr>
              <w:t>)</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D2CE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rPr>
              <w:t>64</w:t>
            </w:r>
          </w:p>
        </w:tc>
      </w:tr>
    </w:tbl>
    <w:p w14:paraId="1958891F"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 Author</w:t>
      </w:r>
      <w:r w:rsidRPr="007E7CB6">
        <w:rPr>
          <w:rFonts w:ascii="Times New Roman" w:eastAsia="Times New Roman" w:hAnsi="Times New Roman" w:cs="Times New Roman"/>
          <w:i/>
          <w:color w:val="000000"/>
        </w:rPr>
        <w:t>, 2025</w:t>
      </w:r>
    </w:p>
    <w:p w14:paraId="74913350" w14:textId="792BD18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determination of the sample size in this study was based on the approach proposed by</w:t>
      </w:r>
      <w:r w:rsidR="00AD449C"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jVhODBkNTAtNGJlOC00NTBlLWJkNzUtZWY5YTFkNWUxNmUzIiwicHJvcGVydGllcyI6eyJub3RlSW5kZXgiOjB9LCJpc0VkaXRlZCI6ZmFsc2UsIm1hbnVhbE92ZXJyaWRlIjp7ImlzTWFudWFsbHlPdmVycmlkZGVuIjpmYWxzZSwiY2l0ZXByb2NUZXh0IjoiKEpvc2VwaCBGLiBIYWlyIEpSLiwgMjAxMCkiLCJtYW51YWxPdmVycmlkZVRleHQiOiIifSwiY2l0YXRpb25JdGVtcyI6W3siaWQiOiJiOTkwYWZjNS01YjFlLTMzNmUtYjFiNi1jM2IwM2ZhYjg5ZmMiLCJpdGVtRGF0YSI6eyJ0eXBlIjoiYm9vayIsImlkIjoiYjk5MGFmYzUtNWIxZS0zMzZlLWIxYjYtYzNiMDNmYWI4OWZjIiwidGl0bGUiOiJNdWx0aXZhcmlhdGUgRGF0YSBBbmFseXNpcyIsImF1dGhvciI6W3siZmFtaWx5IjoiSm9zZXBoIEYuIEhhaXIgSlIuIiwiZ2l2ZW4iOiIiLCJwYXJzZS1uYW1lcyI6ZmFsc2UsImRyb3BwaW5nLXBhcnRpY2xlIjoiIiwibm9uLWRyb3BwaW5nLXBhcnRpY2xlIjoiIn1dLCJpc3N1ZWQiOnsiZGF0ZS1wYXJ0cyI6W1syMDEwXV19LCJlZGl0aW9uIjoiNyIsImNvbnRhaW5lci10aXRsZS1zaG9ydCI6IiJ9LCJpc1RlbXBvcmFyeSI6ZmFsc2UsInN1cHByZXNzLWF1dGhvciI6ZmFsc2UsImNvbXBvc2l0ZSI6ZmFsc2UsImF1dGhvci1vbmx5IjpmYWxzZX1dfQ=="/>
          <w:id w:val="-2144795425"/>
          <w:placeholder>
            <w:docPart w:val="DefaultPlaceholder_-1854013440"/>
          </w:placeholder>
        </w:sdtPr>
        <w:sdtContent>
          <w:r w:rsidR="00AD6D10" w:rsidRPr="007E7CB6">
            <w:rPr>
              <w:rFonts w:ascii="Times New Roman" w:eastAsia="Times New Roman" w:hAnsi="Times New Roman" w:cs="Times New Roman"/>
              <w:color w:val="000000"/>
              <w:sz w:val="24"/>
              <w:szCs w:val="24"/>
            </w:rPr>
            <w:t>(Joseph F. Hair JR., 2010)</w:t>
          </w:r>
        </w:sdtContent>
      </w:sdt>
      <w:r w:rsidR="00AD449C"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 xml:space="preserve">which suggests that studies using </w:t>
      </w:r>
      <w:r w:rsidRPr="007E7CB6">
        <w:rPr>
          <w:rFonts w:ascii="Times New Roman" w:eastAsia="Times New Roman" w:hAnsi="Times New Roman" w:cs="Times New Roman"/>
          <w:sz w:val="24"/>
          <w:szCs w:val="24"/>
        </w:rPr>
        <w:lastRenderedPageBreak/>
        <w:t>regression analysis should have a minimum sample size of 10-20 times the number of independent variables. In this study, there are three independent variables (Green Accounting, Carbon Emission Disclosure, and Capital Structure), one moderating variable (Green Intellectual Capital), and one dependent variable (Firm Value). Thus, the total number of independent variables (independent + moderating) in this study is 4. Based on the guidelines</w:t>
      </w:r>
      <w:r w:rsidR="00AD449C" w:rsidRPr="007E7CB6">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FiZjk1YzMtNTMzYS00MTJjLWIxOTEtMTkxZTQ5NzMwNWZkIiwicHJvcGVydGllcyI6eyJub3RlSW5kZXgiOjB9LCJpc0VkaXRlZCI6ZmFsc2UsIm1hbnVhbE92ZXJyaWRlIjp7ImlzTWFudWFsbHlPdmVycmlkZGVuIjpmYWxzZSwiY2l0ZXByb2NUZXh0IjoiKEpvc2VwaCBGLiBIYWlyIEpSLiwgMjAxMCkiLCJtYW51YWxPdmVycmlkZVRleHQiOiIifSwiY2l0YXRpb25JdGVtcyI6W3siaWQiOiJiOTkwYWZjNS01YjFlLTMzNmUtYjFiNi1jM2IwM2ZhYjg5ZmMiLCJpdGVtRGF0YSI6eyJ0eXBlIjoiYm9vayIsImlkIjoiYjk5MGFmYzUtNWIxZS0zMzZlLWIxYjYtYzNiMDNmYWI4OWZjIiwidGl0bGUiOiJNdWx0aXZhcmlhdGUgRGF0YSBBbmFseXNpcyIsImF1dGhvciI6W3siZmFtaWx5IjoiSm9zZXBoIEYuIEhhaXIgSlIuIiwiZ2l2ZW4iOiIiLCJwYXJzZS1uYW1lcyI6ZmFsc2UsImRyb3BwaW5nLXBhcnRpY2xlIjoiIiwibm9uLWRyb3BwaW5nLXBhcnRpY2xlIjoiIn1dLCJpc3N1ZWQiOnsiZGF0ZS1wYXJ0cyI6W1syMDEwXV19LCJlZGl0aW9uIjoiNyIsImNvbnRhaW5lci10aXRsZS1zaG9ydCI6IiJ9LCJpc1RlbXBvcmFyeSI6ZmFsc2UsInN1cHByZXNzLWF1dGhvciI6ZmFsc2UsImNvbXBvc2l0ZSI6ZmFsc2UsImF1dGhvci1vbmx5IjpmYWxzZX1dfQ=="/>
          <w:id w:val="1103925534"/>
          <w:placeholder>
            <w:docPart w:val="DefaultPlaceholder_-1854013440"/>
          </w:placeholder>
        </w:sdtPr>
        <w:sdtContent>
          <w:r w:rsidR="00AD6D10" w:rsidRPr="007E7CB6">
            <w:rPr>
              <w:rFonts w:ascii="Times New Roman" w:eastAsia="Times New Roman" w:hAnsi="Times New Roman" w:cs="Times New Roman"/>
              <w:color w:val="000000"/>
              <w:sz w:val="24"/>
              <w:szCs w:val="24"/>
            </w:rPr>
            <w:t>(Joseph F. Hair JR., 2010)</w:t>
          </w:r>
        </w:sdtContent>
      </w:sdt>
      <w:r w:rsidR="00AD449C"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the recommended minimum sample size is 40 samples (10 × 4). In this study, the sample size used was 64 samples, which means that the number has met the specified sample standard and is considered adequate for the analysis performed.</w:t>
      </w:r>
    </w:p>
    <w:p w14:paraId="016A8817" w14:textId="77777777" w:rsidR="00153781" w:rsidRPr="007E7CB6" w:rsidRDefault="00000000">
      <w:pPr>
        <w:pStyle w:val="Heading2"/>
        <w:spacing w:line="480" w:lineRule="auto"/>
        <w:rPr>
          <w:rFonts w:ascii="Times New Roman" w:eastAsia="Times New Roman" w:hAnsi="Times New Roman" w:cs="Times New Roman"/>
          <w:b/>
        </w:rPr>
      </w:pPr>
      <w:bookmarkStart w:id="84" w:name="_Toc210744241"/>
      <w:r w:rsidRPr="007E7CB6">
        <w:rPr>
          <w:rFonts w:ascii="Times New Roman" w:eastAsia="Times New Roman" w:hAnsi="Times New Roman" w:cs="Times New Roman"/>
          <w:b/>
          <w:color w:val="000000"/>
          <w:sz w:val="24"/>
          <w:szCs w:val="24"/>
        </w:rPr>
        <w:t>3.3</w:t>
      </w:r>
      <w:r w:rsidRPr="007E7CB6">
        <w:rPr>
          <w:rFonts w:ascii="Times New Roman" w:eastAsia="Times New Roman" w:hAnsi="Times New Roman" w:cs="Times New Roman"/>
          <w:b/>
          <w:color w:val="000000"/>
          <w:sz w:val="24"/>
          <w:szCs w:val="24"/>
        </w:rPr>
        <w:tab/>
      </w:r>
      <w:r w:rsidRPr="007E7CB6">
        <w:rPr>
          <w:rFonts w:ascii="Times New Roman" w:eastAsia="Times New Roman" w:hAnsi="Times New Roman" w:cs="Times New Roman"/>
          <w:b/>
          <w:sz w:val="24"/>
          <w:szCs w:val="24"/>
        </w:rPr>
        <w:t>Type and source of data</w:t>
      </w:r>
      <w:bookmarkEnd w:id="84"/>
    </w:p>
    <w:p w14:paraId="6EF38FED"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85" w:name="_Toc210744242"/>
      <w:r w:rsidRPr="007E7CB6">
        <w:rPr>
          <w:rFonts w:ascii="Times New Roman" w:eastAsia="Times New Roman" w:hAnsi="Times New Roman" w:cs="Times New Roman"/>
          <w:b/>
          <w:color w:val="000000"/>
          <w:sz w:val="24"/>
          <w:szCs w:val="24"/>
        </w:rPr>
        <w:t>3.3.1</w:t>
      </w:r>
      <w:r w:rsidRPr="007E7CB6">
        <w:rPr>
          <w:rFonts w:ascii="Times New Roman" w:eastAsia="Times New Roman" w:hAnsi="Times New Roman" w:cs="Times New Roman"/>
          <w:b/>
          <w:color w:val="000000"/>
          <w:sz w:val="24"/>
          <w:szCs w:val="24"/>
        </w:rPr>
        <w:tab/>
        <w:t>Type of Data</w:t>
      </w:r>
      <w:bookmarkEnd w:id="85"/>
    </w:p>
    <w:p w14:paraId="10E5726F" w14:textId="77777777" w:rsidR="00153781" w:rsidRPr="007E7CB6" w:rsidRDefault="00000000">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b/>
      </w:r>
      <w:r w:rsidRPr="007E7CB6">
        <w:rPr>
          <w:rFonts w:ascii="Times New Roman" w:eastAsia="Times New Roman" w:hAnsi="Times New Roman" w:cs="Times New Roman"/>
          <w:sz w:val="24"/>
          <w:szCs w:val="24"/>
        </w:rPr>
        <w:t>This study is a quantitative study that uses a positivist approach in analyzing data. A quantitative approach was chosen because this study focuses on testing hypotheses based on numeric data that is analyzed statistically. This study was conducted on a predetermined population and sample, with the aim of measuring the relationship between the variables under study. In its analysis, this study uses a ratio scale. The ratio scale is applied in measuring the variables of Green Accounting, Carbon Emission Disclosure, Capital Structure, and Green Intellectual Capital to obtain more objective and measurable results.</w:t>
      </w:r>
    </w:p>
    <w:p w14:paraId="4D63CA97"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86" w:name="_Toc210744243"/>
      <w:r w:rsidRPr="007E7CB6">
        <w:rPr>
          <w:rFonts w:ascii="Times New Roman" w:eastAsia="Times New Roman" w:hAnsi="Times New Roman" w:cs="Times New Roman"/>
          <w:b/>
          <w:color w:val="000000"/>
          <w:sz w:val="24"/>
          <w:szCs w:val="24"/>
        </w:rPr>
        <w:t>3.3.2</w:t>
      </w:r>
      <w:r w:rsidRPr="007E7CB6">
        <w:rPr>
          <w:rFonts w:ascii="Times New Roman" w:eastAsia="Times New Roman" w:hAnsi="Times New Roman" w:cs="Times New Roman"/>
          <w:b/>
          <w:color w:val="000000"/>
          <w:sz w:val="24"/>
          <w:szCs w:val="24"/>
        </w:rPr>
        <w:tab/>
        <w:t>Source of Data</w:t>
      </w:r>
      <w:bookmarkEnd w:id="86"/>
    </w:p>
    <w:p w14:paraId="085FDA86"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This study uses secondary data obtained from various official sources. The main data for the ESG Quality 45 (ESGQ-KEHATI) index is sourced from the Indonesia Stock Exchange (IDX) through its official website </w:t>
      </w:r>
      <w:r w:rsidRPr="007E7CB6">
        <w:rPr>
          <w:rFonts w:ascii="Times New Roman" w:eastAsia="Times New Roman" w:hAnsi="Times New Roman" w:cs="Times New Roman"/>
          <w:color w:val="000000" w:themeColor="text1"/>
          <w:sz w:val="24"/>
          <w:szCs w:val="24"/>
        </w:rPr>
        <w:lastRenderedPageBreak/>
        <w:t>(</w:t>
      </w:r>
      <w:hyperlink r:id="rId41">
        <w:r w:rsidR="00153781" w:rsidRPr="007E7CB6">
          <w:rPr>
            <w:rFonts w:ascii="Times New Roman" w:eastAsia="Times New Roman" w:hAnsi="Times New Roman" w:cs="Times New Roman"/>
            <w:color w:val="000000" w:themeColor="text1"/>
            <w:sz w:val="24"/>
            <w:szCs w:val="24"/>
            <w:u w:val="single"/>
          </w:rPr>
          <w:t>https://www.idx.co.id</w:t>
        </w:r>
      </w:hyperlink>
      <w:r w:rsidRPr="007E7CB6">
        <w:rPr>
          <w:rFonts w:ascii="Times New Roman" w:eastAsia="Times New Roman" w:hAnsi="Times New Roman" w:cs="Times New Roman"/>
          <w:sz w:val="24"/>
          <w:szCs w:val="24"/>
        </w:rPr>
        <w:t>). The selection of ESGQ-KEHATI was based on the consideration that this index reflects companies with high sustainability (Environmental, Social, and Governance/ESG) performance and strong financial fundamentals. ESGQ-KEHATI is the result of a collaboration between the Indonesia Stock Exchange (IDX) and the KEHATI Foundation, with companies selected based on strict and objective ESG criteria.</w:t>
      </w:r>
    </w:p>
    <w:p w14:paraId="604F0E16"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data collected includes annual reports and sustainability reports of companies relevant to the energy sector based on WRI's functional approach. In addition, this study also uses PROPER ranking data from the official website of the Ministry of Environment and Forestry (KLHK).</w:t>
      </w:r>
    </w:p>
    <w:p w14:paraId="53DC3FCD" w14:textId="77777777" w:rsidR="00153781" w:rsidRPr="007E7CB6" w:rsidRDefault="00000000">
      <w:pPr>
        <w:pStyle w:val="Heading2"/>
        <w:spacing w:line="480" w:lineRule="auto"/>
        <w:rPr>
          <w:rFonts w:ascii="Times New Roman" w:eastAsia="Times New Roman" w:hAnsi="Times New Roman" w:cs="Times New Roman"/>
          <w:b/>
        </w:rPr>
      </w:pPr>
      <w:bookmarkStart w:id="87" w:name="_Toc210744244"/>
      <w:r w:rsidRPr="007E7CB6">
        <w:rPr>
          <w:rFonts w:ascii="Times New Roman" w:eastAsia="Times New Roman" w:hAnsi="Times New Roman" w:cs="Times New Roman"/>
          <w:b/>
          <w:color w:val="000000"/>
          <w:sz w:val="24"/>
          <w:szCs w:val="24"/>
        </w:rPr>
        <w:t>3.4</w:t>
      </w:r>
      <w:r w:rsidRPr="007E7CB6">
        <w:rPr>
          <w:rFonts w:ascii="Times New Roman" w:eastAsia="Times New Roman" w:hAnsi="Times New Roman" w:cs="Times New Roman"/>
          <w:b/>
          <w:color w:val="000000"/>
          <w:sz w:val="24"/>
          <w:szCs w:val="24"/>
        </w:rPr>
        <w:tab/>
      </w:r>
      <w:r w:rsidRPr="007E7CB6">
        <w:rPr>
          <w:rFonts w:ascii="Times New Roman" w:eastAsia="Times New Roman" w:hAnsi="Times New Roman" w:cs="Times New Roman"/>
          <w:b/>
          <w:sz w:val="24"/>
          <w:szCs w:val="24"/>
        </w:rPr>
        <w:t>Data Collection Methods</w:t>
      </w:r>
      <w:bookmarkEnd w:id="87"/>
    </w:p>
    <w:p w14:paraId="43888532" w14:textId="77777777" w:rsidR="00153781" w:rsidRPr="007E7CB6" w:rsidRDefault="00000000">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rPr>
        <w:tab/>
      </w:r>
      <w:r w:rsidRPr="007E7CB6">
        <w:rPr>
          <w:rFonts w:ascii="Times New Roman" w:eastAsia="Times New Roman" w:hAnsi="Times New Roman" w:cs="Times New Roman"/>
        </w:rPr>
        <w:t>The data collection method used in this study was non-participant observation, in which the researcher was not directly involved in the activities of the company being studied. Instead, data was collected by searching for and recording information from various sources, such as financial reports and sustainability reports obtained from relevant official websites.</w:t>
      </w:r>
    </w:p>
    <w:p w14:paraId="676AB451" w14:textId="77777777" w:rsidR="00153781" w:rsidRPr="007E7CB6" w:rsidRDefault="00000000">
      <w:pPr>
        <w:pStyle w:val="Heading2"/>
        <w:spacing w:line="480" w:lineRule="auto"/>
        <w:rPr>
          <w:rFonts w:ascii="Times New Roman" w:eastAsia="Times New Roman" w:hAnsi="Times New Roman" w:cs="Times New Roman"/>
          <w:b/>
        </w:rPr>
      </w:pPr>
      <w:bookmarkStart w:id="88" w:name="_Toc210744245"/>
      <w:r w:rsidRPr="007E7CB6">
        <w:rPr>
          <w:rFonts w:ascii="Times New Roman" w:eastAsia="Times New Roman" w:hAnsi="Times New Roman" w:cs="Times New Roman"/>
          <w:b/>
          <w:color w:val="000000"/>
          <w:sz w:val="24"/>
          <w:szCs w:val="24"/>
        </w:rPr>
        <w:t>3.5</w:t>
      </w:r>
      <w:r w:rsidRPr="007E7CB6">
        <w:rPr>
          <w:rFonts w:ascii="Times New Roman" w:eastAsia="Times New Roman" w:hAnsi="Times New Roman" w:cs="Times New Roman"/>
          <w:b/>
          <w:color w:val="000000"/>
          <w:sz w:val="24"/>
          <w:szCs w:val="24"/>
        </w:rPr>
        <w:tab/>
        <w:t>A</w:t>
      </w:r>
      <w:r w:rsidRPr="007E7CB6">
        <w:rPr>
          <w:rFonts w:ascii="Times New Roman" w:eastAsia="Times New Roman" w:hAnsi="Times New Roman" w:cs="Times New Roman"/>
          <w:b/>
          <w:sz w:val="24"/>
          <w:szCs w:val="24"/>
        </w:rPr>
        <w:t>nalysis Tools</w:t>
      </w:r>
      <w:bookmarkEnd w:id="88"/>
    </w:p>
    <w:p w14:paraId="03946983"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89" w:name="_Toc210744246"/>
      <w:r w:rsidRPr="007E7CB6">
        <w:rPr>
          <w:rFonts w:ascii="Times New Roman" w:eastAsia="Times New Roman" w:hAnsi="Times New Roman" w:cs="Times New Roman"/>
          <w:b/>
          <w:color w:val="000000"/>
          <w:sz w:val="24"/>
          <w:szCs w:val="24"/>
        </w:rPr>
        <w:t>3.5.1.</w:t>
      </w:r>
      <w:r w:rsidRPr="007E7CB6">
        <w:rPr>
          <w:rFonts w:ascii="Times New Roman" w:eastAsia="Times New Roman" w:hAnsi="Times New Roman" w:cs="Times New Roman"/>
          <w:b/>
          <w:color w:val="000000"/>
          <w:sz w:val="24"/>
          <w:szCs w:val="24"/>
        </w:rPr>
        <w:tab/>
        <w:t>Descriptive Statistics</w:t>
      </w:r>
      <w:bookmarkEnd w:id="89"/>
    </w:p>
    <w:p w14:paraId="6FA07126" w14:textId="77777777" w:rsidR="00153781" w:rsidRPr="007E7CB6" w:rsidRDefault="00000000">
      <w:pPr>
        <w:pBdr>
          <w:top w:val="nil"/>
          <w:left w:val="nil"/>
          <w:bottom w:val="nil"/>
          <w:right w:val="nil"/>
          <w:between w:val="nil"/>
        </w:pBdr>
        <w:spacing w:line="480" w:lineRule="auto"/>
        <w:ind w:firstLine="720"/>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sz w:val="24"/>
          <w:szCs w:val="24"/>
        </w:rPr>
        <w:t>Descriptive statistics are used to provide an overview of the characteristics of research data. This analysis includes the maximum value, minimum value, mean, and standard deviation of each research variable. The purpose of this analysis is to provide an informative summary of the data before further testing is conducted.</w:t>
      </w:r>
    </w:p>
    <w:p w14:paraId="79219F3C"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90" w:name="_Toc210744247"/>
      <w:r w:rsidRPr="007E7CB6">
        <w:rPr>
          <w:rFonts w:ascii="Times New Roman" w:eastAsia="Times New Roman" w:hAnsi="Times New Roman" w:cs="Times New Roman"/>
          <w:b/>
          <w:color w:val="000000"/>
          <w:sz w:val="24"/>
          <w:szCs w:val="24"/>
        </w:rPr>
        <w:lastRenderedPageBreak/>
        <w:t xml:space="preserve">3.5.2. </w:t>
      </w:r>
      <w:r w:rsidRPr="007E7CB6">
        <w:rPr>
          <w:rFonts w:ascii="Times New Roman" w:eastAsia="Times New Roman" w:hAnsi="Times New Roman" w:cs="Times New Roman"/>
          <w:b/>
          <w:color w:val="000000"/>
          <w:sz w:val="24"/>
          <w:szCs w:val="24"/>
        </w:rPr>
        <w:tab/>
        <w:t>Classical Assumption Test</w:t>
      </w:r>
      <w:bookmarkEnd w:id="90"/>
    </w:p>
    <w:p w14:paraId="19E6B84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Classical assumption tests are conducted to ensure that the regression model meets the basic assumptions and produces valid and unbiased estimates. The types of classical assumption tests used in this study include:</w:t>
      </w:r>
    </w:p>
    <w:p w14:paraId="43397DC0" w14:textId="77777777" w:rsidR="00153781" w:rsidRPr="007E7CB6" w:rsidRDefault="00000000">
      <w:pPr>
        <w:pBdr>
          <w:top w:val="nil"/>
          <w:left w:val="nil"/>
          <w:bottom w:val="nil"/>
          <w:right w:val="nil"/>
          <w:between w:val="nil"/>
        </w:pBd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1.</w:t>
      </w:r>
      <w:r w:rsidRPr="007E7CB6">
        <w:rPr>
          <w:rFonts w:ascii="Times New Roman" w:eastAsia="Times New Roman" w:hAnsi="Times New Roman" w:cs="Times New Roman"/>
          <w:b/>
          <w:sz w:val="24"/>
          <w:szCs w:val="24"/>
        </w:rPr>
        <w:tab/>
        <w:t>Normality Test</w:t>
      </w:r>
    </w:p>
    <w:p w14:paraId="0F99FA6E" w14:textId="77777777" w:rsidR="00153781" w:rsidRPr="007E7CB6" w:rsidRDefault="00000000">
      <w:pPr>
        <w:pBdr>
          <w:top w:val="nil"/>
          <w:left w:val="nil"/>
          <w:bottom w:val="nil"/>
          <w:right w:val="nil"/>
          <w:between w:val="nil"/>
        </w:pBd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normality test aims to determine whether the data in this study is normally distributed. The test is conducted using the Kolmogorov-Smirnov (K-S) test with the following criteria:</w:t>
      </w:r>
    </w:p>
    <w:p w14:paraId="212912F9" w14:textId="77777777" w:rsidR="00153781" w:rsidRPr="007E7CB6" w:rsidRDefault="00000000">
      <w:pPr>
        <w:numPr>
          <w:ilvl w:val="0"/>
          <w:numId w:val="18"/>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significance value (Sig.) &lt; 0.05, then the data is not normally distributed.</w:t>
      </w:r>
    </w:p>
    <w:p w14:paraId="3FC99919" w14:textId="77777777" w:rsidR="00153781" w:rsidRPr="007E7CB6" w:rsidRDefault="00000000">
      <w:pPr>
        <w:numPr>
          <w:ilvl w:val="0"/>
          <w:numId w:val="18"/>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significance value (Sig.) &gt; 0.05, then the data is normally distributed.</w:t>
      </w:r>
    </w:p>
    <w:p w14:paraId="3403283A"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2. </w:t>
      </w:r>
      <w:r w:rsidRPr="007E7CB6">
        <w:rPr>
          <w:rFonts w:ascii="Times New Roman" w:eastAsia="Times New Roman" w:hAnsi="Times New Roman" w:cs="Times New Roman"/>
          <w:b/>
          <w:sz w:val="24"/>
          <w:szCs w:val="24"/>
        </w:rPr>
        <w:tab/>
        <w:t>Multicollinearity Test</w:t>
      </w:r>
    </w:p>
    <w:p w14:paraId="782B123B"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test is conducted to see if there is a high linear relationship between independent variables. The test is conducted by looking at the Tolerance and Variance Inflation Factor (VIF) values, with the following criteria:</w:t>
      </w:r>
    </w:p>
    <w:p w14:paraId="2767677B" w14:textId="77777777" w:rsidR="00153781" w:rsidRPr="007E7CB6" w:rsidRDefault="00000000">
      <w:pPr>
        <w:numPr>
          <w:ilvl w:val="0"/>
          <w:numId w:val="2"/>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Tolerance value is &lt; 0.10 and VIF is &gt; 10, then multicollinearity occurs.</w:t>
      </w:r>
    </w:p>
    <w:p w14:paraId="44F9B1E0" w14:textId="52DC1A58" w:rsidR="00153781" w:rsidRPr="007E7CB6" w:rsidRDefault="00000000">
      <w:pPr>
        <w:numPr>
          <w:ilvl w:val="0"/>
          <w:numId w:val="2"/>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Tolerance value is &gt; 0.10 and VIF is &lt; 10, then there is no multicollinearity.</w:t>
      </w:r>
    </w:p>
    <w:p w14:paraId="3A29B033"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3. </w:t>
      </w:r>
      <w:r w:rsidRPr="007E7CB6">
        <w:rPr>
          <w:rFonts w:ascii="Times New Roman" w:eastAsia="Times New Roman" w:hAnsi="Times New Roman" w:cs="Times New Roman"/>
          <w:b/>
          <w:sz w:val="24"/>
          <w:szCs w:val="24"/>
        </w:rPr>
        <w:tab/>
        <w:t>Heteroscedasticity Test</w:t>
      </w:r>
    </w:p>
    <w:p w14:paraId="6C59557D"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 heteroscedasticity test aims to determine whether there are differences in residual variance between observations in the regression model. A good </w:t>
      </w:r>
      <w:r w:rsidRPr="007E7CB6">
        <w:rPr>
          <w:rFonts w:ascii="Times New Roman" w:eastAsia="Times New Roman" w:hAnsi="Times New Roman" w:cs="Times New Roman"/>
          <w:sz w:val="24"/>
          <w:szCs w:val="24"/>
        </w:rPr>
        <w:lastRenderedPageBreak/>
        <w:t>regression model does not experience heteroscedasticity. The test is conducted by looking at the scatter plot between the residuals and the independent variables. If there is a certain pattern in the scatter plot, it indicates heteroscedasticity, whereas if the points are scattered randomly, there is no heteroscedasticity.</w:t>
      </w:r>
    </w:p>
    <w:p w14:paraId="3A3188C2"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4. </w:t>
      </w:r>
      <w:r w:rsidRPr="007E7CB6">
        <w:rPr>
          <w:rFonts w:ascii="Times New Roman" w:eastAsia="Times New Roman" w:hAnsi="Times New Roman" w:cs="Times New Roman"/>
          <w:b/>
          <w:sz w:val="24"/>
          <w:szCs w:val="24"/>
        </w:rPr>
        <w:tab/>
        <w:t>Autocorrelation Test</w:t>
      </w:r>
    </w:p>
    <w:p w14:paraId="19584722"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autocorrelation test aims to determine whether there is a correlation between the residuals in the regression model. The test is conducted using the Durbin-Watson (DW Test), with the following criteria:</w:t>
      </w:r>
    </w:p>
    <w:p w14:paraId="6AAD8FDB" w14:textId="77777777" w:rsidR="00153781" w:rsidRPr="007E7CB6" w:rsidRDefault="00000000">
      <w:pPr>
        <w:numPr>
          <w:ilvl w:val="0"/>
          <w:numId w:val="7"/>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Durbin-Watson (DW) value &gt; upper limit value (du), then there is no autocorrelation.</w:t>
      </w:r>
    </w:p>
    <w:p w14:paraId="1F74C0B8" w14:textId="77777777" w:rsidR="00153781" w:rsidRPr="007E7CB6" w:rsidRDefault="00000000">
      <w:pPr>
        <w:numPr>
          <w:ilvl w:val="0"/>
          <w:numId w:val="7"/>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Durbin-Watson (DW) value &lt; lower limit value (dl), then there is positive autocorrelation.</w:t>
      </w:r>
    </w:p>
    <w:p w14:paraId="7B8BF30D" w14:textId="3C172737" w:rsidR="00AD449C" w:rsidRPr="007E7CB6" w:rsidRDefault="00000000" w:rsidP="007E7CB6">
      <w:pPr>
        <w:numPr>
          <w:ilvl w:val="0"/>
          <w:numId w:val="7"/>
        </w:numPr>
        <w:spacing w:line="480" w:lineRule="auto"/>
        <w:ind w:left="10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DW value is between dl and du, then the results cannot be conclusively determined.</w:t>
      </w:r>
    </w:p>
    <w:p w14:paraId="1769AAE3" w14:textId="77777777" w:rsidR="00153781" w:rsidRPr="007E7CB6" w:rsidRDefault="00000000">
      <w:pPr>
        <w:pStyle w:val="Heading3"/>
        <w:keepNext w:val="0"/>
        <w:keepLines w:val="0"/>
        <w:spacing w:before="0" w:after="0" w:line="480" w:lineRule="auto"/>
        <w:ind w:left="720" w:hanging="720"/>
        <w:jc w:val="both"/>
        <w:rPr>
          <w:rFonts w:ascii="Times New Roman" w:eastAsia="Times New Roman" w:hAnsi="Times New Roman" w:cs="Times New Roman"/>
          <w:b/>
          <w:color w:val="000000"/>
          <w:sz w:val="26"/>
          <w:szCs w:val="26"/>
        </w:rPr>
      </w:pPr>
      <w:bookmarkStart w:id="91" w:name="_heading=h.y80brd8vlnco" w:colFirst="0" w:colLast="0"/>
      <w:bookmarkStart w:id="92" w:name="_Toc210744248"/>
      <w:bookmarkEnd w:id="91"/>
      <w:r w:rsidRPr="007E7CB6">
        <w:rPr>
          <w:rFonts w:ascii="Times New Roman" w:eastAsia="Times New Roman" w:hAnsi="Times New Roman" w:cs="Times New Roman"/>
          <w:b/>
          <w:color w:val="000000"/>
          <w:sz w:val="26"/>
          <w:szCs w:val="26"/>
        </w:rPr>
        <w:t>3.5.3.  Model Suitability Test (F Test)</w:t>
      </w:r>
      <w:bookmarkEnd w:id="92"/>
    </w:p>
    <w:p w14:paraId="4BCD8075"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F test is performed to test the significance of the regression model as a whole, in order to determine whether the independent variables collectively influence the dependent variable. The criteria for this test are as follows:</w:t>
      </w:r>
    </w:p>
    <w:p w14:paraId="25C5F8F9" w14:textId="77777777" w:rsidR="00153781" w:rsidRPr="007E7CB6" w:rsidRDefault="00000000">
      <w:p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 If the significance value (Sig.) is &lt; 0.05, then the regression model is suitable for used</w:t>
      </w:r>
    </w:p>
    <w:p w14:paraId="5BFC4288" w14:textId="779143EE" w:rsidR="007E7CB6" w:rsidRPr="007E7CB6" w:rsidRDefault="00000000" w:rsidP="007E7CB6">
      <w:p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 If the significance value (Sig.) is &gt; 0.05, then the regression model is not suitable for use.</w:t>
      </w:r>
    </w:p>
    <w:p w14:paraId="450726F3"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93" w:name="_Toc210744249"/>
      <w:r w:rsidRPr="007E7CB6">
        <w:rPr>
          <w:rFonts w:ascii="Times New Roman" w:eastAsia="Times New Roman" w:hAnsi="Times New Roman" w:cs="Times New Roman"/>
          <w:b/>
          <w:color w:val="000000"/>
          <w:sz w:val="24"/>
          <w:szCs w:val="24"/>
        </w:rPr>
        <w:lastRenderedPageBreak/>
        <w:t xml:space="preserve">3.5.4. </w:t>
      </w:r>
      <w:r w:rsidRPr="007E7CB6">
        <w:rPr>
          <w:rFonts w:ascii="Times New Roman" w:eastAsia="Times New Roman" w:hAnsi="Times New Roman" w:cs="Times New Roman"/>
          <w:b/>
          <w:color w:val="000000"/>
          <w:sz w:val="24"/>
          <w:szCs w:val="24"/>
        </w:rPr>
        <w:tab/>
        <w:t>Coefficient of Determination Test (R²)</w:t>
      </w:r>
      <w:bookmarkEnd w:id="93"/>
    </w:p>
    <w:p w14:paraId="3E6E048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coefficient of determination test (R²) is used to measure the extent to which the independent variables in the model can explain the dependent variable. The R² value ranges from 0 to 1, where the closer it is to 1, the greater the ability of the independent variables to explain the variability of the dependent variable.</w:t>
      </w:r>
    </w:p>
    <w:p w14:paraId="1DB191FB" w14:textId="77777777" w:rsidR="00153781" w:rsidRPr="007E7CB6" w:rsidRDefault="00000000">
      <w:pPr>
        <w:pStyle w:val="Heading3"/>
        <w:spacing w:before="0" w:after="0" w:line="480" w:lineRule="auto"/>
        <w:rPr>
          <w:rFonts w:ascii="Times New Roman" w:eastAsia="Times New Roman" w:hAnsi="Times New Roman" w:cs="Times New Roman"/>
          <w:b/>
        </w:rPr>
      </w:pPr>
      <w:bookmarkStart w:id="94" w:name="_Toc210744250"/>
      <w:r w:rsidRPr="007E7CB6">
        <w:rPr>
          <w:rFonts w:ascii="Times New Roman" w:eastAsia="Times New Roman" w:hAnsi="Times New Roman" w:cs="Times New Roman"/>
          <w:b/>
          <w:color w:val="000000"/>
          <w:sz w:val="24"/>
          <w:szCs w:val="24"/>
        </w:rPr>
        <w:t xml:space="preserve">3.5.5. </w:t>
      </w:r>
      <w:r w:rsidRPr="007E7CB6">
        <w:rPr>
          <w:rFonts w:ascii="Times New Roman" w:eastAsia="Times New Roman" w:hAnsi="Times New Roman" w:cs="Times New Roman"/>
          <w:b/>
          <w:color w:val="000000"/>
          <w:sz w:val="24"/>
          <w:szCs w:val="24"/>
        </w:rPr>
        <w:tab/>
        <w:t>Hypothesis Test (T Test)</w:t>
      </w:r>
      <w:bookmarkEnd w:id="94"/>
    </w:p>
    <w:p w14:paraId="403A0E38"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T-test is conducted to test the effect of each independent variable on the dependent variable partially. The criteria for the T-test are as follows:</w:t>
      </w:r>
    </w:p>
    <w:p w14:paraId="0E40517D" w14:textId="77777777" w:rsidR="00153781" w:rsidRPr="007E7CB6" w:rsidRDefault="00000000">
      <w:pPr>
        <w:numPr>
          <w:ilvl w:val="0"/>
          <w:numId w:val="3"/>
        </w:num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significance value (Sig.) &lt; 0.05, then the hypothesis is accepted (the independent variable has a significant effect on the dependent variable).</w:t>
      </w:r>
    </w:p>
    <w:p w14:paraId="4AF738C2" w14:textId="479F72D5" w:rsidR="00AD449C" w:rsidRPr="007E7CB6" w:rsidRDefault="00000000" w:rsidP="00AD449C">
      <w:pPr>
        <w:numPr>
          <w:ilvl w:val="0"/>
          <w:numId w:val="3"/>
        </w:num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significance value (Sig.) &gt; 0.05, then the hypothesis is rejected (the independent variable does not significantly affect the dependent variable).</w:t>
      </w:r>
    </w:p>
    <w:p w14:paraId="3CA774B6" w14:textId="77777777" w:rsidR="00153781" w:rsidRPr="007E7CB6" w:rsidRDefault="00000000">
      <w:pPr>
        <w:pStyle w:val="Heading3"/>
        <w:keepNext w:val="0"/>
        <w:keepLines w:val="0"/>
        <w:spacing w:before="0" w:after="0" w:line="480" w:lineRule="auto"/>
        <w:jc w:val="both"/>
        <w:rPr>
          <w:rFonts w:ascii="Times New Roman" w:eastAsia="Times New Roman" w:hAnsi="Times New Roman" w:cs="Times New Roman"/>
          <w:b/>
          <w:color w:val="000000"/>
          <w:sz w:val="26"/>
          <w:szCs w:val="26"/>
        </w:rPr>
      </w:pPr>
      <w:bookmarkStart w:id="95" w:name="_heading=h.j4js4c78tsyp" w:colFirst="0" w:colLast="0"/>
      <w:bookmarkStart w:id="96" w:name="_Toc210744251"/>
      <w:bookmarkEnd w:id="95"/>
      <w:r w:rsidRPr="007E7CB6">
        <w:rPr>
          <w:rFonts w:ascii="Times New Roman" w:eastAsia="Times New Roman" w:hAnsi="Times New Roman" w:cs="Times New Roman"/>
          <w:b/>
          <w:color w:val="000000"/>
          <w:sz w:val="26"/>
          <w:szCs w:val="26"/>
        </w:rPr>
        <w:t>3.5.6. Moderated Regression Analysis</w:t>
      </w:r>
      <w:bookmarkEnd w:id="96"/>
    </w:p>
    <w:p w14:paraId="03A5F7F7" w14:textId="27BFB998" w:rsidR="00AD449C" w:rsidRPr="007E7CB6" w:rsidRDefault="009D2052" w:rsidP="00AD449C">
      <w:pPr>
        <w:spacing w:line="480" w:lineRule="auto"/>
        <w:ind w:firstLine="720"/>
        <w:jc w:val="both"/>
        <w:rPr>
          <w:rFonts w:ascii="Times New Roman" w:eastAsia="Times New Roman" w:hAnsi="Times New Roman" w:cs="Times New Roman"/>
          <w:sz w:val="24"/>
          <w:szCs w:val="24"/>
        </w:rPr>
      </w:pPr>
      <w:r w:rsidRPr="007E7CB6">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303E93B7" wp14:editId="3E69CCDF">
                <wp:simplePos x="0" y="0"/>
                <wp:positionH relativeFrom="column">
                  <wp:posOffset>-3810</wp:posOffset>
                </wp:positionH>
                <wp:positionV relativeFrom="paragraph">
                  <wp:posOffset>1705138</wp:posOffset>
                </wp:positionV>
                <wp:extent cx="5045075" cy="708025"/>
                <wp:effectExtent l="0" t="0" r="22225" b="15875"/>
                <wp:wrapNone/>
                <wp:docPr id="82" name="Rectangle 82"/>
                <wp:cNvGraphicFramePr/>
                <a:graphic xmlns:a="http://schemas.openxmlformats.org/drawingml/2006/main">
                  <a:graphicData uri="http://schemas.microsoft.com/office/word/2010/wordprocessingShape">
                    <wps:wsp>
                      <wps:cNvSpPr/>
                      <wps:spPr>
                        <a:xfrm>
                          <a:off x="0" y="0"/>
                          <a:ext cx="5045075" cy="708025"/>
                        </a:xfrm>
                        <a:prstGeom prst="rect">
                          <a:avLst/>
                        </a:prstGeom>
                        <a:noFill/>
                        <a:ln w="9525" cap="flat" cmpd="sng">
                          <a:solidFill>
                            <a:schemeClr val="dk1"/>
                          </a:solidFill>
                          <a:prstDash val="solid"/>
                          <a:round/>
                          <a:headEnd type="none" w="sm" len="sm"/>
                          <a:tailEnd type="none" w="sm" len="sm"/>
                        </a:ln>
                      </wps:spPr>
                      <wps:txbx>
                        <w:txbxContent>
                          <w:p w14:paraId="31D9A13A" w14:textId="77777777" w:rsidR="00153781" w:rsidRDefault="001537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3E93B7" id="Rectangle 82" o:spid="_x0000_s1037" style="position:absolute;left:0;text-align:left;margin-left:-.3pt;margin-top:134.25pt;width:397.25pt;height:5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B9AwIAABIEAAAOAAAAZHJzL2Uyb0RvYy54bWysU9tuEzEQfUfiHyy/k92NGtpG2VSoIQip&#10;gkilHzDxJWvhG7aT3fw9Y29IAn1AQrzYM/Z45syZ48XDYDQ5iBCVsy1tJjUlwjLHld219OXb+t0d&#10;JTGB5aCdFS09ikgflm/fLHo/F1PXOc1FIJjExnnvW9ql5OdVFVknDMSJ88LipXTBQEI37CoeoMfs&#10;RlfTun5f9S5wHxwTMeLparyky5JfSsHSVymjSES3FLGlsoaybvNaLRcw3wXwnWInGPAPKAwoi0XP&#10;qVaQgOyDepXKKBZcdDJNmDOVk1IxUXrAbpr6j26eO/Ci9ILkRH+mKf6/tOzL4dlvAtLQ+ziPaOYu&#10;BhlM3hEfGQpZxzNZYkiE4eGsvpnVtzNKGN7d1nf1dJbZrC6vfYjpk3CGZKOlAYdROILDU0xj6K+Q&#10;XMy6tdK6DERb0rf0foYpCQOUhdSQ0DSetzTaXUkTnVY8P8mPi2DEow7kADhq/r05gfktKpdbQezG&#10;oHI1KiC4veWldCeAf7ScpKNHuVoULc1YoqFEC5Q4GiUugdJ/j0M2tEVSLuRmKw3bgShspSko89HW&#10;8eMmkOjZWiHIJ4hpAwGl2GB5lCcW/rGHgGD0Z4vzv29uMjnp2gnXzvbaAcs6h6pnKVAyOo+p/IKR&#10;+A/75KQqM7mAOcFG4ZWpnj5JVva1X6IuX3n5EwAA//8DAFBLAwQUAAYACAAAACEA6skCKd0AAAAJ&#10;AQAADwAAAGRycy9kb3ducmV2LnhtbEyPwU7DMBBE70j8g7VI3FqbRIQ0jVMhUD+AUARHN94mUeN1&#10;sN0k/D3mRI+jGc28KXeLGdiEzveWJDysBTCkxuqeWgmH9/0qB+aDIq0GSyjhBz3sqtubUhXazvSG&#10;Ux1aFkvIF0pCF8JYcO6bDo3yazsiRe9knVEhStdy7dQcy83AEyEyblRPcaFTI7502Jzri5Hg5m/F&#10;eeKnr8Ncf45n2nfp64eU93fL8xZYwCX8h+EPP6JDFZmO9kLas0HCKotBCUmWPwKL/tMm3QA7Skhz&#10;IYBXJb9+UP0CAAD//wMAUEsBAi0AFAAGAAgAAAAhALaDOJL+AAAA4QEAABMAAAAAAAAAAAAAAAAA&#10;AAAAAFtDb250ZW50X1R5cGVzXS54bWxQSwECLQAUAAYACAAAACEAOP0h/9YAAACUAQAACwAAAAAA&#10;AAAAAAAAAAAvAQAAX3JlbHMvLnJlbHNQSwECLQAUAAYACAAAACEAwwzAfQMCAAASBAAADgAAAAAA&#10;AAAAAAAAAAAuAgAAZHJzL2Uyb0RvYy54bWxQSwECLQAUAAYACAAAACEA6skCKd0AAAAJAQAADwAA&#10;AAAAAAAAAAAAAABdBAAAZHJzL2Rvd25yZXYueG1sUEsFBgAAAAAEAAQA8wAAAGcFAAAAAA==&#10;" filled="f" strokecolor="black [3200]">
                <v:stroke startarrowwidth="narrow" startarrowlength="short" endarrowwidth="narrow" endarrowlength="short" joinstyle="round"/>
                <v:textbox inset="2.53958mm,2.53958mm,2.53958mm,2.53958mm">
                  <w:txbxContent>
                    <w:p w14:paraId="31D9A13A" w14:textId="77777777" w:rsidR="00153781" w:rsidRDefault="00153781">
                      <w:pPr>
                        <w:spacing w:line="240" w:lineRule="auto"/>
                        <w:textDirection w:val="btLr"/>
                      </w:pPr>
                    </w:p>
                  </w:txbxContent>
                </v:textbox>
              </v:rect>
            </w:pict>
          </mc:Fallback>
        </mc:AlternateContent>
      </w:r>
      <w:r w:rsidRPr="007E7CB6">
        <w:rPr>
          <w:rFonts w:ascii="Times New Roman" w:eastAsia="Times New Roman" w:hAnsi="Times New Roman" w:cs="Times New Roman"/>
          <w:sz w:val="24"/>
          <w:szCs w:val="24"/>
        </w:rPr>
        <w:t>This study uses the Moderated Regression Analysis (MRA) method to test the moderating effect of the Green Intellectual Capital (GIC) variable on the relationship between the independent and dependent variables. This method involves the interaction between the independent variable and the moderating variable in the regression equation, which can be formulated as follows:</w:t>
      </w:r>
    </w:p>
    <w:p w14:paraId="3B79A8C9" w14:textId="77777777" w:rsidR="00153781" w:rsidRPr="007E7CB6" w:rsidRDefault="00000000">
      <w:pPr>
        <w:pBdr>
          <w:top w:val="nil"/>
          <w:left w:val="nil"/>
          <w:bottom w:val="nil"/>
          <w:right w:val="nil"/>
          <w:between w:val="nil"/>
        </w:pBdr>
        <w:spacing w:before="200" w:line="240" w:lineRule="auto"/>
        <w:ind w:left="709" w:hanging="425"/>
        <w:jc w:val="both"/>
        <w:rPr>
          <w:rFonts w:ascii="Times New Roman" w:eastAsia="Cambria Math" w:hAnsi="Times New Roman" w:cs="Times New Roman"/>
          <w:b/>
          <w:color w:val="000000"/>
          <w:sz w:val="24"/>
          <w:szCs w:val="24"/>
        </w:rPr>
      </w:pPr>
      <m:oMath>
        <m:r>
          <w:rPr>
            <w:rFonts w:ascii="Cambria Math" w:eastAsia="Cambria Math" w:hAnsi="Cambria Math" w:cs="Times New Roman"/>
            <w:color w:val="000000"/>
            <w:sz w:val="24"/>
            <w:szCs w:val="24"/>
          </w:rPr>
          <m:t>Y</m:t>
        </m:r>
        <m:r>
          <w:rPr>
            <w:rFonts w:ascii="Cambria Math" w:eastAsia="Cambria Math" w:hAnsi="Cambria Math" w:cs="Times New Roman"/>
            <w:sz w:val="24"/>
            <w:szCs w:val="24"/>
          </w:rPr>
          <m:t xml:space="preserve"> : </m:t>
        </m:r>
        <m:r>
          <w:rPr>
            <w:rFonts w:ascii="Cambria Math" w:eastAsia="Cambria Math" w:hAnsi="Cambria Math" w:cs="Times New Roman"/>
            <w:color w:val="000000"/>
            <w:sz w:val="24"/>
            <w:szCs w:val="24"/>
          </w:rPr>
          <m:t>α+</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1</m:t>
            </m:r>
          </m:sup>
        </m:sSup>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1</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2</m:t>
            </m:r>
          </m:sup>
        </m:sSup>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3</m:t>
            </m:r>
          </m:sup>
        </m:sSup>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3</m:t>
            </m:r>
          </m:sup>
        </m:sSup>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4</m:t>
            </m:r>
          </m:sup>
        </m:sSup>
        <m:r>
          <w:rPr>
            <w:rFonts w:ascii="Cambria Math" w:eastAsia="Cambria Math" w:hAnsi="Cambria Math" w:cs="Times New Roman"/>
            <w:color w:val="000000"/>
            <w:sz w:val="24"/>
            <w:szCs w:val="24"/>
          </w:rPr>
          <m:t>M+</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5</m:t>
            </m:r>
          </m:sup>
        </m:sSup>
        <m:d>
          <m:dPr>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1</m:t>
                </m:r>
              </m:sup>
            </m:sSup>
            <m:r>
              <w:rPr>
                <w:rFonts w:ascii="Cambria Math" w:eastAsia="Cambria Math" w:hAnsi="Cambria Math" w:cs="Times New Roman"/>
                <w:color w:val="000000"/>
                <w:sz w:val="24"/>
                <w:szCs w:val="24"/>
              </w:rPr>
              <m:t>*M</m:t>
            </m:r>
          </m:e>
        </m:d>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6</m:t>
            </m:r>
          </m:sup>
        </m:sSup>
        <m:d>
          <m:dPr>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2</m:t>
                </m:r>
              </m:sup>
            </m:sSup>
            <m:r>
              <w:rPr>
                <w:rFonts w:ascii="Cambria Math" w:eastAsia="Cambria Math" w:hAnsi="Cambria Math" w:cs="Times New Roman"/>
                <w:color w:val="000000"/>
                <w:sz w:val="24"/>
                <w:szCs w:val="24"/>
              </w:rPr>
              <m:t>*M</m:t>
            </m:r>
          </m:e>
        </m:d>
        <m:r>
          <w:rPr>
            <w:rFonts w:ascii="Cambria Math" w:eastAsia="Cambria Math" w:hAnsi="Cambria Math" w:cs="Times New Roman"/>
            <w:color w:val="000000"/>
            <w:sz w:val="24"/>
            <w:szCs w:val="24"/>
          </w:rPr>
          <m:t>+</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β</m:t>
            </m:r>
          </m:e>
          <m:sup>
            <m:r>
              <w:rPr>
                <w:rFonts w:ascii="Cambria Math" w:eastAsia="Cambria Math" w:hAnsi="Cambria Math" w:cs="Times New Roman"/>
                <w:color w:val="000000"/>
                <w:sz w:val="24"/>
                <w:szCs w:val="24"/>
              </w:rPr>
              <m:t>7</m:t>
            </m:r>
          </m:sup>
        </m:sSup>
        <m:d>
          <m:dPr>
            <m:ctrlPr>
              <w:rPr>
                <w:rFonts w:ascii="Cambria Math" w:eastAsia="Cambria Math" w:hAnsi="Cambria Math" w:cs="Times New Roman"/>
                <w:color w:val="000000"/>
                <w:sz w:val="24"/>
                <w:szCs w:val="24"/>
              </w:rPr>
            </m:ctrlPr>
          </m:dPr>
          <m:e>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X</m:t>
                </m:r>
              </m:e>
              <m:sup>
                <m:r>
                  <w:rPr>
                    <w:rFonts w:ascii="Cambria Math" w:eastAsia="Cambria Math" w:hAnsi="Cambria Math" w:cs="Times New Roman"/>
                    <w:color w:val="000000"/>
                    <w:sz w:val="24"/>
                    <w:szCs w:val="24"/>
                  </w:rPr>
                  <m:t>3</m:t>
                </m:r>
              </m:sup>
            </m:sSup>
            <m:r>
              <w:rPr>
                <w:rFonts w:ascii="Cambria Math" w:eastAsia="Cambria Math" w:hAnsi="Cambria Math" w:cs="Times New Roman"/>
                <w:color w:val="000000"/>
                <w:sz w:val="24"/>
                <w:szCs w:val="24"/>
              </w:rPr>
              <m:t>*M</m:t>
            </m:r>
          </m:e>
        </m:d>
      </m:oMath>
      <w:r w:rsidRPr="007E7CB6">
        <w:rPr>
          <w:rFonts w:ascii="Times New Roman" w:eastAsia="Cambria Math" w:hAnsi="Times New Roman" w:cs="Times New Roman"/>
          <w:color w:val="000000"/>
          <w:sz w:val="24"/>
          <w:szCs w:val="24"/>
        </w:rPr>
        <w:t>+ e</w:t>
      </w:r>
      <w:r w:rsidRPr="007E7CB6">
        <w:rPr>
          <w:rFonts w:ascii="Times New Roman" w:eastAsia="Times New Roman" w:hAnsi="Times New Roman" w:cs="Times New Roman"/>
          <w:color w:val="000000"/>
          <w:sz w:val="24"/>
          <w:szCs w:val="24"/>
        </w:rPr>
        <w:t>……………………………………..……………….3.6</w:t>
      </w:r>
    </w:p>
    <w:p w14:paraId="4E10F10F" w14:textId="77777777" w:rsidR="007E7CB6" w:rsidRDefault="007E7CB6" w:rsidP="007E7CB6">
      <w:pPr>
        <w:spacing w:line="480" w:lineRule="auto"/>
        <w:jc w:val="both"/>
        <w:rPr>
          <w:rFonts w:ascii="Times New Roman" w:eastAsia="Times New Roman" w:hAnsi="Times New Roman" w:cs="Times New Roman"/>
          <w:sz w:val="24"/>
          <w:szCs w:val="24"/>
        </w:rPr>
      </w:pPr>
    </w:p>
    <w:p w14:paraId="36044B26" w14:textId="1AE7EA37" w:rsidR="00153781" w:rsidRPr="007E7CB6" w:rsidRDefault="00000000" w:rsidP="007E7CB6">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Explanation:</w:t>
      </w:r>
    </w:p>
    <w:p w14:paraId="5DC3AEEB" w14:textId="097C98BC"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Y</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Firm Value</w:t>
      </w:r>
    </w:p>
    <w:p w14:paraId="371A5D77" w14:textId="48F976A3" w:rsidR="00153781" w:rsidRPr="007E7CB6" w:rsidRDefault="00000000">
      <w:pPr>
        <w:spacing w:line="480" w:lineRule="auto"/>
        <w:jc w:val="both"/>
        <w:rPr>
          <w:rFonts w:ascii="Times New Roman" w:eastAsia="Times New Roman" w:hAnsi="Times New Roman" w:cs="Times New Roman"/>
          <w:sz w:val="24"/>
          <w:szCs w:val="24"/>
        </w:rPr>
      </w:pPr>
      <w:sdt>
        <w:sdtPr>
          <w:rPr>
            <w:rFonts w:ascii="Times New Roman" w:hAnsi="Times New Roman" w:cs="Times New Roman"/>
          </w:rPr>
          <w:tag w:val="goog_rdk_12"/>
          <w:id w:val="55950203"/>
        </w:sdtPr>
        <w:sdtContent>
          <w:r w:rsidRPr="007E7CB6">
            <w:rPr>
              <w:rFonts w:ascii="Cambria Math" w:eastAsia="Cardo" w:hAnsi="Cambria Math" w:cs="Cambria Math"/>
              <w:sz w:val="24"/>
              <w:szCs w:val="24"/>
            </w:rPr>
            <w:t>⍺</w:t>
          </w:r>
          <w:r w:rsidR="004E5C8A">
            <w:rPr>
              <w:rFonts w:ascii="Times New Roman" w:eastAsia="Cardo" w:hAnsi="Times New Roman" w:cs="Times New Roman"/>
              <w:sz w:val="24"/>
              <w:szCs w:val="24"/>
            </w:rPr>
            <w:t xml:space="preserve"> = </w:t>
          </w:r>
          <w:r w:rsidRPr="007E7CB6">
            <w:rPr>
              <w:rFonts w:ascii="Times New Roman" w:eastAsia="Cardo" w:hAnsi="Times New Roman" w:cs="Times New Roman"/>
              <w:sz w:val="24"/>
              <w:szCs w:val="24"/>
            </w:rPr>
            <w:t>Constant</w:t>
          </w:r>
        </w:sdtContent>
      </w:sdt>
    </w:p>
    <w:p w14:paraId="09806DE2" w14:textId="46FE5EC1"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X₁</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Green Accounting</w:t>
      </w:r>
    </w:p>
    <w:p w14:paraId="1F042DCD" w14:textId="03499D0A"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X₂</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Carbon Emission Disclosure</w:t>
      </w:r>
    </w:p>
    <w:p w14:paraId="7E5DDBDF" w14:textId="6046EB51"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X₃</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Green Capital Structure</w:t>
      </w:r>
    </w:p>
    <w:p w14:paraId="71C9085F" w14:textId="51A43FA9"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Green Intellectual Capital (Moderating Variable)</w:t>
      </w:r>
    </w:p>
    <w:p w14:paraId="48532936" w14:textId="1A4BB8D1"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β₁</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X₁</w:t>
      </w:r>
    </w:p>
    <w:p w14:paraId="3960CA78" w14:textId="47A2A7FD"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β₂</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X₂</w:t>
      </w:r>
    </w:p>
    <w:p w14:paraId="51442CDE" w14:textId="58E12EB0"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β₃</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X₃</w:t>
      </w:r>
    </w:p>
    <w:p w14:paraId="3F7A213B" w14:textId="3371368C"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β₄</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Moderating Variable Coefficient</w:t>
      </w:r>
    </w:p>
    <w:p w14:paraId="4B59B371" w14:textId="6411F80D"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β₅</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X₁</w:t>
      </w:r>
    </w:p>
    <w:p w14:paraId="4B45DC2D" w14:textId="400B27A9"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β₆</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X₂</w:t>
      </w:r>
    </w:p>
    <w:p w14:paraId="521C9A4A" w14:textId="2A5F7DBD"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β₇</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Regression Coefficient for X₃</w:t>
      </w:r>
    </w:p>
    <w:p w14:paraId="2E57F0F6" w14:textId="2050A03C"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e</w:t>
      </w:r>
      <w:r w:rsidR="004E5C8A">
        <w:rPr>
          <w:rFonts w:ascii="Times New Roman" w:eastAsia="Times New Roman" w:hAnsi="Times New Roman" w:cs="Times New Roman"/>
          <w:sz w:val="24"/>
          <w:szCs w:val="24"/>
        </w:rPr>
        <w:t xml:space="preserve"> = </w:t>
      </w:r>
      <w:r w:rsidRPr="007E7CB6">
        <w:rPr>
          <w:rFonts w:ascii="Times New Roman" w:eastAsia="Times New Roman" w:hAnsi="Times New Roman" w:cs="Times New Roman"/>
          <w:sz w:val="24"/>
          <w:szCs w:val="24"/>
        </w:rPr>
        <w:t>Error</w:t>
      </w:r>
    </w:p>
    <w:p w14:paraId="7EC3CC4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With a significance value of 5%, the moderating variable is said to have an effect on the relationship between the independent variable and the dependent variable if:</w:t>
      </w:r>
    </w:p>
    <w:p w14:paraId="3881BC5B" w14:textId="77777777" w:rsidR="00153781" w:rsidRPr="007E7CB6" w:rsidRDefault="00000000">
      <w:p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1. If the significance value is &gt; 0.05, it can be concluded that the hypothesis is rejected, meaning that the moderating variable (Z) has no effect on the relationship between the independent variable (X) and the dependent variable (Y).</w:t>
      </w:r>
    </w:p>
    <w:p w14:paraId="6423B7D0" w14:textId="77777777" w:rsidR="00153781" w:rsidRPr="007E7CB6" w:rsidRDefault="00000000">
      <w:p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2. If the significance value is &lt; 0.05, it can be concluded that the hypothesis is accepted, meaning that the moderating variable (Z) has a significant effect on the relationship between the independent variable (X) and the dependent variable (Y).</w:t>
      </w:r>
    </w:p>
    <w:p w14:paraId="494F8EB6" w14:textId="77777777" w:rsidR="00153781" w:rsidRPr="007E7CB6" w:rsidRDefault="00000000">
      <w:p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Moderating variables can be classified into four categories, as follows:</w:t>
      </w:r>
    </w:p>
    <w:p w14:paraId="0C22C864" w14:textId="77777777" w:rsidR="00153781" w:rsidRPr="007E7CB6" w:rsidRDefault="00000000">
      <w:pPr>
        <w:numPr>
          <w:ilvl w:val="0"/>
          <w:numId w:val="17"/>
        </w:numPr>
        <w:spacing w:line="480" w:lineRule="auto"/>
        <w:ind w:left="270" w:hanging="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Pure Moderator</w:t>
      </w:r>
    </w:p>
    <w:p w14:paraId="2D6E69DD" w14:textId="77777777" w:rsidR="00153781" w:rsidRPr="007E7CB6" w:rsidRDefault="00000000">
      <w:pPr>
        <w:spacing w:line="480" w:lineRule="auto"/>
        <w:ind w:left="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β₄ coefficient is not significant, but the β₅, β₆, and β₇ coefficients are significant, then the moderating variable is classified as a pure moderator. As a pure moderator, the moderating variable moderates the relationship between the independent variable and the dependent variable, and interacts with the independent variable without becoming an independent variable.</w:t>
      </w:r>
    </w:p>
    <w:p w14:paraId="7FE00C56"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2. Quasi Moderator</w:t>
      </w:r>
    </w:p>
    <w:p w14:paraId="51464344" w14:textId="77777777" w:rsidR="00153781" w:rsidRPr="007E7CB6" w:rsidRDefault="00000000">
      <w:pPr>
        <w:spacing w:line="480" w:lineRule="auto"/>
        <w:ind w:left="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coefficients β₄, β₅, β₆, and β₇ are significant, then the moderating variable is classified as a quasi moderator. As a quasi moderator, the moderating variable moderates the relationship between the independent variable and the dependent variable, interacts with the independent variable, and also becomes an independent variable.</w:t>
      </w:r>
    </w:p>
    <w:p w14:paraId="0F8F63A5"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3. Homologiser Moderator </w:t>
      </w:r>
    </w:p>
    <w:p w14:paraId="6795B7E9" w14:textId="7AFCA550" w:rsidR="007E7CB6" w:rsidRDefault="00000000" w:rsidP="007E7CB6">
      <w:pPr>
        <w:spacing w:line="480" w:lineRule="auto"/>
        <w:ind w:left="27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coefficients β₄ , β₅ , β₆ , and β₇ are declared insignificant, then the moderator variable is classified as a potential moderator. As a potential moderator, the moderator variable has the potential to become a moderator variable.</w:t>
      </w:r>
    </w:p>
    <w:p w14:paraId="75D456F2" w14:textId="0D67F103"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4. Predictor Moderator </w:t>
      </w:r>
    </w:p>
    <w:p w14:paraId="6E1880FD" w14:textId="77777777" w:rsidR="00153781" w:rsidRPr="007E7CB6" w:rsidRDefault="00000000">
      <w:pPr>
        <w:spacing w:line="480" w:lineRule="auto"/>
        <w:ind w:left="270"/>
        <w:jc w:val="both"/>
        <w:rPr>
          <w:rFonts w:ascii="Times New Roman" w:eastAsia="Times New Roman" w:hAnsi="Times New Roman" w:cs="Times New Roman"/>
          <w:sz w:val="24"/>
          <w:szCs w:val="24"/>
        </w:rPr>
        <w:sectPr w:rsidR="00153781" w:rsidRPr="007E7CB6">
          <w:footerReference w:type="first" r:id="rId42"/>
          <w:pgSz w:w="11906" w:h="16838"/>
          <w:pgMar w:top="2268" w:right="1701" w:bottom="1701" w:left="2268" w:header="720" w:footer="737" w:gutter="0"/>
          <w:cols w:space="720"/>
          <w:titlePg/>
        </w:sectPr>
      </w:pPr>
      <w:r w:rsidRPr="007E7CB6">
        <w:rPr>
          <w:rFonts w:ascii="Times New Roman" w:eastAsia="Times New Roman" w:hAnsi="Times New Roman" w:cs="Times New Roman"/>
          <w:sz w:val="24"/>
          <w:szCs w:val="24"/>
        </w:rPr>
        <w:t>If the coefficient β₄ is significant, but the coefficients β₅, β₆, and β₇ are insignificant, then the moderator variable is classified as a moderator predictor. As a moderator predictor, the moderator variable only becomes a predictor (independent) variable in the regression mode.</w:t>
      </w:r>
    </w:p>
    <w:p w14:paraId="3D196C83"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97" w:name="_Toc210744252"/>
      <w:r w:rsidRPr="007E7CB6">
        <w:rPr>
          <w:rFonts w:ascii="Times New Roman" w:eastAsia="Times New Roman" w:hAnsi="Times New Roman" w:cs="Times New Roman"/>
          <w:b/>
          <w:sz w:val="24"/>
          <w:szCs w:val="24"/>
        </w:rPr>
        <w:lastRenderedPageBreak/>
        <w:t>CHAPTER IV</w:t>
      </w:r>
      <w:bookmarkEnd w:id="97"/>
    </w:p>
    <w:p w14:paraId="1364A826"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98" w:name="_Toc209602841"/>
      <w:bookmarkStart w:id="99" w:name="_Toc209604800"/>
      <w:bookmarkStart w:id="100" w:name="_Toc209703236"/>
      <w:bookmarkStart w:id="101" w:name="_Toc210742431"/>
      <w:bookmarkStart w:id="102" w:name="_Toc210744253"/>
      <w:r w:rsidRPr="007E7CB6">
        <w:rPr>
          <w:rFonts w:ascii="Times New Roman" w:eastAsia="Times New Roman" w:hAnsi="Times New Roman" w:cs="Times New Roman"/>
          <w:b/>
          <w:sz w:val="24"/>
          <w:szCs w:val="24"/>
        </w:rPr>
        <w:t>RESULT AND DISCUSSION</w:t>
      </w:r>
      <w:bookmarkEnd w:id="98"/>
      <w:bookmarkEnd w:id="99"/>
      <w:bookmarkEnd w:id="100"/>
      <w:bookmarkEnd w:id="101"/>
      <w:bookmarkEnd w:id="102"/>
    </w:p>
    <w:p w14:paraId="17936305" w14:textId="77777777" w:rsidR="00153781" w:rsidRPr="007E7CB6" w:rsidRDefault="00000000">
      <w:pPr>
        <w:pStyle w:val="Heading2"/>
        <w:spacing w:line="480" w:lineRule="auto"/>
        <w:rPr>
          <w:rFonts w:ascii="Times New Roman" w:eastAsia="Times New Roman" w:hAnsi="Times New Roman" w:cs="Times New Roman"/>
          <w:b/>
        </w:rPr>
      </w:pPr>
      <w:bookmarkStart w:id="103" w:name="_Toc210744254"/>
      <w:r w:rsidRPr="007E7CB6">
        <w:rPr>
          <w:rFonts w:ascii="Times New Roman" w:eastAsia="Times New Roman" w:hAnsi="Times New Roman" w:cs="Times New Roman"/>
          <w:b/>
          <w:color w:val="000000"/>
          <w:sz w:val="24"/>
          <w:szCs w:val="24"/>
        </w:rPr>
        <w:t>4.1</w:t>
      </w:r>
      <w:r w:rsidRPr="007E7CB6">
        <w:rPr>
          <w:rFonts w:ascii="Times New Roman" w:eastAsia="Times New Roman" w:hAnsi="Times New Roman" w:cs="Times New Roman"/>
          <w:b/>
          <w:color w:val="000000"/>
          <w:sz w:val="24"/>
          <w:szCs w:val="24"/>
        </w:rPr>
        <w:tab/>
      </w:r>
      <w:r w:rsidRPr="007E7CB6">
        <w:rPr>
          <w:rFonts w:ascii="Times New Roman" w:eastAsia="Times New Roman" w:hAnsi="Times New Roman" w:cs="Times New Roman"/>
          <w:b/>
          <w:sz w:val="24"/>
          <w:szCs w:val="24"/>
        </w:rPr>
        <w:t>Overview of the Research Object</w:t>
      </w:r>
      <w:bookmarkEnd w:id="103"/>
    </w:p>
    <w:p w14:paraId="0C4A668D"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aims to obtain empirical evidence regarding the influence of green accounting, carbon emission disclosure, and green capital structure on firm value, with green intellectual capital as a moderating variable. The analysis method used is multiple linear regression, as this study involves more than one independent variable. The data used in this study were obtained from annual reports and sustainability reports published by each company.</w:t>
      </w:r>
    </w:p>
    <w:p w14:paraId="1D4CD763"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objects in this study are companies that carry out activities in the energy sector, which are determined based on the emissions-based functional approach from the World Resources Institute (WRI). This approach was chosen because it provides a more comprehensive picture of companies that directly or indirectly contribute significantly to carbon emissions. This is in line with the Sectoral Decarbonization Approach (SDA) framework from the Science Based Targets initiative (SBTi), which emphasizes the importance of grouping sectors based on emission intensity and actual role in sustainability issues, rather than solely based on formal stock exchange classifications.</w:t>
      </w:r>
    </w:p>
    <w:p w14:paraId="27EFB23B"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 population in this study consists of companies included in the ESG Quality 45 Index (ESGQ-KEHATI) for the period 2021 to 2024. This index was chosen because it consists of companies that are considered to have good sustainability performance and strong financial fundamentals, making it suitable for the research focus on green accounting practices and carbon emissions disclosure. </w:t>
      </w:r>
      <w:r w:rsidRPr="007E7CB6">
        <w:rPr>
          <w:rFonts w:ascii="Times New Roman" w:eastAsia="Times New Roman" w:hAnsi="Times New Roman" w:cs="Times New Roman"/>
          <w:sz w:val="24"/>
          <w:szCs w:val="24"/>
        </w:rPr>
        <w:lastRenderedPageBreak/>
        <w:t>Of the total 45 companies in the ESGQ-KEHATI index, 29 companies did not have main activities relevant to the energy sector according to the WRI approach and were therefore excluded from the sample. Thus, there were 16 companies that met all the criteria and were used as the research sample.</w:t>
      </w:r>
    </w:p>
    <w:p w14:paraId="31953CEE" w14:textId="5459F5F5" w:rsidR="00153781" w:rsidRPr="007E7CB6" w:rsidRDefault="000C4186" w:rsidP="000C4186">
      <w:pPr>
        <w:pStyle w:val="Caption"/>
        <w:spacing w:after="0" w:line="480" w:lineRule="auto"/>
        <w:rPr>
          <w:rFonts w:ascii="Times New Roman" w:eastAsia="Times New Roman" w:hAnsi="Times New Roman" w:cs="Times New Roman"/>
          <w:b/>
          <w:color w:val="FFFFFF"/>
          <w:sz w:val="24"/>
          <w:szCs w:val="24"/>
        </w:rPr>
      </w:pPr>
      <w:bookmarkStart w:id="104" w:name="_Toc209703366"/>
      <w:r w:rsidRPr="007E7CB6">
        <w:rPr>
          <w:rFonts w:ascii="Times New Roman" w:hAnsi="Times New Roman" w:cs="Times New Roman"/>
          <w:b/>
          <w:bCs/>
          <w:i w:val="0"/>
          <w:iCs w:val="0"/>
          <w:color w:val="000000" w:themeColor="text1"/>
          <w:sz w:val="24"/>
          <w:szCs w:val="24"/>
        </w:rPr>
        <w:t>Table 4.1 List of Research Objects</w:t>
      </w:r>
      <w:r w:rsidRPr="007E7CB6">
        <w:rPr>
          <w:rFonts w:ascii="Times New Roman" w:hAnsi="Times New Roman" w:cs="Times New Roman"/>
        </w:rPr>
        <w:t xml:space="preserve"> </w:t>
      </w:r>
      <w:r w:rsidRPr="007E7CB6">
        <w:rPr>
          <w:rFonts w:ascii="Times New Roman" w:hAnsi="Times New Roman" w:cs="Times New Roman"/>
          <w:color w:val="FFFFFF" w:themeColor="background1"/>
        </w:rPr>
        <w:fldChar w:fldCharType="begin"/>
      </w:r>
      <w:r w:rsidRPr="007E7CB6">
        <w:rPr>
          <w:rFonts w:ascii="Times New Roman" w:hAnsi="Times New Roman" w:cs="Times New Roman"/>
          <w:color w:val="FFFFFF" w:themeColor="background1"/>
        </w:rPr>
        <w:instrText xml:space="preserve"> SEQ Table \* ARABIC </w:instrText>
      </w:r>
      <w:r w:rsidRPr="007E7CB6">
        <w:rPr>
          <w:rFonts w:ascii="Times New Roman" w:hAnsi="Times New Roman" w:cs="Times New Roman"/>
          <w:color w:val="FFFFFF" w:themeColor="background1"/>
        </w:rPr>
        <w:fldChar w:fldCharType="separate"/>
      </w:r>
      <w:r w:rsidR="00FD5B7D">
        <w:rPr>
          <w:rFonts w:ascii="Times New Roman" w:hAnsi="Times New Roman" w:cs="Times New Roman"/>
          <w:noProof/>
          <w:color w:val="FFFFFF" w:themeColor="background1"/>
        </w:rPr>
        <w:t>8</w:t>
      </w:r>
      <w:r w:rsidRPr="007E7CB6">
        <w:rPr>
          <w:rFonts w:ascii="Times New Roman" w:hAnsi="Times New Roman" w:cs="Times New Roman"/>
          <w:color w:val="FFFFFF" w:themeColor="background1"/>
        </w:rPr>
        <w:fldChar w:fldCharType="end"/>
      </w:r>
      <w:r w:rsidRPr="007E7CB6">
        <w:rPr>
          <w:rFonts w:ascii="Times New Roman" w:eastAsia="Times New Roman" w:hAnsi="Times New Roman" w:cs="Times New Roman"/>
          <w:b/>
          <w:i w:val="0"/>
          <w:color w:val="000000"/>
          <w:sz w:val="24"/>
          <w:szCs w:val="24"/>
        </w:rPr>
        <w:t xml:space="preserve"> </w:t>
      </w:r>
      <w:r w:rsidRPr="007E7CB6">
        <w:rPr>
          <w:rFonts w:ascii="Times New Roman" w:eastAsia="Times New Roman" w:hAnsi="Times New Roman" w:cs="Times New Roman"/>
          <w:b/>
          <w:i w:val="0"/>
          <w:color w:val="FFFFFF"/>
          <w:sz w:val="24"/>
          <w:szCs w:val="24"/>
        </w:rPr>
        <w:t>Table 8</w:t>
      </w:r>
      <w:bookmarkEnd w:id="104"/>
    </w:p>
    <w:tbl>
      <w:tblPr>
        <w:tblStyle w:val="af2"/>
        <w:tblW w:w="7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1267"/>
        <w:gridCol w:w="6089"/>
      </w:tblGrid>
      <w:tr w:rsidR="00153781" w:rsidRPr="007E7CB6" w14:paraId="52484467" w14:textId="77777777">
        <w:trPr>
          <w:trHeight w:val="481"/>
        </w:trPr>
        <w:tc>
          <w:tcPr>
            <w:tcW w:w="571" w:type="dxa"/>
            <w:vAlign w:val="center"/>
          </w:tcPr>
          <w:p w14:paraId="454F327A"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No.</w:t>
            </w:r>
          </w:p>
        </w:tc>
        <w:tc>
          <w:tcPr>
            <w:tcW w:w="1267" w:type="dxa"/>
            <w:vAlign w:val="center"/>
          </w:tcPr>
          <w:p w14:paraId="0A505F1F"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color w:val="000000"/>
                <w:sz w:val="24"/>
                <w:szCs w:val="24"/>
              </w:rPr>
              <w:t>Code</w:t>
            </w:r>
          </w:p>
        </w:tc>
        <w:tc>
          <w:tcPr>
            <w:tcW w:w="6089" w:type="dxa"/>
            <w:vAlign w:val="center"/>
          </w:tcPr>
          <w:p w14:paraId="485DD1D9"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b/>
                <w:sz w:val="24"/>
                <w:szCs w:val="24"/>
              </w:rPr>
              <w:t>Company Name</w:t>
            </w:r>
          </w:p>
        </w:tc>
      </w:tr>
      <w:tr w:rsidR="00153781" w:rsidRPr="007E7CB6" w14:paraId="4C5AAF54" w14:textId="77777777">
        <w:trPr>
          <w:trHeight w:val="417"/>
        </w:trPr>
        <w:tc>
          <w:tcPr>
            <w:tcW w:w="571" w:type="dxa"/>
            <w:vAlign w:val="center"/>
          </w:tcPr>
          <w:p w14:paraId="397503B4"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1.</w:t>
            </w:r>
          </w:p>
        </w:tc>
        <w:tc>
          <w:tcPr>
            <w:tcW w:w="1267" w:type="dxa"/>
            <w:vAlign w:val="center"/>
          </w:tcPr>
          <w:p w14:paraId="591BD386"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AKRA</w:t>
            </w:r>
          </w:p>
        </w:tc>
        <w:tc>
          <w:tcPr>
            <w:tcW w:w="6089" w:type="dxa"/>
            <w:vAlign w:val="center"/>
          </w:tcPr>
          <w:p w14:paraId="1B8EB24B"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AKR Corporindo Tbk.</w:t>
            </w:r>
          </w:p>
        </w:tc>
      </w:tr>
      <w:tr w:rsidR="00153781" w:rsidRPr="007E7CB6" w14:paraId="14F46936" w14:textId="77777777">
        <w:trPr>
          <w:trHeight w:val="410"/>
        </w:trPr>
        <w:tc>
          <w:tcPr>
            <w:tcW w:w="571" w:type="dxa"/>
            <w:vAlign w:val="center"/>
          </w:tcPr>
          <w:p w14:paraId="4E04F950"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2.</w:t>
            </w:r>
          </w:p>
        </w:tc>
        <w:tc>
          <w:tcPr>
            <w:tcW w:w="1267" w:type="dxa"/>
            <w:vAlign w:val="center"/>
          </w:tcPr>
          <w:p w14:paraId="2FDD5D10"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ANTM</w:t>
            </w:r>
          </w:p>
        </w:tc>
        <w:tc>
          <w:tcPr>
            <w:tcW w:w="6089" w:type="dxa"/>
            <w:vAlign w:val="center"/>
          </w:tcPr>
          <w:p w14:paraId="5A47F0F9"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Aneka Tambang Tbk.</w:t>
            </w:r>
          </w:p>
        </w:tc>
      </w:tr>
      <w:tr w:rsidR="00153781" w:rsidRPr="007E7CB6" w14:paraId="42AE052D" w14:textId="77777777">
        <w:trPr>
          <w:trHeight w:val="415"/>
        </w:trPr>
        <w:tc>
          <w:tcPr>
            <w:tcW w:w="571" w:type="dxa"/>
            <w:vAlign w:val="center"/>
          </w:tcPr>
          <w:p w14:paraId="7F74ED8B"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3.</w:t>
            </w:r>
          </w:p>
        </w:tc>
        <w:tc>
          <w:tcPr>
            <w:tcW w:w="1267" w:type="dxa"/>
            <w:vAlign w:val="center"/>
          </w:tcPr>
          <w:p w14:paraId="43C9DECA"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ASII</w:t>
            </w:r>
          </w:p>
        </w:tc>
        <w:tc>
          <w:tcPr>
            <w:tcW w:w="6089" w:type="dxa"/>
            <w:vAlign w:val="center"/>
          </w:tcPr>
          <w:p w14:paraId="3274B770"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Astra International Tbk.</w:t>
            </w:r>
          </w:p>
        </w:tc>
      </w:tr>
      <w:tr w:rsidR="00153781" w:rsidRPr="007E7CB6" w14:paraId="508A4FFD" w14:textId="77777777">
        <w:trPr>
          <w:trHeight w:val="421"/>
        </w:trPr>
        <w:tc>
          <w:tcPr>
            <w:tcW w:w="571" w:type="dxa"/>
            <w:vAlign w:val="center"/>
          </w:tcPr>
          <w:p w14:paraId="29095FBF"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4.</w:t>
            </w:r>
          </w:p>
        </w:tc>
        <w:tc>
          <w:tcPr>
            <w:tcW w:w="1267" w:type="dxa"/>
            <w:vAlign w:val="center"/>
          </w:tcPr>
          <w:p w14:paraId="67AAF867"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AVIA</w:t>
            </w:r>
          </w:p>
        </w:tc>
        <w:tc>
          <w:tcPr>
            <w:tcW w:w="6089" w:type="dxa"/>
            <w:vAlign w:val="center"/>
          </w:tcPr>
          <w:p w14:paraId="25087557"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Avia Avian Tbk.</w:t>
            </w:r>
          </w:p>
        </w:tc>
      </w:tr>
      <w:tr w:rsidR="00153781" w:rsidRPr="007E7CB6" w14:paraId="75748208" w14:textId="77777777">
        <w:trPr>
          <w:trHeight w:val="427"/>
        </w:trPr>
        <w:tc>
          <w:tcPr>
            <w:tcW w:w="571" w:type="dxa"/>
            <w:vAlign w:val="center"/>
          </w:tcPr>
          <w:p w14:paraId="652B7E64"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5.</w:t>
            </w:r>
          </w:p>
        </w:tc>
        <w:tc>
          <w:tcPr>
            <w:tcW w:w="1267" w:type="dxa"/>
            <w:vAlign w:val="center"/>
          </w:tcPr>
          <w:p w14:paraId="509CA83B"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BIRD</w:t>
            </w:r>
          </w:p>
        </w:tc>
        <w:tc>
          <w:tcPr>
            <w:tcW w:w="6089" w:type="dxa"/>
            <w:vAlign w:val="center"/>
          </w:tcPr>
          <w:p w14:paraId="24EEBA79"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Blue Bird Tbk.</w:t>
            </w:r>
          </w:p>
        </w:tc>
      </w:tr>
      <w:tr w:rsidR="00153781" w:rsidRPr="007E7CB6" w14:paraId="06AB7B35" w14:textId="77777777">
        <w:trPr>
          <w:trHeight w:val="407"/>
        </w:trPr>
        <w:tc>
          <w:tcPr>
            <w:tcW w:w="571" w:type="dxa"/>
            <w:vAlign w:val="center"/>
          </w:tcPr>
          <w:p w14:paraId="11AD5117"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6.</w:t>
            </w:r>
          </w:p>
        </w:tc>
        <w:tc>
          <w:tcPr>
            <w:tcW w:w="1267" w:type="dxa"/>
            <w:vAlign w:val="center"/>
          </w:tcPr>
          <w:p w14:paraId="410C8D49"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ELSA</w:t>
            </w:r>
          </w:p>
        </w:tc>
        <w:tc>
          <w:tcPr>
            <w:tcW w:w="6089" w:type="dxa"/>
            <w:vAlign w:val="center"/>
          </w:tcPr>
          <w:p w14:paraId="199510A0"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Elnusa Tbk.</w:t>
            </w:r>
          </w:p>
        </w:tc>
      </w:tr>
      <w:tr w:rsidR="00153781" w:rsidRPr="007E7CB6" w14:paraId="2E06C37D" w14:textId="77777777">
        <w:trPr>
          <w:trHeight w:val="398"/>
        </w:trPr>
        <w:tc>
          <w:tcPr>
            <w:tcW w:w="571" w:type="dxa"/>
            <w:vAlign w:val="center"/>
          </w:tcPr>
          <w:p w14:paraId="7BA252C1"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7.</w:t>
            </w:r>
          </w:p>
        </w:tc>
        <w:tc>
          <w:tcPr>
            <w:tcW w:w="1267" w:type="dxa"/>
            <w:vAlign w:val="center"/>
          </w:tcPr>
          <w:p w14:paraId="1D4DA04A" w14:textId="77777777" w:rsidR="00153781" w:rsidRPr="007E7CB6" w:rsidRDefault="00000000">
            <w:pPr>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ESSA</w:t>
            </w:r>
          </w:p>
        </w:tc>
        <w:tc>
          <w:tcPr>
            <w:tcW w:w="6089" w:type="dxa"/>
            <w:vAlign w:val="center"/>
          </w:tcPr>
          <w:p w14:paraId="460AF932" w14:textId="77777777" w:rsidR="00153781" w:rsidRPr="007E7CB6" w:rsidRDefault="00000000">
            <w:pP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ESSA Industries Indonesia Tbk.</w:t>
            </w:r>
          </w:p>
        </w:tc>
      </w:tr>
      <w:tr w:rsidR="00153781" w:rsidRPr="007E7CB6" w14:paraId="5F323BA6" w14:textId="77777777">
        <w:trPr>
          <w:trHeight w:val="401"/>
        </w:trPr>
        <w:tc>
          <w:tcPr>
            <w:tcW w:w="571" w:type="dxa"/>
            <w:vAlign w:val="center"/>
          </w:tcPr>
          <w:p w14:paraId="54866175"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8.</w:t>
            </w:r>
          </w:p>
        </w:tc>
        <w:tc>
          <w:tcPr>
            <w:tcW w:w="1267" w:type="dxa"/>
            <w:vAlign w:val="center"/>
          </w:tcPr>
          <w:p w14:paraId="4255B78C"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INCO</w:t>
            </w:r>
          </w:p>
        </w:tc>
        <w:tc>
          <w:tcPr>
            <w:tcW w:w="6089" w:type="dxa"/>
            <w:vAlign w:val="center"/>
          </w:tcPr>
          <w:p w14:paraId="6D6F3ADE"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Vale Indonesia Tbk.</w:t>
            </w:r>
          </w:p>
        </w:tc>
      </w:tr>
      <w:tr w:rsidR="00153781" w:rsidRPr="007E7CB6" w14:paraId="6B8D89CD" w14:textId="77777777">
        <w:trPr>
          <w:trHeight w:val="392"/>
        </w:trPr>
        <w:tc>
          <w:tcPr>
            <w:tcW w:w="571" w:type="dxa"/>
            <w:vAlign w:val="center"/>
          </w:tcPr>
          <w:p w14:paraId="252749D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9.</w:t>
            </w:r>
          </w:p>
        </w:tc>
        <w:tc>
          <w:tcPr>
            <w:tcW w:w="1267" w:type="dxa"/>
            <w:vAlign w:val="center"/>
          </w:tcPr>
          <w:p w14:paraId="6F4789B9"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INTP</w:t>
            </w:r>
          </w:p>
        </w:tc>
        <w:tc>
          <w:tcPr>
            <w:tcW w:w="6089" w:type="dxa"/>
            <w:vAlign w:val="center"/>
          </w:tcPr>
          <w:p w14:paraId="267B8441"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Indocement Tunggal Prakarsa Tbk.</w:t>
            </w:r>
          </w:p>
        </w:tc>
      </w:tr>
      <w:tr w:rsidR="00153781" w:rsidRPr="007E7CB6" w14:paraId="58AC5248" w14:textId="77777777">
        <w:trPr>
          <w:trHeight w:val="395"/>
        </w:trPr>
        <w:tc>
          <w:tcPr>
            <w:tcW w:w="571" w:type="dxa"/>
            <w:vAlign w:val="center"/>
          </w:tcPr>
          <w:p w14:paraId="2FEC75A9"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w:t>
            </w:r>
          </w:p>
        </w:tc>
        <w:tc>
          <w:tcPr>
            <w:tcW w:w="1267" w:type="dxa"/>
            <w:vAlign w:val="center"/>
          </w:tcPr>
          <w:p w14:paraId="1D6A955C"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JSMR</w:t>
            </w:r>
          </w:p>
        </w:tc>
        <w:tc>
          <w:tcPr>
            <w:tcW w:w="6089" w:type="dxa"/>
            <w:vAlign w:val="center"/>
          </w:tcPr>
          <w:p w14:paraId="1CF0B068"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Jasa Marga (Persero) Tbk.</w:t>
            </w:r>
          </w:p>
        </w:tc>
      </w:tr>
      <w:tr w:rsidR="00153781" w:rsidRPr="007E7CB6" w14:paraId="6F1198F9" w14:textId="77777777">
        <w:trPr>
          <w:trHeight w:val="400"/>
        </w:trPr>
        <w:tc>
          <w:tcPr>
            <w:tcW w:w="571" w:type="dxa"/>
            <w:vAlign w:val="center"/>
          </w:tcPr>
          <w:p w14:paraId="65DD7F74"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w:t>
            </w:r>
          </w:p>
        </w:tc>
        <w:tc>
          <w:tcPr>
            <w:tcW w:w="1267" w:type="dxa"/>
            <w:vAlign w:val="center"/>
          </w:tcPr>
          <w:p w14:paraId="7D6F632C"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MTEL</w:t>
            </w:r>
          </w:p>
        </w:tc>
        <w:tc>
          <w:tcPr>
            <w:tcW w:w="6089" w:type="dxa"/>
            <w:vAlign w:val="center"/>
          </w:tcPr>
          <w:p w14:paraId="353C8D9D"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Dayamitra Telekomunikasi Tbk.</w:t>
            </w:r>
          </w:p>
        </w:tc>
      </w:tr>
      <w:tr w:rsidR="00153781" w:rsidRPr="007E7CB6" w14:paraId="1B9EC9EE" w14:textId="77777777">
        <w:trPr>
          <w:trHeight w:val="389"/>
        </w:trPr>
        <w:tc>
          <w:tcPr>
            <w:tcW w:w="571" w:type="dxa"/>
            <w:vAlign w:val="center"/>
          </w:tcPr>
          <w:p w14:paraId="1126799A"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12.</w:t>
            </w:r>
          </w:p>
        </w:tc>
        <w:tc>
          <w:tcPr>
            <w:tcW w:w="1267" w:type="dxa"/>
            <w:vAlign w:val="center"/>
          </w:tcPr>
          <w:p w14:paraId="0C13C737"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PGEO</w:t>
            </w:r>
          </w:p>
        </w:tc>
        <w:tc>
          <w:tcPr>
            <w:tcW w:w="6089" w:type="dxa"/>
            <w:vAlign w:val="center"/>
          </w:tcPr>
          <w:p w14:paraId="6DCE3A48"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Pertamina Geothermal Energy Tbk.</w:t>
            </w:r>
          </w:p>
        </w:tc>
      </w:tr>
      <w:tr w:rsidR="00153781" w:rsidRPr="007E7CB6" w14:paraId="15EC953D" w14:textId="77777777">
        <w:trPr>
          <w:trHeight w:val="393"/>
        </w:trPr>
        <w:tc>
          <w:tcPr>
            <w:tcW w:w="571" w:type="dxa"/>
            <w:vAlign w:val="center"/>
          </w:tcPr>
          <w:p w14:paraId="35B566FC"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13.</w:t>
            </w:r>
          </w:p>
        </w:tc>
        <w:tc>
          <w:tcPr>
            <w:tcW w:w="1267" w:type="dxa"/>
            <w:vAlign w:val="center"/>
          </w:tcPr>
          <w:p w14:paraId="0B3C9BE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POWR</w:t>
            </w:r>
          </w:p>
        </w:tc>
        <w:tc>
          <w:tcPr>
            <w:tcW w:w="6089" w:type="dxa"/>
            <w:vAlign w:val="center"/>
          </w:tcPr>
          <w:p w14:paraId="2F34C169"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Cikarang Listrindo Tbk.</w:t>
            </w:r>
          </w:p>
        </w:tc>
      </w:tr>
      <w:tr w:rsidR="00153781" w:rsidRPr="007E7CB6" w14:paraId="78A7D4F0" w14:textId="77777777">
        <w:trPr>
          <w:trHeight w:val="383"/>
        </w:trPr>
        <w:tc>
          <w:tcPr>
            <w:tcW w:w="571" w:type="dxa"/>
            <w:vAlign w:val="center"/>
          </w:tcPr>
          <w:p w14:paraId="3026129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14.</w:t>
            </w:r>
          </w:p>
        </w:tc>
        <w:tc>
          <w:tcPr>
            <w:tcW w:w="1267" w:type="dxa"/>
            <w:vAlign w:val="center"/>
          </w:tcPr>
          <w:p w14:paraId="3FA2EA24"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SMGR</w:t>
            </w:r>
          </w:p>
        </w:tc>
        <w:tc>
          <w:tcPr>
            <w:tcW w:w="6089" w:type="dxa"/>
            <w:vAlign w:val="center"/>
          </w:tcPr>
          <w:p w14:paraId="67FD3A06"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Semen Indonesia (Persero) Tbk.</w:t>
            </w:r>
          </w:p>
        </w:tc>
      </w:tr>
      <w:tr w:rsidR="00153781" w:rsidRPr="007E7CB6" w14:paraId="52BE010F" w14:textId="77777777">
        <w:trPr>
          <w:trHeight w:val="388"/>
        </w:trPr>
        <w:tc>
          <w:tcPr>
            <w:tcW w:w="571" w:type="dxa"/>
            <w:vAlign w:val="center"/>
          </w:tcPr>
          <w:p w14:paraId="59A0F67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w:t>
            </w:r>
          </w:p>
        </w:tc>
        <w:tc>
          <w:tcPr>
            <w:tcW w:w="1267" w:type="dxa"/>
            <w:vAlign w:val="center"/>
          </w:tcPr>
          <w:p w14:paraId="0F1B459D"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TLKM</w:t>
            </w:r>
          </w:p>
        </w:tc>
        <w:tc>
          <w:tcPr>
            <w:tcW w:w="6089" w:type="dxa"/>
            <w:vAlign w:val="center"/>
          </w:tcPr>
          <w:p w14:paraId="244A557A"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Telkom Indonesia (Persero) Tbk</w:t>
            </w:r>
          </w:p>
        </w:tc>
      </w:tr>
      <w:tr w:rsidR="00153781" w:rsidRPr="007E7CB6" w14:paraId="38C2D3D7" w14:textId="77777777">
        <w:trPr>
          <w:trHeight w:val="377"/>
        </w:trPr>
        <w:tc>
          <w:tcPr>
            <w:tcW w:w="571" w:type="dxa"/>
            <w:vAlign w:val="center"/>
          </w:tcPr>
          <w:p w14:paraId="5E3B9130"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w:t>
            </w:r>
          </w:p>
        </w:tc>
        <w:tc>
          <w:tcPr>
            <w:tcW w:w="1267" w:type="dxa"/>
            <w:vAlign w:val="center"/>
          </w:tcPr>
          <w:p w14:paraId="2E3DB821" w14:textId="77777777" w:rsidR="00153781" w:rsidRPr="007E7CB6" w:rsidRDefault="00000000">
            <w:pPr>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UNTR</w:t>
            </w:r>
          </w:p>
        </w:tc>
        <w:tc>
          <w:tcPr>
            <w:tcW w:w="6089" w:type="dxa"/>
            <w:vAlign w:val="center"/>
          </w:tcPr>
          <w:p w14:paraId="10CD8DBA" w14:textId="77777777" w:rsidR="00153781" w:rsidRPr="007E7CB6" w:rsidRDefault="00000000">
            <w:pP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United Tractors Tbk.</w:t>
            </w:r>
          </w:p>
        </w:tc>
      </w:tr>
    </w:tbl>
    <w:p w14:paraId="2545AC95"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i/>
          <w:color w:val="000000" w:themeColor="text1"/>
        </w:rPr>
      </w:pPr>
      <w:r w:rsidRPr="007E7CB6">
        <w:rPr>
          <w:rFonts w:ascii="Times New Roman" w:eastAsia="Times New Roman" w:hAnsi="Times New Roman" w:cs="Times New Roman"/>
          <w:i/>
          <w:color w:val="000000" w:themeColor="text1"/>
        </w:rPr>
        <w:t>Source: Data processed by Author, 2025</w:t>
      </w:r>
    </w:p>
    <w:p w14:paraId="7CFAA2EC" w14:textId="77777777" w:rsidR="00153781" w:rsidRPr="007E7CB6" w:rsidRDefault="00153781">
      <w:pPr>
        <w:pBdr>
          <w:top w:val="nil"/>
          <w:left w:val="nil"/>
          <w:bottom w:val="nil"/>
          <w:right w:val="nil"/>
          <w:between w:val="nil"/>
        </w:pBdr>
        <w:spacing w:line="480" w:lineRule="auto"/>
        <w:rPr>
          <w:rFonts w:ascii="Times New Roman" w:eastAsia="Times New Roman" w:hAnsi="Times New Roman" w:cs="Times New Roman"/>
          <w:i/>
        </w:rPr>
      </w:pPr>
    </w:p>
    <w:p w14:paraId="36492CEC" w14:textId="77777777" w:rsidR="00153781" w:rsidRPr="007E7CB6" w:rsidRDefault="00000000">
      <w:pPr>
        <w:pStyle w:val="Heading2"/>
        <w:spacing w:line="480" w:lineRule="auto"/>
        <w:rPr>
          <w:rFonts w:ascii="Times New Roman" w:eastAsia="Times New Roman" w:hAnsi="Times New Roman" w:cs="Times New Roman"/>
          <w:b/>
        </w:rPr>
      </w:pPr>
      <w:bookmarkStart w:id="105" w:name="_Toc210744255"/>
      <w:r w:rsidRPr="007E7CB6">
        <w:rPr>
          <w:rFonts w:ascii="Times New Roman" w:eastAsia="Times New Roman" w:hAnsi="Times New Roman" w:cs="Times New Roman"/>
          <w:b/>
          <w:sz w:val="24"/>
          <w:szCs w:val="24"/>
        </w:rPr>
        <w:lastRenderedPageBreak/>
        <w:t>4.2</w:t>
      </w:r>
      <w:r w:rsidRPr="007E7CB6">
        <w:rPr>
          <w:rFonts w:ascii="Times New Roman" w:eastAsia="Times New Roman" w:hAnsi="Times New Roman" w:cs="Times New Roman"/>
          <w:b/>
          <w:sz w:val="24"/>
          <w:szCs w:val="24"/>
        </w:rPr>
        <w:tab/>
        <w:t>Data Analysis Results</w:t>
      </w:r>
      <w:bookmarkEnd w:id="105"/>
    </w:p>
    <w:p w14:paraId="304D36DF" w14:textId="77777777" w:rsidR="00153781" w:rsidRPr="007E7CB6" w:rsidRDefault="00000000">
      <w:pPr>
        <w:pStyle w:val="Heading3"/>
        <w:spacing w:before="0" w:after="0" w:line="480" w:lineRule="auto"/>
        <w:rPr>
          <w:rFonts w:ascii="Times New Roman" w:eastAsia="Times New Roman" w:hAnsi="Times New Roman" w:cs="Times New Roman"/>
          <w:b/>
          <w:color w:val="000000"/>
          <w:sz w:val="24"/>
          <w:szCs w:val="24"/>
        </w:rPr>
      </w:pPr>
      <w:bookmarkStart w:id="106" w:name="_Toc210744256"/>
      <w:r w:rsidRPr="007E7CB6">
        <w:rPr>
          <w:rFonts w:ascii="Times New Roman" w:eastAsia="Times New Roman" w:hAnsi="Times New Roman" w:cs="Times New Roman"/>
          <w:b/>
          <w:color w:val="000000"/>
          <w:sz w:val="24"/>
          <w:szCs w:val="24"/>
        </w:rPr>
        <w:t>4.2.1</w:t>
      </w:r>
      <w:r w:rsidRPr="007E7CB6">
        <w:rPr>
          <w:rFonts w:ascii="Times New Roman" w:eastAsia="Times New Roman" w:hAnsi="Times New Roman" w:cs="Times New Roman"/>
          <w:b/>
          <w:color w:val="000000"/>
          <w:sz w:val="24"/>
          <w:szCs w:val="24"/>
        </w:rPr>
        <w:tab/>
        <w:t>Descriptive Statistical Analysis</w:t>
      </w:r>
      <w:bookmarkEnd w:id="106"/>
    </w:p>
    <w:p w14:paraId="1D3EDA63"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Descriptive statistics aim to provide an overview of the research data that can be seen through the mean, standard deviation, maximum value, and minimum value. The following table shows the descriptive statistical analysis in this study:</w:t>
      </w:r>
    </w:p>
    <w:p w14:paraId="0F4CC57C" w14:textId="39FB6BC6" w:rsidR="00153781" w:rsidRPr="007E7CB6" w:rsidRDefault="000C4186" w:rsidP="000C4186">
      <w:pPr>
        <w:pStyle w:val="Caption"/>
        <w:spacing w:after="0" w:line="480" w:lineRule="auto"/>
        <w:rPr>
          <w:rFonts w:ascii="Times New Roman" w:eastAsia="Times New Roman" w:hAnsi="Times New Roman" w:cs="Times New Roman"/>
          <w:b/>
          <w:bCs/>
          <w:i w:val="0"/>
          <w:iCs w:val="0"/>
          <w:color w:val="000000" w:themeColor="text1"/>
          <w:sz w:val="36"/>
          <w:szCs w:val="36"/>
        </w:rPr>
      </w:pPr>
      <w:bookmarkStart w:id="107" w:name="_Toc209703367"/>
      <w:r w:rsidRPr="007E7CB6">
        <w:rPr>
          <w:rFonts w:ascii="Times New Roman" w:hAnsi="Times New Roman" w:cs="Times New Roman"/>
          <w:b/>
          <w:bCs/>
          <w:i w:val="0"/>
          <w:iCs w:val="0"/>
          <w:color w:val="000000" w:themeColor="text1"/>
          <w:sz w:val="24"/>
          <w:szCs w:val="24"/>
        </w:rPr>
        <w:t xml:space="preserve">Table 4.2 Descriptive Statistical Analysis Result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9</w:t>
      </w:r>
      <w:bookmarkEnd w:id="107"/>
      <w:r w:rsidRPr="007E7CB6">
        <w:rPr>
          <w:rFonts w:ascii="Times New Roman" w:hAnsi="Times New Roman" w:cs="Times New Roman"/>
          <w:b/>
          <w:bCs/>
          <w:i w:val="0"/>
          <w:iCs w:val="0"/>
          <w:color w:val="FFFFFF" w:themeColor="background1"/>
          <w:sz w:val="24"/>
          <w:szCs w:val="24"/>
        </w:rPr>
        <w:fldChar w:fldCharType="end"/>
      </w:r>
    </w:p>
    <w:tbl>
      <w:tblPr>
        <w:tblStyle w:val="af3"/>
        <w:tblW w:w="7938" w:type="dxa"/>
        <w:tblInd w:w="-5" w:type="dxa"/>
        <w:tblLayout w:type="fixed"/>
        <w:tblLook w:val="0400" w:firstRow="0" w:lastRow="0" w:firstColumn="0" w:lastColumn="0" w:noHBand="0" w:noVBand="1"/>
      </w:tblPr>
      <w:tblGrid>
        <w:gridCol w:w="2205"/>
        <w:gridCol w:w="600"/>
        <w:gridCol w:w="1395"/>
        <w:gridCol w:w="1320"/>
        <w:gridCol w:w="885"/>
        <w:gridCol w:w="1533"/>
      </w:tblGrid>
      <w:tr w:rsidR="00153781" w:rsidRPr="007E7CB6" w14:paraId="46A092F2" w14:textId="77777777" w:rsidTr="000C4186">
        <w:trPr>
          <w:trHeight w:val="20"/>
        </w:trPr>
        <w:tc>
          <w:tcPr>
            <w:tcW w:w="7938"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0DE6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08" w:name="_heading=h.gi7432gwtn55" w:colFirst="0" w:colLast="0"/>
            <w:bookmarkEnd w:id="108"/>
            <w:r w:rsidRPr="007E7CB6">
              <w:rPr>
                <w:rFonts w:ascii="Times New Roman" w:eastAsia="Times New Roman" w:hAnsi="Times New Roman" w:cs="Times New Roman"/>
                <w:b/>
                <w:color w:val="000000"/>
                <w:sz w:val="24"/>
                <w:szCs w:val="24"/>
              </w:rPr>
              <w:t>Descriptive Statistics</w:t>
            </w:r>
          </w:p>
        </w:tc>
      </w:tr>
      <w:tr w:rsidR="00153781" w:rsidRPr="007E7CB6" w14:paraId="4688FA8E" w14:textId="77777777" w:rsidTr="000C4186">
        <w:trPr>
          <w:trHeight w:val="74"/>
        </w:trPr>
        <w:tc>
          <w:tcPr>
            <w:tcW w:w="2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227FB" w14:textId="77777777" w:rsidR="00153781" w:rsidRPr="007E7CB6" w:rsidRDefault="00153781">
            <w:pPr>
              <w:rPr>
                <w:rFonts w:ascii="Times New Roman" w:eastAsia="Times New Roman" w:hAnsi="Times New Roman" w:cs="Times New Roman"/>
                <w:sz w:val="24"/>
                <w:szCs w:val="24"/>
              </w:rPr>
            </w:pPr>
          </w:p>
        </w:tc>
        <w:tc>
          <w:tcPr>
            <w:tcW w:w="6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34886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N</w:t>
            </w:r>
          </w:p>
        </w:tc>
        <w:tc>
          <w:tcPr>
            <w:tcW w:w="13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617E1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Minimum</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2EBAF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Maximum</w:t>
            </w:r>
          </w:p>
        </w:tc>
        <w:tc>
          <w:tcPr>
            <w:tcW w:w="8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C7F05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Mean</w:t>
            </w:r>
          </w:p>
        </w:tc>
        <w:tc>
          <w:tcPr>
            <w:tcW w:w="153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D476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Std. Deviation</w:t>
            </w:r>
          </w:p>
        </w:tc>
      </w:tr>
      <w:tr w:rsidR="00153781" w:rsidRPr="007E7CB6" w14:paraId="116E8433"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0010603"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Accounting</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2504E3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DD4BB5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523D70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AFC893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0.0052</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5282DB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0.00637</w:t>
            </w:r>
          </w:p>
        </w:tc>
      </w:tr>
      <w:tr w:rsidR="00153781" w:rsidRPr="007E7CB6" w14:paraId="1203070C"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7D24D47"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Carbon Emission Disclosure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9EB71D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87AFEC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18DD31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8E70FC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0.7273</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3557F5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0.15168</w:t>
            </w:r>
          </w:p>
        </w:tc>
      </w:tr>
      <w:tr w:rsidR="00153781" w:rsidRPr="007E7CB6" w14:paraId="16B009E3"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932140E"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Capital Structure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138158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F9DED7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8AB2AB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92BBC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0.0005</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D3B4AC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0.00125</w:t>
            </w:r>
          </w:p>
        </w:tc>
      </w:tr>
      <w:tr w:rsidR="00153781" w:rsidRPr="007E7CB6" w14:paraId="35A049F7"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A78046E"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Firm Value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94EEE4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418705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899885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0.85</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50FBB2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0.4380</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78ADF2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0.16423</w:t>
            </w:r>
          </w:p>
        </w:tc>
      </w:tr>
      <w:tr w:rsidR="00153781" w:rsidRPr="007E7CB6" w14:paraId="41A63F71"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1425E4C"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Intellectual Capital</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A28741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CFA27B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3D35CE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0.86</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E9F91D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0.6685</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AAB88A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0.10700</w:t>
            </w:r>
          </w:p>
        </w:tc>
      </w:tr>
      <w:tr w:rsidR="00153781" w:rsidRPr="007E7CB6" w14:paraId="258E623F" w14:textId="77777777" w:rsidTr="000C4186">
        <w:tc>
          <w:tcPr>
            <w:tcW w:w="220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1DCA48D"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Valid N (listwise)</w:t>
            </w:r>
          </w:p>
        </w:tc>
        <w:tc>
          <w:tcPr>
            <w:tcW w:w="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8A1682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3264D9B" w14:textId="77777777" w:rsidR="00153781" w:rsidRPr="007E7CB6" w:rsidRDefault="00153781">
            <w:pPr>
              <w:rPr>
                <w:rFonts w:ascii="Times New Roman" w:eastAsia="Times New Roman"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F7C032E" w14:textId="77777777" w:rsidR="00153781" w:rsidRPr="007E7CB6" w:rsidRDefault="00153781">
            <w:pPr>
              <w:rPr>
                <w:rFonts w:ascii="Times New Roman" w:eastAsia="Times New Roman" w:hAnsi="Times New Roman" w:cs="Times New Roman"/>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392EDAD" w14:textId="77777777" w:rsidR="00153781" w:rsidRPr="007E7CB6" w:rsidRDefault="00153781">
            <w:pPr>
              <w:rPr>
                <w:rFonts w:ascii="Times New Roman" w:eastAsia="Times New Roman" w:hAnsi="Times New Roman" w:cs="Times New Roman"/>
                <w:sz w:val="24"/>
                <w:szCs w:val="24"/>
              </w:rPr>
            </w:pPr>
          </w:p>
        </w:tc>
        <w:tc>
          <w:tcPr>
            <w:tcW w:w="15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6B4EA54" w14:textId="77777777" w:rsidR="00153781" w:rsidRPr="007E7CB6" w:rsidRDefault="00153781">
            <w:pPr>
              <w:rPr>
                <w:rFonts w:ascii="Times New Roman" w:eastAsia="Times New Roman" w:hAnsi="Times New Roman" w:cs="Times New Roman"/>
                <w:sz w:val="24"/>
                <w:szCs w:val="24"/>
              </w:rPr>
            </w:pPr>
          </w:p>
        </w:tc>
      </w:tr>
    </w:tbl>
    <w:p w14:paraId="625BDA89"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78DB96D4"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Table 4.2 presents the results of descriptive statistical analysis of five research variables consisting of Green Accounting, Carbon Emission Disclosure, Green Capital Structure, Firm Value, and Green Intellectual Capital. The data were obtained from 64 observation samples (N = 64).</w:t>
      </w:r>
    </w:p>
    <w:p w14:paraId="1B3633C9" w14:textId="1F3AA09B" w:rsidR="00153781" w:rsidRPr="007E7CB6" w:rsidRDefault="00000000">
      <w:pPr>
        <w:numPr>
          <w:ilvl w:val="0"/>
          <w:numId w:val="1"/>
        </w:numPr>
        <w:spacing w:line="480" w:lineRule="auto"/>
        <w:ind w:left="360"/>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Green </w:t>
      </w:r>
      <w:r w:rsidR="006B7C4E" w:rsidRPr="007E7CB6">
        <w:rPr>
          <w:rFonts w:ascii="Times New Roman" w:eastAsia="Times New Roman" w:hAnsi="Times New Roman" w:cs="Times New Roman"/>
          <w:b/>
          <w:bCs/>
          <w:sz w:val="24"/>
          <w:szCs w:val="24"/>
        </w:rPr>
        <w:t>A</w:t>
      </w:r>
      <w:r w:rsidRPr="007E7CB6">
        <w:rPr>
          <w:rFonts w:ascii="Times New Roman" w:eastAsia="Times New Roman" w:hAnsi="Times New Roman" w:cs="Times New Roman"/>
          <w:b/>
          <w:bCs/>
          <w:sz w:val="24"/>
          <w:szCs w:val="24"/>
        </w:rPr>
        <w:t>ccounting</w:t>
      </w:r>
    </w:p>
    <w:p w14:paraId="096D67BC" w14:textId="77777777"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variable has a minimum value of 0.00042 and a maximum value of 0.04262, with a mean value of 0.0052 and a standard deviation of 0.0064. This indicates that, in general, companies have a low level of expenditure or reporting related to green accounting, with a relatively small data distribution.</w:t>
      </w:r>
    </w:p>
    <w:p w14:paraId="4531563D" w14:textId="4AFB856E" w:rsidR="00153781" w:rsidRPr="007E7CB6" w:rsidRDefault="00000000">
      <w:pPr>
        <w:numPr>
          <w:ilvl w:val="0"/>
          <w:numId w:val="1"/>
        </w:numPr>
        <w:spacing w:line="480" w:lineRule="auto"/>
        <w:ind w:left="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lastRenderedPageBreak/>
        <w:t xml:space="preserve">Carbon </w:t>
      </w:r>
      <w:r w:rsidR="006B7C4E" w:rsidRPr="007E7CB6">
        <w:rPr>
          <w:rFonts w:ascii="Times New Roman" w:eastAsia="Times New Roman" w:hAnsi="Times New Roman" w:cs="Times New Roman"/>
          <w:b/>
          <w:bCs/>
          <w:sz w:val="24"/>
          <w:szCs w:val="24"/>
        </w:rPr>
        <w:t>E</w:t>
      </w:r>
      <w:r w:rsidRPr="007E7CB6">
        <w:rPr>
          <w:rFonts w:ascii="Times New Roman" w:eastAsia="Times New Roman" w:hAnsi="Times New Roman" w:cs="Times New Roman"/>
          <w:b/>
          <w:bCs/>
          <w:sz w:val="24"/>
          <w:szCs w:val="24"/>
        </w:rPr>
        <w:t xml:space="preserve">mission </w:t>
      </w:r>
      <w:r w:rsidR="006B7C4E" w:rsidRPr="007E7CB6">
        <w:rPr>
          <w:rFonts w:ascii="Times New Roman" w:eastAsia="Times New Roman" w:hAnsi="Times New Roman" w:cs="Times New Roman"/>
          <w:b/>
          <w:bCs/>
          <w:sz w:val="24"/>
          <w:szCs w:val="24"/>
        </w:rPr>
        <w:t>D</w:t>
      </w:r>
      <w:r w:rsidRPr="007E7CB6">
        <w:rPr>
          <w:rFonts w:ascii="Times New Roman" w:eastAsia="Times New Roman" w:hAnsi="Times New Roman" w:cs="Times New Roman"/>
          <w:b/>
          <w:bCs/>
          <w:sz w:val="24"/>
          <w:szCs w:val="24"/>
        </w:rPr>
        <w:t>isclosure</w:t>
      </w:r>
    </w:p>
    <w:p w14:paraId="10C62BD1" w14:textId="77777777"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variable has a minimum value of 0.44 and a maximum value of 0.94, with an average of 0.7273 and a standard deviation of 0.1517. The fairly high average indicates that most companies have disclosed their carbon emissions quite intensively, although there are still variations between companies.</w:t>
      </w:r>
    </w:p>
    <w:p w14:paraId="1D8BB99C" w14:textId="77A1D231" w:rsidR="00153781" w:rsidRPr="007E7CB6" w:rsidRDefault="00000000">
      <w:pPr>
        <w:numPr>
          <w:ilvl w:val="0"/>
          <w:numId w:val="1"/>
        </w:numPr>
        <w:spacing w:line="480" w:lineRule="auto"/>
        <w:ind w:left="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Green </w:t>
      </w:r>
      <w:r w:rsidR="006B7C4E" w:rsidRPr="007E7CB6">
        <w:rPr>
          <w:rFonts w:ascii="Times New Roman" w:eastAsia="Times New Roman" w:hAnsi="Times New Roman" w:cs="Times New Roman"/>
          <w:b/>
          <w:bCs/>
          <w:sz w:val="24"/>
          <w:szCs w:val="24"/>
        </w:rPr>
        <w:t>C</w:t>
      </w:r>
      <w:r w:rsidRPr="007E7CB6">
        <w:rPr>
          <w:rFonts w:ascii="Times New Roman" w:eastAsia="Times New Roman" w:hAnsi="Times New Roman" w:cs="Times New Roman"/>
          <w:b/>
          <w:bCs/>
          <w:sz w:val="24"/>
          <w:szCs w:val="24"/>
        </w:rPr>
        <w:t xml:space="preserve">apital </w:t>
      </w:r>
      <w:r w:rsidR="006B7C4E" w:rsidRPr="007E7CB6">
        <w:rPr>
          <w:rFonts w:ascii="Times New Roman" w:eastAsia="Times New Roman" w:hAnsi="Times New Roman" w:cs="Times New Roman"/>
          <w:b/>
          <w:bCs/>
          <w:sz w:val="24"/>
          <w:szCs w:val="24"/>
        </w:rPr>
        <w:t>S</w:t>
      </w:r>
      <w:r w:rsidRPr="007E7CB6">
        <w:rPr>
          <w:rFonts w:ascii="Times New Roman" w:eastAsia="Times New Roman" w:hAnsi="Times New Roman" w:cs="Times New Roman"/>
          <w:b/>
          <w:bCs/>
          <w:sz w:val="24"/>
          <w:szCs w:val="24"/>
        </w:rPr>
        <w:t>tructure</w:t>
      </w:r>
    </w:p>
    <w:p w14:paraId="145C507E" w14:textId="77777777"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green capital structure variable has a minimum value of 0.00001 and a maximum of 0.00856, with an average value of 0.0006 and a standard deviation of 0.0013. This very small average value indicates that the proportion of green financing in the capital structure of companies is still limited and has not become common practice.</w:t>
      </w:r>
    </w:p>
    <w:p w14:paraId="3488BBCE" w14:textId="08CFC69A" w:rsidR="00153781" w:rsidRPr="007E7CB6" w:rsidRDefault="00000000">
      <w:pPr>
        <w:numPr>
          <w:ilvl w:val="0"/>
          <w:numId w:val="1"/>
        </w:numPr>
        <w:spacing w:line="480" w:lineRule="auto"/>
        <w:ind w:left="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Firm </w:t>
      </w:r>
      <w:r w:rsidR="006B7C4E" w:rsidRPr="007E7CB6">
        <w:rPr>
          <w:rFonts w:ascii="Times New Roman" w:eastAsia="Times New Roman" w:hAnsi="Times New Roman" w:cs="Times New Roman"/>
          <w:b/>
          <w:bCs/>
          <w:sz w:val="24"/>
          <w:szCs w:val="24"/>
        </w:rPr>
        <w:t>V</w:t>
      </w:r>
      <w:r w:rsidRPr="007E7CB6">
        <w:rPr>
          <w:rFonts w:ascii="Times New Roman" w:eastAsia="Times New Roman" w:hAnsi="Times New Roman" w:cs="Times New Roman"/>
          <w:b/>
          <w:bCs/>
          <w:sz w:val="24"/>
          <w:szCs w:val="24"/>
        </w:rPr>
        <w:t>alue</w:t>
      </w:r>
    </w:p>
    <w:p w14:paraId="7C9992FE" w14:textId="77777777" w:rsidR="00153781" w:rsidRPr="007E7CB6" w:rsidRDefault="00000000">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firm value variable ranges from 0.11 to 0.85, with an average of 0.4380 and a standard deviation of 0.1642. This indicates that there is considerable variation between companies in terms of their market value or financial performance.</w:t>
      </w:r>
    </w:p>
    <w:p w14:paraId="2AA90D37" w14:textId="3D6A1DCF" w:rsidR="00153781" w:rsidRPr="007E7CB6" w:rsidRDefault="00000000">
      <w:pPr>
        <w:numPr>
          <w:ilvl w:val="0"/>
          <w:numId w:val="1"/>
        </w:numPr>
        <w:spacing w:line="480" w:lineRule="auto"/>
        <w:ind w:left="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Green </w:t>
      </w:r>
      <w:r w:rsidR="006B7C4E" w:rsidRPr="007E7CB6">
        <w:rPr>
          <w:rFonts w:ascii="Times New Roman" w:eastAsia="Times New Roman" w:hAnsi="Times New Roman" w:cs="Times New Roman"/>
          <w:b/>
          <w:bCs/>
          <w:sz w:val="24"/>
          <w:szCs w:val="24"/>
        </w:rPr>
        <w:t>I</w:t>
      </w:r>
      <w:r w:rsidRPr="007E7CB6">
        <w:rPr>
          <w:rFonts w:ascii="Times New Roman" w:eastAsia="Times New Roman" w:hAnsi="Times New Roman" w:cs="Times New Roman"/>
          <w:b/>
          <w:bCs/>
          <w:sz w:val="24"/>
          <w:szCs w:val="24"/>
        </w:rPr>
        <w:t xml:space="preserve">ntellectual </w:t>
      </w:r>
      <w:r w:rsidR="006B7C4E" w:rsidRPr="007E7CB6">
        <w:rPr>
          <w:rFonts w:ascii="Times New Roman" w:eastAsia="Times New Roman" w:hAnsi="Times New Roman" w:cs="Times New Roman"/>
          <w:b/>
          <w:bCs/>
          <w:sz w:val="24"/>
          <w:szCs w:val="24"/>
        </w:rPr>
        <w:t>C</w:t>
      </w:r>
      <w:r w:rsidRPr="007E7CB6">
        <w:rPr>
          <w:rFonts w:ascii="Times New Roman" w:eastAsia="Times New Roman" w:hAnsi="Times New Roman" w:cs="Times New Roman"/>
          <w:b/>
          <w:bCs/>
          <w:sz w:val="24"/>
          <w:szCs w:val="24"/>
        </w:rPr>
        <w:t>apital</w:t>
      </w:r>
    </w:p>
    <w:p w14:paraId="1182F1C3" w14:textId="5676326D" w:rsidR="00153781" w:rsidRPr="007E7CB6" w:rsidRDefault="00000000" w:rsidP="000C4186">
      <w:p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variable has a minimum value of 0.43 and a maximum of 0.86, with an average value of 0.6686 and a standard deviation of 0.1070. This average indicates that most companies have a moderate to high level of Green Intellectual Capital, reflecting the capacity of knowledge-based resources that support sustainability.</w:t>
      </w:r>
    </w:p>
    <w:p w14:paraId="0F7956E4" w14:textId="7898D3E4" w:rsidR="000C4186" w:rsidRPr="007E7CB6" w:rsidRDefault="000C4186" w:rsidP="000C4186">
      <w:pPr>
        <w:spacing w:line="480" w:lineRule="auto"/>
        <w:ind w:left="360"/>
        <w:jc w:val="both"/>
        <w:rPr>
          <w:rFonts w:ascii="Times New Roman" w:eastAsia="Times New Roman" w:hAnsi="Times New Roman" w:cs="Times New Roman"/>
          <w:sz w:val="24"/>
          <w:szCs w:val="24"/>
        </w:rPr>
      </w:pPr>
    </w:p>
    <w:p w14:paraId="1A05C898" w14:textId="77777777" w:rsidR="000C4186" w:rsidRPr="007E7CB6" w:rsidRDefault="000C4186" w:rsidP="000C4186">
      <w:pPr>
        <w:spacing w:line="480" w:lineRule="auto"/>
        <w:ind w:left="360"/>
        <w:jc w:val="both"/>
        <w:rPr>
          <w:rFonts w:ascii="Times New Roman" w:eastAsia="Times New Roman" w:hAnsi="Times New Roman" w:cs="Times New Roman"/>
          <w:sz w:val="24"/>
          <w:szCs w:val="24"/>
        </w:rPr>
      </w:pPr>
    </w:p>
    <w:p w14:paraId="67816FDF" w14:textId="77777777" w:rsidR="00153781" w:rsidRPr="007E7CB6" w:rsidRDefault="00000000">
      <w:pPr>
        <w:pStyle w:val="Heading3"/>
        <w:keepNext w:val="0"/>
        <w:keepLines w:val="0"/>
        <w:spacing w:before="0" w:after="0" w:line="480" w:lineRule="auto"/>
        <w:jc w:val="both"/>
        <w:rPr>
          <w:rFonts w:ascii="Times New Roman" w:eastAsia="Times New Roman" w:hAnsi="Times New Roman" w:cs="Times New Roman"/>
          <w:b/>
          <w:color w:val="000000"/>
          <w:sz w:val="26"/>
          <w:szCs w:val="26"/>
        </w:rPr>
      </w:pPr>
      <w:bookmarkStart w:id="109" w:name="_heading=h.pnizak1f1y1m" w:colFirst="0" w:colLast="0"/>
      <w:bookmarkStart w:id="110" w:name="_Toc210744257"/>
      <w:bookmarkEnd w:id="109"/>
      <w:r w:rsidRPr="007E7CB6">
        <w:rPr>
          <w:rFonts w:ascii="Times New Roman" w:eastAsia="Times New Roman" w:hAnsi="Times New Roman" w:cs="Times New Roman"/>
          <w:b/>
          <w:color w:val="000000"/>
          <w:sz w:val="26"/>
          <w:szCs w:val="26"/>
        </w:rPr>
        <w:lastRenderedPageBreak/>
        <w:t>4.2.2. Classical Assumption Test</w:t>
      </w:r>
      <w:bookmarkEnd w:id="110"/>
    </w:p>
    <w:p w14:paraId="6BADBA64"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1.</w:t>
      </w:r>
      <w:r w:rsidRPr="007E7CB6">
        <w:rPr>
          <w:rFonts w:ascii="Times New Roman" w:eastAsia="Times New Roman" w:hAnsi="Times New Roman" w:cs="Times New Roman"/>
          <w:b/>
          <w:sz w:val="24"/>
          <w:szCs w:val="24"/>
        </w:rPr>
        <w:tab/>
        <w:t>Normality Test</w:t>
      </w:r>
    </w:p>
    <w:p w14:paraId="02D47C41"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 normality test was conducted to determine whether the residual data from the regression model was normally distributed. This test is important because one of the basic assumptions in classical linear regression analysis is that the residuals must be normally distributed. In this study, the normality test was conducted using the One-Sample Kolmogorov-Smirnov Test method.</w:t>
      </w:r>
    </w:p>
    <w:p w14:paraId="2CAF68B6" w14:textId="6285BABF" w:rsidR="00153781" w:rsidRPr="007E7CB6" w:rsidRDefault="000C4186" w:rsidP="000C4186">
      <w:pPr>
        <w:pStyle w:val="Caption"/>
        <w:spacing w:after="0" w:line="480" w:lineRule="auto"/>
        <w:ind w:left="709"/>
        <w:rPr>
          <w:rFonts w:ascii="Times New Roman" w:eastAsia="Times New Roman" w:hAnsi="Times New Roman" w:cs="Times New Roman"/>
          <w:b/>
          <w:color w:val="1F497D"/>
          <w:sz w:val="24"/>
          <w:szCs w:val="24"/>
        </w:rPr>
      </w:pPr>
      <w:bookmarkStart w:id="111" w:name="_Toc209703368"/>
      <w:r w:rsidRPr="007E7CB6">
        <w:rPr>
          <w:rFonts w:ascii="Times New Roman" w:hAnsi="Times New Roman" w:cs="Times New Roman"/>
          <w:b/>
          <w:bCs/>
          <w:i w:val="0"/>
          <w:iCs w:val="0"/>
          <w:color w:val="000000" w:themeColor="text1"/>
          <w:sz w:val="24"/>
          <w:szCs w:val="24"/>
        </w:rPr>
        <w:t xml:space="preserve">Table 4.3 Normality Test Results </w:t>
      </w:r>
      <w:r w:rsidRPr="007E7CB6">
        <w:rPr>
          <w:rFonts w:ascii="Times New Roman" w:hAnsi="Times New Roman" w:cs="Times New Roman"/>
          <w:color w:val="FFFFFF" w:themeColor="background1"/>
        </w:rPr>
        <w:fldChar w:fldCharType="begin"/>
      </w:r>
      <w:r w:rsidRPr="007E7CB6">
        <w:rPr>
          <w:rFonts w:ascii="Times New Roman" w:hAnsi="Times New Roman" w:cs="Times New Roman"/>
          <w:color w:val="FFFFFF" w:themeColor="background1"/>
        </w:rPr>
        <w:instrText xml:space="preserve"> SEQ Table \* ARABIC </w:instrText>
      </w:r>
      <w:r w:rsidRPr="007E7CB6">
        <w:rPr>
          <w:rFonts w:ascii="Times New Roman" w:hAnsi="Times New Roman" w:cs="Times New Roman"/>
          <w:color w:val="FFFFFF" w:themeColor="background1"/>
        </w:rPr>
        <w:fldChar w:fldCharType="separate"/>
      </w:r>
      <w:r w:rsidR="00FD5B7D">
        <w:rPr>
          <w:rFonts w:ascii="Times New Roman" w:hAnsi="Times New Roman" w:cs="Times New Roman"/>
          <w:noProof/>
          <w:color w:val="FFFFFF" w:themeColor="background1"/>
        </w:rPr>
        <w:t>10</w:t>
      </w:r>
      <w:r w:rsidRPr="007E7CB6">
        <w:rPr>
          <w:rFonts w:ascii="Times New Roman" w:hAnsi="Times New Roman" w:cs="Times New Roman"/>
          <w:color w:val="FFFFFF" w:themeColor="background1"/>
        </w:rPr>
        <w:fldChar w:fldCharType="end"/>
      </w:r>
      <w:r w:rsidRPr="007E7CB6">
        <w:rPr>
          <w:rFonts w:ascii="Times New Roman" w:eastAsia="Times New Roman" w:hAnsi="Times New Roman" w:cs="Times New Roman"/>
          <w:b/>
          <w:i w:val="0"/>
          <w:color w:val="FFFFFF" w:themeColor="background1"/>
          <w:sz w:val="24"/>
          <w:szCs w:val="24"/>
        </w:rPr>
        <w:t xml:space="preserve"> Table </w:t>
      </w:r>
      <w:r w:rsidRPr="007E7CB6">
        <w:rPr>
          <w:rFonts w:ascii="Times New Roman" w:eastAsia="Times New Roman" w:hAnsi="Times New Roman" w:cs="Times New Roman"/>
          <w:b/>
          <w:i w:val="0"/>
          <w:color w:val="FFFFFF"/>
          <w:sz w:val="24"/>
          <w:szCs w:val="24"/>
        </w:rPr>
        <w:t>10</w:t>
      </w:r>
      <w:bookmarkEnd w:id="111"/>
    </w:p>
    <w:tbl>
      <w:tblPr>
        <w:tblStyle w:val="af4"/>
        <w:tblpPr w:leftFromText="180" w:rightFromText="180" w:vertAnchor="text" w:tblpX="991" w:tblpY="18"/>
        <w:tblW w:w="6945" w:type="dxa"/>
        <w:tblLayout w:type="fixed"/>
        <w:tblLook w:val="0400" w:firstRow="0" w:lastRow="0" w:firstColumn="0" w:lastColumn="0" w:noHBand="0" w:noVBand="1"/>
      </w:tblPr>
      <w:tblGrid>
        <w:gridCol w:w="2268"/>
        <w:gridCol w:w="1842"/>
        <w:gridCol w:w="2835"/>
      </w:tblGrid>
      <w:tr w:rsidR="00153781" w:rsidRPr="007E7CB6" w14:paraId="175053AE" w14:textId="77777777">
        <w:trPr>
          <w:trHeight w:val="623"/>
        </w:trPr>
        <w:tc>
          <w:tcPr>
            <w:tcW w:w="69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050D03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12" w:name="_heading=h.1zwzfvowy1jc" w:colFirst="0" w:colLast="0"/>
            <w:bookmarkEnd w:id="112"/>
            <w:r w:rsidRPr="007E7CB6">
              <w:rPr>
                <w:rFonts w:ascii="Times New Roman" w:eastAsia="Times New Roman" w:hAnsi="Times New Roman" w:cs="Times New Roman"/>
                <w:b/>
                <w:color w:val="000000"/>
                <w:sz w:val="24"/>
                <w:szCs w:val="24"/>
              </w:rPr>
              <w:t>One-Sample Kolmogorov-Smirnov Test</w:t>
            </w:r>
          </w:p>
        </w:tc>
      </w:tr>
      <w:tr w:rsidR="00153781" w:rsidRPr="007E7CB6" w14:paraId="002EBF26" w14:textId="77777777">
        <w:trPr>
          <w:trHeight w:val="417"/>
        </w:trPr>
        <w:tc>
          <w:tcPr>
            <w:tcW w:w="41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FA6E631" w14:textId="77777777" w:rsidR="00153781" w:rsidRPr="007E7CB6" w:rsidRDefault="00153781">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0D9D78B"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Unstandardized Residual</w:t>
            </w:r>
          </w:p>
        </w:tc>
      </w:tr>
      <w:tr w:rsidR="00153781" w:rsidRPr="007E7CB6" w14:paraId="1DB9CD18"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C67CB81"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4F6DE4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r>
      <w:tr w:rsidR="00153781" w:rsidRPr="007E7CB6" w14:paraId="573BA482" w14:textId="77777777">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BFDC4E4"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Normal Parameters</w:t>
            </w:r>
            <w:r w:rsidRPr="007E7CB6">
              <w:rPr>
                <w:rFonts w:ascii="Times New Roman" w:eastAsia="Times New Roman" w:hAnsi="Times New Roman" w:cs="Times New Roman"/>
                <w:color w:val="000000"/>
                <w:sz w:val="14"/>
                <w:szCs w:val="14"/>
                <w:vertAlign w:val="superscript"/>
              </w:rPr>
              <w:t>a,b</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77615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Mean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BDEA3B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0.0000000</w:t>
            </w:r>
          </w:p>
        </w:tc>
      </w:tr>
      <w:tr w:rsidR="00153781" w:rsidRPr="007E7CB6" w14:paraId="5BC23B08"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622E0F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1D90D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Std. Deviation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0496C0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0.09933663</w:t>
            </w:r>
          </w:p>
        </w:tc>
      </w:tr>
      <w:tr w:rsidR="00153781" w:rsidRPr="007E7CB6" w14:paraId="579C972E" w14:textId="77777777">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55F90BA"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Most Extreme Differences</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3FFBD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Absolute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7AD8A3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1B878F31"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609DE6"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96406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Positive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531333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45ED4DE2"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A8D1116"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0D53B0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Negative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F45702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-0.061</w:t>
            </w:r>
          </w:p>
        </w:tc>
      </w:tr>
      <w:tr w:rsidR="00153781" w:rsidRPr="007E7CB6" w14:paraId="4E6CF3F3"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D1A148"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Test Statistic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4251A4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15BF20AD"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D77DEE"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Asymp. Sig. (2-tailed)</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A06E65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0.200</w:t>
            </w:r>
            <w:r w:rsidRPr="007E7CB6">
              <w:rPr>
                <w:rFonts w:ascii="Times New Roman" w:eastAsia="Times New Roman" w:hAnsi="Times New Roman" w:cs="Times New Roman"/>
                <w:color w:val="000000"/>
                <w:sz w:val="14"/>
                <w:szCs w:val="14"/>
                <w:vertAlign w:val="superscript"/>
              </w:rPr>
              <w:t>c</w:t>
            </w:r>
          </w:p>
        </w:tc>
      </w:tr>
      <w:tr w:rsidR="00153781" w:rsidRPr="007E7CB6" w14:paraId="4171E33F" w14:textId="77777777">
        <w:trPr>
          <w:trHeight w:val="445"/>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0553F7F"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Test distribution is Normal.</w:t>
            </w:r>
          </w:p>
        </w:tc>
      </w:tr>
      <w:tr w:rsidR="00153781" w:rsidRPr="007E7CB6" w14:paraId="1639E2FE" w14:textId="77777777">
        <w:trPr>
          <w:trHeight w:val="423"/>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927C83F"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 Calculated from data.</w:t>
            </w:r>
          </w:p>
        </w:tc>
      </w:tr>
      <w:tr w:rsidR="00153781" w:rsidRPr="007E7CB6" w14:paraId="568A95DF" w14:textId="77777777">
        <w:trPr>
          <w:trHeight w:val="402"/>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5C5F667"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 Lilliefors Significance Correction.</w:t>
            </w:r>
          </w:p>
        </w:tc>
      </w:tr>
    </w:tbl>
    <w:p w14:paraId="1DA47EA8" w14:textId="77777777" w:rsidR="00153781" w:rsidRPr="007E7CB6" w:rsidRDefault="00000000">
      <w:pPr>
        <w:pBdr>
          <w:top w:val="nil"/>
          <w:left w:val="nil"/>
          <w:bottom w:val="nil"/>
          <w:right w:val="nil"/>
          <w:between w:val="nil"/>
        </w:pBdr>
        <w:spacing w:line="480" w:lineRule="auto"/>
        <w:ind w:left="720"/>
        <w:rPr>
          <w:rFonts w:ascii="Times New Roman" w:eastAsia="Times New Roman" w:hAnsi="Times New Roman" w:cs="Times New Roman"/>
          <w:i/>
          <w:color w:val="000000"/>
        </w:rPr>
      </w:pPr>
      <w:r w:rsidRPr="007E7CB6">
        <w:rPr>
          <w:rFonts w:ascii="Times New Roman" w:eastAsia="Times New Roman" w:hAnsi="Times New Roman" w:cs="Times New Roman"/>
          <w:i/>
          <w:color w:val="000000"/>
        </w:rPr>
        <w:t xml:space="preserve">     </w:t>
      </w:r>
    </w:p>
    <w:p w14:paraId="4A9BA30F" w14:textId="77777777" w:rsidR="00153781" w:rsidRPr="007E7CB6" w:rsidRDefault="00000000">
      <w:pPr>
        <w:pBdr>
          <w:top w:val="nil"/>
          <w:left w:val="nil"/>
          <w:bottom w:val="nil"/>
          <w:right w:val="nil"/>
          <w:between w:val="nil"/>
        </w:pBdr>
        <w:spacing w:line="480" w:lineRule="auto"/>
        <w:ind w:left="993"/>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4FCB60D9" w14:textId="3310D7AE"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Based on Table 4.3, it is known that the Asymp. Sig. (2-tailed) value of the </w:t>
      </w:r>
      <w:r w:rsidRPr="007E7CB6">
        <w:rPr>
          <w:rFonts w:ascii="Times New Roman" w:eastAsia="Times New Roman" w:hAnsi="Times New Roman" w:cs="Times New Roman"/>
          <w:i/>
          <w:sz w:val="24"/>
          <w:szCs w:val="24"/>
        </w:rPr>
        <w:t>Kolmogorov-Smirnov</w:t>
      </w:r>
      <w:r w:rsidRPr="007E7CB6">
        <w:rPr>
          <w:rFonts w:ascii="Times New Roman" w:eastAsia="Times New Roman" w:hAnsi="Times New Roman" w:cs="Times New Roman"/>
          <w:sz w:val="24"/>
          <w:szCs w:val="24"/>
        </w:rPr>
        <w:t xml:space="preserve"> test is 0.200, which is greater than the significance value of 0.05. This indicates that the residuals in the regression model are normally distributed, so it can be concluded that the model meets </w:t>
      </w:r>
      <w:r w:rsidRPr="007E7CB6">
        <w:rPr>
          <w:rFonts w:ascii="Times New Roman" w:eastAsia="Times New Roman" w:hAnsi="Times New Roman" w:cs="Times New Roman"/>
          <w:sz w:val="24"/>
          <w:szCs w:val="24"/>
        </w:rPr>
        <w:lastRenderedPageBreak/>
        <w:t xml:space="preserve">the assumption of normality. Thus, the regression model is suitable for use </w:t>
      </w:r>
      <w:r w:rsidR="000C4186" w:rsidRPr="007E7CB6">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282F0E92" wp14:editId="5BC04D6A">
                <wp:simplePos x="0" y="0"/>
                <wp:positionH relativeFrom="column">
                  <wp:posOffset>600075</wp:posOffset>
                </wp:positionH>
                <wp:positionV relativeFrom="paragraph">
                  <wp:posOffset>3592830</wp:posOffset>
                </wp:positionV>
                <wp:extent cx="430149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301490" cy="635"/>
                        </a:xfrm>
                        <a:prstGeom prst="rect">
                          <a:avLst/>
                        </a:prstGeom>
                        <a:solidFill>
                          <a:prstClr val="white"/>
                        </a:solidFill>
                        <a:ln>
                          <a:noFill/>
                        </a:ln>
                      </wps:spPr>
                      <wps:txbx>
                        <w:txbxContent>
                          <w:p w14:paraId="290800BB" w14:textId="541A6CF7" w:rsidR="000C4186" w:rsidRPr="000C4186" w:rsidRDefault="000C4186" w:rsidP="000C4186">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13" w:name="_Toc209703565"/>
                            <w:r w:rsidRPr="000C4186">
                              <w:rPr>
                                <w:rFonts w:ascii="Times New Roman" w:hAnsi="Times New Roman" w:cs="Times New Roman"/>
                                <w:b/>
                                <w:bCs/>
                                <w:color w:val="000000" w:themeColor="text1"/>
                                <w:sz w:val="22"/>
                                <w:szCs w:val="22"/>
                              </w:rPr>
                              <w:t>Figure 4</w:t>
                            </w:r>
                            <w:r>
                              <w:rPr>
                                <w:rFonts w:ascii="Times New Roman" w:hAnsi="Times New Roman" w:cs="Times New Roman"/>
                                <w:b/>
                                <w:bCs/>
                                <w:color w:val="000000" w:themeColor="text1"/>
                                <w:sz w:val="22"/>
                                <w:szCs w:val="22"/>
                              </w:rPr>
                              <w:t>.</w:t>
                            </w:r>
                            <w:r w:rsidRPr="000C4186">
                              <w:rPr>
                                <w:rFonts w:ascii="Times New Roman" w:hAnsi="Times New Roman" w:cs="Times New Roman"/>
                                <w:b/>
                                <w:bCs/>
                                <w:color w:val="000000" w:themeColor="text1"/>
                                <w:sz w:val="22"/>
                                <w:szCs w:val="22"/>
                              </w:rPr>
                              <w:t>1 Histogram Graph</w:t>
                            </w:r>
                            <w:r w:rsidRPr="000C4186">
                              <w:rPr>
                                <w:rFonts w:ascii="Times New Roman" w:hAnsi="Times New Roman" w:cs="Times New Roman"/>
                                <w:b/>
                                <w:bCs/>
                                <w:color w:val="FFFFFF" w:themeColor="background1"/>
                                <w:sz w:val="22"/>
                                <w:szCs w:val="22"/>
                              </w:rPr>
                              <w:t xml:space="preserve"> </w:t>
                            </w:r>
                            <w:r w:rsidRPr="000C4186">
                              <w:rPr>
                                <w:rFonts w:ascii="Times New Roman" w:hAnsi="Times New Roman" w:cs="Times New Roman"/>
                                <w:b/>
                                <w:bCs/>
                                <w:color w:val="FFFFFF" w:themeColor="background1"/>
                                <w:sz w:val="22"/>
                                <w:szCs w:val="22"/>
                              </w:rPr>
                              <w:fldChar w:fldCharType="begin"/>
                            </w:r>
                            <w:r w:rsidRPr="000C4186">
                              <w:rPr>
                                <w:rFonts w:ascii="Times New Roman" w:hAnsi="Times New Roman" w:cs="Times New Roman"/>
                                <w:b/>
                                <w:bCs/>
                                <w:color w:val="FFFFFF" w:themeColor="background1"/>
                                <w:sz w:val="22"/>
                                <w:szCs w:val="22"/>
                              </w:rPr>
                              <w:instrText xml:space="preserve"> SEQ Figure \* ARABIC </w:instrText>
                            </w:r>
                            <w:r w:rsidRPr="000C4186">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5</w:t>
                            </w:r>
                            <w:bookmarkEnd w:id="113"/>
                            <w:r w:rsidRPr="000C4186">
                              <w:rPr>
                                <w:rFonts w:ascii="Times New Roman" w:hAnsi="Times New Roman" w:cs="Times New Roman"/>
                                <w:b/>
                                <w:bCs/>
                                <w:color w:val="FFFFFF" w:themeColor="background1"/>
                                <w:sz w:val="22"/>
                                <w:szCs w:val="22"/>
                              </w:rPr>
                              <w:fldChar w:fldCharType="end"/>
                            </w:r>
                          </w:p>
                          <w:p w14:paraId="395CECAE" w14:textId="02C6180B" w:rsidR="000C4186" w:rsidRPr="000C4186" w:rsidRDefault="000C4186" w:rsidP="000C4186">
                            <w:pPr>
                              <w:jc w:val="center"/>
                              <w:rPr>
                                <w:rFonts w:ascii="Times New Roman" w:hAnsi="Times New Roman" w:cs="Times New Roman"/>
                                <w:i/>
                                <w:iCs/>
                                <w:color w:val="000000" w:themeColor="text1"/>
                              </w:rPr>
                            </w:pPr>
                            <w:r w:rsidRPr="000C4186">
                              <w:rPr>
                                <w:rFonts w:ascii="Times New Roman" w:hAnsi="Times New Roman" w:cs="Times New Roman"/>
                                <w:i/>
                                <w:iCs/>
                                <w:color w:val="000000" w:themeColor="text1"/>
                              </w:rPr>
                              <w:t>Source: Data processed by SPSS 30,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2F0E92" id="Text Box 7" o:spid="_x0000_s1038" type="#_x0000_t202" style="position:absolute;left:0;text-align:left;margin-left:47.25pt;margin-top:282.9pt;width:338.7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mSGgIAAEAEAAAOAAAAZHJzL2Uyb0RvYy54bWysU8Fu2zAMvQ/YPwi6L07Srl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l5fTWfXtxSSFLu5+hh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CmjFFO4QAAAAoBAAAPAAAAZHJzL2Rvd25yZXYueG1sTI+xTsMwEIZ3JN7B&#10;OiQW1DqFJCUhTlVVMNClIu3C5sbXOBDbUey04e05WGC8u0//fX+xmkzHzjj41lkBi3kEDG3tVGsb&#10;AYf9y+wRmA/SKtk5iwK+0MOqvL4qZK7cxb7huQoNoxDrcylAh9DnnPtao5F+7nq0dDu5wchA49Bw&#10;NcgLhZuO30dRyo1sLX3QsseNxvqzGo2AXfy+03fj6Xm7jh+G18O4ST+aSojbm2n9BCzgFP5g+NEn&#10;dSjJ6ehGqzzrBGRxQqSAJE2oAgHL5SIDdvzdZMDLgv+vUH4DAAD//wMAUEsBAi0AFAAGAAgAAAAh&#10;ALaDOJL+AAAA4QEAABMAAAAAAAAAAAAAAAAAAAAAAFtDb250ZW50X1R5cGVzXS54bWxQSwECLQAU&#10;AAYACAAAACEAOP0h/9YAAACUAQAACwAAAAAAAAAAAAAAAAAvAQAAX3JlbHMvLnJlbHNQSwECLQAU&#10;AAYACAAAACEAU0qZkhoCAABABAAADgAAAAAAAAAAAAAAAAAuAgAAZHJzL2Uyb0RvYy54bWxQSwEC&#10;LQAUAAYACAAAACEApoxRTuEAAAAKAQAADwAAAAAAAAAAAAAAAAB0BAAAZHJzL2Rvd25yZXYueG1s&#10;UEsFBgAAAAAEAAQA8wAAAIIFAAAAAA==&#10;" stroked="f">
                <v:textbox style="mso-fit-shape-to-text:t" inset="0,0,0,0">
                  <w:txbxContent>
                    <w:p w14:paraId="290800BB" w14:textId="541A6CF7" w:rsidR="000C4186" w:rsidRPr="000C4186" w:rsidRDefault="000C4186" w:rsidP="000C4186">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14" w:name="_Toc209703565"/>
                      <w:r w:rsidRPr="000C4186">
                        <w:rPr>
                          <w:rFonts w:ascii="Times New Roman" w:hAnsi="Times New Roman" w:cs="Times New Roman"/>
                          <w:b/>
                          <w:bCs/>
                          <w:color w:val="000000" w:themeColor="text1"/>
                          <w:sz w:val="22"/>
                          <w:szCs w:val="22"/>
                        </w:rPr>
                        <w:t>Figure 4</w:t>
                      </w:r>
                      <w:r>
                        <w:rPr>
                          <w:rFonts w:ascii="Times New Roman" w:hAnsi="Times New Roman" w:cs="Times New Roman"/>
                          <w:b/>
                          <w:bCs/>
                          <w:color w:val="000000" w:themeColor="text1"/>
                          <w:sz w:val="22"/>
                          <w:szCs w:val="22"/>
                        </w:rPr>
                        <w:t>.</w:t>
                      </w:r>
                      <w:r w:rsidRPr="000C4186">
                        <w:rPr>
                          <w:rFonts w:ascii="Times New Roman" w:hAnsi="Times New Roman" w:cs="Times New Roman"/>
                          <w:b/>
                          <w:bCs/>
                          <w:color w:val="000000" w:themeColor="text1"/>
                          <w:sz w:val="22"/>
                          <w:szCs w:val="22"/>
                        </w:rPr>
                        <w:t>1 Histogram Graph</w:t>
                      </w:r>
                      <w:r w:rsidRPr="000C4186">
                        <w:rPr>
                          <w:rFonts w:ascii="Times New Roman" w:hAnsi="Times New Roman" w:cs="Times New Roman"/>
                          <w:b/>
                          <w:bCs/>
                          <w:color w:val="FFFFFF" w:themeColor="background1"/>
                          <w:sz w:val="22"/>
                          <w:szCs w:val="22"/>
                        </w:rPr>
                        <w:t xml:space="preserve"> </w:t>
                      </w:r>
                      <w:r w:rsidRPr="000C4186">
                        <w:rPr>
                          <w:rFonts w:ascii="Times New Roman" w:hAnsi="Times New Roman" w:cs="Times New Roman"/>
                          <w:b/>
                          <w:bCs/>
                          <w:color w:val="FFFFFF" w:themeColor="background1"/>
                          <w:sz w:val="22"/>
                          <w:szCs w:val="22"/>
                        </w:rPr>
                        <w:fldChar w:fldCharType="begin"/>
                      </w:r>
                      <w:r w:rsidRPr="000C4186">
                        <w:rPr>
                          <w:rFonts w:ascii="Times New Roman" w:hAnsi="Times New Roman" w:cs="Times New Roman"/>
                          <w:b/>
                          <w:bCs/>
                          <w:color w:val="FFFFFF" w:themeColor="background1"/>
                          <w:sz w:val="22"/>
                          <w:szCs w:val="22"/>
                        </w:rPr>
                        <w:instrText xml:space="preserve"> SEQ Figure \* ARABIC </w:instrText>
                      </w:r>
                      <w:r w:rsidRPr="000C4186">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5</w:t>
                      </w:r>
                      <w:bookmarkEnd w:id="114"/>
                      <w:r w:rsidRPr="000C4186">
                        <w:rPr>
                          <w:rFonts w:ascii="Times New Roman" w:hAnsi="Times New Roman" w:cs="Times New Roman"/>
                          <w:b/>
                          <w:bCs/>
                          <w:color w:val="FFFFFF" w:themeColor="background1"/>
                          <w:sz w:val="22"/>
                          <w:szCs w:val="22"/>
                        </w:rPr>
                        <w:fldChar w:fldCharType="end"/>
                      </w:r>
                    </w:p>
                    <w:p w14:paraId="395CECAE" w14:textId="02C6180B" w:rsidR="000C4186" w:rsidRPr="000C4186" w:rsidRDefault="000C4186" w:rsidP="000C4186">
                      <w:pPr>
                        <w:jc w:val="center"/>
                        <w:rPr>
                          <w:rFonts w:ascii="Times New Roman" w:hAnsi="Times New Roman" w:cs="Times New Roman"/>
                          <w:i/>
                          <w:iCs/>
                          <w:color w:val="000000" w:themeColor="text1"/>
                        </w:rPr>
                      </w:pPr>
                      <w:r w:rsidRPr="000C4186">
                        <w:rPr>
                          <w:rFonts w:ascii="Times New Roman" w:hAnsi="Times New Roman" w:cs="Times New Roman"/>
                          <w:i/>
                          <w:iCs/>
                          <w:color w:val="000000" w:themeColor="text1"/>
                        </w:rPr>
                        <w:t>Source: Data processed by SPSS 30, 2025</w:t>
                      </w:r>
                    </w:p>
                  </w:txbxContent>
                </v:textbox>
                <w10:wrap type="square"/>
              </v:shape>
            </w:pict>
          </mc:Fallback>
        </mc:AlternateContent>
      </w:r>
      <w:r w:rsidR="000C4186" w:rsidRPr="007E7CB6">
        <w:rPr>
          <w:rFonts w:ascii="Times New Roman" w:hAnsi="Times New Roman" w:cs="Times New Roman"/>
          <w:noProof/>
        </w:rPr>
        <w:drawing>
          <wp:anchor distT="0" distB="0" distL="114300" distR="114300" simplePos="0" relativeHeight="251671552" behindDoc="0" locked="0" layoutInCell="1" hidden="0" allowOverlap="1" wp14:anchorId="312652B9" wp14:editId="08008ED1">
            <wp:simplePos x="0" y="0"/>
            <wp:positionH relativeFrom="column">
              <wp:posOffset>600075</wp:posOffset>
            </wp:positionH>
            <wp:positionV relativeFrom="paragraph">
              <wp:posOffset>623934</wp:posOffset>
            </wp:positionV>
            <wp:extent cx="4301490" cy="2912110"/>
            <wp:effectExtent l="0" t="0" r="0" b="0"/>
            <wp:wrapSquare wrapText="bothSides" distT="0" distB="0" distL="114300" distR="114300"/>
            <wp:docPr id="1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r="13140"/>
                    <a:stretch>
                      <a:fillRect/>
                    </a:stretch>
                  </pic:blipFill>
                  <pic:spPr>
                    <a:xfrm>
                      <a:off x="0" y="0"/>
                      <a:ext cx="4301490" cy="2912110"/>
                    </a:xfrm>
                    <a:prstGeom prst="rect">
                      <a:avLst/>
                    </a:prstGeom>
                    <a:ln/>
                  </pic:spPr>
                </pic:pic>
              </a:graphicData>
            </a:graphic>
          </wp:anchor>
        </w:drawing>
      </w:r>
      <w:r w:rsidRPr="007E7CB6">
        <w:rPr>
          <w:rFonts w:ascii="Times New Roman" w:eastAsia="Times New Roman" w:hAnsi="Times New Roman" w:cs="Times New Roman"/>
          <w:sz w:val="24"/>
          <w:szCs w:val="24"/>
        </w:rPr>
        <w:t>in further testing.</w:t>
      </w:r>
    </w:p>
    <w:p w14:paraId="484F3BF9" w14:textId="5808E708" w:rsidR="00153781" w:rsidRPr="007E7CB6" w:rsidRDefault="00153781">
      <w:pPr>
        <w:pBdr>
          <w:top w:val="nil"/>
          <w:left w:val="nil"/>
          <w:bottom w:val="nil"/>
          <w:right w:val="nil"/>
          <w:between w:val="nil"/>
        </w:pBdr>
        <w:spacing w:line="480" w:lineRule="auto"/>
        <w:ind w:right="7"/>
        <w:jc w:val="both"/>
        <w:rPr>
          <w:rFonts w:ascii="Times New Roman" w:eastAsia="Times New Roman" w:hAnsi="Times New Roman" w:cs="Times New Roman"/>
          <w:color w:val="000000"/>
          <w:sz w:val="24"/>
          <w:szCs w:val="24"/>
        </w:rPr>
      </w:pPr>
    </w:p>
    <w:p w14:paraId="22BCA2D0" w14:textId="1845ED9C" w:rsidR="00153781" w:rsidRPr="007E7CB6" w:rsidRDefault="00153781">
      <w:pPr>
        <w:pBdr>
          <w:top w:val="nil"/>
          <w:left w:val="nil"/>
          <w:bottom w:val="nil"/>
          <w:right w:val="nil"/>
          <w:between w:val="nil"/>
        </w:pBdr>
        <w:spacing w:line="480" w:lineRule="auto"/>
        <w:ind w:right="7"/>
        <w:jc w:val="both"/>
        <w:rPr>
          <w:rFonts w:ascii="Times New Roman" w:eastAsia="Times New Roman" w:hAnsi="Times New Roman" w:cs="Times New Roman"/>
          <w:color w:val="000000"/>
          <w:sz w:val="24"/>
          <w:szCs w:val="24"/>
        </w:rPr>
      </w:pPr>
    </w:p>
    <w:p w14:paraId="39BED9DC" w14:textId="4F2C8551" w:rsidR="00153781" w:rsidRPr="007E7CB6" w:rsidRDefault="00000000">
      <w:pPr>
        <w:pBdr>
          <w:top w:val="nil"/>
          <w:left w:val="nil"/>
          <w:bottom w:val="nil"/>
          <w:right w:val="nil"/>
          <w:between w:val="nil"/>
        </w:pBdr>
        <w:spacing w:after="200" w:line="240" w:lineRule="auto"/>
        <w:rPr>
          <w:rFonts w:ascii="Times New Roman" w:eastAsia="Times New Roman" w:hAnsi="Times New Roman" w:cs="Times New Roman"/>
          <w:b/>
          <w:i/>
          <w:color w:val="FFFFFF"/>
          <w:sz w:val="24"/>
          <w:szCs w:val="24"/>
        </w:rPr>
      </w:pPr>
      <w:r w:rsidRPr="007E7CB6">
        <w:rPr>
          <w:rFonts w:ascii="Times New Roman" w:hAnsi="Times New Roman" w:cs="Times New Roman"/>
          <w:i/>
          <w:color w:val="FFFFFF"/>
          <w:sz w:val="18"/>
          <w:szCs w:val="18"/>
        </w:rPr>
        <w:t>Gambar 5</w:t>
      </w:r>
    </w:p>
    <w:p w14:paraId="69B88DA8" w14:textId="2BCD40D8"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i/>
          <w:color w:val="1F497D"/>
          <w:sz w:val="24"/>
          <w:szCs w:val="24"/>
        </w:rPr>
      </w:pPr>
    </w:p>
    <w:p w14:paraId="681F63D5" w14:textId="1FEF36BE"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i/>
          <w:color w:val="1F497D"/>
          <w:sz w:val="24"/>
          <w:szCs w:val="24"/>
        </w:rPr>
      </w:pPr>
    </w:p>
    <w:p w14:paraId="1745E19C" w14:textId="77777777"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i/>
          <w:color w:val="1F497D"/>
          <w:sz w:val="24"/>
          <w:szCs w:val="24"/>
        </w:rPr>
      </w:pPr>
    </w:p>
    <w:p w14:paraId="6EECE17B" w14:textId="77777777" w:rsidR="00153781" w:rsidRPr="007E7CB6" w:rsidRDefault="00000000">
      <w:pPr>
        <w:pBdr>
          <w:top w:val="nil"/>
          <w:left w:val="nil"/>
          <w:bottom w:val="nil"/>
          <w:right w:val="nil"/>
          <w:between w:val="nil"/>
        </w:pBdr>
        <w:spacing w:after="200" w:line="240" w:lineRule="auto"/>
        <w:rPr>
          <w:rFonts w:ascii="Times New Roman" w:eastAsia="Times New Roman" w:hAnsi="Times New Roman" w:cs="Times New Roman"/>
          <w:b/>
          <w:i/>
          <w:color w:val="1F497D"/>
          <w:sz w:val="24"/>
          <w:szCs w:val="24"/>
        </w:rPr>
      </w:pPr>
      <w:r w:rsidRPr="007E7CB6">
        <w:rPr>
          <w:rFonts w:ascii="Times New Roman" w:eastAsia="Times New Roman" w:hAnsi="Times New Roman" w:cs="Times New Roman"/>
          <w:b/>
          <w:i/>
          <w:color w:val="1F497D"/>
          <w:sz w:val="24"/>
          <w:szCs w:val="24"/>
        </w:rPr>
        <w:t xml:space="preserve"> </w:t>
      </w:r>
    </w:p>
    <w:p w14:paraId="10931449" w14:textId="77777777" w:rsidR="00153781" w:rsidRPr="007E7CB6" w:rsidRDefault="00153781">
      <w:pPr>
        <w:rPr>
          <w:rFonts w:ascii="Times New Roman" w:hAnsi="Times New Roman" w:cs="Times New Roman"/>
        </w:rPr>
      </w:pPr>
    </w:p>
    <w:p w14:paraId="757DFDDF" w14:textId="77777777" w:rsidR="00153781" w:rsidRPr="007E7CB6" w:rsidRDefault="00153781">
      <w:pPr>
        <w:rPr>
          <w:rFonts w:ascii="Times New Roman" w:hAnsi="Times New Roman" w:cs="Times New Roman"/>
        </w:rPr>
      </w:pPr>
    </w:p>
    <w:p w14:paraId="7D814D8B" w14:textId="77777777"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i/>
          <w:color w:val="1F497D"/>
          <w:sz w:val="24"/>
          <w:szCs w:val="24"/>
        </w:rPr>
      </w:pPr>
    </w:p>
    <w:p w14:paraId="2896CCF5" w14:textId="77777777" w:rsidR="000C4186" w:rsidRPr="007E7CB6" w:rsidRDefault="000C4186" w:rsidP="000C4186">
      <w:pPr>
        <w:spacing w:before="240" w:line="480" w:lineRule="auto"/>
        <w:jc w:val="both"/>
        <w:rPr>
          <w:rFonts w:ascii="Times New Roman" w:eastAsia="Times New Roman" w:hAnsi="Times New Roman" w:cs="Times New Roman"/>
          <w:b/>
          <w:sz w:val="24"/>
          <w:szCs w:val="24"/>
        </w:rPr>
      </w:pPr>
    </w:p>
    <w:p w14:paraId="07DBAA49" w14:textId="37506F1B" w:rsidR="00153781" w:rsidRPr="007E7CB6" w:rsidRDefault="00000000" w:rsidP="000C4186">
      <w:pPr>
        <w:spacing w:before="240"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histogram of standardized residuals shows a distribution pattern resembling a normal curve (bell-shaped curve), with a peak in the middle and symmetry to the left and right. This reinforces the results of the previous</w:t>
      </w:r>
      <w:r w:rsidR="000C4186"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normality test, which showed that the regression model residuals are normally distributed.</w:t>
      </w:r>
    </w:p>
    <w:p w14:paraId="11205B35" w14:textId="77777777" w:rsidR="00153781" w:rsidRPr="007E7CB6" w:rsidRDefault="00153781">
      <w:pPr>
        <w:spacing w:line="480" w:lineRule="auto"/>
        <w:ind w:left="993"/>
        <w:jc w:val="both"/>
        <w:rPr>
          <w:rFonts w:ascii="Times New Roman" w:eastAsia="Times New Roman" w:hAnsi="Times New Roman" w:cs="Times New Roman"/>
          <w:sz w:val="28"/>
          <w:szCs w:val="28"/>
        </w:rPr>
      </w:pPr>
    </w:p>
    <w:p w14:paraId="2157CBEF" w14:textId="5313E3E5" w:rsidR="00153781" w:rsidRPr="007E7CB6" w:rsidRDefault="00153781">
      <w:pPr>
        <w:spacing w:line="480" w:lineRule="auto"/>
        <w:ind w:left="993"/>
        <w:jc w:val="both"/>
        <w:rPr>
          <w:rFonts w:ascii="Times New Roman" w:eastAsia="Times New Roman" w:hAnsi="Times New Roman" w:cs="Times New Roman"/>
          <w:sz w:val="28"/>
          <w:szCs w:val="28"/>
        </w:rPr>
      </w:pPr>
    </w:p>
    <w:p w14:paraId="403754D5" w14:textId="649A5B43" w:rsidR="00153781" w:rsidRPr="007E7CB6" w:rsidRDefault="00153781">
      <w:pPr>
        <w:spacing w:line="480" w:lineRule="auto"/>
        <w:ind w:left="993"/>
        <w:jc w:val="both"/>
        <w:rPr>
          <w:rFonts w:ascii="Times New Roman" w:eastAsia="Times New Roman" w:hAnsi="Times New Roman" w:cs="Times New Roman"/>
          <w:sz w:val="28"/>
          <w:szCs w:val="28"/>
        </w:rPr>
      </w:pPr>
    </w:p>
    <w:p w14:paraId="25BE5462" w14:textId="7A8F1341" w:rsidR="00153781" w:rsidRPr="007E7CB6" w:rsidRDefault="00153781">
      <w:pPr>
        <w:spacing w:line="480" w:lineRule="auto"/>
        <w:ind w:left="993"/>
        <w:jc w:val="both"/>
        <w:rPr>
          <w:rFonts w:ascii="Times New Roman" w:eastAsia="Times New Roman" w:hAnsi="Times New Roman" w:cs="Times New Roman"/>
          <w:sz w:val="28"/>
          <w:szCs w:val="28"/>
        </w:rPr>
      </w:pPr>
    </w:p>
    <w:p w14:paraId="11B807C0" w14:textId="345C3F79" w:rsidR="00153781" w:rsidRPr="007E7CB6" w:rsidRDefault="00153781">
      <w:pPr>
        <w:spacing w:line="480" w:lineRule="auto"/>
        <w:jc w:val="both"/>
        <w:rPr>
          <w:rFonts w:ascii="Times New Roman" w:eastAsia="Times New Roman" w:hAnsi="Times New Roman" w:cs="Times New Roman"/>
          <w:sz w:val="28"/>
          <w:szCs w:val="28"/>
        </w:rPr>
      </w:pPr>
    </w:p>
    <w:p w14:paraId="5C0E038D" w14:textId="3BACF7FD" w:rsidR="00153781" w:rsidRPr="007E7CB6" w:rsidRDefault="00000000">
      <w:pPr>
        <w:pBdr>
          <w:top w:val="nil"/>
          <w:left w:val="nil"/>
          <w:bottom w:val="nil"/>
          <w:right w:val="nil"/>
          <w:between w:val="nil"/>
        </w:pBdr>
        <w:spacing w:after="200" w:line="240" w:lineRule="auto"/>
        <w:rPr>
          <w:rFonts w:ascii="Times New Roman" w:eastAsia="Times New Roman" w:hAnsi="Times New Roman" w:cs="Times New Roman"/>
          <w:b/>
          <w:color w:val="FFFFFF"/>
          <w:sz w:val="24"/>
          <w:szCs w:val="24"/>
        </w:rPr>
      </w:pPr>
      <w:r w:rsidRPr="007E7CB6">
        <w:rPr>
          <w:rFonts w:ascii="Times New Roman" w:hAnsi="Times New Roman" w:cs="Times New Roman"/>
          <w:i/>
          <w:color w:val="FFFFFF"/>
          <w:sz w:val="18"/>
          <w:szCs w:val="18"/>
        </w:rPr>
        <w:t>Gambar 6</w:t>
      </w:r>
      <w:r w:rsidRPr="007E7CB6">
        <w:rPr>
          <w:rFonts w:ascii="Times New Roman" w:eastAsia="Times New Roman" w:hAnsi="Times New Roman" w:cs="Times New Roman"/>
          <w:b/>
          <w:color w:val="FFFFFF"/>
          <w:sz w:val="24"/>
          <w:szCs w:val="24"/>
        </w:rPr>
        <w:t xml:space="preserve">    </w:t>
      </w:r>
    </w:p>
    <w:p w14:paraId="20AB17E9" w14:textId="305090E8" w:rsidR="00153781" w:rsidRPr="007E7CB6" w:rsidRDefault="00F6565B">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hAnsi="Times New Roman" w:cs="Times New Roman"/>
          <w:noProof/>
        </w:rPr>
        <w:lastRenderedPageBreak/>
        <w:drawing>
          <wp:anchor distT="0" distB="0" distL="114300" distR="114300" simplePos="0" relativeHeight="251672576" behindDoc="0" locked="0" layoutInCell="1" hidden="0" allowOverlap="1" wp14:anchorId="0EF65EC2" wp14:editId="7CB6A169">
            <wp:simplePos x="0" y="0"/>
            <wp:positionH relativeFrom="margin">
              <wp:posOffset>1109980</wp:posOffset>
            </wp:positionH>
            <wp:positionV relativeFrom="margin">
              <wp:posOffset>-307177</wp:posOffset>
            </wp:positionV>
            <wp:extent cx="2812415" cy="2981960"/>
            <wp:effectExtent l="0" t="0" r="6985" b="8890"/>
            <wp:wrapSquare wrapText="bothSides" distT="0" distB="0" distL="114300" distR="114300"/>
            <wp:docPr id="1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l="23779" r="20722"/>
                    <a:stretch>
                      <a:fillRect/>
                    </a:stretch>
                  </pic:blipFill>
                  <pic:spPr>
                    <a:xfrm>
                      <a:off x="0" y="0"/>
                      <a:ext cx="2812415" cy="2981960"/>
                    </a:xfrm>
                    <a:prstGeom prst="rect">
                      <a:avLst/>
                    </a:prstGeom>
                    <a:ln/>
                  </pic:spPr>
                </pic:pic>
              </a:graphicData>
            </a:graphic>
          </wp:anchor>
        </w:drawing>
      </w:r>
      <w:r w:rsidRPr="007E7CB6">
        <w:rPr>
          <w:rFonts w:ascii="Times New Roman" w:eastAsia="Times New Roman" w:hAnsi="Times New Roman" w:cs="Times New Roman"/>
          <w:b/>
          <w:sz w:val="24"/>
          <w:szCs w:val="24"/>
        </w:rPr>
        <w:t xml:space="preserve"> </w:t>
      </w:r>
    </w:p>
    <w:p w14:paraId="4C228E97" w14:textId="32D9C44B"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786BBF55" w14:textId="7659239A"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5C5BF6AC" w14:textId="77777777"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27A7DCD5" w14:textId="77777777"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52FCAC75" w14:textId="77777777"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7E1772C2" w14:textId="4EA97F77" w:rsidR="000C4186" w:rsidRPr="007E7CB6" w:rsidRDefault="000C4186">
      <w:pPr>
        <w:spacing w:line="480" w:lineRule="auto"/>
        <w:ind w:left="720" w:firstLine="720"/>
        <w:jc w:val="both"/>
        <w:rPr>
          <w:rFonts w:ascii="Times New Roman" w:eastAsia="Times New Roman" w:hAnsi="Times New Roman" w:cs="Times New Roman"/>
          <w:sz w:val="24"/>
          <w:szCs w:val="24"/>
        </w:rPr>
      </w:pPr>
    </w:p>
    <w:p w14:paraId="1077E9C6" w14:textId="77777777" w:rsidR="00F6565B" w:rsidRPr="007E7CB6" w:rsidRDefault="00F6565B" w:rsidP="00F6565B">
      <w:pPr>
        <w:spacing w:line="480" w:lineRule="auto"/>
        <w:jc w:val="both"/>
        <w:rPr>
          <w:rFonts w:ascii="Times New Roman" w:eastAsia="Times New Roman" w:hAnsi="Times New Roman" w:cs="Times New Roman"/>
          <w:sz w:val="24"/>
          <w:szCs w:val="24"/>
        </w:rPr>
      </w:pPr>
    </w:p>
    <w:p w14:paraId="10FF2D5C" w14:textId="5A43FBAD" w:rsidR="00F6565B" w:rsidRPr="007E7CB6" w:rsidRDefault="00F6565B">
      <w:pPr>
        <w:spacing w:line="480" w:lineRule="auto"/>
        <w:ind w:left="720" w:firstLine="720"/>
        <w:jc w:val="both"/>
        <w:rPr>
          <w:rFonts w:ascii="Times New Roman" w:eastAsia="Times New Roman" w:hAnsi="Times New Roman" w:cs="Times New Roman"/>
          <w:sz w:val="24"/>
          <w:szCs w:val="24"/>
        </w:rPr>
      </w:pPr>
      <w:r w:rsidRPr="007E7CB6">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6CA04A78" wp14:editId="3F792C6C">
                <wp:simplePos x="0" y="0"/>
                <wp:positionH relativeFrom="column">
                  <wp:posOffset>1109980</wp:posOffset>
                </wp:positionH>
                <wp:positionV relativeFrom="paragraph">
                  <wp:posOffset>103033</wp:posOffset>
                </wp:positionV>
                <wp:extent cx="2812415" cy="635"/>
                <wp:effectExtent l="0" t="0" r="6985" b="0"/>
                <wp:wrapSquare wrapText="bothSides"/>
                <wp:docPr id="8" name="Text Box 8"/>
                <wp:cNvGraphicFramePr/>
                <a:graphic xmlns:a="http://schemas.openxmlformats.org/drawingml/2006/main">
                  <a:graphicData uri="http://schemas.microsoft.com/office/word/2010/wordprocessingShape">
                    <wps:wsp>
                      <wps:cNvSpPr txBox="1"/>
                      <wps:spPr>
                        <a:xfrm>
                          <a:off x="0" y="0"/>
                          <a:ext cx="2812415" cy="635"/>
                        </a:xfrm>
                        <a:prstGeom prst="rect">
                          <a:avLst/>
                        </a:prstGeom>
                        <a:solidFill>
                          <a:prstClr val="white"/>
                        </a:solidFill>
                        <a:ln>
                          <a:noFill/>
                        </a:ln>
                      </wps:spPr>
                      <wps:txbx>
                        <w:txbxContent>
                          <w:p w14:paraId="77108AE6" w14:textId="5833476B" w:rsidR="000C4186" w:rsidRPr="00F6565B" w:rsidRDefault="00F6565B" w:rsidP="00F6565B">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15" w:name="_Toc209703566"/>
                            <w:r w:rsidR="000C4186" w:rsidRPr="00F6565B">
                              <w:rPr>
                                <w:rFonts w:ascii="Times New Roman" w:hAnsi="Times New Roman" w:cs="Times New Roman"/>
                                <w:b/>
                                <w:bCs/>
                                <w:color w:val="000000" w:themeColor="text1"/>
                                <w:sz w:val="22"/>
                                <w:szCs w:val="22"/>
                              </w:rPr>
                              <w:t xml:space="preserve">Figure </w:t>
                            </w:r>
                            <w:r w:rsidRPr="00F6565B">
                              <w:rPr>
                                <w:rFonts w:ascii="Times New Roman" w:hAnsi="Times New Roman" w:cs="Times New Roman"/>
                                <w:b/>
                                <w:bCs/>
                                <w:color w:val="000000" w:themeColor="text1"/>
                                <w:sz w:val="22"/>
                                <w:szCs w:val="22"/>
                              </w:rPr>
                              <w:t>4.2 Normal P-Plot Graph</w:t>
                            </w:r>
                            <w:r w:rsidR="000C4186" w:rsidRPr="00F6565B">
                              <w:rPr>
                                <w:rFonts w:ascii="Times New Roman" w:hAnsi="Times New Roman" w:cs="Times New Roman"/>
                                <w:b/>
                                <w:bCs/>
                                <w:color w:val="000000" w:themeColor="text1"/>
                                <w:sz w:val="22"/>
                                <w:szCs w:val="22"/>
                              </w:rPr>
                              <w:t xml:space="preserve"> </w:t>
                            </w:r>
                            <w:r w:rsidR="000C4186" w:rsidRPr="00F6565B">
                              <w:rPr>
                                <w:rFonts w:ascii="Times New Roman" w:hAnsi="Times New Roman" w:cs="Times New Roman"/>
                                <w:b/>
                                <w:bCs/>
                                <w:color w:val="FFFFFF" w:themeColor="background1"/>
                                <w:sz w:val="22"/>
                                <w:szCs w:val="22"/>
                              </w:rPr>
                              <w:fldChar w:fldCharType="begin"/>
                            </w:r>
                            <w:r w:rsidR="000C4186" w:rsidRPr="00F6565B">
                              <w:rPr>
                                <w:rFonts w:ascii="Times New Roman" w:hAnsi="Times New Roman" w:cs="Times New Roman"/>
                                <w:b/>
                                <w:bCs/>
                                <w:color w:val="FFFFFF" w:themeColor="background1"/>
                                <w:sz w:val="22"/>
                                <w:szCs w:val="22"/>
                              </w:rPr>
                              <w:instrText xml:space="preserve"> SEQ Figure \* ARABIC </w:instrText>
                            </w:r>
                            <w:r w:rsidR="000C4186" w:rsidRPr="00F6565B">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6</w:t>
                            </w:r>
                            <w:bookmarkEnd w:id="115"/>
                            <w:r w:rsidR="000C4186" w:rsidRPr="00F6565B">
                              <w:rPr>
                                <w:rFonts w:ascii="Times New Roman" w:hAnsi="Times New Roman" w:cs="Times New Roman"/>
                                <w:b/>
                                <w:bCs/>
                                <w:color w:val="FFFFFF" w:themeColor="background1"/>
                                <w:sz w:val="22"/>
                                <w:szCs w:val="22"/>
                              </w:rPr>
                              <w:fldChar w:fldCharType="end"/>
                            </w:r>
                          </w:p>
                          <w:p w14:paraId="44553251" w14:textId="4559761D" w:rsidR="00F6565B" w:rsidRPr="00F6565B" w:rsidRDefault="00F6565B" w:rsidP="00F6565B">
                            <w:pPr>
                              <w:jc w:val="center"/>
                              <w:rPr>
                                <w:rFonts w:ascii="Times New Roman" w:hAnsi="Times New Roman" w:cs="Times New Roman"/>
                                <w:i/>
                                <w:iCs/>
                                <w:color w:val="000000" w:themeColor="text1"/>
                              </w:rPr>
                            </w:pPr>
                            <w:r w:rsidRPr="00F6565B">
                              <w:rPr>
                                <w:rFonts w:ascii="Times New Roman" w:hAnsi="Times New Roman" w:cs="Times New Roman"/>
                                <w:i/>
                                <w:iCs/>
                                <w:color w:val="000000" w:themeColor="text1"/>
                              </w:rPr>
                              <w:t>Source: Data processed by SPSS 30,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A04A78" id="Text Box 8" o:spid="_x0000_s1039" type="#_x0000_t202" style="position:absolute;left:0;text-align:left;margin-left:87.4pt;margin-top:8.1pt;width:221.45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fpGwIAAEAEAAAOAAAAZHJzL2Uyb0RvYy54bWysU8Fu2zAMvQ/YPwi6L07StSiMOEWWIsOA&#10;oC2QDj0rshwLkEWNUmJ3Xz9KtpOu22nYRaZJitR7j1zcdY1hJ4Vegy34bDLlTFkJpbaHgn9/3ny6&#10;5cwHYUthwKqCvyrP75YfPyxal6s51GBKhYyKWJ+3ruB1CC7PMi9r1Qg/AacsBSvARgT6xUNWomip&#10;emOy+XR6k7WApUOQynvy3vdBvkz1q0rJ8FhVXgVmCk5vC+nEdO7jmS0XIj+gcLWWwzPEP7yiEdpS&#10;03OpexEEO6L+o1SjJYKHKkwkNBlUlZYqYSA0s+k7NLtaOJWwEDnenWny/6+sfDjt3BOy0H2BjgSM&#10;hLTO556cEU9XYRO/9FJGcaLw9Uyb6gKT5JzfzuafZ9ecSYrdXF3HGtnlqkMfvipoWDQKjqRJokqc&#10;tj70qWNK7OTB6HKjjYk/MbA2yE6C9GtrHdRQ/LcsY2OuhXirLxg92QVHtEK375guCePVCHIP5Sth&#10;R+jHwju50dRwK3x4EkhzQHBptsMjHZWBtuAwWJzVgD//5o/5JA9FOWtprgrufxwFKs7MN0vCxSEc&#10;DRyN/WjYY7MGgjqjrXEymXQBgxnNCqF5oZFfxS4UElZSr4KH0VyHfrppZaRarVISjZoTYWt3TsbS&#10;I7HP3YtAN8gSSM0HGCdO5O/U6XOTPm51DER1ki4S27M48E1jmsQfViruwdv/lHVZ/OUvAAAA//8D&#10;AFBLAwQUAAYACAAAACEAR6jTJuAAAAAJAQAADwAAAGRycy9kb3ducmV2LnhtbEyPMU/DMBCFdyT+&#10;g3VILIg6baOkSuNUVQUDLBWhC5sbu3EgPke204Z/z3Wi2727p3ffKzeT7dlZ+9A5FDCfJcA0Nk51&#10;2Ao4fL4+r4CFKFHJ3qEW8KsDbKr7u1IWyl3wQ5/r2DIKwVBIASbGoeA8NEZbGWZu0Ei3k/NWRpK+&#10;5crLC4Xbni+SJONWdkgfjBz0zujmpx6tgH36tTdP4+nlfZsu/dth3GXfbS3E48O0XQOLeor/Zrji&#10;EzpUxHR0I6rAetJ5SuiRhmwBjAzZPM+BHa+LJfCq5LcNqj8AAAD//wMAUEsBAi0AFAAGAAgAAAAh&#10;ALaDOJL+AAAA4QEAABMAAAAAAAAAAAAAAAAAAAAAAFtDb250ZW50X1R5cGVzXS54bWxQSwECLQAU&#10;AAYACAAAACEAOP0h/9YAAACUAQAACwAAAAAAAAAAAAAAAAAvAQAAX3JlbHMvLnJlbHNQSwECLQAU&#10;AAYACAAAACEA6VR36RsCAABABAAADgAAAAAAAAAAAAAAAAAuAgAAZHJzL2Uyb0RvYy54bWxQSwEC&#10;LQAUAAYACAAAACEAR6jTJuAAAAAJAQAADwAAAAAAAAAAAAAAAAB1BAAAZHJzL2Rvd25yZXYueG1s&#10;UEsFBgAAAAAEAAQA8wAAAIIFAAAAAA==&#10;" stroked="f">
                <v:textbox style="mso-fit-shape-to-text:t" inset="0,0,0,0">
                  <w:txbxContent>
                    <w:p w14:paraId="77108AE6" w14:textId="5833476B" w:rsidR="000C4186" w:rsidRPr="00F6565B" w:rsidRDefault="00F6565B" w:rsidP="00F6565B">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16" w:name="_Toc209703566"/>
                      <w:r w:rsidR="000C4186" w:rsidRPr="00F6565B">
                        <w:rPr>
                          <w:rFonts w:ascii="Times New Roman" w:hAnsi="Times New Roman" w:cs="Times New Roman"/>
                          <w:b/>
                          <w:bCs/>
                          <w:color w:val="000000" w:themeColor="text1"/>
                          <w:sz w:val="22"/>
                          <w:szCs w:val="22"/>
                        </w:rPr>
                        <w:t xml:space="preserve">Figure </w:t>
                      </w:r>
                      <w:r w:rsidRPr="00F6565B">
                        <w:rPr>
                          <w:rFonts w:ascii="Times New Roman" w:hAnsi="Times New Roman" w:cs="Times New Roman"/>
                          <w:b/>
                          <w:bCs/>
                          <w:color w:val="000000" w:themeColor="text1"/>
                          <w:sz w:val="22"/>
                          <w:szCs w:val="22"/>
                        </w:rPr>
                        <w:t>4.2 Normal P-Plot Graph</w:t>
                      </w:r>
                      <w:r w:rsidR="000C4186" w:rsidRPr="00F6565B">
                        <w:rPr>
                          <w:rFonts w:ascii="Times New Roman" w:hAnsi="Times New Roman" w:cs="Times New Roman"/>
                          <w:b/>
                          <w:bCs/>
                          <w:color w:val="000000" w:themeColor="text1"/>
                          <w:sz w:val="22"/>
                          <w:szCs w:val="22"/>
                        </w:rPr>
                        <w:t xml:space="preserve"> </w:t>
                      </w:r>
                      <w:r w:rsidR="000C4186" w:rsidRPr="00F6565B">
                        <w:rPr>
                          <w:rFonts w:ascii="Times New Roman" w:hAnsi="Times New Roman" w:cs="Times New Roman"/>
                          <w:b/>
                          <w:bCs/>
                          <w:color w:val="FFFFFF" w:themeColor="background1"/>
                          <w:sz w:val="22"/>
                          <w:szCs w:val="22"/>
                        </w:rPr>
                        <w:fldChar w:fldCharType="begin"/>
                      </w:r>
                      <w:r w:rsidR="000C4186" w:rsidRPr="00F6565B">
                        <w:rPr>
                          <w:rFonts w:ascii="Times New Roman" w:hAnsi="Times New Roman" w:cs="Times New Roman"/>
                          <w:b/>
                          <w:bCs/>
                          <w:color w:val="FFFFFF" w:themeColor="background1"/>
                          <w:sz w:val="22"/>
                          <w:szCs w:val="22"/>
                        </w:rPr>
                        <w:instrText xml:space="preserve"> SEQ Figure \* ARABIC </w:instrText>
                      </w:r>
                      <w:r w:rsidR="000C4186" w:rsidRPr="00F6565B">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6</w:t>
                      </w:r>
                      <w:bookmarkEnd w:id="116"/>
                      <w:r w:rsidR="000C4186" w:rsidRPr="00F6565B">
                        <w:rPr>
                          <w:rFonts w:ascii="Times New Roman" w:hAnsi="Times New Roman" w:cs="Times New Roman"/>
                          <w:b/>
                          <w:bCs/>
                          <w:color w:val="FFFFFF" w:themeColor="background1"/>
                          <w:sz w:val="22"/>
                          <w:szCs w:val="22"/>
                        </w:rPr>
                        <w:fldChar w:fldCharType="end"/>
                      </w:r>
                    </w:p>
                    <w:p w14:paraId="44553251" w14:textId="4559761D" w:rsidR="00F6565B" w:rsidRPr="00F6565B" w:rsidRDefault="00F6565B" w:rsidP="00F6565B">
                      <w:pPr>
                        <w:jc w:val="center"/>
                        <w:rPr>
                          <w:rFonts w:ascii="Times New Roman" w:hAnsi="Times New Roman" w:cs="Times New Roman"/>
                          <w:i/>
                          <w:iCs/>
                          <w:color w:val="000000" w:themeColor="text1"/>
                        </w:rPr>
                      </w:pPr>
                      <w:r w:rsidRPr="00F6565B">
                        <w:rPr>
                          <w:rFonts w:ascii="Times New Roman" w:hAnsi="Times New Roman" w:cs="Times New Roman"/>
                          <w:i/>
                          <w:iCs/>
                          <w:color w:val="000000" w:themeColor="text1"/>
                        </w:rPr>
                        <w:t>Source: Data processed by SPSS 30, 2025</w:t>
                      </w:r>
                    </w:p>
                  </w:txbxContent>
                </v:textbox>
                <w10:wrap type="square"/>
              </v:shape>
            </w:pict>
          </mc:Fallback>
        </mc:AlternateContent>
      </w:r>
    </w:p>
    <w:p w14:paraId="3364B7BC" w14:textId="25B2DFE4" w:rsidR="00F6565B" w:rsidRPr="007E7CB6" w:rsidRDefault="00F6565B">
      <w:pPr>
        <w:spacing w:line="480" w:lineRule="auto"/>
        <w:ind w:left="720" w:firstLine="720"/>
        <w:jc w:val="both"/>
        <w:rPr>
          <w:rFonts w:ascii="Times New Roman" w:eastAsia="Times New Roman" w:hAnsi="Times New Roman" w:cs="Times New Roman"/>
          <w:sz w:val="24"/>
          <w:szCs w:val="24"/>
        </w:rPr>
      </w:pPr>
    </w:p>
    <w:p w14:paraId="2BDFCEE9" w14:textId="287BE09D"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Normal P-P Plot graph shows that the residual points are scattered close to the diagonal line, indicating that the residuals are normally distributed. The closer the points are to the line, the stronger the assumption of normality is fulfilled. Thus, it can be concluded that the regression model has fulfilled the assumption of residual normality.</w:t>
      </w:r>
    </w:p>
    <w:p w14:paraId="441185BA" w14:textId="32ADCADE"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2. </w:t>
      </w:r>
      <w:r w:rsidRPr="007E7CB6">
        <w:rPr>
          <w:rFonts w:ascii="Times New Roman" w:eastAsia="Times New Roman" w:hAnsi="Times New Roman" w:cs="Times New Roman"/>
          <w:b/>
          <w:sz w:val="24"/>
          <w:szCs w:val="24"/>
        </w:rPr>
        <w:tab/>
        <w:t>Multicollinearity Test</w:t>
      </w:r>
    </w:p>
    <w:p w14:paraId="504C7207" w14:textId="48F06B7A" w:rsidR="00F6565B" w:rsidRPr="007E7CB6" w:rsidRDefault="00F6565B" w:rsidP="00F6565B">
      <w:pPr>
        <w:spacing w:line="480" w:lineRule="auto"/>
        <w:ind w:left="709"/>
        <w:jc w:val="both"/>
        <w:rPr>
          <w:rFonts w:ascii="Times New Roman" w:eastAsia="Times New Roman" w:hAnsi="Times New Roman" w:cs="Times New Roman"/>
          <w:bCs/>
          <w:sz w:val="24"/>
          <w:szCs w:val="24"/>
        </w:rPr>
      </w:pPr>
      <w:r w:rsidRPr="007E7CB6">
        <w:rPr>
          <w:rFonts w:ascii="Times New Roman" w:eastAsia="Times New Roman" w:hAnsi="Times New Roman" w:cs="Times New Roman"/>
          <w:b/>
          <w:sz w:val="24"/>
          <w:szCs w:val="24"/>
        </w:rPr>
        <w:tab/>
      </w:r>
      <w:r w:rsidRPr="007E7CB6">
        <w:rPr>
          <w:rFonts w:ascii="Times New Roman" w:eastAsia="Times New Roman" w:hAnsi="Times New Roman" w:cs="Times New Roman"/>
          <w:b/>
          <w:sz w:val="24"/>
          <w:szCs w:val="24"/>
        </w:rPr>
        <w:tab/>
      </w:r>
      <w:r w:rsidRPr="007E7CB6">
        <w:rPr>
          <w:rFonts w:ascii="Times New Roman" w:eastAsia="Times New Roman" w:hAnsi="Times New Roman" w:cs="Times New Roman"/>
          <w:bCs/>
          <w:sz w:val="24"/>
          <w:szCs w:val="24"/>
        </w:rPr>
        <w:t>The multicollinearity test is performed to determine whether there is a high correlation between the independent variables in the regression model. High multicollinearity can cause distortion in the estimation of regression coefficients. The indicators used in this test are the Tolerance and Variance Inflation Factor (VIF) values with decision making criteria. If the Tolerance value is &gt; 0.10 and VIF is &lt;10, then there is no multicollinearity, and if Tolerance is &lt;0.10 and VIF is &gt;10, then there is an indication of multicollinearity.</w:t>
      </w:r>
    </w:p>
    <w:p w14:paraId="2307D086" w14:textId="737C7206" w:rsidR="00153781" w:rsidRPr="007E7CB6" w:rsidRDefault="00F6565B" w:rsidP="00F6565B">
      <w:pPr>
        <w:pStyle w:val="Caption"/>
        <w:spacing w:after="0" w:line="480" w:lineRule="auto"/>
        <w:ind w:left="709"/>
        <w:rPr>
          <w:rFonts w:ascii="Times New Roman" w:eastAsia="Times New Roman" w:hAnsi="Times New Roman" w:cs="Times New Roman"/>
          <w:b/>
          <w:bCs/>
          <w:i w:val="0"/>
          <w:iCs w:val="0"/>
          <w:color w:val="000000" w:themeColor="text1"/>
          <w:sz w:val="36"/>
          <w:szCs w:val="36"/>
        </w:rPr>
      </w:pPr>
      <w:bookmarkStart w:id="117" w:name="_Toc209703369"/>
      <w:r w:rsidRPr="007E7CB6">
        <w:rPr>
          <w:rFonts w:ascii="Times New Roman" w:hAnsi="Times New Roman" w:cs="Times New Roman"/>
          <w:b/>
          <w:bCs/>
          <w:i w:val="0"/>
          <w:iCs w:val="0"/>
          <w:color w:val="000000" w:themeColor="text1"/>
          <w:sz w:val="24"/>
          <w:szCs w:val="24"/>
        </w:rPr>
        <w:lastRenderedPageBreak/>
        <w:t xml:space="preserve">Table 4.4 Multicollinearity Test Results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11</w:t>
      </w:r>
      <w:bookmarkEnd w:id="117"/>
      <w:r w:rsidRPr="007E7CB6">
        <w:rPr>
          <w:rFonts w:ascii="Times New Roman" w:hAnsi="Times New Roman" w:cs="Times New Roman"/>
          <w:b/>
          <w:bCs/>
          <w:i w:val="0"/>
          <w:iCs w:val="0"/>
          <w:color w:val="FFFFFF" w:themeColor="background1"/>
          <w:sz w:val="24"/>
          <w:szCs w:val="24"/>
        </w:rPr>
        <w:fldChar w:fldCharType="end"/>
      </w:r>
    </w:p>
    <w:tbl>
      <w:tblPr>
        <w:tblStyle w:val="af5"/>
        <w:tblW w:w="6945" w:type="dxa"/>
        <w:tblInd w:w="984" w:type="dxa"/>
        <w:tblLayout w:type="fixed"/>
        <w:tblLook w:val="0400" w:firstRow="0" w:lastRow="0" w:firstColumn="0" w:lastColumn="0" w:noHBand="0" w:noVBand="1"/>
      </w:tblPr>
      <w:tblGrid>
        <w:gridCol w:w="425"/>
        <w:gridCol w:w="3452"/>
        <w:gridCol w:w="1312"/>
        <w:gridCol w:w="1756"/>
      </w:tblGrid>
      <w:tr w:rsidR="00153781" w:rsidRPr="007E7CB6" w14:paraId="495248B8" w14:textId="77777777">
        <w:trPr>
          <w:trHeight w:val="135"/>
        </w:trPr>
        <w:tc>
          <w:tcPr>
            <w:tcW w:w="6945" w:type="dxa"/>
            <w:gridSpan w:val="4"/>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tcPr>
          <w:p w14:paraId="7DD757D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18" w:name="_heading=h.pvrlhulvb3nx" w:colFirst="0" w:colLast="0"/>
            <w:bookmarkEnd w:id="118"/>
            <w:r w:rsidRPr="007E7CB6">
              <w:rPr>
                <w:rFonts w:ascii="Times New Roman" w:eastAsia="Times New Roman" w:hAnsi="Times New Roman" w:cs="Times New Roman"/>
                <w:b/>
                <w:sz w:val="24"/>
                <w:szCs w:val="24"/>
              </w:rPr>
              <w:t>Coefficients</w:t>
            </w:r>
          </w:p>
        </w:tc>
      </w:tr>
      <w:tr w:rsidR="00153781" w:rsidRPr="007E7CB6" w14:paraId="1CA4D5D0" w14:textId="77777777">
        <w:trPr>
          <w:trHeight w:val="72"/>
        </w:trPr>
        <w:tc>
          <w:tcPr>
            <w:tcW w:w="3877" w:type="dxa"/>
            <w:gridSpan w:val="2"/>
            <w:vMerge w:val="restart"/>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74BCA4D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3068" w:type="dxa"/>
            <w:gridSpan w:val="2"/>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tcPr>
          <w:p w14:paraId="040DB35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Collinearity Statistics</w:t>
            </w:r>
          </w:p>
        </w:tc>
      </w:tr>
      <w:tr w:rsidR="00153781" w:rsidRPr="007E7CB6" w14:paraId="64BD6D4E" w14:textId="77777777">
        <w:trPr>
          <w:trHeight w:val="35"/>
        </w:trPr>
        <w:tc>
          <w:tcPr>
            <w:tcW w:w="3877" w:type="dxa"/>
            <w:gridSpan w:val="2"/>
            <w:vMerge/>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7AAB468E"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17BEA60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6"/>
                <w:szCs w:val="26"/>
              </w:rPr>
              <w:t>Tolerance</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07F5334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VIF</w:t>
            </w:r>
          </w:p>
        </w:tc>
      </w:tr>
      <w:tr w:rsidR="00153781" w:rsidRPr="007E7CB6" w14:paraId="4DE75347" w14:textId="77777777">
        <w:trPr>
          <w:trHeight w:val="20"/>
        </w:trPr>
        <w:tc>
          <w:tcPr>
            <w:tcW w:w="425" w:type="dxa"/>
            <w:vMerge w:val="restart"/>
            <w:tcBorders>
              <w:top w:val="single" w:sz="4" w:space="0" w:color="152935"/>
              <w:left w:val="single" w:sz="4" w:space="0" w:color="152935"/>
              <w:right w:val="single" w:sz="4" w:space="0" w:color="152935"/>
            </w:tcBorders>
            <w:tcMar>
              <w:top w:w="100" w:type="dxa"/>
              <w:left w:w="100" w:type="dxa"/>
              <w:bottom w:w="100" w:type="dxa"/>
              <w:right w:w="100" w:type="dxa"/>
            </w:tcMar>
          </w:tcPr>
          <w:p w14:paraId="521737D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5FC6A353"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Accounting</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62748E0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0.804</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2C798B7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1.244</w:t>
            </w:r>
          </w:p>
        </w:tc>
      </w:tr>
      <w:tr w:rsidR="00153781" w:rsidRPr="007E7CB6" w14:paraId="12F4ACF1"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3E72B3D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516A3245"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Carbon Emission Disclosure</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721761D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0.749</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06129BE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1.335</w:t>
            </w:r>
          </w:p>
        </w:tc>
      </w:tr>
      <w:tr w:rsidR="00153781" w:rsidRPr="007E7CB6" w14:paraId="14004F32"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4F9B44D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12AD855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Capital Structure</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25E01C4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0.802</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21AA0EA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1.248</w:t>
            </w:r>
          </w:p>
        </w:tc>
      </w:tr>
      <w:tr w:rsidR="00153781" w:rsidRPr="007E7CB6" w14:paraId="21A6096D"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6AEAEBAE"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51606D18"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Green Intellectual Capital</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7B46075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0.759</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489545D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1.318</w:t>
            </w:r>
          </w:p>
        </w:tc>
      </w:tr>
      <w:tr w:rsidR="00153781" w:rsidRPr="007E7CB6" w14:paraId="7DE7FE8F" w14:textId="77777777">
        <w:trPr>
          <w:trHeight w:val="20"/>
        </w:trPr>
        <w:tc>
          <w:tcPr>
            <w:tcW w:w="6945" w:type="dxa"/>
            <w:gridSpan w:val="4"/>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79C461C7"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Dependent Variable: Firm Value</w:t>
            </w:r>
          </w:p>
        </w:tc>
      </w:tr>
    </w:tbl>
    <w:p w14:paraId="481DAA1C" w14:textId="77777777" w:rsidR="00153781" w:rsidRPr="007E7CB6" w:rsidRDefault="00000000">
      <w:pPr>
        <w:pBdr>
          <w:top w:val="nil"/>
          <w:left w:val="nil"/>
          <w:bottom w:val="nil"/>
          <w:right w:val="nil"/>
          <w:between w:val="nil"/>
        </w:pBdr>
        <w:spacing w:line="480" w:lineRule="auto"/>
        <w:ind w:left="720"/>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 xml:space="preserve">     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3513DF3F" w14:textId="77777777" w:rsidR="00153781" w:rsidRPr="007E7CB6" w:rsidRDefault="00000000">
      <w:pPr>
        <w:pBdr>
          <w:top w:val="nil"/>
          <w:left w:val="nil"/>
          <w:bottom w:val="nil"/>
          <w:right w:val="nil"/>
          <w:between w:val="nil"/>
        </w:pBdr>
        <w:tabs>
          <w:tab w:val="left" w:pos="284"/>
        </w:tabs>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ab/>
      </w:r>
      <w:r w:rsidRPr="007E7CB6">
        <w:rPr>
          <w:rFonts w:ascii="Times New Roman" w:eastAsia="Times New Roman" w:hAnsi="Times New Roman" w:cs="Times New Roman"/>
          <w:sz w:val="24"/>
          <w:szCs w:val="24"/>
        </w:rPr>
        <w:t>Based on Table 4.4, all independent variables in this study have a Tolerance value above 0.10 and a VIF value below 10, namely, Green Accounting has a Tolerance of 0.804 and a VIF of 1.244, Carbon Emission Disclosure has a Tolerance of 0.749 and a VIF of 1.335, Green Capital Structure has a Tolerance of 0.802 and a VIF of 1.248, and Green Intellectual Capital has a Tolerance of 0.759 and a VIF of 1.318.</w:t>
      </w:r>
    </w:p>
    <w:p w14:paraId="56683D04" w14:textId="77777777" w:rsidR="00153781" w:rsidRPr="007E7CB6" w:rsidRDefault="00000000">
      <w:pPr>
        <w:pBdr>
          <w:top w:val="nil"/>
          <w:left w:val="nil"/>
          <w:bottom w:val="nil"/>
          <w:right w:val="nil"/>
          <w:between w:val="nil"/>
        </w:pBdr>
        <w:tabs>
          <w:tab w:val="left" w:pos="284"/>
        </w:tabs>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b/>
        <w:t>Thus, it can be concluded that there is no multicollinearity between the independent variables in this regression model, so the model is suitable for further testing.</w:t>
      </w:r>
    </w:p>
    <w:p w14:paraId="77F9A714" w14:textId="77777777" w:rsidR="00153781" w:rsidRPr="007E7CB6" w:rsidRDefault="00000000">
      <w:pPr>
        <w:tabs>
          <w:tab w:val="left" w:pos="284"/>
        </w:tabs>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3. </w:t>
      </w:r>
      <w:r w:rsidRPr="007E7CB6">
        <w:rPr>
          <w:rFonts w:ascii="Times New Roman" w:eastAsia="Times New Roman" w:hAnsi="Times New Roman" w:cs="Times New Roman"/>
          <w:b/>
          <w:sz w:val="24"/>
          <w:szCs w:val="24"/>
        </w:rPr>
        <w:tab/>
        <w:t>Heteroscedasticity Test</w:t>
      </w:r>
    </w:p>
    <w:p w14:paraId="4EE50DFF" w14:textId="626F3EF0" w:rsidR="00153781" w:rsidRPr="007E7CB6" w:rsidRDefault="00000000" w:rsidP="007E7CB6">
      <w:pPr>
        <w:tabs>
          <w:tab w:val="left" w:pos="284"/>
        </w:tabs>
        <w:spacing w:line="480" w:lineRule="auto"/>
        <w:ind w:left="720"/>
        <w:jc w:val="both"/>
        <w:rPr>
          <w:rFonts w:ascii="Times New Roman" w:eastAsia="Times New Roman" w:hAnsi="Times New Roman" w:cs="Times New Roman"/>
          <w:b/>
          <w:sz w:val="24"/>
          <w:szCs w:val="24"/>
        </w:rPr>
      </w:pPr>
      <w:r w:rsidRPr="007E7CB6">
        <w:rPr>
          <w:rFonts w:ascii="Times New Roman" w:eastAsia="Times New Roman" w:hAnsi="Times New Roman" w:cs="Times New Roman"/>
          <w:sz w:val="24"/>
          <w:szCs w:val="24"/>
        </w:rPr>
        <w:tab/>
        <w:t xml:space="preserve">A heteroscedasticity test was conducted to determine whether there was variance inequality of the residuals across all predictor values in the regression model. One way to detect heteroscedasticity is to use a scatterplot between the standardized residual values (standardized residual) and the </w:t>
      </w:r>
      <w:r w:rsidR="00F6565B" w:rsidRPr="007E7CB6">
        <w:rPr>
          <w:rFonts w:ascii="Times New Roman" w:hAnsi="Times New Roman" w:cs="Times New Roman"/>
          <w:noProof/>
        </w:rPr>
        <w:lastRenderedPageBreak/>
        <w:drawing>
          <wp:anchor distT="0" distB="0" distL="114300" distR="114300" simplePos="0" relativeHeight="251673600" behindDoc="0" locked="0" layoutInCell="1" hidden="0" allowOverlap="1" wp14:anchorId="721879CF" wp14:editId="0E07070C">
            <wp:simplePos x="0" y="0"/>
            <wp:positionH relativeFrom="margin">
              <wp:posOffset>636433</wp:posOffset>
            </wp:positionH>
            <wp:positionV relativeFrom="margin">
              <wp:posOffset>307340</wp:posOffset>
            </wp:positionV>
            <wp:extent cx="4281805" cy="2517140"/>
            <wp:effectExtent l="0" t="0" r="4445" b="0"/>
            <wp:wrapSquare wrapText="bothSides" distT="0" distB="0" distL="114300" distR="11430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4281805" cy="2517140"/>
                    </a:xfrm>
                    <a:prstGeom prst="rect">
                      <a:avLst/>
                    </a:prstGeom>
                    <a:ln/>
                  </pic:spPr>
                </pic:pic>
              </a:graphicData>
            </a:graphic>
          </wp:anchor>
        </w:drawing>
      </w:r>
      <w:r w:rsidR="00F6565B" w:rsidRPr="007E7CB6">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543DA407" wp14:editId="60CE6350">
                <wp:simplePos x="0" y="0"/>
                <wp:positionH relativeFrom="column">
                  <wp:posOffset>675005</wp:posOffset>
                </wp:positionH>
                <wp:positionV relativeFrom="paragraph">
                  <wp:posOffset>2881630</wp:posOffset>
                </wp:positionV>
                <wp:extent cx="428180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281805" cy="635"/>
                        </a:xfrm>
                        <a:prstGeom prst="rect">
                          <a:avLst/>
                        </a:prstGeom>
                        <a:solidFill>
                          <a:prstClr val="white"/>
                        </a:solidFill>
                        <a:ln>
                          <a:noFill/>
                        </a:ln>
                      </wps:spPr>
                      <wps:txbx>
                        <w:txbxContent>
                          <w:p w14:paraId="5141BBC9" w14:textId="20465D19" w:rsidR="00F6565B" w:rsidRPr="00F6565B" w:rsidRDefault="00F6565B" w:rsidP="00F6565B">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19" w:name="_Toc209703567"/>
                            <w:r w:rsidRPr="00F6565B">
                              <w:rPr>
                                <w:rFonts w:ascii="Times New Roman" w:hAnsi="Times New Roman" w:cs="Times New Roman"/>
                                <w:b/>
                                <w:bCs/>
                                <w:color w:val="000000" w:themeColor="text1"/>
                                <w:sz w:val="22"/>
                                <w:szCs w:val="22"/>
                              </w:rPr>
                              <w:t xml:space="preserve">Figure 4.3 Heteroscedasticity Test Results </w:t>
                            </w:r>
                            <w:r w:rsidRPr="00F6565B">
                              <w:rPr>
                                <w:rFonts w:ascii="Times New Roman" w:hAnsi="Times New Roman" w:cs="Times New Roman"/>
                                <w:b/>
                                <w:bCs/>
                                <w:color w:val="FFFFFF" w:themeColor="background1"/>
                                <w:sz w:val="22"/>
                                <w:szCs w:val="22"/>
                              </w:rPr>
                              <w:fldChar w:fldCharType="begin"/>
                            </w:r>
                            <w:r w:rsidRPr="00F6565B">
                              <w:rPr>
                                <w:rFonts w:ascii="Times New Roman" w:hAnsi="Times New Roman" w:cs="Times New Roman"/>
                                <w:b/>
                                <w:bCs/>
                                <w:color w:val="FFFFFF" w:themeColor="background1"/>
                                <w:sz w:val="22"/>
                                <w:szCs w:val="22"/>
                              </w:rPr>
                              <w:instrText xml:space="preserve"> SEQ Figure \* ARABIC </w:instrText>
                            </w:r>
                            <w:r w:rsidRPr="00F6565B">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7</w:t>
                            </w:r>
                            <w:bookmarkEnd w:id="119"/>
                            <w:r w:rsidRPr="00F6565B">
                              <w:rPr>
                                <w:rFonts w:ascii="Times New Roman" w:hAnsi="Times New Roman" w:cs="Times New Roman"/>
                                <w:b/>
                                <w:bCs/>
                                <w:color w:val="FFFFFF" w:themeColor="background1"/>
                                <w:sz w:val="22"/>
                                <w:szCs w:val="22"/>
                              </w:rPr>
                              <w:fldChar w:fldCharType="end"/>
                            </w:r>
                          </w:p>
                          <w:p w14:paraId="2528C17C" w14:textId="7AB0A306" w:rsidR="00F6565B" w:rsidRPr="00F6565B" w:rsidRDefault="00F6565B" w:rsidP="00F6565B">
                            <w:pPr>
                              <w:spacing w:after="240"/>
                              <w:jc w:val="center"/>
                              <w:rPr>
                                <w:rFonts w:ascii="Times New Roman" w:hAnsi="Times New Roman" w:cs="Times New Roman"/>
                                <w:i/>
                                <w:iCs/>
                                <w:color w:val="000000" w:themeColor="text1"/>
                              </w:rPr>
                            </w:pPr>
                            <w:r w:rsidRPr="00F6565B">
                              <w:rPr>
                                <w:rFonts w:ascii="Times New Roman" w:hAnsi="Times New Roman" w:cs="Times New Roman"/>
                                <w:i/>
                                <w:iCs/>
                                <w:color w:val="000000" w:themeColor="text1"/>
                              </w:rPr>
                              <w:t>Source: Data processed by SPSS 30,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3DA407" id="Text Box 9" o:spid="_x0000_s1040" type="#_x0000_t202" style="position:absolute;left:0;text-align:left;margin-left:53.15pt;margin-top:226.9pt;width:337.1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4EVGwIAAEAEAAAOAAAAZHJzL2Uyb0RvYy54bWysU8Fu2zAMvQ/YPwi6L06ytgiMOEWWIsOA&#10;oC2QDj0rshwLkEWNUmJnXz9KjpOu22nYRaZJitR7j5zfd41hR4Vegy34ZDTmTFkJpbb7gn9/WX+a&#10;ceaDsKUwYFXBT8rz+8XHD/PW5WoKNZhSIaMi1uetK3gdgsuzzMtaNcKPwClLwQqwEYF+cZ+VKFqq&#10;3phsOh7fZS1g6RCk8p68D32QL1L9qlIyPFWVV4GZgtPbQjoxnbt4Zou5yPcoXK3l+RniH17RCG2p&#10;6aXUgwiCHVD/UarREsFDFUYSmgyqSkuVMBCayfgdmm0tnEpYiBzvLjT5/1dWPh637hlZ6L5ARwJG&#10;Qlrnc0/OiKersIlfeimjOFF4utCmusAkOW+ms8lsfMuZpNjd59tYI7tedejDVwUNi0bBkTRJVInj&#10;xoc+dUiJnTwYXa61MfEnBlYG2VGQfm2tgzoX/y3L2JhrId7qC0ZPdsURrdDtOqZLwngzgNxBeSLs&#10;CP1YeCfXmhpuhA/PAmkOCC7NdniiozLQFhzOFmc14M+/+WM+yUNRzlqaq4L7HweBijPzzZJwcQgH&#10;AwdjNxj20KyAoE5oa5xMJl3AYAazQmheaeSXsQuFhJXUq+BhMFehn25aGamWy5REo+ZE2Nitk7H0&#10;QOxL9yrQnWUJpOYjDBMn8nfq9LlJH7c8BKI6SReJ7Vk8801jmsQ/r1Tcg7f/Keu6+ItfAAAA//8D&#10;AFBLAwQUAAYACAAAACEAvebMSeEAAAALAQAADwAAAGRycy9kb3ducmV2LnhtbEyPwU7DMBBE70j8&#10;g7VIXFBrQ0IoIU5VVXCgl4q0F25u7MaBeB3FThv+noULHGf2aXamWE6uYyczhNajhNu5AGaw9rrF&#10;RsJ+9zJbAAtRoVadRyPhywRYlpcXhcq1P+ObOVWxYRSCIVcSbIx9znmorXEqzH1vkG5HPzgVSQ4N&#10;14M6U7jr+J0QGXeqRfpgVW/W1tSf1egkbNP3rb0Zj8+bVZoMr/txnX00lZTXV9PqCVg0U/yD4ac+&#10;VYeSOh38iDqwjrTIEkIlpPcJbSDiYSEyYIdf5xF4WfD/G8pvAAAA//8DAFBLAQItABQABgAIAAAA&#10;IQC2gziS/gAAAOEBAAATAAAAAAAAAAAAAAAAAAAAAABbQ29udGVudF9UeXBlc10ueG1sUEsBAi0A&#10;FAAGAAgAAAAhADj9If/WAAAAlAEAAAsAAAAAAAAAAAAAAAAALwEAAF9yZWxzLy5yZWxzUEsBAi0A&#10;FAAGAAgAAAAhAILXgRUbAgAAQAQAAA4AAAAAAAAAAAAAAAAALgIAAGRycy9lMm9Eb2MueG1sUEsB&#10;Ai0AFAAGAAgAAAAhAL3mzEnhAAAACwEAAA8AAAAAAAAAAAAAAAAAdQQAAGRycy9kb3ducmV2Lnht&#10;bFBLBQYAAAAABAAEAPMAAACDBQAAAAA=&#10;" stroked="f">
                <v:textbox style="mso-fit-shape-to-text:t" inset="0,0,0,0">
                  <w:txbxContent>
                    <w:p w14:paraId="5141BBC9" w14:textId="20465D19" w:rsidR="00F6565B" w:rsidRPr="00F6565B" w:rsidRDefault="00F6565B" w:rsidP="00F6565B">
                      <w:pPr>
                        <w:pStyle w:val="Caption"/>
                        <w:spacing w:after="0" w:line="276" w:lineRule="auto"/>
                        <w:jc w:val="center"/>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     </w:t>
                      </w:r>
                      <w:bookmarkStart w:id="120" w:name="_Toc209703567"/>
                      <w:r w:rsidRPr="00F6565B">
                        <w:rPr>
                          <w:rFonts w:ascii="Times New Roman" w:hAnsi="Times New Roman" w:cs="Times New Roman"/>
                          <w:b/>
                          <w:bCs/>
                          <w:color w:val="000000" w:themeColor="text1"/>
                          <w:sz w:val="22"/>
                          <w:szCs w:val="22"/>
                        </w:rPr>
                        <w:t xml:space="preserve">Figure 4.3 Heteroscedasticity Test Results </w:t>
                      </w:r>
                      <w:r w:rsidRPr="00F6565B">
                        <w:rPr>
                          <w:rFonts w:ascii="Times New Roman" w:hAnsi="Times New Roman" w:cs="Times New Roman"/>
                          <w:b/>
                          <w:bCs/>
                          <w:color w:val="FFFFFF" w:themeColor="background1"/>
                          <w:sz w:val="22"/>
                          <w:szCs w:val="22"/>
                        </w:rPr>
                        <w:fldChar w:fldCharType="begin"/>
                      </w:r>
                      <w:r w:rsidRPr="00F6565B">
                        <w:rPr>
                          <w:rFonts w:ascii="Times New Roman" w:hAnsi="Times New Roman" w:cs="Times New Roman"/>
                          <w:b/>
                          <w:bCs/>
                          <w:color w:val="FFFFFF" w:themeColor="background1"/>
                          <w:sz w:val="22"/>
                          <w:szCs w:val="22"/>
                        </w:rPr>
                        <w:instrText xml:space="preserve"> SEQ Figure \* ARABIC </w:instrText>
                      </w:r>
                      <w:r w:rsidRPr="00F6565B">
                        <w:rPr>
                          <w:rFonts w:ascii="Times New Roman" w:hAnsi="Times New Roman" w:cs="Times New Roman"/>
                          <w:b/>
                          <w:bCs/>
                          <w:color w:val="FFFFFF" w:themeColor="background1"/>
                          <w:sz w:val="22"/>
                          <w:szCs w:val="22"/>
                        </w:rPr>
                        <w:fldChar w:fldCharType="separate"/>
                      </w:r>
                      <w:r w:rsidR="00FD5B7D">
                        <w:rPr>
                          <w:rFonts w:ascii="Times New Roman" w:hAnsi="Times New Roman" w:cs="Times New Roman"/>
                          <w:b/>
                          <w:bCs/>
                          <w:noProof/>
                          <w:color w:val="FFFFFF" w:themeColor="background1"/>
                          <w:sz w:val="22"/>
                          <w:szCs w:val="22"/>
                        </w:rPr>
                        <w:t>7</w:t>
                      </w:r>
                      <w:bookmarkEnd w:id="120"/>
                      <w:r w:rsidRPr="00F6565B">
                        <w:rPr>
                          <w:rFonts w:ascii="Times New Roman" w:hAnsi="Times New Roman" w:cs="Times New Roman"/>
                          <w:b/>
                          <w:bCs/>
                          <w:color w:val="FFFFFF" w:themeColor="background1"/>
                          <w:sz w:val="22"/>
                          <w:szCs w:val="22"/>
                        </w:rPr>
                        <w:fldChar w:fldCharType="end"/>
                      </w:r>
                    </w:p>
                    <w:p w14:paraId="2528C17C" w14:textId="7AB0A306" w:rsidR="00F6565B" w:rsidRPr="00F6565B" w:rsidRDefault="00F6565B" w:rsidP="00F6565B">
                      <w:pPr>
                        <w:spacing w:after="240"/>
                        <w:jc w:val="center"/>
                        <w:rPr>
                          <w:rFonts w:ascii="Times New Roman" w:hAnsi="Times New Roman" w:cs="Times New Roman"/>
                          <w:i/>
                          <w:iCs/>
                          <w:color w:val="000000" w:themeColor="text1"/>
                        </w:rPr>
                      </w:pPr>
                      <w:r w:rsidRPr="00F6565B">
                        <w:rPr>
                          <w:rFonts w:ascii="Times New Roman" w:hAnsi="Times New Roman" w:cs="Times New Roman"/>
                          <w:i/>
                          <w:iCs/>
                          <w:color w:val="000000" w:themeColor="text1"/>
                        </w:rPr>
                        <w:t>Source: Data processed by SPSS 30, 2025</w:t>
                      </w:r>
                    </w:p>
                  </w:txbxContent>
                </v:textbox>
                <w10:wrap type="square"/>
              </v:shape>
            </w:pict>
          </mc:Fallback>
        </mc:AlternateContent>
      </w:r>
      <w:r w:rsidRPr="007E7CB6">
        <w:rPr>
          <w:rFonts w:ascii="Times New Roman" w:eastAsia="Times New Roman" w:hAnsi="Times New Roman" w:cs="Times New Roman"/>
          <w:sz w:val="24"/>
          <w:szCs w:val="24"/>
        </w:rPr>
        <w:t>standardized predicted values (standardized predicted value).</w:t>
      </w:r>
      <w:r w:rsidRPr="007E7CB6">
        <w:rPr>
          <w:rFonts w:ascii="Times New Roman" w:hAnsi="Times New Roman" w:cs="Times New Roman"/>
          <w:i/>
          <w:color w:val="1F497D"/>
          <w:sz w:val="18"/>
          <w:szCs w:val="18"/>
        </w:rPr>
        <w:br/>
      </w:r>
      <w:r w:rsidRPr="007E7CB6">
        <w:rPr>
          <w:rFonts w:ascii="Times New Roman" w:hAnsi="Times New Roman" w:cs="Times New Roman"/>
          <w:i/>
          <w:color w:val="FFFFFF"/>
          <w:sz w:val="18"/>
          <w:szCs w:val="18"/>
        </w:rPr>
        <w:t>Gam</w:t>
      </w:r>
      <w:r w:rsidRPr="007E7CB6">
        <w:rPr>
          <w:rFonts w:ascii="Times New Roman" w:eastAsia="Times New Roman" w:hAnsi="Times New Roman" w:cs="Times New Roman"/>
          <w:b/>
          <w:sz w:val="24"/>
          <w:szCs w:val="24"/>
        </w:rPr>
        <w:t xml:space="preserve"> </w:t>
      </w:r>
      <w:r w:rsidRPr="007E7CB6">
        <w:rPr>
          <w:rFonts w:ascii="Times New Roman" w:eastAsia="Times New Roman" w:hAnsi="Times New Roman" w:cs="Times New Roman"/>
          <w:sz w:val="24"/>
          <w:szCs w:val="24"/>
        </w:rPr>
        <w:t>Based on Figure 4.</w:t>
      </w:r>
      <w:r w:rsidR="00F6565B" w:rsidRPr="007E7CB6">
        <w:rPr>
          <w:rFonts w:ascii="Times New Roman" w:eastAsia="Times New Roman" w:hAnsi="Times New Roman" w:cs="Times New Roman"/>
          <w:sz w:val="24"/>
          <w:szCs w:val="24"/>
        </w:rPr>
        <w:t>3</w:t>
      </w:r>
      <w:r w:rsidRPr="007E7CB6">
        <w:rPr>
          <w:rFonts w:ascii="Times New Roman" w:eastAsia="Times New Roman" w:hAnsi="Times New Roman" w:cs="Times New Roman"/>
          <w:sz w:val="24"/>
          <w:szCs w:val="24"/>
        </w:rPr>
        <w:t>, it can be seen that the residual points are scattered randomly above and below the zero axis without forming any particular pattern, such as a converging or diverging pattern. This indicates that the residual variance is constant for all predicted values. Thus, it can be concluded that there is no heteroscedasticity in the regression model, so that the model meets the assumption of homoscedasticity and is suitable for further analysis.</w:t>
      </w:r>
    </w:p>
    <w:p w14:paraId="4456BD1D"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4. </w:t>
      </w:r>
      <w:r w:rsidRPr="007E7CB6">
        <w:rPr>
          <w:rFonts w:ascii="Times New Roman" w:eastAsia="Times New Roman" w:hAnsi="Times New Roman" w:cs="Times New Roman"/>
          <w:b/>
          <w:sz w:val="24"/>
          <w:szCs w:val="24"/>
        </w:rPr>
        <w:tab/>
        <w:t>Autocorrelation Test</w:t>
      </w:r>
    </w:p>
    <w:p w14:paraId="4EA1D455"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An autocorrelation test is performed to determine whether there is a correlation between the residuals in one observation and the residuals in other observations. Autocorrelation can cause a violation of classical regression assumptions, especially in time series data, although this test can still be used as an additional check on cross-sectional data. One method used to detect autocorrelation is the Durbin-Watson Test, with the criteria being </w:t>
      </w:r>
      <w:r w:rsidRPr="007E7CB6">
        <w:rPr>
          <w:rFonts w:ascii="Times New Roman" w:eastAsia="Times New Roman" w:hAnsi="Times New Roman" w:cs="Times New Roman"/>
          <w:sz w:val="24"/>
          <w:szCs w:val="24"/>
        </w:rPr>
        <w:lastRenderedPageBreak/>
        <w:t>that if the Durbin-Watson value is close to 2, there is no autocorrelation; if the value is close to 0, there is positive autocorrelation; and if the value is close to 4, there is negative autocorrelation.</w:t>
      </w:r>
    </w:p>
    <w:p w14:paraId="315B8FB4" w14:textId="1ECEF656" w:rsidR="00153781" w:rsidRPr="007E7CB6" w:rsidRDefault="00F6565B" w:rsidP="00F6565B">
      <w:pPr>
        <w:pStyle w:val="Caption"/>
        <w:spacing w:after="0" w:line="480" w:lineRule="auto"/>
        <w:ind w:left="709"/>
        <w:rPr>
          <w:rFonts w:ascii="Times New Roman" w:eastAsia="Times New Roman" w:hAnsi="Times New Roman" w:cs="Times New Roman"/>
          <w:b/>
          <w:bCs/>
          <w:i w:val="0"/>
          <w:iCs w:val="0"/>
          <w:color w:val="000000"/>
          <w:sz w:val="24"/>
          <w:szCs w:val="24"/>
        </w:rPr>
      </w:pPr>
      <w:bookmarkStart w:id="121" w:name="_Toc209703370"/>
      <w:r w:rsidRPr="007E7CB6">
        <w:rPr>
          <w:rFonts w:ascii="Times New Roman" w:hAnsi="Times New Roman" w:cs="Times New Roman"/>
          <w:b/>
          <w:bCs/>
          <w:i w:val="0"/>
          <w:iCs w:val="0"/>
          <w:color w:val="000000" w:themeColor="text1"/>
          <w:sz w:val="24"/>
          <w:szCs w:val="24"/>
        </w:rPr>
        <w:t xml:space="preserve">Table 4.5 Autocorrelation Test Results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12</w:t>
      </w:r>
      <w:bookmarkEnd w:id="121"/>
      <w:r w:rsidRPr="007E7CB6">
        <w:rPr>
          <w:rFonts w:ascii="Times New Roman" w:hAnsi="Times New Roman" w:cs="Times New Roman"/>
          <w:b/>
          <w:bCs/>
          <w:i w:val="0"/>
          <w:iCs w:val="0"/>
          <w:color w:val="FFFFFF" w:themeColor="background1"/>
          <w:sz w:val="24"/>
          <w:szCs w:val="24"/>
        </w:rPr>
        <w:fldChar w:fldCharType="end"/>
      </w:r>
    </w:p>
    <w:tbl>
      <w:tblPr>
        <w:tblStyle w:val="af6"/>
        <w:tblW w:w="7240" w:type="dxa"/>
        <w:tblInd w:w="988" w:type="dxa"/>
        <w:tblLayout w:type="fixed"/>
        <w:tblLook w:val="0400" w:firstRow="0" w:lastRow="0" w:firstColumn="0" w:lastColumn="0" w:noHBand="0" w:noVBand="1"/>
      </w:tblPr>
      <w:tblGrid>
        <w:gridCol w:w="1353"/>
        <w:gridCol w:w="780"/>
        <w:gridCol w:w="1004"/>
        <w:gridCol w:w="1441"/>
        <w:gridCol w:w="1635"/>
        <w:gridCol w:w="1027"/>
      </w:tblGrid>
      <w:tr w:rsidR="00153781" w:rsidRPr="007E7CB6" w14:paraId="6CD4116A" w14:textId="77777777">
        <w:trPr>
          <w:trHeight w:val="601"/>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0A4C987" w14:textId="77777777" w:rsidR="00153781" w:rsidRPr="007E7CB6" w:rsidRDefault="00000000">
            <w:pPr>
              <w:pBdr>
                <w:top w:val="nil"/>
                <w:left w:val="nil"/>
                <w:bottom w:val="nil"/>
                <w:right w:val="nil"/>
                <w:between w:val="nil"/>
              </w:pBdr>
              <w:spacing w:line="240" w:lineRule="auto"/>
              <w:ind w:left="195" w:hanging="195"/>
              <w:jc w:val="center"/>
              <w:rPr>
                <w:rFonts w:ascii="Times New Roman" w:eastAsia="Times New Roman" w:hAnsi="Times New Roman" w:cs="Times New Roman"/>
                <w:color w:val="000000"/>
                <w:sz w:val="24"/>
                <w:szCs w:val="24"/>
              </w:rPr>
            </w:pPr>
            <w:bookmarkStart w:id="122" w:name="_heading=h.vmz50mv1oy4g" w:colFirst="0" w:colLast="0"/>
            <w:bookmarkEnd w:id="122"/>
            <w:r w:rsidRPr="007E7CB6">
              <w:rPr>
                <w:rFonts w:ascii="Times New Roman" w:eastAsia="Times New Roman" w:hAnsi="Times New Roman" w:cs="Times New Roman"/>
                <w:b/>
                <w:color w:val="000000"/>
                <w:sz w:val="24"/>
                <w:szCs w:val="24"/>
              </w:rPr>
              <w:t>Model Summary</w:t>
            </w:r>
            <w:r w:rsidRPr="007E7CB6">
              <w:rPr>
                <w:rFonts w:ascii="Times New Roman" w:eastAsia="Times New Roman" w:hAnsi="Times New Roman" w:cs="Times New Roman"/>
                <w:b/>
                <w:color w:val="000000"/>
                <w:sz w:val="14"/>
                <w:szCs w:val="14"/>
                <w:vertAlign w:val="superscript"/>
              </w:rPr>
              <w:t>b</w:t>
            </w:r>
          </w:p>
        </w:tc>
      </w:tr>
      <w:tr w:rsidR="00153781" w:rsidRPr="007E7CB6" w14:paraId="6CEB0C8E" w14:textId="77777777">
        <w:trPr>
          <w:trHeight w:val="769"/>
        </w:trPr>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EACF36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Model</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C01FBB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R</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323C5F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R Square</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E6EB76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Adjusted R Square</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87EAB0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 of the Estimate</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E73353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Durbin-</w:t>
            </w:r>
          </w:p>
          <w:p w14:paraId="04CDF98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Watson</w:t>
            </w:r>
          </w:p>
        </w:tc>
      </w:tr>
      <w:tr w:rsidR="00153781" w:rsidRPr="007E7CB6" w14:paraId="3850CAA7" w14:textId="77777777">
        <w:trPr>
          <w:trHeight w:val="474"/>
        </w:trPr>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04D933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1</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B160AC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0.846</w:t>
            </w:r>
            <w:r w:rsidRPr="007E7CB6">
              <w:rPr>
                <w:rFonts w:ascii="Times New Roman" w:eastAsia="Times New Roman" w:hAnsi="Times New Roman" w:cs="Times New Roman"/>
                <w:color w:val="000000"/>
                <w:sz w:val="14"/>
                <w:szCs w:val="14"/>
                <w:vertAlign w:val="superscript"/>
              </w:rPr>
              <w:t>a</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7A89E6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0.716</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AD0D58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0.691</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89C007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0.09162</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3CADB6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1.655</w:t>
            </w:r>
          </w:p>
        </w:tc>
      </w:tr>
      <w:tr w:rsidR="00153781" w:rsidRPr="007E7CB6" w14:paraId="26382EFE" w14:textId="77777777">
        <w:trPr>
          <w:trHeight w:val="669"/>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E7B2B48"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Predictors: (Constant), Green Intellectual Capital, Green Accounting, Carbon Emission disclosure, Green Capital Structure</w:t>
            </w:r>
          </w:p>
        </w:tc>
      </w:tr>
      <w:tr w:rsidR="00153781" w:rsidRPr="007E7CB6" w14:paraId="5547F948" w14:textId="77777777">
        <w:trPr>
          <w:trHeight w:val="409"/>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46F84D6"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 Dependent Variable: Firm Value</w:t>
            </w:r>
          </w:p>
        </w:tc>
      </w:tr>
    </w:tbl>
    <w:p w14:paraId="45331C71" w14:textId="77777777" w:rsidR="00153781" w:rsidRPr="007E7CB6" w:rsidRDefault="00000000">
      <w:pPr>
        <w:pBdr>
          <w:top w:val="nil"/>
          <w:left w:val="nil"/>
          <w:bottom w:val="nil"/>
          <w:right w:val="nil"/>
          <w:between w:val="nil"/>
        </w:pBdr>
        <w:spacing w:line="480" w:lineRule="auto"/>
        <w:ind w:left="720"/>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 xml:space="preserve">     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 xml:space="preserve">processed by </w:t>
      </w:r>
      <w:r w:rsidRPr="007E7CB6">
        <w:rPr>
          <w:rFonts w:ascii="Times New Roman" w:eastAsia="Times New Roman" w:hAnsi="Times New Roman" w:cs="Times New Roman"/>
          <w:i/>
          <w:color w:val="000000"/>
        </w:rPr>
        <w:t>SPSS 30, 2025</w:t>
      </w:r>
    </w:p>
    <w:p w14:paraId="54D6FA5C"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Table 4.5, the Durbin-Watson value is 1.655, which is within the range of 1.5–2.5. Therefore, it can be concluded that there is no autocorrelation in this regression model. Thus, the regression model meets the assumption of autocorrelation freedom and is suitable for further testing.</w:t>
      </w:r>
    </w:p>
    <w:p w14:paraId="564F770F" w14:textId="77777777" w:rsidR="00153781" w:rsidRPr="007E7CB6" w:rsidRDefault="00000000">
      <w:pPr>
        <w:pStyle w:val="Heading3"/>
        <w:keepNext w:val="0"/>
        <w:keepLines w:val="0"/>
        <w:spacing w:before="0" w:after="0" w:line="480" w:lineRule="auto"/>
        <w:ind w:left="426" w:hanging="426"/>
        <w:jc w:val="both"/>
        <w:rPr>
          <w:rFonts w:ascii="Times New Roman" w:eastAsia="Times New Roman" w:hAnsi="Times New Roman" w:cs="Times New Roman"/>
          <w:b/>
          <w:color w:val="000000"/>
          <w:sz w:val="24"/>
          <w:szCs w:val="24"/>
        </w:rPr>
      </w:pPr>
      <w:bookmarkStart w:id="123" w:name="_heading=h.65ss7dwh1hc" w:colFirst="0" w:colLast="0"/>
      <w:bookmarkStart w:id="124" w:name="_Toc210744258"/>
      <w:bookmarkEnd w:id="123"/>
      <w:r w:rsidRPr="007E7CB6">
        <w:rPr>
          <w:rFonts w:ascii="Times New Roman" w:eastAsia="Times New Roman" w:hAnsi="Times New Roman" w:cs="Times New Roman"/>
          <w:b/>
          <w:color w:val="000000"/>
          <w:sz w:val="24"/>
          <w:szCs w:val="24"/>
        </w:rPr>
        <w:t xml:space="preserve">4.2.3. </w:t>
      </w:r>
      <w:r w:rsidRPr="007E7CB6">
        <w:rPr>
          <w:rFonts w:ascii="Times New Roman" w:eastAsia="Times New Roman" w:hAnsi="Times New Roman" w:cs="Times New Roman"/>
          <w:b/>
          <w:color w:val="000000"/>
          <w:sz w:val="24"/>
          <w:szCs w:val="24"/>
        </w:rPr>
        <w:tab/>
        <w:t>Model Suitability Test (F Test)</w:t>
      </w:r>
      <w:bookmarkEnd w:id="124"/>
    </w:p>
    <w:p w14:paraId="419759E8"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F test or simultaneous test is conducted to determine whether all independent variables included in the regression model collectively have a significant effect on the dependent variable. This test is part of the ANOVA (Analysis of Variance) analysis in linear regression with the following decision criteria:</w:t>
      </w:r>
    </w:p>
    <w:p w14:paraId="666102DA" w14:textId="3D466F40" w:rsidR="00153781" w:rsidRPr="007E7CB6" w:rsidRDefault="00000000">
      <w:pPr>
        <w:numPr>
          <w:ilvl w:val="0"/>
          <w:numId w:val="5"/>
        </w:numPr>
        <w:spacing w:line="480" w:lineRule="auto"/>
        <w:ind w:left="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If the significance value (Sig.) &lt; 0.05, then the regression model is suitable for use because the independent variables simultaneously have a significant effect on the dependent variable.</w:t>
      </w:r>
    </w:p>
    <w:p w14:paraId="32B762C7" w14:textId="525A8C8C" w:rsidR="00153781" w:rsidRPr="007E7CB6" w:rsidRDefault="00F6565B" w:rsidP="00C95D6F">
      <w:pPr>
        <w:numPr>
          <w:ilvl w:val="0"/>
          <w:numId w:val="5"/>
        </w:numPr>
        <w:spacing w:line="480" w:lineRule="auto"/>
        <w:ind w:left="360"/>
        <w:jc w:val="both"/>
        <w:rPr>
          <w:rFonts w:ascii="Times New Roman" w:eastAsia="Times New Roman" w:hAnsi="Times New Roman" w:cs="Times New Roman"/>
          <w:color w:val="000000" w:themeColor="text1"/>
          <w:sz w:val="24"/>
          <w:szCs w:val="24"/>
        </w:rPr>
      </w:pPr>
      <w:r w:rsidRPr="007E7CB6">
        <w:rPr>
          <w:rFonts w:ascii="Times New Roman" w:eastAsia="Times New Roman" w:hAnsi="Times New Roman" w:cs="Times New Roman"/>
          <w:color w:val="000000" w:themeColor="text1"/>
          <w:sz w:val="24"/>
          <w:szCs w:val="24"/>
        </w:rPr>
        <w:lastRenderedPageBreak/>
        <w:t xml:space="preserve">If the </w:t>
      </w:r>
      <w:r w:rsidR="00C95D6F" w:rsidRPr="007E7CB6">
        <w:rPr>
          <w:rFonts w:ascii="Times New Roman" w:eastAsia="Times New Roman" w:hAnsi="Times New Roman" w:cs="Times New Roman"/>
          <w:color w:val="000000" w:themeColor="text1"/>
          <w:sz w:val="24"/>
          <w:szCs w:val="24"/>
        </w:rPr>
        <w:t>significance</w:t>
      </w:r>
      <w:r w:rsidRPr="007E7CB6">
        <w:rPr>
          <w:rFonts w:ascii="Times New Roman" w:eastAsia="Times New Roman" w:hAnsi="Times New Roman" w:cs="Times New Roman"/>
          <w:color w:val="000000" w:themeColor="text1"/>
          <w:sz w:val="24"/>
          <w:szCs w:val="24"/>
        </w:rPr>
        <w:t xml:space="preserve"> </w:t>
      </w:r>
      <w:r w:rsidR="00C95D6F" w:rsidRPr="007E7CB6">
        <w:rPr>
          <w:rFonts w:ascii="Times New Roman" w:eastAsia="Times New Roman" w:hAnsi="Times New Roman" w:cs="Times New Roman"/>
          <w:color w:val="000000" w:themeColor="text1"/>
          <w:sz w:val="24"/>
          <w:szCs w:val="24"/>
        </w:rPr>
        <w:t>v</w:t>
      </w:r>
      <w:r w:rsidRPr="007E7CB6">
        <w:rPr>
          <w:rFonts w:ascii="Times New Roman" w:eastAsia="Times New Roman" w:hAnsi="Times New Roman" w:cs="Times New Roman"/>
          <w:color w:val="000000" w:themeColor="text1"/>
          <w:sz w:val="24"/>
          <w:szCs w:val="24"/>
        </w:rPr>
        <w:t>alue</w:t>
      </w:r>
      <w:r w:rsidR="00C95D6F" w:rsidRPr="007E7CB6">
        <w:rPr>
          <w:rFonts w:ascii="Times New Roman" w:eastAsia="Times New Roman" w:hAnsi="Times New Roman" w:cs="Times New Roman"/>
          <w:color w:val="000000" w:themeColor="text1"/>
          <w:sz w:val="24"/>
          <w:szCs w:val="24"/>
        </w:rPr>
        <w:t xml:space="preserve"> (Sig.) &gt; 0.05, then the regression model is not suitable for use.</w:t>
      </w:r>
    </w:p>
    <w:p w14:paraId="40553041" w14:textId="08E34C36" w:rsidR="00153781" w:rsidRPr="007E7CB6" w:rsidRDefault="00C95D6F" w:rsidP="00C95D6F">
      <w:pPr>
        <w:pStyle w:val="Caption"/>
        <w:spacing w:after="0" w:line="480" w:lineRule="auto"/>
        <w:rPr>
          <w:rFonts w:ascii="Times New Roman" w:eastAsia="Times New Roman" w:hAnsi="Times New Roman" w:cs="Times New Roman"/>
          <w:b/>
          <w:color w:val="FFFFFF"/>
          <w:sz w:val="24"/>
          <w:szCs w:val="24"/>
        </w:rPr>
      </w:pPr>
      <w:bookmarkStart w:id="125" w:name="_Toc209703371"/>
      <w:r w:rsidRPr="007E7CB6">
        <w:rPr>
          <w:rFonts w:ascii="Times New Roman" w:hAnsi="Times New Roman" w:cs="Times New Roman"/>
          <w:b/>
          <w:bCs/>
          <w:i w:val="0"/>
          <w:iCs w:val="0"/>
          <w:color w:val="000000" w:themeColor="text1"/>
          <w:sz w:val="24"/>
          <w:szCs w:val="24"/>
        </w:rPr>
        <w:t xml:space="preserve">Table 4.6 F Test Results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13</w:t>
      </w:r>
      <w:r w:rsidRPr="007E7CB6">
        <w:rPr>
          <w:rFonts w:ascii="Times New Roman" w:hAnsi="Times New Roman" w:cs="Times New Roman"/>
          <w:b/>
          <w:bCs/>
          <w:i w:val="0"/>
          <w:iCs w:val="0"/>
          <w:color w:val="FFFFFF" w:themeColor="background1"/>
          <w:sz w:val="24"/>
          <w:szCs w:val="24"/>
        </w:rPr>
        <w:fldChar w:fldCharType="end"/>
      </w:r>
      <w:r w:rsidRPr="007E7CB6">
        <w:rPr>
          <w:rFonts w:ascii="Times New Roman" w:eastAsia="Times New Roman" w:hAnsi="Times New Roman" w:cs="Times New Roman"/>
          <w:b/>
          <w:i w:val="0"/>
          <w:color w:val="FFFFFF"/>
          <w:sz w:val="24"/>
          <w:szCs w:val="24"/>
        </w:rPr>
        <w:t xml:space="preserve"> 13</w:t>
      </w:r>
      <w:bookmarkEnd w:id="125"/>
    </w:p>
    <w:tbl>
      <w:tblPr>
        <w:tblStyle w:val="af7"/>
        <w:tblW w:w="7927" w:type="dxa"/>
        <w:tblLayout w:type="fixed"/>
        <w:tblLook w:val="0400" w:firstRow="0" w:lastRow="0" w:firstColumn="0" w:lastColumn="0" w:noHBand="0" w:noVBand="1"/>
      </w:tblPr>
      <w:tblGrid>
        <w:gridCol w:w="321"/>
        <w:gridCol w:w="1503"/>
        <w:gridCol w:w="1914"/>
        <w:gridCol w:w="603"/>
        <w:gridCol w:w="1306"/>
        <w:gridCol w:w="1132"/>
        <w:gridCol w:w="1148"/>
      </w:tblGrid>
      <w:tr w:rsidR="00153781" w:rsidRPr="007E7CB6" w14:paraId="029CEF80" w14:textId="77777777">
        <w:trPr>
          <w:trHeight w:val="420"/>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F28FDC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26" w:name="_heading=h.16qs5sxenuau" w:colFirst="0" w:colLast="0"/>
            <w:bookmarkEnd w:id="126"/>
            <w:r w:rsidRPr="007E7CB6">
              <w:rPr>
                <w:rFonts w:ascii="Times New Roman" w:eastAsia="Times New Roman" w:hAnsi="Times New Roman" w:cs="Times New Roman"/>
                <w:b/>
                <w:color w:val="000000"/>
                <w:sz w:val="24"/>
                <w:szCs w:val="24"/>
              </w:rPr>
              <w:t>ANOVA</w:t>
            </w:r>
            <w:r w:rsidRPr="007E7CB6">
              <w:rPr>
                <w:rFonts w:ascii="Times New Roman" w:eastAsia="Times New Roman" w:hAnsi="Times New Roman" w:cs="Times New Roman"/>
                <w:b/>
                <w:color w:val="000000"/>
                <w:sz w:val="14"/>
                <w:szCs w:val="14"/>
                <w:vertAlign w:val="superscript"/>
              </w:rPr>
              <w:t>a</w:t>
            </w:r>
          </w:p>
        </w:tc>
      </w:tr>
      <w:tr w:rsidR="00153781" w:rsidRPr="007E7CB6" w14:paraId="77D51EF0" w14:textId="77777777">
        <w:trPr>
          <w:trHeight w:val="20"/>
        </w:trPr>
        <w:tc>
          <w:tcPr>
            <w:tcW w:w="1824"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9CAF0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19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F496B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Sum of Squares</w:t>
            </w:r>
          </w:p>
        </w:tc>
        <w:tc>
          <w:tcPr>
            <w:tcW w:w="6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46A0C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df</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93CCD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Mean Square</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260AF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F</w:t>
            </w:r>
          </w:p>
        </w:tc>
        <w:tc>
          <w:tcPr>
            <w:tcW w:w="11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7F0AF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1E6DE56F" w14:textId="77777777">
        <w:trPr>
          <w:trHeight w:val="20"/>
        </w:trPr>
        <w:tc>
          <w:tcPr>
            <w:tcW w:w="32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0E2C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5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90DC4"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Regression</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1F1DC6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1,078</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6A0A70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1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352C2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0.269</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EECE31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25.567</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0D09EE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&lt;0.001</w:t>
            </w:r>
            <w:r w:rsidRPr="007E7CB6">
              <w:rPr>
                <w:rFonts w:ascii="Times New Roman" w:eastAsia="Times New Roman" w:hAnsi="Times New Roman" w:cs="Times New Roman"/>
                <w:color w:val="000000"/>
                <w:sz w:val="14"/>
                <w:szCs w:val="14"/>
                <w:vertAlign w:val="superscript"/>
              </w:rPr>
              <w:t>b</w:t>
            </w:r>
          </w:p>
        </w:tc>
      </w:tr>
      <w:tr w:rsidR="00153781" w:rsidRPr="007E7CB6" w14:paraId="670ABDFD" w14:textId="77777777">
        <w:trPr>
          <w:trHeight w:val="20"/>
        </w:trPr>
        <w:tc>
          <w:tcPr>
            <w:tcW w:w="3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07860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5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E797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Residual</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07599E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0.622</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A9EE39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59</w:t>
            </w:r>
          </w:p>
        </w:tc>
        <w:tc>
          <w:tcPr>
            <w:tcW w:w="1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C8D6D5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0.011</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8A9AFBA" w14:textId="77777777" w:rsidR="00153781" w:rsidRPr="007E7CB6" w:rsidRDefault="00153781">
            <w:pP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0C740B9" w14:textId="77777777" w:rsidR="00153781" w:rsidRPr="007E7CB6" w:rsidRDefault="00153781">
            <w:pPr>
              <w:rPr>
                <w:rFonts w:ascii="Times New Roman" w:hAnsi="Times New Roman" w:cs="Times New Roman"/>
              </w:rPr>
            </w:pPr>
          </w:p>
        </w:tc>
      </w:tr>
      <w:tr w:rsidR="00153781" w:rsidRPr="007E7CB6" w14:paraId="731F61C7" w14:textId="77777777">
        <w:trPr>
          <w:trHeight w:val="20"/>
        </w:trPr>
        <w:tc>
          <w:tcPr>
            <w:tcW w:w="3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78960" w14:textId="77777777" w:rsidR="00153781" w:rsidRPr="007E7CB6" w:rsidRDefault="00153781">
            <w:pPr>
              <w:widowControl w:val="0"/>
              <w:pBdr>
                <w:top w:val="nil"/>
                <w:left w:val="nil"/>
                <w:bottom w:val="nil"/>
                <w:right w:val="nil"/>
                <w:between w:val="nil"/>
              </w:pBdr>
              <w:rPr>
                <w:rFonts w:ascii="Times New Roman" w:hAnsi="Times New Roman" w:cs="Times New Roman"/>
              </w:rPr>
            </w:pPr>
          </w:p>
        </w:tc>
        <w:tc>
          <w:tcPr>
            <w:tcW w:w="15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CDE205"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Total</w:t>
            </w:r>
          </w:p>
        </w:tc>
        <w:tc>
          <w:tcPr>
            <w:tcW w:w="1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264B1D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1.699</w:t>
            </w:r>
          </w:p>
        </w:tc>
        <w:tc>
          <w:tcPr>
            <w:tcW w:w="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C0808C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63</w:t>
            </w:r>
          </w:p>
        </w:tc>
        <w:tc>
          <w:tcPr>
            <w:tcW w:w="1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B46B668" w14:textId="77777777" w:rsidR="00153781" w:rsidRPr="007E7CB6" w:rsidRDefault="00153781">
            <w:pPr>
              <w:rPr>
                <w:rFonts w:ascii="Times New Roman" w:hAnsi="Times New Roman" w:cs="Times New Roman"/>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2D07904" w14:textId="77777777" w:rsidR="00153781" w:rsidRPr="007E7CB6" w:rsidRDefault="00153781">
            <w:pPr>
              <w:rPr>
                <w:rFonts w:ascii="Times New Roman" w:hAnsi="Times New Roman" w:cs="Times New Roman"/>
              </w:rPr>
            </w:pPr>
          </w:p>
        </w:tc>
        <w:tc>
          <w:tcPr>
            <w:tcW w:w="1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2BF6200" w14:textId="77777777" w:rsidR="00153781" w:rsidRPr="007E7CB6" w:rsidRDefault="00153781">
            <w:pPr>
              <w:rPr>
                <w:rFonts w:ascii="Times New Roman" w:hAnsi="Times New Roman" w:cs="Times New Roman"/>
              </w:rPr>
            </w:pPr>
          </w:p>
        </w:tc>
      </w:tr>
      <w:tr w:rsidR="00153781" w:rsidRPr="007E7CB6" w14:paraId="422B8C1C" w14:textId="77777777">
        <w:trPr>
          <w:trHeight w:val="47"/>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F70FF3"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Dependent Variable: Firm Value</w:t>
            </w:r>
          </w:p>
        </w:tc>
      </w:tr>
      <w:tr w:rsidR="00153781" w:rsidRPr="007E7CB6" w14:paraId="03D90C31" w14:textId="77777777">
        <w:trPr>
          <w:trHeight w:val="20"/>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AD5CE"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 Predictors: (Constant), Green Accounting, Carbon Emission Disclosure, Green Capital Structure</w:t>
            </w:r>
          </w:p>
        </w:tc>
      </w:tr>
    </w:tbl>
    <w:p w14:paraId="38B56ACD"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22CEFA63"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Table 4.6, it is known that the F value is 25.567 with a significance value of &lt;0.001. This value is less than 0.05, which means that simultaneously, the variables of Green Accounting, Carbon Emission Disclosure, and Green Capital Structure have a significant effect on Firm Value. Thus, it can be concluded that the regression model used in this study is suitable for further testing because it meets the model validity simultaneously.</w:t>
      </w:r>
    </w:p>
    <w:p w14:paraId="79687F7A" w14:textId="77777777" w:rsidR="00153781" w:rsidRPr="007E7CB6" w:rsidRDefault="00000000">
      <w:pPr>
        <w:spacing w:line="480" w:lineRule="auto"/>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4.2.4. </w:t>
      </w:r>
      <w:r w:rsidRPr="007E7CB6">
        <w:rPr>
          <w:rFonts w:ascii="Times New Roman" w:eastAsia="Times New Roman" w:hAnsi="Times New Roman" w:cs="Times New Roman"/>
          <w:b/>
          <w:sz w:val="24"/>
          <w:szCs w:val="24"/>
        </w:rPr>
        <w:tab/>
        <w:t>Coefficient of Determination (R²) Test</w:t>
      </w:r>
    </w:p>
    <w:p w14:paraId="38EF7185" w14:textId="7AE02951"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coefficient of determination test is used to measure the extent to which the regression model can explain the variation of the dependent variable. The coefficient of determination (R²) value ranges from 0 to 1. The higher the R² value, the better the regression model is at explaining the dependent variable.</w:t>
      </w:r>
    </w:p>
    <w:p w14:paraId="049DFBD2" w14:textId="77777777" w:rsidR="00C95D6F" w:rsidRPr="007E7CB6" w:rsidRDefault="00C95D6F">
      <w:pPr>
        <w:spacing w:line="480" w:lineRule="auto"/>
        <w:ind w:firstLine="720"/>
        <w:jc w:val="both"/>
        <w:rPr>
          <w:rFonts w:ascii="Times New Roman" w:eastAsia="Times New Roman" w:hAnsi="Times New Roman" w:cs="Times New Roman"/>
          <w:sz w:val="24"/>
          <w:szCs w:val="24"/>
        </w:rPr>
      </w:pPr>
    </w:p>
    <w:p w14:paraId="54E2BB14" w14:textId="6679C398" w:rsidR="00153781" w:rsidRPr="007E7CB6" w:rsidRDefault="00C95D6F" w:rsidP="00C95D6F">
      <w:pPr>
        <w:pStyle w:val="Caption"/>
        <w:spacing w:after="0" w:line="480" w:lineRule="auto"/>
        <w:rPr>
          <w:rFonts w:ascii="Times New Roman" w:eastAsia="Times New Roman" w:hAnsi="Times New Roman" w:cs="Times New Roman"/>
          <w:b/>
          <w:bCs/>
          <w:i w:val="0"/>
          <w:iCs w:val="0"/>
          <w:color w:val="000000" w:themeColor="text1"/>
          <w:sz w:val="24"/>
          <w:szCs w:val="24"/>
        </w:rPr>
      </w:pPr>
      <w:bookmarkStart w:id="127" w:name="_Toc209703372"/>
      <w:r w:rsidRPr="007E7CB6">
        <w:rPr>
          <w:rFonts w:ascii="Times New Roman" w:hAnsi="Times New Roman" w:cs="Times New Roman"/>
          <w:b/>
          <w:bCs/>
          <w:i w:val="0"/>
          <w:iCs w:val="0"/>
          <w:color w:val="000000" w:themeColor="text1"/>
          <w:sz w:val="24"/>
          <w:szCs w:val="24"/>
        </w:rPr>
        <w:lastRenderedPageBreak/>
        <w:t xml:space="preserve">Table 4.7 Coefficient of Determination Test </w:t>
      </w:r>
      <w:r w:rsidRPr="007E7CB6">
        <w:rPr>
          <w:rFonts w:ascii="Times New Roman" w:eastAsia="Times New Roman" w:hAnsi="Times New Roman" w:cs="Times New Roman"/>
          <w:b/>
          <w:bCs/>
          <w:i w:val="0"/>
          <w:iCs w:val="0"/>
          <w:color w:val="000000" w:themeColor="text1"/>
          <w:sz w:val="24"/>
          <w:szCs w:val="24"/>
        </w:rPr>
        <w:t>(R²)</w:t>
      </w:r>
      <w:r w:rsidRPr="007E7CB6">
        <w:rPr>
          <w:rFonts w:ascii="Times New Roman" w:hAnsi="Times New Roman" w:cs="Times New Roman"/>
          <w:b/>
          <w:bCs/>
          <w:i w:val="0"/>
          <w:iCs w:val="0"/>
          <w:color w:val="000000" w:themeColor="text1"/>
          <w:sz w:val="24"/>
          <w:szCs w:val="24"/>
        </w:rPr>
        <w:t xml:space="preserve">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14</w:t>
      </w:r>
      <w:bookmarkEnd w:id="127"/>
      <w:r w:rsidRPr="007E7CB6">
        <w:rPr>
          <w:rFonts w:ascii="Times New Roman" w:hAnsi="Times New Roman" w:cs="Times New Roman"/>
          <w:b/>
          <w:bCs/>
          <w:i w:val="0"/>
          <w:iCs w:val="0"/>
          <w:color w:val="FFFFFF" w:themeColor="background1"/>
          <w:sz w:val="24"/>
          <w:szCs w:val="24"/>
        </w:rPr>
        <w:fldChar w:fldCharType="end"/>
      </w:r>
    </w:p>
    <w:tbl>
      <w:tblPr>
        <w:tblStyle w:val="af8"/>
        <w:tblW w:w="7792" w:type="dxa"/>
        <w:tblLayout w:type="fixed"/>
        <w:tblLook w:val="0400" w:firstRow="0" w:lastRow="0" w:firstColumn="0" w:lastColumn="0" w:noHBand="0" w:noVBand="1"/>
      </w:tblPr>
      <w:tblGrid>
        <w:gridCol w:w="988"/>
        <w:gridCol w:w="992"/>
        <w:gridCol w:w="1417"/>
        <w:gridCol w:w="2410"/>
        <w:gridCol w:w="1985"/>
      </w:tblGrid>
      <w:tr w:rsidR="00153781" w:rsidRPr="007E7CB6" w14:paraId="5C6C7F54" w14:textId="77777777">
        <w:trPr>
          <w:trHeight w:val="449"/>
        </w:trPr>
        <w:tc>
          <w:tcPr>
            <w:tcW w:w="77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92FDE3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Model Summary</w:t>
            </w:r>
          </w:p>
        </w:tc>
      </w:tr>
      <w:tr w:rsidR="00153781" w:rsidRPr="007E7CB6" w14:paraId="092C30F1" w14:textId="77777777">
        <w:trPr>
          <w:trHeight w:val="743"/>
        </w:trPr>
        <w:tc>
          <w:tcPr>
            <w:tcW w:w="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95D9ED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7A2A7F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611B79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R Square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0BD236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Adjusted R Square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303F07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Std. Error of the Estimate</w:t>
            </w:r>
          </w:p>
        </w:tc>
      </w:tr>
      <w:tr w:rsidR="00153781" w:rsidRPr="007E7CB6" w14:paraId="6DB95A3F" w14:textId="77777777">
        <w:trPr>
          <w:trHeight w:val="485"/>
        </w:trPr>
        <w:tc>
          <w:tcPr>
            <w:tcW w:w="98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F5E33C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BF4B21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0.846</w:t>
            </w:r>
            <w:r w:rsidRPr="007E7CB6">
              <w:rPr>
                <w:rFonts w:ascii="Times New Roman" w:eastAsia="Times New Roman" w:hAnsi="Times New Roman" w:cs="Times New Roman"/>
                <w:color w:val="000000"/>
                <w:sz w:val="14"/>
                <w:szCs w:val="14"/>
                <w:vertAlign w:val="superscript"/>
              </w:rPr>
              <w:t>a</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5618FC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0.716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AD664B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DE2B7F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0.09162</w:t>
            </w:r>
          </w:p>
        </w:tc>
      </w:tr>
      <w:tr w:rsidR="00153781" w:rsidRPr="007E7CB6" w14:paraId="67CC5F92" w14:textId="77777777">
        <w:trPr>
          <w:trHeight w:val="485"/>
        </w:trPr>
        <w:tc>
          <w:tcPr>
            <w:tcW w:w="7792"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AC80DF5"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Predictors: (Constant), Green Intellectual Capital, Green Accounting, Carbon Emission Disclosure, Green Capital Structure, X1M, X2M, X3M</w:t>
            </w:r>
          </w:p>
        </w:tc>
      </w:tr>
      <w:tr w:rsidR="00153781" w:rsidRPr="007E7CB6" w14:paraId="63ADD3A1" w14:textId="77777777">
        <w:trPr>
          <w:trHeight w:val="485"/>
        </w:trPr>
        <w:tc>
          <w:tcPr>
            <w:tcW w:w="7792"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67B4FB7"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 Dependent Variable: Firm Value</w:t>
            </w:r>
          </w:p>
        </w:tc>
      </w:tr>
    </w:tbl>
    <w:p w14:paraId="1E9CB184"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7C52C940"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Table 4.7, the R Square value obtained is 0.716, which means that 71.6% of the variation in firm value (FV) can be explained by the independent variables in this model, namely green accounting (X1), carbon emission disclosure (X2), green capital structure (X3), and the moderating variable of green intellectual capital (Z). Thus, this regression model has a fairly strong predictive ability, because more than half of the variation in firm value can be explained by these variables. Meanwhile, the remaining 28.4% (100% - 71.6%) is explained by other factors not included in the model, such as external factors, macroeconomic conditions, government policies, company reputation, and others.</w:t>
      </w:r>
    </w:p>
    <w:p w14:paraId="0EFF9437" w14:textId="77777777" w:rsidR="00153781" w:rsidRPr="007E7CB6" w:rsidRDefault="00000000">
      <w:pPr>
        <w:pStyle w:val="Heading3"/>
        <w:keepNext w:val="0"/>
        <w:keepLines w:val="0"/>
        <w:spacing w:before="0" w:after="0" w:line="480" w:lineRule="auto"/>
        <w:jc w:val="both"/>
        <w:rPr>
          <w:rFonts w:ascii="Times New Roman" w:eastAsia="Times New Roman" w:hAnsi="Times New Roman" w:cs="Times New Roman"/>
          <w:b/>
          <w:color w:val="000000"/>
          <w:sz w:val="24"/>
          <w:szCs w:val="24"/>
        </w:rPr>
      </w:pPr>
      <w:bookmarkStart w:id="128" w:name="_heading=h.1leolvufqs3h" w:colFirst="0" w:colLast="0"/>
      <w:bookmarkStart w:id="129" w:name="_Toc210744259"/>
      <w:bookmarkEnd w:id="128"/>
      <w:r w:rsidRPr="007E7CB6">
        <w:rPr>
          <w:rFonts w:ascii="Times New Roman" w:eastAsia="Times New Roman" w:hAnsi="Times New Roman" w:cs="Times New Roman"/>
          <w:b/>
          <w:color w:val="000000"/>
          <w:sz w:val="24"/>
          <w:szCs w:val="24"/>
        </w:rPr>
        <w:t xml:space="preserve">4.2.5. </w:t>
      </w:r>
      <w:r w:rsidRPr="007E7CB6">
        <w:rPr>
          <w:rFonts w:ascii="Times New Roman" w:eastAsia="Times New Roman" w:hAnsi="Times New Roman" w:cs="Times New Roman"/>
          <w:b/>
          <w:color w:val="000000"/>
          <w:sz w:val="24"/>
          <w:szCs w:val="24"/>
        </w:rPr>
        <w:tab/>
        <w:t>Multiple Linear Regression Analysis</w:t>
      </w:r>
      <w:bookmarkEnd w:id="129"/>
    </w:p>
    <w:p w14:paraId="7DE5AE1C" w14:textId="72C1C835"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analytical approach in this study uses multiple linear regression with the Moderated Regression Analysis (MRA) technique. This test aims to determine the correlation between the independent variables and the dependent variables and to see the possibility of a moderating effect.</w:t>
      </w:r>
    </w:p>
    <w:p w14:paraId="0F2A8B39" w14:textId="6E2BC7D2" w:rsidR="00C95D6F" w:rsidRPr="007E7CB6" w:rsidRDefault="00C95D6F">
      <w:pPr>
        <w:spacing w:line="480" w:lineRule="auto"/>
        <w:ind w:firstLine="720"/>
        <w:jc w:val="both"/>
        <w:rPr>
          <w:rFonts w:ascii="Times New Roman" w:eastAsia="Times New Roman" w:hAnsi="Times New Roman" w:cs="Times New Roman"/>
          <w:sz w:val="24"/>
          <w:szCs w:val="24"/>
        </w:rPr>
      </w:pPr>
    </w:p>
    <w:p w14:paraId="209DB362" w14:textId="77777777" w:rsidR="00C95D6F" w:rsidRPr="007E7CB6" w:rsidRDefault="00C95D6F">
      <w:pPr>
        <w:spacing w:line="480" w:lineRule="auto"/>
        <w:ind w:firstLine="720"/>
        <w:jc w:val="both"/>
        <w:rPr>
          <w:rFonts w:ascii="Times New Roman" w:eastAsia="Times New Roman" w:hAnsi="Times New Roman" w:cs="Times New Roman"/>
          <w:sz w:val="24"/>
          <w:szCs w:val="24"/>
        </w:rPr>
      </w:pPr>
    </w:p>
    <w:p w14:paraId="6F5567D9" w14:textId="46B8EC5F" w:rsidR="00153781" w:rsidRPr="007E7CB6" w:rsidRDefault="00C95D6F" w:rsidP="00C95D6F">
      <w:pPr>
        <w:pStyle w:val="Caption"/>
        <w:spacing w:after="0" w:line="480" w:lineRule="auto"/>
        <w:rPr>
          <w:rFonts w:ascii="Times New Roman" w:eastAsia="Times New Roman" w:hAnsi="Times New Roman" w:cs="Times New Roman"/>
          <w:b/>
          <w:bCs/>
          <w:i w:val="0"/>
          <w:iCs w:val="0"/>
          <w:color w:val="000000" w:themeColor="text1"/>
          <w:sz w:val="36"/>
          <w:szCs w:val="36"/>
        </w:rPr>
      </w:pPr>
      <w:bookmarkStart w:id="130" w:name="_Toc209703373"/>
      <w:r w:rsidRPr="007E7CB6">
        <w:rPr>
          <w:rFonts w:ascii="Times New Roman" w:hAnsi="Times New Roman" w:cs="Times New Roman"/>
          <w:b/>
          <w:bCs/>
          <w:i w:val="0"/>
          <w:iCs w:val="0"/>
          <w:color w:val="000000" w:themeColor="text1"/>
          <w:sz w:val="24"/>
          <w:szCs w:val="24"/>
        </w:rPr>
        <w:lastRenderedPageBreak/>
        <w:t xml:space="preserve">Table 4.8 Multiple Linear Regression Analysis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15</w:t>
      </w:r>
      <w:bookmarkEnd w:id="130"/>
      <w:r w:rsidRPr="007E7CB6">
        <w:rPr>
          <w:rFonts w:ascii="Times New Roman" w:hAnsi="Times New Roman" w:cs="Times New Roman"/>
          <w:b/>
          <w:bCs/>
          <w:i w:val="0"/>
          <w:iCs w:val="0"/>
          <w:color w:val="FFFFFF" w:themeColor="background1"/>
          <w:sz w:val="24"/>
          <w:szCs w:val="24"/>
        </w:rPr>
        <w:fldChar w:fldCharType="end"/>
      </w:r>
    </w:p>
    <w:tbl>
      <w:tblPr>
        <w:tblStyle w:val="af9"/>
        <w:tblW w:w="6110" w:type="dxa"/>
        <w:tblLayout w:type="fixed"/>
        <w:tblLook w:val="0400" w:firstRow="0" w:lastRow="0" w:firstColumn="0" w:lastColumn="0" w:noHBand="0" w:noVBand="1"/>
      </w:tblPr>
      <w:tblGrid>
        <w:gridCol w:w="409"/>
        <w:gridCol w:w="1355"/>
        <w:gridCol w:w="997"/>
        <w:gridCol w:w="1396"/>
        <w:gridCol w:w="1953"/>
      </w:tblGrid>
      <w:tr w:rsidR="00153781" w:rsidRPr="007E7CB6" w14:paraId="09A57B18" w14:textId="77777777">
        <w:trPr>
          <w:trHeight w:val="379"/>
        </w:trPr>
        <w:tc>
          <w:tcPr>
            <w:tcW w:w="6110" w:type="dxa"/>
            <w:gridSpan w:val="5"/>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3A7DDD7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sz w:val="24"/>
                <w:szCs w:val="24"/>
              </w:rPr>
              <w:t>Coefficients</w:t>
            </w:r>
          </w:p>
        </w:tc>
      </w:tr>
      <w:tr w:rsidR="00153781" w:rsidRPr="007E7CB6" w14:paraId="52E7CFE8" w14:textId="77777777">
        <w:trPr>
          <w:trHeight w:val="379"/>
        </w:trPr>
        <w:tc>
          <w:tcPr>
            <w:tcW w:w="1764"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2C6FF3E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393"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DAB6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491B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r>
      <w:tr w:rsidR="00153781" w:rsidRPr="007E7CB6" w14:paraId="781D0ABA" w14:textId="77777777">
        <w:trPr>
          <w:trHeight w:val="49"/>
        </w:trPr>
        <w:tc>
          <w:tcPr>
            <w:tcW w:w="1764"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221FE5BB"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BCF75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3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AD97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4AD6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r>
      <w:tr w:rsidR="00153781" w:rsidRPr="007E7CB6" w14:paraId="4E5E6A77" w14:textId="77777777">
        <w:trPr>
          <w:trHeight w:val="20"/>
        </w:trPr>
        <w:tc>
          <w:tcPr>
            <w:tcW w:w="409"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31785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E22AF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89760F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27064C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D83B0E"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153781" w:rsidRPr="007E7CB6" w14:paraId="0DF9BA00"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7440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69907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4D9045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15.352</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488844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2.563</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44674C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0.596</w:t>
            </w:r>
          </w:p>
        </w:tc>
      </w:tr>
      <w:tr w:rsidR="00153781" w:rsidRPr="007E7CB6" w14:paraId="5F34BE38" w14:textId="77777777">
        <w:trPr>
          <w:trHeight w:val="10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15A1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C9A76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028EB9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0.129</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CE30EB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DB977C6"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0.119</w:t>
            </w:r>
          </w:p>
        </w:tc>
      </w:tr>
      <w:tr w:rsidR="00153781" w:rsidRPr="007E7CB6" w14:paraId="1E31663C"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25BA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2484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70B408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29.999</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5B857F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12.988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C143491"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0.230</w:t>
            </w:r>
          </w:p>
        </w:tc>
      </w:tr>
      <w:tr w:rsidR="00153781" w:rsidRPr="007E7CB6" w14:paraId="4D62C752"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2BD12E"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4B33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X1M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35B44B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45.058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F67886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50.509</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1E9B21D"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1.177</w:t>
            </w:r>
          </w:p>
        </w:tc>
      </w:tr>
      <w:tr w:rsidR="00153781" w:rsidRPr="007E7CB6" w14:paraId="71A1A237"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8564E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C38F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X2M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9A2808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-1.075</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A28726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0.305</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CB9092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-0.991</w:t>
            </w:r>
          </w:p>
        </w:tc>
      </w:tr>
      <w:tr w:rsidR="00153781" w:rsidRPr="007E7CB6" w14:paraId="1B91380B"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911E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01FB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X3M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E1C5DD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-62.230</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148856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295.648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631B247"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-0.328</w:t>
            </w:r>
          </w:p>
        </w:tc>
      </w:tr>
      <w:tr w:rsidR="00153781" w:rsidRPr="007E7CB6" w14:paraId="3729DB20" w14:textId="77777777">
        <w:trPr>
          <w:trHeight w:val="334"/>
        </w:trPr>
        <w:tc>
          <w:tcPr>
            <w:tcW w:w="6110" w:type="dxa"/>
            <w:gridSpan w:val="5"/>
            <w:tcBorders>
              <w:left w:val="single" w:sz="4" w:space="0" w:color="000000"/>
              <w:bottom w:val="single" w:sz="4" w:space="0" w:color="000000"/>
              <w:right w:val="single" w:sz="4" w:space="0" w:color="000000"/>
            </w:tcBorders>
            <w:vAlign w:val="center"/>
          </w:tcPr>
          <w:p w14:paraId="2D1FC734" w14:textId="77777777" w:rsidR="00153781" w:rsidRPr="007E7CB6" w:rsidRDefault="00000000">
            <w:pPr>
              <w:spacing w:line="240" w:lineRule="auto"/>
              <w:ind w:left="124"/>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bl>
    <w:p w14:paraId="5BC82E2B"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i/>
          <w:color w:val="000000"/>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 </w:t>
      </w:r>
      <w:r w:rsidRPr="007E7CB6">
        <w:rPr>
          <w:rFonts w:ascii="Times New Roman" w:eastAsia="Times New Roman" w:hAnsi="Times New Roman" w:cs="Times New Roman"/>
          <w:i/>
        </w:rPr>
        <w:t>processed by</w:t>
      </w:r>
      <w:r w:rsidRPr="007E7CB6">
        <w:rPr>
          <w:rFonts w:ascii="Times New Roman" w:eastAsia="Times New Roman" w:hAnsi="Times New Roman" w:cs="Times New Roman"/>
          <w:i/>
          <w:color w:val="000000"/>
        </w:rPr>
        <w:t xml:space="preserve"> SPSS 30, 2025</w:t>
      </w:r>
    </w:p>
    <w:p w14:paraId="29A015C4"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 constant value of 0.118 indicates a positive parameter</w:t>
      </w:r>
    </w:p>
    <w:p w14:paraId="7D6FDA7D"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1. </w:t>
      </w:r>
      <w:r w:rsidRPr="007E7CB6">
        <w:rPr>
          <w:rFonts w:ascii="Times New Roman" w:eastAsia="Times New Roman" w:hAnsi="Times New Roman" w:cs="Times New Roman"/>
          <w:b/>
          <w:sz w:val="24"/>
          <w:szCs w:val="24"/>
        </w:rPr>
        <w:tab/>
        <w:t>Green Accounting</w:t>
      </w:r>
    </w:p>
    <w:p w14:paraId="471DE8E4"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green accounting variable has a regression coefficient value of 15.352. This indicates that every 1 unit increase in green accounting will decrease the firm value by 15.352 units, assuming other variables remain constant. The standard coefficient (Beta) of 0.596 indicates a strong influence. Thus, green accounting has a positive effect on firm value.</w:t>
      </w:r>
    </w:p>
    <w:p w14:paraId="617C59DA"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2. </w:t>
      </w:r>
      <w:r w:rsidRPr="007E7CB6">
        <w:rPr>
          <w:rFonts w:ascii="Times New Roman" w:eastAsia="Times New Roman" w:hAnsi="Times New Roman" w:cs="Times New Roman"/>
          <w:b/>
          <w:sz w:val="24"/>
          <w:szCs w:val="24"/>
        </w:rPr>
        <w:tab/>
        <w:t>Carbon Emission Disclosure</w:t>
      </w:r>
    </w:p>
    <w:p w14:paraId="7A8FF707"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 carbon emission disclosure variable has a regression coefficient value of 0.129. This indicates that a 1-unit increase in carbon emission disclosure </w:t>
      </w:r>
      <w:r w:rsidRPr="007E7CB6">
        <w:rPr>
          <w:rFonts w:ascii="Times New Roman" w:eastAsia="Times New Roman" w:hAnsi="Times New Roman" w:cs="Times New Roman"/>
          <w:sz w:val="24"/>
          <w:szCs w:val="24"/>
        </w:rPr>
        <w:lastRenderedPageBreak/>
        <w:t>will increase firm value by 0.129 units, assuming other variables remain constant. In other words, CED has a positive effect on firm value.</w:t>
      </w:r>
    </w:p>
    <w:p w14:paraId="0004CAE6"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3. </w:t>
      </w:r>
      <w:r w:rsidRPr="007E7CB6">
        <w:rPr>
          <w:rFonts w:ascii="Times New Roman" w:eastAsia="Times New Roman" w:hAnsi="Times New Roman" w:cs="Times New Roman"/>
          <w:b/>
          <w:sz w:val="24"/>
          <w:szCs w:val="24"/>
        </w:rPr>
        <w:tab/>
        <w:t>Green Capital Structure</w:t>
      </w:r>
    </w:p>
    <w:p w14:paraId="3B1EA41F" w14:textId="10B73EE4" w:rsidR="00153781" w:rsidRPr="007E7CB6" w:rsidRDefault="00000000" w:rsidP="00C95D6F">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environmental-based social responsibility variable has a coefficient value of 29.999, indicating a positive effect on firm value. This means that every 1-unit increase in GCS is estimated to increase firm value by 29.999 units.</w:t>
      </w:r>
    </w:p>
    <w:p w14:paraId="218AFA9A" w14:textId="77777777" w:rsidR="00153781" w:rsidRPr="007E7CB6" w:rsidRDefault="00000000">
      <w:pPr>
        <w:spacing w:line="480" w:lineRule="auto"/>
        <w:ind w:left="720" w:hanging="360"/>
        <w:jc w:val="both"/>
        <w:rPr>
          <w:rFonts w:ascii="Times New Roman" w:eastAsia="Times New Roman" w:hAnsi="Times New Roman" w:cs="Times New Roman"/>
          <w:sz w:val="24"/>
          <w:szCs w:val="24"/>
        </w:rPr>
      </w:pPr>
      <w:r w:rsidRPr="007E7CB6">
        <w:rPr>
          <w:rFonts w:ascii="Times New Roman" w:eastAsia="Times New Roman" w:hAnsi="Times New Roman" w:cs="Times New Roman"/>
          <w:b/>
          <w:sz w:val="24"/>
          <w:szCs w:val="24"/>
        </w:rPr>
        <w:t>4.  Green Intellectual Capital in Moderating Green Accounting on Firm Value</w:t>
      </w:r>
    </w:p>
    <w:p w14:paraId="6BBCA868"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interaction between green accounting and green intellectual capital has a regression coefficient value of 45.058. This shows that green intellectual capital strengthens the effect of green accounting on firm value by 45.058, although its significance value (Sig. = 0.376) indicates that it is not significant.</w:t>
      </w:r>
    </w:p>
    <w:p w14:paraId="3F957C0B" w14:textId="77777777" w:rsidR="00153781" w:rsidRPr="007E7CB6" w:rsidRDefault="00000000">
      <w:pPr>
        <w:spacing w:line="480" w:lineRule="auto"/>
        <w:ind w:left="720" w:hanging="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5.  Green Intellectual Capital in moderating Carbon Emission Disclosure on Firm Value</w:t>
      </w:r>
    </w:p>
    <w:p w14:paraId="64C478F4"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interaction between carbon emission disclosure and green intellectual capital has a regression coefficient value of -1.075. This means that every 1 unit increase in this interaction actually decreases firm value by 1.075, with other variables held constant. This interaction is significant (Sig. &lt; 0.001), so that green intellectual capital moderates the relationship between CED and firm value.</w:t>
      </w:r>
    </w:p>
    <w:p w14:paraId="60610301" w14:textId="77777777" w:rsidR="00153781" w:rsidRPr="007E7CB6" w:rsidRDefault="00000000">
      <w:pPr>
        <w:spacing w:line="480" w:lineRule="auto"/>
        <w:ind w:left="720" w:hanging="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lastRenderedPageBreak/>
        <w:t>6.  Green Intellectual Capital in moderating Green Capital Structure on Firm Value</w:t>
      </w:r>
    </w:p>
    <w:p w14:paraId="04BD1974"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interaction between green capital structure and green intellectual capital has a regression coefficient of -62.230. This indicates that an increase in this interaction will actually decrease firm value by 62.230 units, with other variables held constant. However, the significance value of 0.834 &gt; 0.05, which means it is not significant.</w:t>
      </w:r>
    </w:p>
    <w:p w14:paraId="658633AE" w14:textId="60F4661A" w:rsidR="00153781" w:rsidRPr="007E7CB6" w:rsidRDefault="00000000">
      <w:pPr>
        <w:pStyle w:val="Heading3"/>
        <w:spacing w:before="0" w:after="0" w:line="480" w:lineRule="auto"/>
        <w:rPr>
          <w:rFonts w:ascii="Times New Roman" w:eastAsia="Times New Roman" w:hAnsi="Times New Roman" w:cs="Times New Roman"/>
          <w:b/>
          <w:color w:val="000000"/>
          <w:sz w:val="24"/>
          <w:szCs w:val="24"/>
        </w:rPr>
      </w:pPr>
      <w:bookmarkStart w:id="131" w:name="_Toc210744260"/>
      <w:r w:rsidRPr="007E7CB6">
        <w:rPr>
          <w:rFonts w:ascii="Times New Roman" w:eastAsia="Times New Roman" w:hAnsi="Times New Roman" w:cs="Times New Roman"/>
          <w:b/>
          <w:color w:val="000000"/>
          <w:sz w:val="24"/>
          <w:szCs w:val="24"/>
        </w:rPr>
        <w:t xml:space="preserve">4.2.6 </w:t>
      </w:r>
      <w:r w:rsidRPr="007E7CB6">
        <w:rPr>
          <w:rFonts w:ascii="Times New Roman" w:eastAsia="Times New Roman" w:hAnsi="Times New Roman" w:cs="Times New Roman"/>
          <w:b/>
          <w:color w:val="000000"/>
          <w:sz w:val="24"/>
          <w:szCs w:val="24"/>
        </w:rPr>
        <w:tab/>
        <w:t>Hypothesis Test (t Test)</w:t>
      </w:r>
      <w:bookmarkEnd w:id="131"/>
    </w:p>
    <w:p w14:paraId="6879916B" w14:textId="5B2AA9C6" w:rsidR="00153781" w:rsidRPr="007E7CB6" w:rsidRDefault="00C95D6F" w:rsidP="00C95D6F">
      <w:pPr>
        <w:spacing w:line="480" w:lineRule="auto"/>
        <w:jc w:val="both"/>
        <w:rPr>
          <w:rFonts w:ascii="Times New Roman" w:hAnsi="Times New Roman" w:cs="Times New Roman"/>
        </w:rPr>
      </w:pPr>
      <w:r w:rsidRPr="007E7CB6">
        <w:rPr>
          <w:rFonts w:ascii="Times New Roman" w:hAnsi="Times New Roman" w:cs="Times New Roman"/>
          <w:sz w:val="24"/>
          <w:szCs w:val="24"/>
        </w:rPr>
        <w:tab/>
      </w:r>
      <w:r w:rsidRPr="007E7CB6">
        <w:rPr>
          <w:rFonts w:ascii="Times New Roman" w:hAnsi="Times New Roman" w:cs="Times New Roman"/>
          <w:color w:val="000000" w:themeColor="text1"/>
          <w:sz w:val="24"/>
          <w:szCs w:val="24"/>
        </w:rPr>
        <w:t>The t-test is used to test the partial effect of each independent variable on the dependent variable on the dependent variable (Firm Value), assuming that other variables are held constant with decision making criteria. If the Sig. (p-value) &lt;0.05, then the independent variable has a significant effect on the dependent variable and if the Sig. value (p-value) &gt;0.05, then the independent variable has no significant effect.</w:t>
      </w:r>
    </w:p>
    <w:p w14:paraId="1ACCB5B4" w14:textId="38A4752F" w:rsidR="00153781" w:rsidRPr="007E7CB6" w:rsidRDefault="00C95D6F" w:rsidP="006B7C4E">
      <w:pPr>
        <w:pStyle w:val="Caption"/>
        <w:spacing w:after="0" w:line="480" w:lineRule="auto"/>
        <w:rPr>
          <w:rFonts w:ascii="Times New Roman" w:eastAsia="Times New Roman" w:hAnsi="Times New Roman" w:cs="Times New Roman"/>
          <w:b/>
          <w:color w:val="FFFFFF"/>
          <w:sz w:val="24"/>
          <w:szCs w:val="24"/>
        </w:rPr>
      </w:pPr>
      <w:bookmarkStart w:id="132" w:name="_Toc209703374"/>
      <w:r w:rsidRPr="007E7CB6">
        <w:rPr>
          <w:rFonts w:ascii="Times New Roman" w:hAnsi="Times New Roman" w:cs="Times New Roman"/>
          <w:b/>
          <w:bCs/>
          <w:i w:val="0"/>
          <w:iCs w:val="0"/>
          <w:color w:val="000000" w:themeColor="text1"/>
          <w:sz w:val="24"/>
          <w:szCs w:val="24"/>
        </w:rPr>
        <w:t xml:space="preserve">Table 4.9 Hypothesis Test </w:t>
      </w:r>
      <w:r w:rsidR="006B7C4E" w:rsidRPr="007E7CB6">
        <w:rPr>
          <w:rFonts w:ascii="Times New Roman" w:hAnsi="Times New Roman" w:cs="Times New Roman"/>
          <w:b/>
          <w:bCs/>
          <w:i w:val="0"/>
          <w:iCs w:val="0"/>
          <w:color w:val="000000" w:themeColor="text1"/>
          <w:sz w:val="24"/>
          <w:szCs w:val="24"/>
        </w:rPr>
        <w:t>Model 1</w:t>
      </w:r>
      <w:r w:rsidRPr="007E7CB6">
        <w:rPr>
          <w:rFonts w:ascii="Times New Roman" w:hAnsi="Times New Roman" w:cs="Times New Roman"/>
          <w:b/>
          <w:bCs/>
          <w:i w:val="0"/>
          <w:iCs w:val="0"/>
          <w:color w:val="000000" w:themeColor="text1"/>
          <w:sz w:val="24"/>
          <w:szCs w:val="24"/>
        </w:rPr>
        <w:t xml:space="preserve">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16</w:t>
      </w:r>
      <w:r w:rsidRPr="007E7CB6">
        <w:rPr>
          <w:rFonts w:ascii="Times New Roman" w:hAnsi="Times New Roman" w:cs="Times New Roman"/>
          <w:b/>
          <w:bCs/>
          <w:i w:val="0"/>
          <w:iCs w:val="0"/>
          <w:color w:val="FFFFFF" w:themeColor="background1"/>
          <w:sz w:val="24"/>
          <w:szCs w:val="24"/>
        </w:rPr>
        <w:fldChar w:fldCharType="end"/>
      </w:r>
      <w:r w:rsidRPr="007E7CB6">
        <w:rPr>
          <w:rFonts w:ascii="Times New Roman" w:eastAsia="Times New Roman" w:hAnsi="Times New Roman" w:cs="Times New Roman"/>
          <w:b/>
          <w:i w:val="0"/>
          <w:color w:val="FFFFFF"/>
          <w:sz w:val="24"/>
          <w:szCs w:val="24"/>
        </w:rPr>
        <w:t xml:space="preserve"> 16</w:t>
      </w:r>
      <w:bookmarkEnd w:id="132"/>
    </w:p>
    <w:tbl>
      <w:tblPr>
        <w:tblStyle w:val="afa"/>
        <w:tblW w:w="7927" w:type="dxa"/>
        <w:tblLayout w:type="fixed"/>
        <w:tblLook w:val="0400" w:firstRow="0" w:lastRow="0" w:firstColumn="0" w:lastColumn="0" w:noHBand="0" w:noVBand="1"/>
      </w:tblPr>
      <w:tblGrid>
        <w:gridCol w:w="409"/>
        <w:gridCol w:w="1355"/>
        <w:gridCol w:w="997"/>
        <w:gridCol w:w="1396"/>
        <w:gridCol w:w="1953"/>
        <w:gridCol w:w="910"/>
        <w:gridCol w:w="907"/>
      </w:tblGrid>
      <w:tr w:rsidR="00153781" w:rsidRPr="007E7CB6" w14:paraId="12C87757" w14:textId="77777777">
        <w:trPr>
          <w:trHeight w:val="420"/>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63693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33" w:name="_heading=h.ik307oylzwwj" w:colFirst="0" w:colLast="0"/>
            <w:bookmarkEnd w:id="133"/>
            <w:r w:rsidRPr="007E7CB6">
              <w:rPr>
                <w:rFonts w:ascii="Times New Roman" w:eastAsia="Times New Roman" w:hAnsi="Times New Roman" w:cs="Times New Roman"/>
                <w:b/>
                <w:sz w:val="24"/>
                <w:szCs w:val="24"/>
              </w:rPr>
              <w:t>Coefficients</w:t>
            </w:r>
          </w:p>
        </w:tc>
      </w:tr>
      <w:tr w:rsidR="00153781" w:rsidRPr="007E7CB6" w14:paraId="2233D176" w14:textId="77777777">
        <w:trPr>
          <w:trHeight w:val="379"/>
        </w:trPr>
        <w:tc>
          <w:tcPr>
            <w:tcW w:w="1764"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2F9710F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393"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2645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12A1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c>
          <w:tcPr>
            <w:tcW w:w="910"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72377F5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t</w:t>
            </w:r>
          </w:p>
        </w:tc>
        <w:tc>
          <w:tcPr>
            <w:tcW w:w="907"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561C995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5A187525" w14:textId="77777777">
        <w:trPr>
          <w:trHeight w:val="49"/>
        </w:trPr>
        <w:tc>
          <w:tcPr>
            <w:tcW w:w="1764"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38F7657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FBAE7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3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1D6B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6F42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c>
          <w:tcPr>
            <w:tcW w:w="910"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1D80AB66"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907"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C3C230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153781" w:rsidRPr="007E7CB6" w14:paraId="7D704547" w14:textId="77777777">
        <w:trPr>
          <w:trHeight w:val="20"/>
        </w:trPr>
        <w:tc>
          <w:tcPr>
            <w:tcW w:w="409"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7752EFD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C9194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4DB759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0.248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239D4B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0.075</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FA1CA7E"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CE21A1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3.314</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90FC7C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0.002</w:t>
            </w:r>
          </w:p>
        </w:tc>
      </w:tr>
      <w:tr w:rsidR="00153781" w:rsidRPr="007E7CB6" w14:paraId="13A9304D"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571EBE2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711C9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B63429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15.352</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9FF9F3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2.563</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E8B9F2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0.596</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D6662E7"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5.989</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BED24CA"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&lt;0.001</w:t>
            </w:r>
          </w:p>
        </w:tc>
      </w:tr>
      <w:tr w:rsidR="00153781" w:rsidRPr="007E7CB6" w14:paraId="0E561129" w14:textId="77777777">
        <w:trPr>
          <w:trHeight w:val="10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5CAEC86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4BB7E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BDA8BC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0.129</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A323FD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4C80B6D"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0.119</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6B12C9"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1.321</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BBCA014"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0.191</w:t>
            </w:r>
          </w:p>
        </w:tc>
      </w:tr>
      <w:tr w:rsidR="00153781" w:rsidRPr="007E7CB6" w14:paraId="0B403069"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6DD08F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DD8F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069C23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29.999</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44C982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12..988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9774BF8"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0.230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0AA4BED"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2.310</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02F8CFB"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0.024</w:t>
            </w:r>
          </w:p>
        </w:tc>
      </w:tr>
      <w:tr w:rsidR="00153781" w:rsidRPr="007E7CB6" w14:paraId="35081119" w14:textId="77777777">
        <w:trPr>
          <w:trHeight w:val="172"/>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DDA9A"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Dependent Variable: Firm Value</w:t>
            </w:r>
          </w:p>
        </w:tc>
      </w:tr>
    </w:tbl>
    <w:p w14:paraId="1184CD0B"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w:t>
      </w:r>
      <w:r w:rsidRPr="007E7CB6">
        <w:rPr>
          <w:rFonts w:ascii="Times New Roman" w:eastAsia="Times New Roman" w:hAnsi="Times New Roman" w:cs="Times New Roman"/>
          <w:i/>
          <w:color w:val="000000"/>
        </w:rPr>
        <w:t xml:space="preserve">rce: Data </w:t>
      </w:r>
      <w:r w:rsidRPr="007E7CB6">
        <w:rPr>
          <w:rFonts w:ascii="Times New Roman" w:eastAsia="Times New Roman" w:hAnsi="Times New Roman" w:cs="Times New Roman"/>
          <w:i/>
        </w:rPr>
        <w:t xml:space="preserve">processed by </w:t>
      </w:r>
      <w:r w:rsidRPr="007E7CB6">
        <w:rPr>
          <w:rFonts w:ascii="Times New Roman" w:eastAsia="Times New Roman" w:hAnsi="Times New Roman" w:cs="Times New Roman"/>
          <w:i/>
          <w:color w:val="000000"/>
        </w:rPr>
        <w:t>SPSS 30, 2025</w:t>
      </w:r>
    </w:p>
    <w:p w14:paraId="2EBAD41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Based on the results of the t-test for model 1 in Table 4.9, it is known that:</w:t>
      </w:r>
    </w:p>
    <w:p w14:paraId="08C34093" w14:textId="7543EAF1" w:rsidR="006B7C4E" w:rsidRPr="007E7CB6" w:rsidRDefault="00000000">
      <w:pPr>
        <w:spacing w:line="480" w:lineRule="auto"/>
        <w:ind w:left="720" w:hanging="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1. </w:t>
      </w:r>
      <w:r w:rsidRPr="007E7CB6">
        <w:rPr>
          <w:rFonts w:ascii="Times New Roman" w:eastAsia="Times New Roman" w:hAnsi="Times New Roman" w:cs="Times New Roman"/>
          <w:b/>
          <w:bCs/>
          <w:sz w:val="24"/>
          <w:szCs w:val="24"/>
        </w:rPr>
        <w:tab/>
      </w:r>
      <w:r w:rsidR="006B7C4E" w:rsidRPr="007E7CB6">
        <w:rPr>
          <w:rFonts w:ascii="Times New Roman" w:eastAsia="Times New Roman" w:hAnsi="Times New Roman" w:cs="Times New Roman"/>
          <w:b/>
          <w:bCs/>
          <w:sz w:val="24"/>
          <w:szCs w:val="24"/>
        </w:rPr>
        <w:t>Green Accounting</w:t>
      </w:r>
    </w:p>
    <w:p w14:paraId="50687AC8" w14:textId="18684E79" w:rsidR="00153781" w:rsidRPr="007E7CB6" w:rsidRDefault="00C95EB8" w:rsidP="006B7C4E">
      <w:pPr>
        <w:spacing w:line="480" w:lineRule="auto"/>
        <w:ind w:left="720" w:hanging="11"/>
        <w:jc w:val="both"/>
        <w:rPr>
          <w:rFonts w:ascii="Times New Roman" w:eastAsia="Times New Roman" w:hAnsi="Times New Roman" w:cs="Times New Roman"/>
          <w:sz w:val="24"/>
          <w:szCs w:val="24"/>
        </w:rPr>
      </w:pPr>
      <w:r w:rsidRPr="00C95EB8">
        <w:rPr>
          <w:rFonts w:ascii="Times New Roman" w:eastAsia="Times New Roman" w:hAnsi="Times New Roman" w:cs="Times New Roman"/>
          <w:sz w:val="24"/>
          <w:szCs w:val="24"/>
        </w:rPr>
        <w:t>Green accounting has a positive and significant effect on firm value,</w:t>
      </w:r>
      <w:r>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The green accounting variable has a significance value of &lt; 0.001, which is smaller than the significance level of 0.05. This indicates that green accounting has a significant effect on firm value. The B coefficient value is 15.352 and is positive, which means that the higher the green accounting practices carried out by the company, the higher the firm value.</w:t>
      </w:r>
    </w:p>
    <w:p w14:paraId="35B21672" w14:textId="7FB5B9A9" w:rsidR="006B7C4E" w:rsidRPr="007E7CB6" w:rsidRDefault="00000000">
      <w:pPr>
        <w:spacing w:line="480" w:lineRule="auto"/>
        <w:ind w:left="720" w:hanging="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2. </w:t>
      </w:r>
      <w:r w:rsidRPr="007E7CB6">
        <w:rPr>
          <w:rFonts w:ascii="Times New Roman" w:eastAsia="Times New Roman" w:hAnsi="Times New Roman" w:cs="Times New Roman"/>
          <w:b/>
          <w:bCs/>
          <w:sz w:val="24"/>
          <w:szCs w:val="24"/>
        </w:rPr>
        <w:tab/>
      </w:r>
      <w:r w:rsidR="006B7C4E" w:rsidRPr="007E7CB6">
        <w:rPr>
          <w:rFonts w:ascii="Times New Roman" w:eastAsia="Times New Roman" w:hAnsi="Times New Roman" w:cs="Times New Roman"/>
          <w:b/>
          <w:bCs/>
          <w:sz w:val="24"/>
          <w:szCs w:val="24"/>
        </w:rPr>
        <w:t>Carbon Emission Disclosure</w:t>
      </w:r>
    </w:p>
    <w:p w14:paraId="533B3C79" w14:textId="306D8462" w:rsidR="00153781" w:rsidRPr="007E7CB6" w:rsidRDefault="00C95EB8" w:rsidP="006B7C4E">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C95EB8">
        <w:rPr>
          <w:rFonts w:ascii="Times New Roman" w:eastAsia="Times New Roman" w:hAnsi="Times New Roman" w:cs="Times New Roman"/>
          <w:sz w:val="24"/>
          <w:szCs w:val="24"/>
        </w:rPr>
        <w:t>arbon emission disclosure has a positive and insignificant effect on firm value</w:t>
      </w:r>
      <w:r>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The carbon emission disclosure variable has a significance value of 0.191, which is greater than 0.05. Therefore, it can be concluded that carbon emission disclosure does not have a significant effect on firm value. Although the B coefficient value of 0.129 indicates a positive direction of influence, the effect is not statistically significant.</w:t>
      </w:r>
    </w:p>
    <w:p w14:paraId="134A0794" w14:textId="350351D2" w:rsidR="006B7C4E" w:rsidRPr="007E7CB6" w:rsidRDefault="00000000">
      <w:pPr>
        <w:spacing w:line="480" w:lineRule="auto"/>
        <w:ind w:left="720" w:hanging="360"/>
        <w:jc w:val="both"/>
        <w:rPr>
          <w:rFonts w:ascii="Times New Roman" w:eastAsia="Times New Roman" w:hAnsi="Times New Roman" w:cs="Times New Roman"/>
          <w:b/>
          <w:bCs/>
          <w:sz w:val="24"/>
          <w:szCs w:val="24"/>
        </w:rPr>
      </w:pPr>
      <w:r w:rsidRPr="007E7CB6">
        <w:rPr>
          <w:rFonts w:ascii="Times New Roman" w:eastAsia="Times New Roman" w:hAnsi="Times New Roman" w:cs="Times New Roman"/>
          <w:b/>
          <w:bCs/>
          <w:sz w:val="24"/>
          <w:szCs w:val="24"/>
        </w:rPr>
        <w:t xml:space="preserve">3. </w:t>
      </w:r>
      <w:r w:rsidRPr="007E7CB6">
        <w:rPr>
          <w:rFonts w:ascii="Times New Roman" w:eastAsia="Times New Roman" w:hAnsi="Times New Roman" w:cs="Times New Roman"/>
          <w:b/>
          <w:bCs/>
          <w:sz w:val="24"/>
          <w:szCs w:val="24"/>
        </w:rPr>
        <w:tab/>
      </w:r>
      <w:r w:rsidR="006B7C4E" w:rsidRPr="007E7CB6">
        <w:rPr>
          <w:rFonts w:ascii="Times New Roman" w:eastAsia="Times New Roman" w:hAnsi="Times New Roman" w:cs="Times New Roman"/>
          <w:b/>
          <w:bCs/>
          <w:sz w:val="24"/>
          <w:szCs w:val="24"/>
        </w:rPr>
        <w:t>Green Capital Structure</w:t>
      </w:r>
    </w:p>
    <w:p w14:paraId="228BC46D" w14:textId="43457463" w:rsidR="00153781" w:rsidRPr="007E7CB6" w:rsidRDefault="00C95EB8" w:rsidP="006B7C4E">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C95EB8">
        <w:rPr>
          <w:rFonts w:ascii="Times New Roman" w:eastAsia="Times New Roman" w:hAnsi="Times New Roman" w:cs="Times New Roman"/>
          <w:sz w:val="24"/>
          <w:szCs w:val="24"/>
        </w:rPr>
        <w:t>reen capital structure has a positive and significant effect on firm val</w:t>
      </w:r>
      <w:r>
        <w:rPr>
          <w:rFonts w:ascii="Times New Roman" w:eastAsia="Times New Roman" w:hAnsi="Times New Roman" w:cs="Times New Roman"/>
          <w:sz w:val="24"/>
          <w:szCs w:val="24"/>
        </w:rPr>
        <w:t xml:space="preserve">ue. </w:t>
      </w:r>
      <w:r w:rsidRPr="007E7CB6">
        <w:rPr>
          <w:rFonts w:ascii="Times New Roman" w:eastAsia="Times New Roman" w:hAnsi="Times New Roman" w:cs="Times New Roman"/>
          <w:sz w:val="24"/>
          <w:szCs w:val="24"/>
        </w:rPr>
        <w:t>The green capital structure variable has a significance value of 0.024, which is less than 0.05. This indicates that green capital structure has a significant effect on firm value. The B coefficient is 29.999 and has a positive value, which means that the higher the proportion of a company's green capital structure, the higher the company's value tends to be.</w:t>
      </w:r>
    </w:p>
    <w:p w14:paraId="77010B91" w14:textId="77777777" w:rsidR="006B7C4E" w:rsidRPr="007E7CB6" w:rsidRDefault="006B7C4E" w:rsidP="00C95EB8">
      <w:pPr>
        <w:spacing w:line="480" w:lineRule="auto"/>
        <w:jc w:val="both"/>
        <w:rPr>
          <w:rFonts w:ascii="Times New Roman" w:eastAsia="Times New Roman" w:hAnsi="Times New Roman" w:cs="Times New Roman"/>
          <w:sz w:val="24"/>
          <w:szCs w:val="24"/>
        </w:rPr>
      </w:pPr>
    </w:p>
    <w:p w14:paraId="66FB5499" w14:textId="0504B45D" w:rsidR="00153781" w:rsidRPr="007E7CB6" w:rsidRDefault="006B7C4E" w:rsidP="006B7C4E">
      <w:pPr>
        <w:pStyle w:val="Caption"/>
        <w:spacing w:after="0" w:line="480" w:lineRule="auto"/>
        <w:rPr>
          <w:rFonts w:ascii="Times New Roman" w:eastAsia="Times New Roman" w:hAnsi="Times New Roman" w:cs="Times New Roman"/>
          <w:b/>
          <w:color w:val="FFFFFF"/>
          <w:sz w:val="24"/>
          <w:szCs w:val="24"/>
        </w:rPr>
      </w:pPr>
      <w:bookmarkStart w:id="134" w:name="_Toc209703375"/>
      <w:r w:rsidRPr="007E7CB6">
        <w:rPr>
          <w:rFonts w:ascii="Times New Roman" w:hAnsi="Times New Roman" w:cs="Times New Roman"/>
          <w:b/>
          <w:bCs/>
          <w:i w:val="0"/>
          <w:iCs w:val="0"/>
          <w:color w:val="000000" w:themeColor="text1"/>
          <w:sz w:val="24"/>
          <w:szCs w:val="24"/>
        </w:rPr>
        <w:lastRenderedPageBreak/>
        <w:t xml:space="preserve">Table 4.10 Hypothesis Test Model 2 </w:t>
      </w:r>
      <w:r w:rsidRPr="007E7CB6">
        <w:rPr>
          <w:rFonts w:ascii="Times New Roman" w:hAnsi="Times New Roman" w:cs="Times New Roman"/>
          <w:b/>
          <w:bCs/>
          <w:i w:val="0"/>
          <w:iCs w:val="0"/>
          <w:color w:val="FFFFFF" w:themeColor="background1"/>
          <w:sz w:val="24"/>
          <w:szCs w:val="24"/>
        </w:rPr>
        <w:fldChar w:fldCharType="begin"/>
      </w:r>
      <w:r w:rsidRPr="007E7CB6">
        <w:rPr>
          <w:rFonts w:ascii="Times New Roman" w:hAnsi="Times New Roman" w:cs="Times New Roman"/>
          <w:b/>
          <w:bCs/>
          <w:i w:val="0"/>
          <w:iCs w:val="0"/>
          <w:color w:val="FFFFFF" w:themeColor="background1"/>
          <w:sz w:val="24"/>
          <w:szCs w:val="24"/>
        </w:rPr>
        <w:instrText xml:space="preserve"> SEQ Table \* ARABIC </w:instrText>
      </w:r>
      <w:r w:rsidRPr="007E7CB6">
        <w:rPr>
          <w:rFonts w:ascii="Times New Roman" w:hAnsi="Times New Roman" w:cs="Times New Roman"/>
          <w:b/>
          <w:bCs/>
          <w:i w:val="0"/>
          <w:iCs w:val="0"/>
          <w:color w:val="FFFFFF" w:themeColor="background1"/>
          <w:sz w:val="24"/>
          <w:szCs w:val="24"/>
        </w:rPr>
        <w:fldChar w:fldCharType="separate"/>
      </w:r>
      <w:r w:rsidR="00FD5B7D">
        <w:rPr>
          <w:rFonts w:ascii="Times New Roman" w:hAnsi="Times New Roman" w:cs="Times New Roman"/>
          <w:b/>
          <w:bCs/>
          <w:i w:val="0"/>
          <w:iCs w:val="0"/>
          <w:noProof/>
          <w:color w:val="FFFFFF" w:themeColor="background1"/>
          <w:sz w:val="24"/>
          <w:szCs w:val="24"/>
        </w:rPr>
        <w:t>17</w:t>
      </w:r>
      <w:r w:rsidRPr="007E7CB6">
        <w:rPr>
          <w:rFonts w:ascii="Times New Roman" w:hAnsi="Times New Roman" w:cs="Times New Roman"/>
          <w:b/>
          <w:bCs/>
          <w:i w:val="0"/>
          <w:iCs w:val="0"/>
          <w:color w:val="FFFFFF" w:themeColor="background1"/>
          <w:sz w:val="24"/>
          <w:szCs w:val="24"/>
        </w:rPr>
        <w:fldChar w:fldCharType="end"/>
      </w:r>
      <w:r w:rsidRPr="007E7CB6">
        <w:rPr>
          <w:rFonts w:ascii="Times New Roman" w:eastAsia="Times New Roman" w:hAnsi="Times New Roman" w:cs="Times New Roman"/>
          <w:b/>
          <w:i w:val="0"/>
          <w:color w:val="FFFFFF"/>
          <w:sz w:val="24"/>
          <w:szCs w:val="24"/>
        </w:rPr>
        <w:t>Table 17</w:t>
      </w:r>
      <w:bookmarkEnd w:id="134"/>
    </w:p>
    <w:tbl>
      <w:tblPr>
        <w:tblStyle w:val="afb"/>
        <w:tblW w:w="7927" w:type="dxa"/>
        <w:tblLayout w:type="fixed"/>
        <w:tblLook w:val="0400" w:firstRow="0" w:lastRow="0" w:firstColumn="0" w:lastColumn="0" w:noHBand="0" w:noVBand="1"/>
      </w:tblPr>
      <w:tblGrid>
        <w:gridCol w:w="409"/>
        <w:gridCol w:w="1355"/>
        <w:gridCol w:w="997"/>
        <w:gridCol w:w="1396"/>
        <w:gridCol w:w="1953"/>
        <w:gridCol w:w="910"/>
        <w:gridCol w:w="907"/>
      </w:tblGrid>
      <w:tr w:rsidR="00153781" w:rsidRPr="007E7CB6" w14:paraId="5FB96975" w14:textId="77777777">
        <w:trPr>
          <w:trHeight w:val="420"/>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2E96AF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sz w:val="24"/>
                <w:szCs w:val="24"/>
              </w:rPr>
              <w:t>Coefficients</w:t>
            </w:r>
          </w:p>
        </w:tc>
      </w:tr>
      <w:tr w:rsidR="00153781" w:rsidRPr="007E7CB6" w14:paraId="182111E5" w14:textId="77777777">
        <w:trPr>
          <w:trHeight w:val="379"/>
        </w:trPr>
        <w:tc>
          <w:tcPr>
            <w:tcW w:w="1764"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70FA4A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393"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2BFA1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5843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c>
          <w:tcPr>
            <w:tcW w:w="910"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324E1F9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t</w:t>
            </w:r>
          </w:p>
        </w:tc>
        <w:tc>
          <w:tcPr>
            <w:tcW w:w="907"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7A1F26D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6AF5644F" w14:textId="77777777">
        <w:trPr>
          <w:trHeight w:val="49"/>
        </w:trPr>
        <w:tc>
          <w:tcPr>
            <w:tcW w:w="1764"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7B83C4F"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EE6C6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3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2879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948B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c>
          <w:tcPr>
            <w:tcW w:w="910"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09C835B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907"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0C1195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153781" w:rsidRPr="007E7CB6" w14:paraId="3FA84DF8" w14:textId="77777777">
        <w:trPr>
          <w:trHeight w:val="20"/>
        </w:trPr>
        <w:tc>
          <w:tcPr>
            <w:tcW w:w="409"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63161EC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A7069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B5A4D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F81332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A944CB7"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64FD16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1.601</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F2092B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0.115</w:t>
            </w:r>
          </w:p>
        </w:tc>
      </w:tr>
      <w:tr w:rsidR="00153781" w:rsidRPr="007E7CB6" w14:paraId="0DE87107"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36C3E96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CF04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AF9A20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-15.436</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5CB1F5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33.922</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C7E639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-0.599</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7BF4B8E"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-0.455</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0C26D51"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0.651</w:t>
            </w:r>
          </w:p>
        </w:tc>
      </w:tr>
      <w:tr w:rsidR="00153781" w:rsidRPr="007E7CB6" w14:paraId="0E438DF8" w14:textId="77777777">
        <w:trPr>
          <w:trHeight w:val="10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2944E0A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6B289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401962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1.044</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BEA39D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0.252</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3B91D9B"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0.964</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FB1A7F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4.146</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D8479DA"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&lt;0.001</w:t>
            </w:r>
          </w:p>
        </w:tc>
      </w:tr>
      <w:tr w:rsidR="00153781" w:rsidRPr="007E7CB6" w14:paraId="636FF91E"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50AA1A9D"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BE9B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1D2659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72.341</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F90A76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202.116</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B72E7D2"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0.555</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2342F32"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0.358</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70344B7"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0.722</w:t>
            </w:r>
          </w:p>
        </w:tc>
      </w:tr>
      <w:tr w:rsidR="00153781" w:rsidRPr="007E7CB6" w14:paraId="6160053A"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59B4EF8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6030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X1M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7BE2BF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45.058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5A933B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50.509</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732BC6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1.177</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07317C9"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0.892</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A64355D"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0.376</w:t>
            </w:r>
          </w:p>
        </w:tc>
      </w:tr>
      <w:tr w:rsidR="00153781" w:rsidRPr="007E7CB6" w14:paraId="6BE7D19A"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3BB5771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A73C5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X2M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9C3E22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-1.075</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AC6C8C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0.305</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71079D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-0.991</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E2006C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-3.531</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DAFCA1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&lt;0.001</w:t>
            </w:r>
          </w:p>
        </w:tc>
      </w:tr>
      <w:tr w:rsidR="00153781" w:rsidRPr="007E7CB6" w14:paraId="05935560" w14:textId="77777777">
        <w:trPr>
          <w:trHeight w:val="20"/>
        </w:trPr>
        <w:tc>
          <w:tcPr>
            <w:tcW w:w="409"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37610292"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C7E2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X3M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7711D6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-62.230</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980B8F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295.648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A452524"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-0.328</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9AE9325"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-0.210</w:t>
            </w:r>
          </w:p>
        </w:tc>
        <w:tc>
          <w:tcPr>
            <w:tcW w:w="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94FCDB3"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0.834</w:t>
            </w:r>
          </w:p>
        </w:tc>
      </w:tr>
      <w:tr w:rsidR="00153781" w:rsidRPr="007E7CB6" w14:paraId="0A594CBC" w14:textId="77777777">
        <w:trPr>
          <w:trHeight w:val="172"/>
        </w:trPr>
        <w:tc>
          <w:tcPr>
            <w:tcW w:w="792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3EF568"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Dependent Variable: Firm Value</w:t>
            </w:r>
          </w:p>
        </w:tc>
      </w:tr>
    </w:tbl>
    <w:p w14:paraId="1EE17362" w14:textId="77777777" w:rsidR="00153781" w:rsidRPr="007E7CB6" w:rsidRDefault="0000000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rPr>
        <w:t>S</w:t>
      </w:r>
      <w:r w:rsidRPr="007E7CB6">
        <w:rPr>
          <w:rFonts w:ascii="Times New Roman" w:eastAsia="Times New Roman" w:hAnsi="Times New Roman" w:cs="Times New Roman"/>
          <w:i/>
        </w:rPr>
        <w:t>ource:</w:t>
      </w:r>
      <w:r w:rsidRPr="007E7CB6">
        <w:rPr>
          <w:rFonts w:ascii="Times New Roman" w:eastAsia="Times New Roman" w:hAnsi="Times New Roman" w:cs="Times New Roman"/>
          <w:i/>
          <w:color w:val="000000"/>
        </w:rPr>
        <w:t xml:space="preserve"> Data</w:t>
      </w:r>
      <w:r w:rsidRPr="007E7CB6">
        <w:rPr>
          <w:rFonts w:ascii="Times New Roman" w:eastAsia="Times New Roman" w:hAnsi="Times New Roman" w:cs="Times New Roman"/>
          <w:i/>
        </w:rPr>
        <w:t xml:space="preserve"> processed by</w:t>
      </w:r>
      <w:r w:rsidRPr="007E7CB6">
        <w:rPr>
          <w:rFonts w:ascii="Times New Roman" w:eastAsia="Times New Roman" w:hAnsi="Times New Roman" w:cs="Times New Roman"/>
          <w:i/>
          <w:color w:val="000000"/>
        </w:rPr>
        <w:t xml:space="preserve"> SPSS 30, 2025</w:t>
      </w:r>
    </w:p>
    <w:p w14:paraId="4A144976"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Moderated Regression Analysis (MRA) was conducted to determine whether the moderating variable, namely Green Intellectual Capital (GIC), was able to moderate the relationship between the independent variables (Green Accounting, Carbon Emission Disclosure, and Green Capital Structure) and the dependent variable, namely Firm Value.</w:t>
      </w:r>
    </w:p>
    <w:p w14:paraId="075320C7" w14:textId="77777777" w:rsidR="00153781" w:rsidRPr="007E7CB6" w:rsidRDefault="00000000">
      <w:p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results of the t-test for model 2 in Table 4.10, it is known that:</w:t>
      </w:r>
    </w:p>
    <w:p w14:paraId="1B1D397A" w14:textId="77777777" w:rsidR="00153781" w:rsidRPr="007E7CB6" w:rsidRDefault="00000000">
      <w:pPr>
        <w:spacing w:line="480" w:lineRule="auto"/>
        <w:ind w:left="720" w:hanging="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1. </w:t>
      </w:r>
      <w:r w:rsidRPr="007E7CB6">
        <w:rPr>
          <w:rFonts w:ascii="Times New Roman" w:eastAsia="Times New Roman" w:hAnsi="Times New Roman" w:cs="Times New Roman"/>
          <w:sz w:val="24"/>
          <w:szCs w:val="24"/>
        </w:rPr>
        <w:tab/>
        <w:t>Green Intellectual Capital cannot moderate the relationship between green accounting and firm value. This is indicated by a significance value (Sig.) of 0.376 &gt; 0.05, which means it is not significant. Thus, green intellectual capital acts as a homologizer moderator or potential moderator.</w:t>
      </w:r>
    </w:p>
    <w:p w14:paraId="4B32C63A" w14:textId="77777777" w:rsidR="00153781" w:rsidRPr="007E7CB6" w:rsidRDefault="00000000">
      <w:pPr>
        <w:spacing w:line="480" w:lineRule="auto"/>
        <w:ind w:left="720" w:hanging="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2.</w:t>
      </w:r>
      <w:r w:rsidRPr="007E7CB6">
        <w:rPr>
          <w:rFonts w:ascii="Times New Roman" w:eastAsia="Times New Roman" w:hAnsi="Times New Roman" w:cs="Times New Roman"/>
          <w:sz w:val="24"/>
          <w:szCs w:val="24"/>
        </w:rPr>
        <w:tab/>
        <w:t>Green Intellectual Capital can moderate the relationship between carbon emission disclosure and firm value. This is indicated by a significance value (Sig.) of &lt;0.001, which means it is significant. Thus, green intellectual capital acts as a pure moderator.</w:t>
      </w:r>
    </w:p>
    <w:p w14:paraId="75EB6ECB" w14:textId="504EE4F1" w:rsidR="00153781" w:rsidRPr="007E7CB6" w:rsidRDefault="00000000">
      <w:pPr>
        <w:spacing w:line="480" w:lineRule="auto"/>
        <w:ind w:left="720" w:hanging="36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3. </w:t>
      </w:r>
      <w:r w:rsidRPr="007E7CB6">
        <w:rPr>
          <w:rFonts w:ascii="Times New Roman" w:eastAsia="Times New Roman" w:hAnsi="Times New Roman" w:cs="Times New Roman"/>
          <w:sz w:val="24"/>
          <w:szCs w:val="24"/>
        </w:rPr>
        <w:tab/>
      </w:r>
      <w:r w:rsidR="00C95EB8">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Green Intellectual Capital cannot moderate the relationship between green capital structure and firm value. This is indicated by a significance value (Sig.) of 0.834 &gt; 0.05, which means it is not significant. Thus, green intellectual capital acts as a homologizer moderator or potential moderator.</w:t>
      </w:r>
    </w:p>
    <w:p w14:paraId="640645C6" w14:textId="77777777" w:rsidR="00153781" w:rsidRPr="007E7CB6" w:rsidRDefault="00000000">
      <w:pPr>
        <w:pStyle w:val="Heading2"/>
        <w:spacing w:line="480" w:lineRule="auto"/>
        <w:rPr>
          <w:rFonts w:ascii="Times New Roman" w:eastAsia="Times New Roman" w:hAnsi="Times New Roman" w:cs="Times New Roman"/>
          <w:b/>
        </w:rPr>
      </w:pPr>
      <w:bookmarkStart w:id="135" w:name="_Toc210744261"/>
      <w:r w:rsidRPr="007E7CB6">
        <w:rPr>
          <w:rFonts w:ascii="Times New Roman" w:eastAsia="Times New Roman" w:hAnsi="Times New Roman" w:cs="Times New Roman"/>
          <w:b/>
          <w:color w:val="000000"/>
          <w:sz w:val="24"/>
          <w:szCs w:val="24"/>
        </w:rPr>
        <w:t>4.3</w:t>
      </w:r>
      <w:r w:rsidRPr="007E7CB6">
        <w:rPr>
          <w:rFonts w:ascii="Times New Roman" w:eastAsia="Times New Roman" w:hAnsi="Times New Roman" w:cs="Times New Roman"/>
          <w:b/>
          <w:color w:val="000000"/>
          <w:sz w:val="24"/>
          <w:szCs w:val="24"/>
        </w:rPr>
        <w:tab/>
      </w:r>
      <w:r w:rsidRPr="007E7CB6">
        <w:rPr>
          <w:rFonts w:ascii="Times New Roman" w:eastAsia="Times New Roman" w:hAnsi="Times New Roman" w:cs="Times New Roman"/>
          <w:b/>
          <w:sz w:val="24"/>
          <w:szCs w:val="24"/>
        </w:rPr>
        <w:t>Explanation of Research Results</w:t>
      </w:r>
      <w:bookmarkEnd w:id="135"/>
    </w:p>
    <w:p w14:paraId="5FAFA9A6" w14:textId="77777777" w:rsidR="00153781" w:rsidRPr="007E7CB6" w:rsidRDefault="00000000">
      <w:pPr>
        <w:pStyle w:val="Heading3"/>
        <w:spacing w:before="0" w:after="0" w:line="480" w:lineRule="auto"/>
        <w:jc w:val="both"/>
        <w:rPr>
          <w:rFonts w:ascii="Times New Roman" w:eastAsia="Times New Roman" w:hAnsi="Times New Roman" w:cs="Times New Roman"/>
          <w:sz w:val="24"/>
          <w:szCs w:val="24"/>
        </w:rPr>
      </w:pPr>
      <w:bookmarkStart w:id="136" w:name="_Toc210744262"/>
      <w:r w:rsidRPr="007E7CB6">
        <w:rPr>
          <w:rFonts w:ascii="Times New Roman" w:eastAsia="Times New Roman" w:hAnsi="Times New Roman" w:cs="Times New Roman"/>
          <w:b/>
          <w:color w:val="000000"/>
          <w:sz w:val="24"/>
          <w:szCs w:val="24"/>
        </w:rPr>
        <w:t>4.3.1.</w:t>
      </w:r>
      <w:r w:rsidRPr="007E7CB6">
        <w:rPr>
          <w:rFonts w:ascii="Times New Roman" w:eastAsia="Times New Roman" w:hAnsi="Times New Roman" w:cs="Times New Roman"/>
          <w:b/>
          <w:color w:val="000000"/>
          <w:sz w:val="24"/>
          <w:szCs w:val="24"/>
        </w:rPr>
        <w:tab/>
        <w:t>The Effect of Green Accounting on Firm Value</w:t>
      </w:r>
      <w:bookmarkEnd w:id="136"/>
    </w:p>
    <w:p w14:paraId="710C34A5"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t-test results in Table 4.9, the t-value for the Green Accounting variable is 5.989 &gt; t-table 1.66235, with a significance value &lt; 0.001 &lt; 0.05. This indicates that Hypothesis 1 (H1) is accepted, so it can be concluded that Green Accounting has a positive and significant effect on firm value.</w:t>
      </w:r>
    </w:p>
    <w:p w14:paraId="7C4C9AF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These results support Legitimacy Theory, which states that corporate sustainability is highly dependent on its ability to operate in accordance with social norms and public expectations. In this context, the application of Green Accounting is one way for companies to demonstrate their environmental responsibility through transparent reporting and measurement of environmental impacts. Thus, companies can build a positive image and gain the trust of investors and other stakeholders, which ultimately increases the company's market value.</w:t>
      </w:r>
    </w:p>
    <w:p w14:paraId="21E3089F"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Based on the research data, most energy companies in the research sample have demonstrated efforts to implement green accounting through recording environmental costs, investing in clean technology, and reporting environmental aspects in their sustainability reports. These companies are also active in responding to demands for transparency from stakeholders, including regulators, investors, and the public, given that the energy sector is one of the industries with the greatest environmental impact. The availability of environmental cost data and emission mitigation activities disclosed in annual reports or sustainability reports shows that companies are beginning to recognize the importance of environmental reporting as part of their business strategy and not merely as a matter of compliance.</w:t>
      </w:r>
    </w:p>
    <w:p w14:paraId="1DCE8977" w14:textId="5685A260"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These findings are in line with research by </w:t>
      </w:r>
      <w:sdt>
        <w:sdtPr>
          <w:rPr>
            <w:rFonts w:ascii="Times New Roman" w:eastAsia="Times New Roman" w:hAnsi="Times New Roman" w:cs="Times New Roman"/>
            <w:color w:val="000000"/>
            <w:sz w:val="24"/>
            <w:szCs w:val="24"/>
          </w:rPr>
          <w:tag w:val="MENDELEY_CITATION_v3_eyJjaXRhdGlvbklEIjoiTUVOREVMRVlfQ0lUQVRJT05fY2I5ZWI2ODctYjlhNi00NDIyLTk0YmQtNjI0ZDkxNWMyMjE4IiwicHJvcGVydGllcyI6eyJub3RlSW5kZXgiOjB9LCJpc0VkaXRlZCI6ZmFsc2UsIm1hbnVhbE92ZXJyaWRlIjp7ImlzTWFudWFsbHlPdmVycmlkZGVuIjpmYWxzZSwiY2l0ZXByb2NUZXh0IjoiKFhpZSBldCBhbC4sIDIwMjIpIiwibWFudWFsT3ZlcnJpZGVUZXh0IjoiIn0sImNpdGF0aW9uSXRlbXMiOlt7ImlkIjoiMDU2ZTU2YjYtZGQ2Yy0zMzllLTljNWYtYjg3ZDhmNzBjYTZjIiwiaXRlbURhdGEiOnsidHlwZSI6ImFydGljbGUtam91cm5hbCIsImlkIjoiMDU2ZTU2YjYtZGQ2Yy0zMzllLTljNWYtYjg3ZDhmNzBjYTZjIiwidGl0bGUiOiJJbXBhY3Qgb2YgR3JlZW4gSW5ub3ZhdGlvbiBvbiBGaXJtIFZhbHVlOiBFdmlkZW5jZSBGcm9tIExpc3RlZCBDb21wYW5pZXMgaW4gQ2hpbmHigJlzIEhlYXZ5IFBvbGx1dGlvbiBJbmR1c3RyaWVzIiwiYXV0aG9yIjpbeyJmYW1pbHkiOiJYaWUiLCJnaXZlbiI6IlpoYW9kb25nIiwicGFyc2UtbmFtZXMiOmZhbHNlLCJkcm9wcGluZy1wYXJ0aWNsZSI6IiIsIm5vbi1kcm9wcGluZy1wYXJ0aWNsZSI6IiJ9LHsiZmFtaWx5IjoiV2FuZyIsImdpdmVuIjoiSmlhbnpoaSIsInBhcnNlLW5hbWVzIjpmYWxzZSwiZHJvcHBpbmctcGFydGljbGUiOiIiLCJub24tZHJvcHBpbmctcGFydGljbGUiOiIifSx7ImZhbWlseSI6IlpoYW8iLCJnaXZlbiI6Ikd1b3FpbiIsInBhcnNlLW5hbWVzIjpmYWxzZSwiZHJvcHBpbmctcGFydGljbGUiOiIiLCJub24tZHJvcHBpbmctcGFydGljbGUiOiIifV0sImNvbnRhaW5lci10aXRsZSI6IkZyb250aWVycyBpbiBFbmVyZ3kgUmVzZWFyY2giLCJjb250YWluZXItdGl0bGUtc2hvcnQiOiJGcm9udCBFbmVyZ3kgUmVz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J9LCJpc1RlbXBvcmFyeSI6ZmFsc2UsInN1cHByZXNzLWF1dGhvciI6ZmFsc2UsImNvbXBvc2l0ZSI6ZmFsc2UsImF1dGhvci1vbmx5IjpmYWxzZX1dfQ=="/>
          <w:id w:val="254487635"/>
          <w:placeholder>
            <w:docPart w:val="DefaultPlaceholder_-1854013440"/>
          </w:placeholder>
        </w:sdtPr>
        <w:sdtContent>
          <w:r w:rsidR="0090039D" w:rsidRPr="0090039D">
            <w:rPr>
              <w:rFonts w:ascii="Times New Roman" w:eastAsia="Times New Roman" w:hAnsi="Times New Roman" w:cs="Times New Roman"/>
              <w:color w:val="000000"/>
              <w:sz w:val="24"/>
              <w:szCs w:val="24"/>
            </w:rPr>
            <w:t>(Xie et al., 2022)</w:t>
          </w:r>
        </w:sdtContent>
      </w:sdt>
      <w:r w:rsidR="0090039D">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which shows that strategic environmental reporting and green innovation have a significant impact on firm value, especially in heavily polluting industries. Furthermore, these results are also reinforced by</w:t>
      </w:r>
      <w:r w:rsidR="0090039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2Q2OTNiZTAtZmJmZS00OGEzLWFjZmItMmQ3ZmViYTc2M2M3IiwicHJvcGVydGllcyI6eyJub3RlSW5kZXgiOjB9LCJpc0VkaXRlZCI6ZmFsc2UsIm1hbnVhbE92ZXJyaWRlIjp7ImlzTWFudWFsbHlPdmVycmlkZGVuIjpmYWxzZSwiY2l0ZXByb2NUZXh0IjoiKFV0b21vIGV0IGFsLiwgMjAyMCkiLCJtYW51YWxPdmVycmlkZVRleHQiOiIifSwiY2l0YXRpb25JdGVtcyI6W3siaWQiOiIzZDdlNmU5Yy1jMDg0LTM3MzQtYjdiNS1iYzVhN2U3NjNlZmQiLCJpdGVtRGF0YSI6eyJ0eXBlIjoiYXJ0aWNsZS1qb3VybmFsIiwiaWQiOiIzZDdlNmU5Yy1jMDg0LTM3MzQtYjdiNS1iYzVhN2U3NjNlZmQiLCJ0aXRsZSI6IkVudmlyb25tZW50YWwgcGVyZm9ybWFuY2UsIGVudmlyb25tZW50YWwgZGlzY2xvc3VyZSwgYW5kIGZpcm0gdmFsdWU6IGVtcGlyaWNhbCBzdHVkeSBvZiBub24tZmluYW5jaWFsIGNvbXBhbmllcyBhdCBJbmRvbmVzaWEgU3RvY2sgRXhjaGFuZ2U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
          <w:id w:val="-6600106"/>
          <w:placeholder>
            <w:docPart w:val="DefaultPlaceholder_-1854013440"/>
          </w:placeholder>
        </w:sdtPr>
        <w:sdtContent>
          <w:r w:rsidR="0090039D" w:rsidRPr="0090039D">
            <w:rPr>
              <w:rFonts w:ascii="Times New Roman" w:eastAsia="Times New Roman" w:hAnsi="Times New Roman" w:cs="Times New Roman"/>
              <w:color w:val="000000"/>
              <w:sz w:val="24"/>
              <w:szCs w:val="24"/>
            </w:rPr>
            <w:t>(Utomo et al., 2020)</w:t>
          </w:r>
        </w:sdtContent>
      </w:sdt>
      <w:r w:rsidR="0090039D">
        <w:rPr>
          <w:rFonts w:ascii="Times New Roman" w:eastAsia="Times New Roman" w:hAnsi="Times New Roman" w:cs="Times New Roman"/>
          <w:sz w:val="24"/>
          <w:szCs w:val="24"/>
        </w:rPr>
        <w:t xml:space="preserve">, </w:t>
      </w:r>
      <w:r w:rsidRPr="007E7CB6">
        <w:rPr>
          <w:rFonts w:ascii="Times New Roman" w:eastAsia="Times New Roman" w:hAnsi="Times New Roman" w:cs="Times New Roman"/>
          <w:sz w:val="24"/>
          <w:szCs w:val="24"/>
        </w:rPr>
        <w:t>who state that environmental disclosure has a positive effect on the firm value of non-financial companies in Indonesia. This confirms that integrating environmental aspects into the accounting reporting system is a legitimacy strategy that contributes to increasing firm value in the long term.</w:t>
      </w:r>
    </w:p>
    <w:p w14:paraId="177C5B92" w14:textId="77777777" w:rsidR="00153781" w:rsidRPr="007E7CB6" w:rsidRDefault="00000000">
      <w:pPr>
        <w:pStyle w:val="Heading3"/>
        <w:keepNext w:val="0"/>
        <w:keepLines w:val="0"/>
        <w:spacing w:before="0" w:after="0" w:line="480" w:lineRule="auto"/>
        <w:jc w:val="both"/>
        <w:rPr>
          <w:rFonts w:ascii="Times New Roman" w:eastAsia="Times New Roman" w:hAnsi="Times New Roman" w:cs="Times New Roman"/>
          <w:b/>
          <w:color w:val="000000"/>
          <w:sz w:val="26"/>
          <w:szCs w:val="26"/>
        </w:rPr>
      </w:pPr>
      <w:bookmarkStart w:id="137" w:name="_heading=h.f2hua48bd4ah" w:colFirst="0" w:colLast="0"/>
      <w:bookmarkStart w:id="138" w:name="_Toc210744263"/>
      <w:bookmarkEnd w:id="137"/>
      <w:r w:rsidRPr="007E7CB6">
        <w:rPr>
          <w:rFonts w:ascii="Times New Roman" w:eastAsia="Times New Roman" w:hAnsi="Times New Roman" w:cs="Times New Roman"/>
          <w:b/>
          <w:color w:val="000000"/>
          <w:sz w:val="26"/>
          <w:szCs w:val="26"/>
        </w:rPr>
        <w:t>4.3.2. The Effect of Carbon Emission Disclosure on Firm Value</w:t>
      </w:r>
      <w:bookmarkEnd w:id="138"/>
    </w:p>
    <w:p w14:paraId="18D1B281" w14:textId="5447533B"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second hypothesis test shows that the Carbon Emission Disclosure (CED) variable has a positive but insignificant effect on firm value, with a significance value of 0.191 &gt; 0.05 and a t-value of 1.321 &lt; 1.66235. Therefore, Hypothesis 2</w:t>
      </w:r>
      <w:r w:rsidR="0090039D">
        <w:rPr>
          <w:rFonts w:ascii="Times New Roman" w:eastAsia="Times New Roman" w:hAnsi="Times New Roman" w:cs="Times New Roman"/>
          <w:sz w:val="24"/>
          <w:szCs w:val="24"/>
        </w:rPr>
        <w:t xml:space="preserve"> (H2) </w:t>
      </w:r>
      <w:r w:rsidRPr="007E7CB6">
        <w:rPr>
          <w:rFonts w:ascii="Times New Roman" w:eastAsia="Times New Roman" w:hAnsi="Times New Roman" w:cs="Times New Roman"/>
          <w:sz w:val="24"/>
          <w:szCs w:val="24"/>
        </w:rPr>
        <w:t>is rejected.</w:t>
      </w:r>
    </w:p>
    <w:p w14:paraId="3FB9B6C3"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This result is not in line with Legitimacy Theory, which states that environmental transparency can increase public, regulatory, and investor trust and legitimacy in a company. In this context, carbon emission disclosure should be a positive signal of a company's environmental responsibility, which can ultimately increase the company's market value.</w:t>
      </w:r>
    </w:p>
    <w:p w14:paraId="52A51DA5"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However, based on observations of the research data, carbon emissions disclosure by energy sector companies in Indonesia is still very limited in terms of both quantity and quality. Most companies only disclose normative and general information, such as statements of commitment to the environment or involvement in CSR programs, without accompanying quantitative data, emission reduction targets, or clear calculation methodologies. Some companies do not even explicitly mention total carbon emissions in their sustainability reports, so the transparency that should be the basis for legitimacy has not been optimally achieved.</w:t>
      </w:r>
    </w:p>
    <w:p w14:paraId="236F35BC"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addition, regulations related to carbon emissions reporting in Indonesia are still voluntary, as stipulated in Presidential Regulation No. 98 of 2021, which has not been equipped with an integrated reporting system or strict sanctions for non-compliance. This has led many companies to only make minimal and symbolic disclosures, merely to meet the basic expectations of stakeholders, rather than as part of a business strategy integrated with the company's long-term goals.</w:t>
      </w:r>
    </w:p>
    <w:p w14:paraId="7C6D2B42" w14:textId="43C78924"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These results are in line with the </w:t>
      </w:r>
      <w:r w:rsidRPr="0090039D">
        <w:rPr>
          <w:rFonts w:ascii="Times New Roman" w:eastAsia="Times New Roman" w:hAnsi="Times New Roman" w:cs="Times New Roman"/>
          <w:sz w:val="24"/>
          <w:szCs w:val="24"/>
        </w:rPr>
        <w:t>research by</w:t>
      </w:r>
      <w:r w:rsidR="0090039D" w:rsidRPr="0090039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E5ZGI0NmYtMTRlZC00MGY1LWI0NzMtMDNhYWI3ZDg2YTE2IiwicHJvcGVydGllcyI6eyJub3RlSW5kZXgiOjB9LCJpc0VkaXRlZCI6ZmFsc2UsIm1hbnVhbE92ZXJyaWRlIjp7ImlzTWFudWFsbHlPdmVycmlkZGVuIjpmYWxzZSwiY2l0ZXByb2NUZXh0IjoiKEhhcmRpeWFuc2FoICYjMzg7IEFndXN0aW5pLCAyMDIwKSIsIm1hbnVhbE92ZXJyaWRlVGV4dCI6IiJ9LCJjaXRhdGlvbkl0ZW1zIjpbeyJpZCI6ImViYzQzNzY1LTQ5YzEtMzVjYS04Y2RmLWZlYzkxY2ViM2U1NSIsIml0ZW1EYXRhIjp7InR5cGUiOiJhcnRpY2xlLWpvdXJuYWwiLCJpZCI6ImViYzQzNzY1LTQ5YzEtMzVjYS04Y2RmLWZlYzkxY2ViM2U1NSIsInRpdGxlIjoiQW5hbHlzaXMgT2YgQ2FyYm9uIEVtaXNzaW9ucyBEaXNjbG9zdXJlIEFuZCBGaXJtIFZhbHVlOiBUeXBlIE9mIEluZHVzdHJ5IEFzIEEgTW9kZXJhdGluZyBNb2RlbCIsImF1dGhvciI6W3siZmFtaWx5IjoiSGFyZGl5YW5zYWgiLCJnaXZlbiI6Ik1vaGFtbWFkIiwicGFyc2UtbmFtZXMiOmZhbHNlLCJkcm9wcGluZy1wYXJ0aWNsZSI6IiIsIm5vbi1kcm9wcGluZy1wYXJ0aWNsZSI6IiJ9LHsiZmFtaWx5IjoiQWd1c3RpbmkiLCJnaXZlbiI6IkFpc2EgVHJpIiwicGFyc2UtbmFtZXMiOmZhbHNlLCJkcm9wcGluZy1wYXJ0aWNsZSI6IiIsIm5vbi1kcm9wcGluZy1wYXJ0aWNsZSI6IiJ9XSwiY29udGFpbmVyLXRpdGxlIjoiSU5URVJOQVRJT05BTCBKT1VSTkFMIE9GIFNDSUVOVElGSUMgJiBURUNITk9MT0dZIFJFU0VBUkNIIiwiSVNTTiI6IjIyNzctODYxNiIsIlVSTCI6Ind3dy5panN0ci5vcmciLCJpc3N1ZWQiOnsiZGF0ZS1wYXJ0cyI6W1syMDIwXV19LCJwYWdlIjoiMiIsImFic3RyYWN0IjoiVGhlIGFpbXMgb2YgdGhpcyBzdHVkeSBpcyB0byBhbmFseXplIHRoZSBlZmZlY3Qgb2YgY2FyYm9uIGVtaXNzaW9ucyBkaXNjbG9zdXJlIG9uIGZpcm0gdmFsdWUgYW5kIGluZHVzdHJ5IHR5cGUgYXMgbW9kZXJhdGluZyB2YXJpYWJsZXMuIENhcmJvbiBlbWlzc2lvbnMgZGlzY2xvc3VyZSBpcyBtZWFzdXJlZCB1c2luZyB0aGUgY29udGVudCBhbmFseXNpcyBtZXRob2QgYWRvcHRlZCBmcm9tIGEgcXVlc3Rpb25uYWlyZSBpc3N1ZWQgYnkgdGhlIENEUCAoQ2FyYm9uIERpc2Nsb3N1cmUgUHJvamVjdCkuIEZpcm0gdmFsdWUgaXMgbWVhc3VyZWQgYnkgVG9iaW4ncyBRLCB3aGlsZSBpbmR1c3RyeSB0eXBlcyBhcmUgYXNzZXNzZWQgYmFzZWQgb24gY29tcGFueSBjbGFzc2lmaWNhdGlvbnMgbmFtZWx5IGhpZ2ggcHJvZmlsZSBpbmR1c3RyeSBhbmQgbG93IHByb2ZpbGUgaW5kdXN0cnkuIFRoaXMgc3R1ZHkgdXNlcyBtdWx0aXBsZSBsaW5lYXIgcmVncmVzc2lvbiBhbmFseXNpcywgYW5kIHVzZXMgNDMgY29tcGFuaWVzIGxpc3RlZCBvbiB0aGUgSW5kb25lc2lhIFN0b2NrIEV4Y2hhbmdlIGFuZCBmb2xsb3dzIHRoZSAyMDE0LTIwMTggY29tcGFueSdzIHBlcmZvcm1hbmNlIHJhdGluZyBhc3Nlc3NtZW50IHByb2dyYW0gaW4gZW52aXJvbm1lbnRhbCBtYW5hZ2VtZW50IChQUk9QRVIpLiBUaGUgZmlyc3QgYW5hbHlzaXMgc2hvd3MgdGhhdCBjYXJib24gZW1pc3Npb25zIGRpc2Nsb3N1cmUgaGFzIGEgcG9zaXRpdmUgYW5kIHNpZ25pZmljYW50IGVmZmVjdCBvbiBmaXJtIHZhbHVlLiBUaGlzIGlzIGJlY2F1c2UgY2FyYm9uIGVtaXNzaW9ucyBkaXNjbG9zdXJlIGlzIGEgZm9ybSBvZiBjb3Jwb3JhdGUgcmVzcG9uc2liaWxpdHkgaW4gcmVkdWNpbmcgdGhlIGltcGFjdCBvZiBlbnZpcm9ubWVudGFsIGRhbWFnZSBmcm9tIGNvbXBhbnkgYWN0aXZpdGllcywgc28gdGhpcyBjYW4gYmUgYW4gYXR0cmFjdGlvbiBmb3IgaW52ZXN0b3JzLiBUaGUgc2Vjb25kIHJlc2VhcmNoIHJlc3VsdCBzaG93cyB0aGF0IHRoZSB0eXBlIG9mIGluZHVzdHJ5IGNhbiBpbmNyZWFzZSB0aGUgZWZmZWN0IG9mIGNhcmJvbiBlbWlzc2lvbnMgZGlzY2xvc3VyZSBvbiBmaXJtIHZhbHVlLiBUaGlzIGlzIGJlY2F1c2UgY29tcGFuaWVzIGluIHRoZSBoaWdoIHByb2ZpbGUgaW5kdXN0cnkgY2F0ZWdvcnkgdGhhdCBoYXZlIGEgaGlnaCBsZXZlbCBvZiBzZW5zaXRpdml0eSB0byB0aGUgZW52aXJvbm1lbnQgYXJlIHVuZGVyIHByZXNzdXJlIGZyb20gdGhlIHB1YmxpYywgc28gdGhlIGNvbXBhbnkgcmVzcG9uZHMgYnkgY29uZHVjdGluZyBjYXJib24gZW1pc3Npb25zIGRpc2Nsb3N1cmUgc28gdGhhdCBpdCBjYW4gYmUgYSBndWFyYW50ZWUgb2YgdGhlIGNvbXBhbnkncyBzdXN0YWluYWJpbGl0eS4iLCJ2b2x1bWUiOiI5IiwiY29udGFpbmVyLXRpdGxlLXNob3J0IjoiIn0sImlzVGVtcG9yYXJ5IjpmYWxzZSwic3VwcHJlc3MtYXV0aG9yIjpmYWxzZSwiY29tcG9zaXRlIjpmYWxzZSwiYXV0aG9yLW9ubHkiOmZhbHNlfV19"/>
          <w:id w:val="-1324505971"/>
          <w:placeholder>
            <w:docPart w:val="DefaultPlaceholder_-1854013440"/>
          </w:placeholder>
        </w:sdtPr>
        <w:sdtContent>
          <w:r w:rsidR="0090039D" w:rsidRPr="0090039D">
            <w:rPr>
              <w:rFonts w:ascii="Times New Roman" w:eastAsia="Times New Roman" w:hAnsi="Times New Roman" w:cs="Times New Roman"/>
              <w:color w:val="000000"/>
              <w:sz w:val="24"/>
            </w:rPr>
            <w:t>(Hardiyansah &amp; Agustini, 2020)</w:t>
          </w:r>
        </w:sdtContent>
      </w:sdt>
      <w:r w:rsidR="0090039D" w:rsidRPr="0090039D">
        <w:rPr>
          <w:rFonts w:ascii="Times New Roman" w:eastAsia="Times New Roman" w:hAnsi="Times New Roman" w:cs="Times New Roman"/>
          <w:sz w:val="24"/>
          <w:szCs w:val="24"/>
        </w:rPr>
        <w:t xml:space="preserve"> </w:t>
      </w:r>
      <w:r w:rsidRPr="0090039D">
        <w:rPr>
          <w:rFonts w:ascii="Times New Roman" w:eastAsia="Times New Roman" w:hAnsi="Times New Roman" w:cs="Times New Roman"/>
          <w:sz w:val="24"/>
          <w:szCs w:val="24"/>
        </w:rPr>
        <w:t xml:space="preserve">and </w:t>
      </w:r>
      <w:sdt>
        <w:sdtPr>
          <w:rPr>
            <w:rFonts w:ascii="Times New Roman" w:eastAsia="Times New Roman" w:hAnsi="Times New Roman" w:cs="Times New Roman"/>
            <w:color w:val="000000"/>
            <w:sz w:val="24"/>
            <w:szCs w:val="24"/>
          </w:rPr>
          <w:tag w:val="MENDELEY_CITATION_v3_eyJjaXRhdGlvbklEIjoiTUVOREVMRVlfQ0lUQVRJT05fMjQwZDk2OTctZWNjMi00MTBhLTg0YjItNzQ4OTNmY2I3ZWZmIiwicHJvcGVydGllcyI6eyJub3RlSW5kZXgiOjB9LCJpc0VkaXRlZCI6ZmFsc2UsIm1hbnVhbE92ZXJyaWRlIjp7ImlzTWFudWFsbHlPdmVycmlkZGVuIjpmYWxzZSwiY2l0ZXByb2NUZXh0IjoiKE1pcnphIEF1bGlhIGV0IGFsLiwgMjAyNCkiLCJtYW51YWxPdmVycmlkZVRleHQiOiIifSwiY2l0YXRpb25JdGVtcyI6W3siaWQiOiI0ZGEyZmExNy1mZjAxLTNiMTAtOTljNi0wMDE5NGY1NzUzNzciLCJpdGVtRGF0YSI6eyJ0eXBlIjoicmVwb3J0IiwiaWQiOiI0ZGEyZmExNy1mZjAxLTNiMTAtOTljNi0wMDE5NGY1NzUzNzciLCJ0aXRsZSI6IlRoZSBJbXBhY3Qgb2YgQ2FyYm9uIEVtaXNzaW9uIERpc2Nsb3N1cmUgb24gRmlybSBWYWx1ZSIsImF1dGhvciI6W3siZmFtaWx5IjoiTWlyemEgQXVsaWEiLCJnaXZlbiI6IkFydGkiLCJwYXJzZS1uYW1lcyI6ZmFsc2UsImRyb3BwaW5nLXBhcnRpY2xlIjoiIiwibm9uLWRyb3BwaW5nLXBhcnRpY2xlIjoiIn0seyJmYW1pbHkiOiJOb2VyIiwiZ2l2ZW4iOiJVaHRpIiwicGFyc2UtbmFtZXMiOmZhbHNlLCJkcm9wcGluZy1wYXJ0aWNsZSI6IiIsIm5vbi1kcm9wcGluZy1wYXJ0aWNsZSI6IiJ9LHsiZmFtaWx5IjoiU2FmaXRyaSIsImdpdmVuIjoiQ2hvbGl6YSIsInBhcnNlLW5hbWVzIjpmYWxzZSwiZHJvcHBpbmctcGFydGljbGUiOiIiLCJub24tZHJvcHBpbmctcGFydGljbGUiOiIifV0sImNvbnRhaW5lci10aXRsZSI6IkpvdXJuYWwgb2YgRW52aXJvbm1lbnRhbCBFY29ub21pY3MgYW5kIFN1c3RhaW5hYmlsaXR5IiwiVVJMIjoiaHR0cHM6Ly9lY29ub21pY3MucHVibWVkaWEuaWQvaW5kZXgucGhwL2plZXMiLCJpc3N1ZWQiOnsiZGF0ZS1wYXJ0cyI6W1syMDI0XV19LCJhYnN0cmFjdCI6IlRoaXMgc3R1ZHkgaWxsdXN0cmF0ZXMgdGhlIGltcG9ydGFuY2Ugb2YgY29ycG9yYXRlIGRpc2Nsb3N1cmUgb2YgY2FyYm9uIGVtaXNzaW9ucyBhcyBhIHN0cmF0ZWd5IHRvIGluY3JlYXNlIGZpcm0gdmFsdWUgaW4gYSBnbG9iYWwgY29udGV4dCB0aGF0IGlzIGluY3JlYXNpbmdseSBjb25jZXJuZWQgd2l0aCBzdXN0YWluYWJpbGl0eS4gVGhyb3VnaCBhIG1ldGEtYW5hbHlzaXMgb2YgZml2ZSBpbnRlcm5hdGlvbmFsIGpvdXJuYWxzLCBmaW5kaW5ncyBzaG93IHRoYXQgY2FyYm9uIGVtaXNzaW9ucyBkaXNjbG9zdXJlIGlzIHBvc2l0aXZlbHkgY29ycmVsYXRlZCB3aXRoIGluY3JlYXNlZCBmaXJtIHZhbHVlIGluIHNldmVyYWwgQXNpYW4gY291bnRyaWVzIHN1Y2ggYXMgS29yZWEgYW5kIFRhaXdhbiwgd2hlcmUgdGhpcyB0cmFuc3BhcmVuY3kgaXMgc3VwcG9ydGVkIGJ5IHN0cmljdCBnb3Zlcm5tZW50IG92ZXJzaWdodCBhbmQgbWVkaWEgYXR0ZW50aW9uIHRvIGVudmlyb25tZW50YWwgcG9saWNpZXMuIEhvd2V2ZXIsIGNoYWxsZW5nZXMgYXJpc2UgaW4gQ2hpbmEsIHdoZXJlIGEgbGFjayBvZiByZXNwb25zaXZlbmVzcyB0byBlY29ub21pYyB0cmFuc2Zvcm1hdGlvbiBhbmQgaW5hZGVxdWF0ZSBkaXNjbG9zdXJlIHByYWN0aWNlcyBjYW4gbmVnYXRpdmVseSBpbXBhY3QgZmlybSB2YWx1ZSBieSBoaW5kZXJpbmcgYWNjZXNzIHRvIGZ1bmRpbmcgYW5kIGZpcm1zJyByaXNrIG1hbmFnZW1lbnQgY2FwYWJpbGl0aWVzLiBUaGUgaW1wbGVtZW50YXRpb24gb2YgaW50ZXJuYXRpb25hbCBzdGFuZGFyZHMgc3VjaCBhcyBJU08gMTQwNjQgaW4gY2FyYm9uIGVtaXNzaW9ucyBtYW5hZ2VtZW50IHdhcyBhbHNvIGVtcGhhc2l6ZWQgYXMga2V5IHRvIGltcHJvdmluZyB0cmFuc3BhcmVuY3ksIGNvcnBvcmF0ZSByZXB1dGF0aW9uIGluIHRlcm1zIG9mIHN1c3RhaW5hYmlsaXR5LCBhbmQgYXR0cmFjdGl2ZW5lc3MgdG8gaW52ZXN0b3JzIHdobyBhcmUgaW5jcmVhc2luZ2x5IHByaW9yaXRpemluZyBzdXN0YWluYWJsZSBidXNpbmVzcyBwcmFjdGljZXMuIiwiaXNzdWUiOiIzIiwidm9sdW1lIjoiMSIsImNvbnRhaW5lci10aXRsZS1zaG9ydCI6IiJ9LCJpc1RlbXBvcmFyeSI6ZmFsc2UsInN1cHByZXNzLWF1dGhvciI6ZmFsc2UsImNvbXBvc2l0ZSI6ZmFsc2UsImF1dGhvci1vbmx5IjpmYWxzZX1dfQ=="/>
          <w:id w:val="-1609503419"/>
          <w:placeholder>
            <w:docPart w:val="DefaultPlaceholder_-1854013440"/>
          </w:placeholder>
        </w:sdtPr>
        <w:sdtContent>
          <w:r w:rsidR="0090039D" w:rsidRPr="0090039D">
            <w:rPr>
              <w:rFonts w:ascii="Times New Roman" w:eastAsia="Times New Roman" w:hAnsi="Times New Roman" w:cs="Times New Roman"/>
              <w:color w:val="000000"/>
              <w:sz w:val="24"/>
              <w:szCs w:val="24"/>
            </w:rPr>
            <w:t>(Mirza Aulia et al., 2024)</w:t>
          </w:r>
        </w:sdtContent>
      </w:sdt>
      <w:r w:rsidR="0090039D" w:rsidRPr="0090039D">
        <w:rPr>
          <w:rFonts w:ascii="Times New Roman" w:eastAsia="Times New Roman" w:hAnsi="Times New Roman" w:cs="Times New Roman"/>
          <w:sz w:val="24"/>
          <w:szCs w:val="24"/>
        </w:rPr>
        <w:t>,</w:t>
      </w:r>
      <w:r w:rsidRPr="0090039D">
        <w:rPr>
          <w:rFonts w:ascii="Times New Roman" w:eastAsia="Times New Roman" w:hAnsi="Times New Roman" w:cs="Times New Roman"/>
          <w:sz w:val="24"/>
          <w:szCs w:val="24"/>
        </w:rPr>
        <w:t xml:space="preserve"> which also reported</w:t>
      </w:r>
      <w:r w:rsidRPr="007E7CB6">
        <w:rPr>
          <w:rFonts w:ascii="Times New Roman" w:eastAsia="Times New Roman" w:hAnsi="Times New Roman" w:cs="Times New Roman"/>
          <w:sz w:val="24"/>
          <w:szCs w:val="24"/>
        </w:rPr>
        <w:t xml:space="preserve"> that CED has not had a significant impact on firm value in Indonesia, as it is still voluntary and limited in nature. Both studies highlight that without strong regulatory incentives and </w:t>
      </w:r>
      <w:r w:rsidRPr="007E7CB6">
        <w:rPr>
          <w:rFonts w:ascii="Times New Roman" w:eastAsia="Times New Roman" w:hAnsi="Times New Roman" w:cs="Times New Roman"/>
          <w:sz w:val="24"/>
          <w:szCs w:val="24"/>
        </w:rPr>
        <w:lastRenderedPageBreak/>
        <w:t>standardized reporting standards, carbon emissions disclosure tends to have no material influence on market and investor perceptions. Thus, although in theory CED should be able to increase firm value, weak and inconsistent implementation in the field is the main factor explaining the insignificant results in this study.</w:t>
      </w:r>
    </w:p>
    <w:p w14:paraId="03218B80" w14:textId="77777777" w:rsidR="00153781" w:rsidRPr="007E7CB6" w:rsidRDefault="00000000">
      <w:pPr>
        <w:pStyle w:val="Heading3"/>
        <w:keepNext w:val="0"/>
        <w:keepLines w:val="0"/>
        <w:spacing w:before="0" w:after="0" w:line="480" w:lineRule="auto"/>
        <w:jc w:val="both"/>
        <w:rPr>
          <w:rFonts w:ascii="Times New Roman" w:eastAsia="Times New Roman" w:hAnsi="Times New Roman" w:cs="Times New Roman"/>
          <w:b/>
          <w:color w:val="000000"/>
          <w:sz w:val="26"/>
          <w:szCs w:val="26"/>
        </w:rPr>
      </w:pPr>
      <w:bookmarkStart w:id="139" w:name="_heading=h.l80lyl9nkjjx" w:colFirst="0" w:colLast="0"/>
      <w:bookmarkStart w:id="140" w:name="_Toc210744264"/>
      <w:bookmarkEnd w:id="139"/>
      <w:r w:rsidRPr="007E7CB6">
        <w:rPr>
          <w:rFonts w:ascii="Times New Roman" w:eastAsia="Times New Roman" w:hAnsi="Times New Roman" w:cs="Times New Roman"/>
          <w:b/>
          <w:color w:val="000000"/>
          <w:sz w:val="26"/>
          <w:szCs w:val="26"/>
        </w:rPr>
        <w:t>4.3.3. The Effect of Green Capital Structure on Firm Value</w:t>
      </w:r>
      <w:bookmarkEnd w:id="140"/>
    </w:p>
    <w:p w14:paraId="38F15F2E"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Based on the t-test results in Table 4.9, the t-value for Green Capital Structure is 2.310 &gt; t-table 1.66235, with a significance value of 0.024 &lt; 0.05. Therefore, it can be concluded that Hypothesis 3 (H3) is accepted, meaning that Green Capital Structure has a positive and significant effect on firm value.</w:t>
      </w:r>
    </w:p>
    <w:p w14:paraId="1EDD2B9A"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result is consistent with Legitimacy Theory, as environmentally-based financing decisions show that companies are responsible not only economically, but also socially and ecologically. Green capital structure demonstrates a commitment to sustainability and can increase the trust of investors, creditors, and the public. With this increased legitimacy, the company's reputation and firm value also increase.</w:t>
      </w:r>
    </w:p>
    <w:p w14:paraId="25DE6CCB"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From a review of the research data, it was found that several energy sector companies in the sample have begun to finance environmentally friendly projects through instruments such as green bonds, green loans, or internal fund allocations for energy efficiency and clean technology. Although it is still not evenly distributed across all companies, this financing practice shows an awareness of integrating sustainability aspects into financial decisions. This is reflected in the company's sustainability reports and annual reports, which list renewable energy </w:t>
      </w:r>
      <w:r w:rsidRPr="007E7CB6">
        <w:rPr>
          <w:rFonts w:ascii="Times New Roman" w:eastAsia="Times New Roman" w:hAnsi="Times New Roman" w:cs="Times New Roman"/>
          <w:sz w:val="24"/>
          <w:szCs w:val="24"/>
        </w:rPr>
        <w:lastRenderedPageBreak/>
        <w:t>projects, resource efficiency, or environmental management systems that are specifically funded.</w:t>
      </w:r>
    </w:p>
    <w:p w14:paraId="610063E9"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 addition, pressure from global stakeholders and commitment to Environmental, Social, and Governance (ESG) principles are increasingly encouraging companies to develop capital structures that support green projects. Institutional investors, especially those from abroad, are also showing greater interest in companies with environmentally-oriented financing profiles, providing market incentives for companies to switch to green capital structures.</w:t>
      </w:r>
    </w:p>
    <w:p w14:paraId="6705DC60" w14:textId="15703B0F"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These findings are in line </w:t>
      </w:r>
      <w:r w:rsidRPr="0090039D">
        <w:rPr>
          <w:rFonts w:ascii="Times New Roman" w:eastAsia="Times New Roman" w:hAnsi="Times New Roman" w:cs="Times New Roman"/>
          <w:sz w:val="24"/>
          <w:szCs w:val="24"/>
        </w:rPr>
        <w:t>with research by</w:t>
      </w:r>
      <w:r w:rsidR="0090039D" w:rsidRPr="0090039D">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JiNTNmZGEtOTFmMi00ZTAxLTk3MTEtY2Q2MDY3YjdkNGVl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
          <w:id w:val="524913826"/>
          <w:placeholder>
            <w:docPart w:val="DefaultPlaceholder_-1854013440"/>
          </w:placeholder>
        </w:sdtPr>
        <w:sdtContent>
          <w:r w:rsidR="0090039D" w:rsidRPr="0090039D">
            <w:rPr>
              <w:rFonts w:ascii="Times New Roman" w:eastAsia="Times New Roman" w:hAnsi="Times New Roman" w:cs="Times New Roman"/>
              <w:color w:val="000000"/>
              <w:sz w:val="24"/>
            </w:rPr>
            <w:t>(Zhou &amp; Fan, 2023)</w:t>
          </w:r>
        </w:sdtContent>
      </w:sdt>
      <w:r w:rsidR="0090039D" w:rsidRPr="0090039D">
        <w:rPr>
          <w:rFonts w:ascii="Times New Roman" w:eastAsia="Times New Roman" w:hAnsi="Times New Roman" w:cs="Times New Roman"/>
          <w:sz w:val="24"/>
          <w:szCs w:val="24"/>
        </w:rPr>
        <w:t xml:space="preserve">, </w:t>
      </w:r>
      <w:r w:rsidRPr="0090039D">
        <w:rPr>
          <w:rFonts w:ascii="Times New Roman" w:eastAsia="Times New Roman" w:hAnsi="Times New Roman" w:cs="Times New Roman"/>
          <w:sz w:val="24"/>
          <w:szCs w:val="24"/>
        </w:rPr>
        <w:t xml:space="preserve">which states that green capital structures drive company growth, and </w:t>
      </w:r>
      <w:sdt>
        <w:sdtPr>
          <w:rPr>
            <w:rFonts w:ascii="Times New Roman" w:eastAsia="Times New Roman" w:hAnsi="Times New Roman" w:cs="Times New Roman"/>
            <w:color w:val="000000"/>
            <w:sz w:val="24"/>
            <w:szCs w:val="24"/>
          </w:rPr>
          <w:tag w:val="MENDELEY_CITATION_v3_eyJjaXRhdGlvbklEIjoiTUVOREVMRVlfQ0lUQVRJT05fYTQ5NDgzMzQtMjRhMi00YjQ2LTkzZmItYzczNTEwZDk2MmI4IiwicHJvcGVydGllcyI6eyJub3RlSW5kZXgiOjB9LCJpc0VkaXRlZCI6ZmFsc2UsIm1hbnVhbE92ZXJyaWRlIjp7ImlzTWFudWFsbHlPdmVycmlkZGVuIjpmYWxzZSwiY2l0ZXByb2NUZXh0IjoiKFRhbmcgJiMzODsgWmhhbmcsIDIwMjApIiwibWFudWFsT3ZlcnJpZGVUZXh0IjoiIn0sImNpdGF0aW9uSXRlbXMiOlt7ImlkIjoiZTAyM2MwNWItODZiMC0zYzlhLThmZjItYWQ5MzY4ZDQ2YjczIiwiaXRlbURhdGEiOnsidHlwZSI6ImFydGljbGUtam91cm5hbCIsImlkIjoiZTAyM2MwNWItODZiMC0zYzlhLThmZjItYWQ5MzY4ZDQ2YjczIiwidGl0bGUiOiJEbyBzaGFyZWhvbGRlcnMgYmVuZWZpdCBmcm9tIGdyZWVuIGJvbmRzPyIsImF1dGhvciI6W3siZmFtaWx5IjoiVGFuZyIsImdpdmVuIjoiRHJhZ29uIFlvbmdqdW4iLCJwYXJzZS1uYW1lcyI6ZmFsc2UsImRyb3BwaW5nLXBhcnRpY2xlIjoiIiwibm9uLWRyb3BwaW5nLXBhcnRpY2xlIjoiIn0seyJmYW1pbHkiOiJaaGFuZyIsImdpdmVuIjoiWXVwdSIsInBhcnNlLW5hbWVzIjpmYWxzZSwiZHJvcHBpbmctcGFydGljbGUiOiIiLCJub24tZHJvcHBpbmctcGFydGljbGUiOiIifV0sImNvbnRhaW5lci10aXRsZSI6IkpvdXJuYWwgb2YgQ29ycG9yYXRlIEZpbmFuY2UiLCJET0kiOiIxMC4xMDE2L2ouamNvcnBmaW4uMjAxOC4xMi4wMDEiLCJJU1NOIjoiMDkyOTExOTkiLCJpc3N1ZWQiOnsiZGF0ZS1wYXJ0cyI6W1syMDIwLDQsMV1dfSwiYWJzdHJhY3QiOiJUaGUgZ3JlZW4gYm9uZCBtYXJrZXQgaGFzIGJlZW4gZ3Jvd2luZyByYXBpZGx5IHdvcmxkd2lkZSBzaW5jZSBpdHMgZGVidXQgaW4gMjAwNy4gV2UgcHJlc2VudCB0aGUgZmlyc3QgZW1waXJpY2FsIHN0dWR5IG9uIHRoZSBhbm5vdW5jZW1lbnQgcmV0dXJucyBhbmQgcmVhbCBlZmZlY3RzIG9mIGdyZWVuIGJvbmQgaXNzdWFuY2UgYnkgZmlybXMgaW4gMjggY291bnRyaWVzIGR1cmluZyAyMDA34oCTMjAxNy4gQWZ0ZXIgY29tcGlsaW5nIGEgY29tcHJlaGVuc2l2ZSBpbnRlcm5hdGlvbmFsIGdyZWVuIGJvbmQgZGF0YXNldCwgd2UgZG9jdW1lbnQgdGhhdCBzdG9jayBwcmljZXMgcG9zaXRpdmVseSByZXNwb25kIHRvIGdyZWVuIGJvbmQgaXNzdWFuY2UuIEhvd2V2ZXIsIHdlIGRvIG5vdCBmaW5kIGEgY29uc2lzdGVudGx5IHNpZ25pZmljYW50IHByZW1pdW0gZm9yIGdyZWVuIGJvbmRzLCBzdWdnZXN0aW5nIHRoYXQgdGhlIHBvc2l0aXZlIHN0b2NrIHJldHVybnMgYXJvdW5kIGdyZWVuIGJvbmQgYW5ub3VuY2VtZW50cyBhcmUgbm90IGZ1bGx5IGRyaXZlbiBieSB0aGUgbG93ZXIgY29zdCBvZiBkZWJ0LiBOZXZlcnRoZWxlc3MsIHdlIHNob3cgdGhhdCBpbnN0aXR1dGlvbmFsIG93bmVyc2hpcCwgZXNwZWNpYWxseSBmcm9tIGRvbWVzdGljIGluc3RpdHV0aW9ucywgaW5jcmVhc2VzIGFmdGVyIHRoZSBmaXJtIGlzc3VlcyBncmVlbiBib25kcy4gTW9yZW92ZXIsIHN0b2NrIGxpcXVpZGl0eSBzaWduaWZpY2FudGx5IGltcHJvdmVzIHVwb24gdGhlIGlzc3VhbmNlIG9mIGdyZWVuIGJvbmRzLiBPdmVyYWxsLCBvdXIgZmluZGluZ3Mgc3VnZ2VzdCB0aGF0IHRoZSBmaXJtJ3MgaXNzdWFuY2Ugb2YgZ3JlZW4gYm9uZHMgaXMgYmVuZWZpY2lhbCB0byBpdHMgZXhpc3Rpbmcgc2hhcmVob2xkZXJzLiIsInB1Ymxpc2hlciI6IkVsc2V2aWVyIEIuVi4iLCJ2b2x1bWUiOiI2MSIsImNvbnRhaW5lci10aXRsZS1zaG9ydCI6IiJ9LCJpc1RlbXBvcmFyeSI6ZmFsc2UsInN1cHByZXNzLWF1dGhvciI6ZmFsc2UsImNvbXBvc2l0ZSI6ZmFsc2UsImF1dGhvci1vbmx5IjpmYWxzZX1dfQ=="/>
          <w:id w:val="-75908062"/>
          <w:placeholder>
            <w:docPart w:val="DefaultPlaceholder_-1854013440"/>
          </w:placeholder>
        </w:sdtPr>
        <w:sdtContent>
          <w:r w:rsidR="0090039D" w:rsidRPr="0090039D">
            <w:rPr>
              <w:rFonts w:ascii="Times New Roman" w:eastAsia="Times New Roman" w:hAnsi="Times New Roman" w:cs="Times New Roman"/>
              <w:color w:val="000000"/>
              <w:sz w:val="24"/>
            </w:rPr>
            <w:t>(Tang &amp; Zhang, 2020)</w:t>
          </w:r>
        </w:sdtContent>
      </w:sdt>
      <w:r w:rsidR="0090039D" w:rsidRPr="0090039D">
        <w:rPr>
          <w:rFonts w:ascii="Times New Roman" w:eastAsia="Times New Roman" w:hAnsi="Times New Roman" w:cs="Times New Roman"/>
          <w:sz w:val="24"/>
          <w:szCs w:val="24"/>
        </w:rPr>
        <w:t xml:space="preserve">, </w:t>
      </w:r>
      <w:r w:rsidRPr="0090039D">
        <w:rPr>
          <w:rFonts w:ascii="Times New Roman" w:eastAsia="Times New Roman" w:hAnsi="Times New Roman" w:cs="Times New Roman"/>
          <w:sz w:val="24"/>
          <w:szCs w:val="24"/>
        </w:rPr>
        <w:t>which found that green financing strategies</w:t>
      </w:r>
      <w:r w:rsidRPr="007E7CB6">
        <w:rPr>
          <w:rFonts w:ascii="Times New Roman" w:eastAsia="Times New Roman" w:hAnsi="Times New Roman" w:cs="Times New Roman"/>
          <w:sz w:val="24"/>
          <w:szCs w:val="24"/>
        </w:rPr>
        <w:t xml:space="preserve"> such as green bonds can increase shareholder value. Thus, financial structures that support environmentally friendly practices have been proven to provide tangible economic benefits, not only in the context of compliance, but also as a value add</w:t>
      </w:r>
      <w:r w:rsidR="0090039D">
        <w:rPr>
          <w:rFonts w:ascii="Times New Roman" w:eastAsia="Times New Roman" w:hAnsi="Times New Roman" w:cs="Times New Roman"/>
          <w:sz w:val="24"/>
          <w:szCs w:val="24"/>
        </w:rPr>
        <w:t>ed</w:t>
      </w:r>
      <w:r w:rsidRPr="007E7CB6">
        <w:rPr>
          <w:rFonts w:ascii="Times New Roman" w:eastAsia="Times New Roman" w:hAnsi="Times New Roman" w:cs="Times New Roman"/>
          <w:sz w:val="24"/>
          <w:szCs w:val="24"/>
        </w:rPr>
        <w:t xml:space="preserve"> strategy for companies.</w:t>
      </w:r>
    </w:p>
    <w:p w14:paraId="66E43CF1" w14:textId="77777777" w:rsidR="00153781" w:rsidRPr="007E7CB6" w:rsidRDefault="00000000">
      <w:pPr>
        <w:pStyle w:val="Heading3"/>
        <w:keepNext w:val="0"/>
        <w:keepLines w:val="0"/>
        <w:spacing w:before="0" w:after="0" w:line="480" w:lineRule="auto"/>
        <w:ind w:left="720" w:hanging="720"/>
        <w:jc w:val="both"/>
        <w:rPr>
          <w:rFonts w:ascii="Times New Roman" w:eastAsia="Times New Roman" w:hAnsi="Times New Roman" w:cs="Times New Roman"/>
          <w:b/>
          <w:color w:val="000000"/>
          <w:sz w:val="26"/>
          <w:szCs w:val="26"/>
        </w:rPr>
      </w:pPr>
      <w:bookmarkStart w:id="141" w:name="_heading=h.dq9zfaelcb2m" w:colFirst="0" w:colLast="0"/>
      <w:bookmarkStart w:id="142" w:name="_Toc210744265"/>
      <w:bookmarkEnd w:id="141"/>
      <w:r w:rsidRPr="007E7CB6">
        <w:rPr>
          <w:rFonts w:ascii="Times New Roman" w:eastAsia="Times New Roman" w:hAnsi="Times New Roman" w:cs="Times New Roman"/>
          <w:b/>
          <w:color w:val="000000"/>
          <w:sz w:val="26"/>
          <w:szCs w:val="26"/>
        </w:rPr>
        <w:t>4.3.4. The Effect of Green Intellectual Capital on Green Accounting on Firm Value</w:t>
      </w:r>
      <w:bookmarkEnd w:id="142"/>
    </w:p>
    <w:p w14:paraId="0CDFC30F" w14:textId="1C9776ED" w:rsidR="004320B0" w:rsidRPr="007E7CB6" w:rsidRDefault="00000000" w:rsidP="004320B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interaction test results between Green Accounting × Green Intellectual Capital (X1M) show a significance value of 0.376 &gt; 0.05 with a t-value of 0.892 &lt; 1.66235, thus rejecting Hypothesis 4</w:t>
      </w:r>
      <w:r w:rsidR="004320B0">
        <w:rPr>
          <w:rFonts w:ascii="Times New Roman" w:eastAsia="Times New Roman" w:hAnsi="Times New Roman" w:cs="Times New Roman"/>
          <w:sz w:val="24"/>
          <w:szCs w:val="24"/>
        </w:rPr>
        <w:t xml:space="preserve"> (H4)</w:t>
      </w:r>
      <w:r w:rsidRPr="007E7CB6">
        <w:rPr>
          <w:rFonts w:ascii="Times New Roman" w:eastAsia="Times New Roman" w:hAnsi="Times New Roman" w:cs="Times New Roman"/>
          <w:sz w:val="24"/>
          <w:szCs w:val="24"/>
        </w:rPr>
        <w:t>. This means that Green Intellectual Capital (GIC) cannot significantly moderate the relationship between Green Accounting and firm value.</w:t>
      </w:r>
    </w:p>
    <w:p w14:paraId="4AB1F8B7" w14:textId="77777777" w:rsidR="001A1A34" w:rsidRDefault="004320B0" w:rsidP="001A1A34">
      <w:pPr>
        <w:spacing w:line="480" w:lineRule="auto"/>
        <w:ind w:firstLine="720"/>
        <w:jc w:val="both"/>
        <w:rPr>
          <w:rFonts w:ascii="Times New Roman" w:hAnsi="Times New Roman" w:cs="Times New Roman"/>
          <w:sz w:val="24"/>
          <w:szCs w:val="24"/>
        </w:rPr>
      </w:pPr>
      <w:r w:rsidRPr="001A1A34">
        <w:rPr>
          <w:rFonts w:ascii="Times New Roman" w:hAnsi="Times New Roman" w:cs="Times New Roman"/>
          <w:sz w:val="24"/>
          <w:szCs w:val="24"/>
        </w:rPr>
        <w:t>According to</w:t>
      </w:r>
      <w:r w:rsidRPr="001A1A34">
        <w:rPr>
          <w:rFonts w:ascii="Times New Roman" w:hAnsi="Times New Roman" w:cs="Times New Roman"/>
          <w:b/>
          <w:bCs/>
          <w:sz w:val="24"/>
          <w:szCs w:val="24"/>
        </w:rPr>
        <w:t xml:space="preserve"> </w:t>
      </w:r>
      <w:r w:rsidRPr="001A1A34">
        <w:rPr>
          <w:rStyle w:val="Strong"/>
          <w:rFonts w:ascii="Times New Roman" w:hAnsi="Times New Roman" w:cs="Times New Roman"/>
          <w:b w:val="0"/>
          <w:bCs w:val="0"/>
          <w:sz w:val="24"/>
          <w:szCs w:val="24"/>
        </w:rPr>
        <w:t>Legitimacy Theory</w:t>
      </w:r>
      <w:r w:rsidRPr="001A1A34">
        <w:rPr>
          <w:rFonts w:ascii="Times New Roman" w:hAnsi="Times New Roman" w:cs="Times New Roman"/>
          <w:b/>
          <w:bCs/>
          <w:sz w:val="24"/>
          <w:szCs w:val="24"/>
        </w:rPr>
        <w:t>,</w:t>
      </w:r>
      <w:r w:rsidRPr="001A1A34">
        <w:rPr>
          <w:rFonts w:ascii="Times New Roman" w:hAnsi="Times New Roman" w:cs="Times New Roman"/>
          <w:sz w:val="24"/>
          <w:szCs w:val="24"/>
        </w:rPr>
        <w:t xml:space="preserve"> companies are expected to align their operations with social norms and stakeholder expectations to gain legitimacy and </w:t>
      </w:r>
      <w:r w:rsidRPr="001A1A34">
        <w:rPr>
          <w:rFonts w:ascii="Times New Roman" w:hAnsi="Times New Roman" w:cs="Times New Roman"/>
          <w:sz w:val="24"/>
          <w:szCs w:val="24"/>
        </w:rPr>
        <w:lastRenderedPageBreak/>
        <w:t>enhance firm value. In theory, GIC which encompasses environmental human capital, structural capital, and relational capital should reinforce the implementation of Green Accounting by providing competencies, systems, and organizational mechanisms that ensure high-quality environmental reporting. With stronger GIC, Green Accounting practices would be more credible and perceived as a genuine effort to address environmental issues, thereby strengthening legitimacy in the eyes of stakeholders and positively influencing firm value.</w:t>
      </w:r>
    </w:p>
    <w:p w14:paraId="46C25298" w14:textId="77777777" w:rsidR="001A1A34" w:rsidRDefault="001A1A34" w:rsidP="001A1A34">
      <w:pPr>
        <w:spacing w:line="480" w:lineRule="auto"/>
        <w:ind w:firstLine="720"/>
        <w:jc w:val="both"/>
        <w:rPr>
          <w:rFonts w:ascii="Times New Roman" w:hAnsi="Times New Roman" w:cs="Times New Roman"/>
          <w:sz w:val="24"/>
          <w:szCs w:val="24"/>
        </w:rPr>
      </w:pPr>
      <w:r w:rsidRPr="001A1A34">
        <w:rPr>
          <w:rFonts w:ascii="Times New Roman" w:eastAsia="Times New Roman" w:hAnsi="Times New Roman" w:cs="Times New Roman"/>
          <w:sz w:val="24"/>
          <w:szCs w:val="24"/>
          <w:lang w:val="en-US"/>
        </w:rPr>
        <w:t>However, based on observations of the research data, the implementation of GIC in Indonesian energy sector companies remains limited and not systematically disclosed. Many companies fail to highlight competencies in environmental management, integrated reporting systems, or partnerships with stakeholders that could enhance the impact of Green Accounting. As a result, investors and markets find it difficult to evaluate the role of GIC, given its intangible nature, measurement challenges, and minimal formal disclosure.</w:t>
      </w:r>
    </w:p>
    <w:p w14:paraId="2BB89B2A" w14:textId="1F004A2C" w:rsidR="00153781" w:rsidRPr="001A1A34" w:rsidRDefault="001A1A34" w:rsidP="001A1A34">
      <w:pPr>
        <w:spacing w:line="480" w:lineRule="auto"/>
        <w:ind w:firstLine="720"/>
        <w:jc w:val="both"/>
        <w:rPr>
          <w:rFonts w:ascii="Times New Roman" w:hAnsi="Times New Roman" w:cs="Times New Roman"/>
          <w:sz w:val="24"/>
          <w:szCs w:val="24"/>
        </w:rPr>
      </w:pPr>
      <w:r w:rsidRPr="001A1A34">
        <w:rPr>
          <w:rFonts w:ascii="Times New Roman" w:eastAsia="Times New Roman" w:hAnsi="Times New Roman" w:cs="Times New Roman"/>
          <w:sz w:val="24"/>
          <w:szCs w:val="24"/>
          <w:lang w:val="en-US"/>
        </w:rPr>
        <w:t xml:space="preserve">These findings align with </w:t>
      </w:r>
      <w:sdt>
        <w:sdtPr>
          <w:rPr>
            <w:rFonts w:ascii="Times New Roman" w:eastAsia="Times New Roman" w:hAnsi="Times New Roman" w:cs="Times New Roman"/>
            <w:color w:val="000000"/>
            <w:sz w:val="24"/>
            <w:szCs w:val="24"/>
            <w:lang w:val="en-US"/>
          </w:rPr>
          <w:tag w:val="MENDELEY_CITATION_v3_eyJjaXRhdGlvbklEIjoiTUVOREVMRVlfQ0lUQVRJT05fNWY4NzgzYWUtMzgyZC00ZjQzLTgzZTAtYzYzOGM5NmMxZjE4IiwicHJvcGVydGllcyI6eyJub3RlSW5kZXgiOjB9LCJpc0VkaXRlZCI6ZmFsc2UsIm1hbnVhbE92ZXJyaWRlIjp7ImlzTWFudWFsbHlPdmVycmlkZGVuIjpmYWxzZSwiY2l0ZXByb2NUZXh0IjoiKE1hcnTDrW5lei1GYWxjw7MgZXQgYWwuLCAyMDI1KSIsIm1hbnVhbE92ZXJyaWRlVGV4dCI6IiJ9LCJjaXRhdGlvbkl0ZW1zIjpbeyJpZCI6ImFlZDJhMzMwLWM2ZWUtMzU3Ny1hODJmLWExNWVjZWI1ODhlZiIsIml0ZW1EYXRhIjp7InR5cGUiOiJhcnRpY2xlLWpvdXJuYWwiLCJpZCI6ImFlZDJhMzMwLWM2ZWUtMzU3Ny1hODJmLWExNWVjZWI1ODhlZiIsInRpdGxlIjoiVGhlIEluZmx1ZW5jZSBvZiBHcmVlbiBJbnRlbGxlY3R1YWwgQ2FwaXRhbCBvbiBDb21wZXRpdGl2ZSBBZHZhbnRhZ2U6IEEgTWVkaWF0aW9uIEFuYWx5c2lzIGluIFNwYW5pc2ggV2luZXJpZXMiLCJhdXRob3IiOlt7ImZhbWlseSI6Ik1hcnTDrW5lei1GYWxjw7MiLCJnaXZlbiI6IkphdmllciIsInBhcnNlLW5hbWVzIjpmYWxzZSwiZHJvcHBpbmctcGFydGljbGUiOiIiLCJub24tZHJvcHBpbmctcGFydGljbGUiOiIifSx7ImZhbWlseSI6IlPDoW5jaGV6LUdhcmPDrWEiLCJnaXZlbiI6IkVkdWFyZG8iLCJwYXJzZS1uYW1lcyI6ZmFsc2UsImRyb3BwaW5nLXBhcnRpY2xlIjoiIiwibm9uLWRyb3BwaW5nLXBhcnRpY2xlIjoiIn0seyJmYW1pbHkiOiJNYXJjby1MYWphcmEiLCJnaXZlbiI6IkJhcnRvbG9tw6kiLCJwYXJzZS1uYW1lcyI6ZmFsc2UsImRyb3BwaW5nLXBhcnRpY2xlIjoiIiwibm9uLWRyb3BwaW5nLXBhcnRpY2xlIjoiIn0seyJmYW1pbHkiOiJWaXNzZXIiLCJnaXZlbiI6Ikd1c3RhdiIsInBhcnNlLW5hbWVzIjpmYWxzZSwiZHJvcHBpbmctcGFydGljbGUiOiIiLCJub24tZHJvcHBpbmctcGFydGljbGUiOiIifV0sImNvbnRhaW5lci10aXRsZSI6IkpvdXJuYWwgb2YgdGhlIEtub3dsZWRnZSBFY29ub215IiwiRE9JIjoiMTAuMTAwNy9zMTMxMzItMDI1LTAyODExLTkiLCJJU1NOIjoiMTg2ODc4NzMiLCJpc3N1ZWQiOnsiZGF0ZS1wYXJ0cyI6W1syMDI1XV19LCJhYnN0cmFjdCI6IlRoaXMgc3R1ZHkgZXhwbG9yZXMgdGhlIGluZmx1ZW5jZSBvZiBncmVlbiBpbnRlbGxlY3R1YWwgY2FwaXRhbCAoR0lDKSBvbiB0aGUgY29tcGV0aXRpdmUgYWR2YW50YWdlIG9mIFNwYW5pc2ggd2luZXJpZXMsIGZvY3VzaW5nIG9uIHRoZSByb2xlIG9mIGdyZWVuaW5nIHN1cHBsaWVycyBhbmQgZ3JlZW4gYnJhbmQgaW1hZ2UgaW4gdGhlIEdJQy1jb21wZXRpdGl2ZSBhZHZhbnRhZ2UgcmVsYXRpb25zaGlwLiBUaGUgb2JqZWN0aXZlIGlzIHRvIHVuZGVyc3RhbmQgaG93IHRoZSBkZXZlbG9wbWVudCBvZiBlbnZpcm9ubWVudGFsIGtub3dsZWRnZSBhbmQgY2FwYWJpbGl0aWVzIHdpdGhpbiBvcmdhbml6YXRpb25zIGNhbiB0cmFuc2xhdGUgaW50byBpbXByb3ZlZCBjb21wZXRpdGl2ZW5lc3MgdGhyb3VnaCBjb25jcmV0ZSBtZWNoYW5pc21zIHJlbGF0ZWQgdG8gc3VwcGx5IGNoYWluIHByYWN0aWNlcyBhbmQgYnJhbmQgcGVyY2VwdGlvbi4gVGhlIGVtcGlyaWNhbCBhbmFseXNpcyBpcyBiYXNlZCBvbiBkYXRhIGNvbGxlY3RlZCBmcm9tIDE5NiBTcGFuaXNoIHdpbmVyaWVzIGFuZCBleGFtaW5lZCB1c2luZyBwYXJ0aWFsIGxlYXN0IHNxdWFyZXMgc3RydWN0dXJhbCBlcXVhdGlvbiBtb2RlbGluZyAoUExTLVNFTSkuIFRoaXMgdGVjaG5pcXVlIHdhcyBzZWxlY3RlZCBkdWUgdG8gaXRzIHN1aXRhYmlsaXR5IGZvciB0ZXN0aW5nIGNvbXBsZXggbW9kZWxzIHdpdGggbGF0ZW50IHZhcmlhYmxlcyBhbmQgbWVkaWF0aW5nIGVmZmVjdHMsIGFuZCBmb3IgaXRzIGNhcGFjaXR5IHRvIGhhbmRsZSBub24tbm9ybWFsIGRhdGEgZGlzdHJpYnV0aW9ucyB3aXRoIHJlbGF0aXZlbHkgc21hbGwgc2FtcGxlcy4gVGhlc2UgZmluZGluZ3MgaGF2ZSBwcmFjdGljYWwgaW1wbGljYXRpb25zLCBhcyB0aGV5IHVuZGVyc2NvcmUgdGhlIHN0cmF0ZWdpYyB2YWx1ZSBvZiBpbnZlc3RpbmcgaW4gZ3JlZW4ga25vd2xlZGdlIHRvIGZvc3RlciBjb2xsYWJvcmF0aW9uIHdpdGggZW52aXJvbm1lbnRhbGx5IHJlc3BvbnNpYmxlIHN1cHBsaWVycyBhbmQgZW5oYW5jZSBicmFuZCBwb3NpdGlvbmluZy4gVGhlIHJlc3VsdHMgY29uZmlybSBhIHBvc2l0aXZlIGFuZCBzaWduaWZpY2FudCByZWxhdGlvbnNoaXAgYmV0d2VlbiBHSUMgYW5kIGNvbXBldGl0aXZlIGFkdmFudGFnZS4gRnVydGhlcm1vcmUsIHRoZXkgcmV2ZWFsIHRoYXQgZ3JlZW5pbmcgc3VwcGxpZXJzIGFuZCBncmVlbiBicmFuZCBpbWFnZSBwYXJ0aWFsbHkgbWVkaWF0ZSB0aGlzIHJlbGF0aW9uc2hpcC4gVGhpcyByZXNlYXJjaCBtYWtlcyBhbiBvcmlnaW5hbCBjb250cmlidXRpb24gYnkgYWRkcmVzc2luZyB0d28gZ2FwcyBpbiB0aGUgbGl0ZXJhdHVyZTsgb24gdGhlIG9uZSBoYW5kLCBpdCBpcyB0aGUgZmlyc3QgZW1waXJpY2FsIHN0dWR5IHRvIGV4cGxvcmUgZ3JlZW5pbmcgc3VwcGxpZXJzIGFuZCBncmVlbiBicmFuZCBpbWFnZSBhcyBtZWRpYXRpbmcgdmFyaWFibGVzIGluIHRoZSBHSUMtY29tcGV0aXRpdmUgYWR2YW50YWdlIHJlbGF0aW9uc2hpcCBhbmQsIG9uIHRoZSBvdGhlciBoYW5kLCBpdCBhcHBsaWVzIHRoaXMgZnJhbWV3b3JrIHRvIHRoZSB3aW5lIGluZHVzdHJ5LCBhIHNlY3RvciB0aGF0IGhhcyByZWNlaXZlZCBsaXR0bGUgYXR0ZW50aW9uIGluIHRoaXMgZmllbGQgZGVzcGl0ZSBpdHMgZ3Jvd2luZyBleHBvc3VyZSB0byBlbnZpcm9ubWVudGFsIHByZXNzdXJlcyBhbmQgaXRzIHN0cmF0ZWdpYyByZWxldmFuY2UgZm9yIHRoZSBTcGFuaXNoIGVjb25vbXkuIiwicHVibGlzaGVyIjoiU3ByaW5nZXIiLCJjb250YWluZXItdGl0bGUtc2hvcnQiOiIifSwiaXNUZW1wb3JhcnkiOmZhbHNlLCJzdXBwcmVzcy1hdXRob3IiOmZhbHNlLCJjb21wb3NpdGUiOmZhbHNlLCJhdXRob3Itb25seSI6ZmFsc2V9XX0="/>
          <w:id w:val="-1377688217"/>
          <w:placeholder>
            <w:docPart w:val="DefaultPlaceholder_-1854013440"/>
          </w:placeholder>
        </w:sdtPr>
        <w:sdtContent>
          <w:r w:rsidRPr="001A1A34">
            <w:rPr>
              <w:rFonts w:ascii="Times New Roman" w:eastAsia="Times New Roman" w:hAnsi="Times New Roman" w:cs="Times New Roman"/>
              <w:color w:val="000000"/>
              <w:sz w:val="24"/>
              <w:szCs w:val="24"/>
              <w:lang w:val="en-US"/>
            </w:rPr>
            <w:t>(Martínez-Falcó et al., 2025)</w:t>
          </w:r>
        </w:sdtContent>
      </w:sdt>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who emphasize that GIC tends to be more effective as a mediating variable rather than as a moderator. This study confirms that without systemic integration into managerial and operational practices, GIC cannot effectively strengthen the relationship between Green Accounting and firm value. In the context of legitimacy, this suggests that GIC has not yet been leveraged as a strategic instrument to reinforce the credibility of environmental accounting, thereby limiting its ability to contribute to sustained legitimacy and firm value creation.</w:t>
      </w:r>
    </w:p>
    <w:p w14:paraId="64255BD1" w14:textId="77777777" w:rsidR="00153781" w:rsidRPr="007E7CB6" w:rsidRDefault="00000000">
      <w:pPr>
        <w:pStyle w:val="Heading3"/>
        <w:keepNext w:val="0"/>
        <w:keepLines w:val="0"/>
        <w:spacing w:before="280" w:line="480" w:lineRule="auto"/>
        <w:ind w:left="720" w:hanging="630"/>
        <w:jc w:val="both"/>
        <w:rPr>
          <w:rFonts w:ascii="Times New Roman" w:eastAsia="Times New Roman" w:hAnsi="Times New Roman" w:cs="Times New Roman"/>
          <w:b/>
          <w:color w:val="000000"/>
          <w:sz w:val="26"/>
          <w:szCs w:val="26"/>
        </w:rPr>
      </w:pPr>
      <w:bookmarkStart w:id="143" w:name="_heading=h.6kr26gofgyn9" w:colFirst="0" w:colLast="0"/>
      <w:bookmarkStart w:id="144" w:name="_Toc210744266"/>
      <w:bookmarkEnd w:id="143"/>
      <w:r w:rsidRPr="007E7CB6">
        <w:rPr>
          <w:rFonts w:ascii="Times New Roman" w:eastAsia="Times New Roman" w:hAnsi="Times New Roman" w:cs="Times New Roman"/>
          <w:b/>
          <w:color w:val="000000"/>
          <w:sz w:val="26"/>
          <w:szCs w:val="26"/>
        </w:rPr>
        <w:lastRenderedPageBreak/>
        <w:t>4.3.5. The Effect of Green Intellectual Capital on the Carbon Emission Disclosure Structure on Firm Value</w:t>
      </w:r>
      <w:bookmarkEnd w:id="144"/>
    </w:p>
    <w:p w14:paraId="18718DEC" w14:textId="77777777"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Based on the t-test results in Table 4.10, the t-value for the interaction between Carbon Emission Disclosure (CED) and Green Intellectual Capital (GIC) is -3.531, with a significance value of &lt; 0.001. Therefore, Hypothesis 5 (H5) is accepted, indicating that GIC significantly moderates the effect of CED on firm value.</w:t>
      </w:r>
    </w:p>
    <w:p w14:paraId="575E66D5" w14:textId="77777777"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Interestingly, the coefficient is negative, suggesting that while GIC moderates the relationship, the effect does not necessarily strengthen it. Within the lens of Legitimacy Theory, disclosure of environmental information should build trust and enhance legitimacy if it is backed by credible internal resources such as skilled human capital, reliable reporting systems, and organizational structures that support sustainability. When disclosure is supported by strong GIC, it signals genuine environmental responsibility and fosters legitimacy in the market. Conversely, when disclosures are not backed by robust GIC, stakeholders may interpret them as symbolic gestures or even greenwashing, which undermines legitimacy and decreases firm value.</w:t>
      </w:r>
    </w:p>
    <w:p w14:paraId="5B9BD9E3" w14:textId="1F0BA705"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The research data reveal that many energy sector companies disclose carbon emissions in sustainability reports, but these disclosures are often narrative, general, and lack quantitative rigor. In the absence of adequate GIC</w:t>
      </w:r>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such as trained sustainability experts, integrated carbon management systems, or systematic data reporting</w:t>
      </w:r>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 xml:space="preserve">such disclosures appear less credible to investors. This explains the </w:t>
      </w:r>
      <w:r w:rsidRPr="001A1A34">
        <w:rPr>
          <w:rFonts w:ascii="Times New Roman" w:eastAsia="Times New Roman" w:hAnsi="Times New Roman" w:cs="Times New Roman"/>
          <w:sz w:val="24"/>
          <w:szCs w:val="24"/>
          <w:lang w:val="en-US"/>
        </w:rPr>
        <w:lastRenderedPageBreak/>
        <w:t>negative moderating effect: disclosures made without substantive internal capabilities may reduce rather than enhance legitimacy.</w:t>
      </w:r>
    </w:p>
    <w:p w14:paraId="35DC1E77" w14:textId="1A32AF3D" w:rsidR="00153781"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These findings are consistent with</w:t>
      </w:r>
      <w:r>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OGJkNWFiMTItOWY5OS00ZTdiLTg5YjQtNjRkMWVkNmQ0NTczIiwicHJvcGVydGllcyI6eyJub3RlSW5kZXgiOjB9LCJpc0VkaXRlZCI6ZmFsc2UsIm1hbnVhbE92ZXJyaWRlIjp7ImlzTWFudWFsbHlPdmVycmlkZGVuIjpmYWxzZSwiY2l0ZXByb2NUZXh0IjoiKEhha2tpIGV0IGFsLiwgMjAyNCkiLCJtYW51YWxPdmVycmlkZVRleHQiOiIifSwiY2l0YXRpb25JdGVtcyI6W3siaWQiOiI0OTIyYzU3NC00YWQ3LTNjNTUtOWRiYi1jYmVkNDY3YzM3NmUiLCJpdGVtRGF0YSI6eyJ0eXBlIjoiYXJ0aWNsZS1qb3VybmFsIiwiaWQiOiI0OTIyYzU3NC00YWQ3LTNjNTUtOWRiYi1jYmVkNDY3YzM3NmUiLCJ0aXRsZSI6IlRoZSBFZmZlY3Qgb2YgQ2FyYm9uIE1hbmFnZW1lbnQgQWNjb3VudGluZywgQ29tcGV0aXRpdmUgQnVzaW5lc3MgU3RyYXRlZ2ljIGFuZCBDYXJib24gRW1pc3Npb24gRGlzY2xvc3VyZSBvbiBDb21wYW55IFBlcmZvcm1hbmNlIE1vZGVyYXRlZCBieSBHcmVlbiBJbnRlbGxlY3R1YWwgQ2FwaXRhbCIsImF1dGhvciI6W3siZmFtaWx5IjoiSGFra2kiLCJnaXZlbiI6IlRhbmRyeSBXaGl0dGxlbGlhbmciLCJwYXJzZS1uYW1lcyI6ZmFsc2UsImRyb3BwaW5nLXBhcnRpY2xlIjoiIiwibm9uLWRyb3BwaW5nLXBhcnRpY2xlIjoiIn0seyJmYW1pbHkiOiJBa3dpbGEiLCJnaXZlbiI6IkthcnZpY2hhIiwicGFyc2UtbmFtZXMiOmZhbHNlLCJkcm9wcGluZy1wYXJ0aWNsZSI6IiIsIm5vbi1kcm9wcGluZy1wYXJ0aWNsZSI6IiJ9LHsiZmFtaWx5IjoiSnVyamFudGEiLCJnaXZlbiI6IlByaWNjaWx5YSIsInBhcnNlLW5hbWVzIjpmYWxzZSwiZHJvcHBpbmctcGFydGljbGUiOiIiLCJub24tZHJvcHBpbmctcGFydGljbGUiOiIifV0sIkRPSSI6IjEwLjM4MDM1L2phZm0udjVpNSIsImlzc3VlZCI6eyJkYXRlLXBhcnRzIjpbWzIwMjRdXX0sImNvbnRhaW5lci10aXRsZS1zaG9ydCI6IiJ9LCJpc1RlbXBvcmFyeSI6ZmFsc2UsInN1cHByZXNzLWF1dGhvciI6ZmFsc2UsImNvbXBvc2l0ZSI6ZmFsc2UsImF1dGhvci1vbmx5IjpmYWxzZX1dfQ=="/>
          <w:id w:val="-1941835385"/>
          <w:placeholder>
            <w:docPart w:val="DefaultPlaceholder_-1854013440"/>
          </w:placeholder>
        </w:sdtPr>
        <w:sdtContent>
          <w:r w:rsidRPr="001A1A34">
            <w:rPr>
              <w:rFonts w:ascii="Times New Roman" w:eastAsia="Times New Roman" w:hAnsi="Times New Roman" w:cs="Times New Roman"/>
              <w:color w:val="000000"/>
              <w:sz w:val="24"/>
              <w:szCs w:val="24"/>
              <w:lang w:val="en-US"/>
            </w:rPr>
            <w:t>(Hakki et al., 2024)</w:t>
          </w:r>
        </w:sdtContent>
      </w:sdt>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who argue that the combination of substantive environmental practices and transparent disclosure is what generates legitimacy and boosts firm value. The results of this study confirm that GIC is crucial in transforming environmental disclosure into a credible legitimacy strategy. Therefore, to achieve positive value creation, carbon emission disclosure must be accompanied by strong GIC that supports transparency with real capabilities and measurable results.</w:t>
      </w:r>
    </w:p>
    <w:p w14:paraId="58897CCB" w14:textId="77777777" w:rsidR="00153781" w:rsidRPr="007E7CB6" w:rsidRDefault="00000000">
      <w:pPr>
        <w:pStyle w:val="Heading3"/>
        <w:keepNext w:val="0"/>
        <w:keepLines w:val="0"/>
        <w:spacing w:before="0" w:after="0" w:line="480" w:lineRule="auto"/>
        <w:ind w:left="810" w:hanging="810"/>
        <w:jc w:val="both"/>
        <w:rPr>
          <w:rFonts w:ascii="Times New Roman" w:eastAsia="Times New Roman" w:hAnsi="Times New Roman" w:cs="Times New Roman"/>
          <w:b/>
          <w:color w:val="000000"/>
          <w:sz w:val="26"/>
          <w:szCs w:val="26"/>
        </w:rPr>
      </w:pPr>
      <w:bookmarkStart w:id="145" w:name="_heading=h.32mv6z4lxz9b" w:colFirst="0" w:colLast="0"/>
      <w:bookmarkStart w:id="146" w:name="_Toc210744267"/>
      <w:bookmarkEnd w:id="145"/>
      <w:r w:rsidRPr="007E7CB6">
        <w:rPr>
          <w:rFonts w:ascii="Times New Roman" w:eastAsia="Times New Roman" w:hAnsi="Times New Roman" w:cs="Times New Roman"/>
          <w:b/>
          <w:color w:val="000000"/>
          <w:sz w:val="26"/>
          <w:szCs w:val="26"/>
        </w:rPr>
        <w:t>4.3.6. The Effect of Green Intellectual Capital on Green Capital Structure on Firm Value</w:t>
      </w:r>
      <w:bookmarkEnd w:id="146"/>
    </w:p>
    <w:p w14:paraId="19CFCC17" w14:textId="340A9908"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 xml:space="preserve">The interaction test results between Green Capital Structure × Green Intellectual Capital (X3M) produced a significance value of 0.834 &gt; 0.05 and a t-count of -0.210 &lt; 1.66235, indicating that Hypothesis 6 </w:t>
      </w:r>
      <w:r>
        <w:rPr>
          <w:rFonts w:ascii="Times New Roman" w:eastAsia="Times New Roman" w:hAnsi="Times New Roman" w:cs="Times New Roman"/>
          <w:sz w:val="24"/>
          <w:szCs w:val="24"/>
          <w:lang w:val="en-US"/>
        </w:rPr>
        <w:t xml:space="preserve">(H6) </w:t>
      </w:r>
      <w:r w:rsidRPr="001A1A34">
        <w:rPr>
          <w:rFonts w:ascii="Times New Roman" w:eastAsia="Times New Roman" w:hAnsi="Times New Roman" w:cs="Times New Roman"/>
          <w:sz w:val="24"/>
          <w:szCs w:val="24"/>
          <w:lang w:val="en-US"/>
        </w:rPr>
        <w:t>was rejected. This means that GIC does not significantly moderate the relationship between Green Capital Structure and firm value.</w:t>
      </w:r>
    </w:p>
    <w:p w14:paraId="53D5471C" w14:textId="2E913B92"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From the perspective of Legitimacy Theory, financing decisions that integrate environmental considerations</w:t>
      </w:r>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such as issuing green bonds or allocating funds for renewable energy</w:t>
      </w:r>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 xml:space="preserve">should enhance legitimacy when they are supported by internal intellectual capital. GIC is theoretically expected to strengthen this relationship by ensuring that green financing is embedded within broader sustainability strategies, managed by competent human resources, and transparently reported through robust systems. With such support, green financing would not only </w:t>
      </w:r>
      <w:r w:rsidRPr="001A1A34">
        <w:rPr>
          <w:rFonts w:ascii="Times New Roman" w:eastAsia="Times New Roman" w:hAnsi="Times New Roman" w:cs="Times New Roman"/>
          <w:sz w:val="24"/>
          <w:szCs w:val="24"/>
          <w:lang w:val="en-US"/>
        </w:rPr>
        <w:lastRenderedPageBreak/>
        <w:t>serve as compliance but also as a credibility-building mechanism, reinforcing legitimacy and improving firm value.</w:t>
      </w:r>
    </w:p>
    <w:p w14:paraId="3815D2F2" w14:textId="77777777"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Nevertheless, the findings indicate that the role of GIC in this relationship is not yet significant. Research data show that GIC practices, such as environmental training, sustainability-oriented knowledge management, or decision-making systems for green financing, are not consistently disclosed by energy companies in Indonesia. Furthermore, weak institutional frameworks for intangible asset reporting make it difficult for stakeholders to recognize and evaluate the contribution of GIC in financing strategies. As a result, the moderating role of GIC in this relationship remains unrecognized in the market.</w:t>
      </w:r>
    </w:p>
    <w:p w14:paraId="384A6ECC" w14:textId="2FB9165C" w:rsidR="001A1A34" w:rsidRPr="001A1A34" w:rsidRDefault="001A1A34" w:rsidP="001A1A34">
      <w:pPr>
        <w:spacing w:line="480" w:lineRule="auto"/>
        <w:ind w:firstLine="720"/>
        <w:jc w:val="both"/>
        <w:rPr>
          <w:rFonts w:ascii="Times New Roman" w:eastAsia="Times New Roman" w:hAnsi="Times New Roman" w:cs="Times New Roman"/>
          <w:sz w:val="24"/>
          <w:szCs w:val="24"/>
          <w:lang w:val="en-US"/>
        </w:rPr>
      </w:pPr>
      <w:r w:rsidRPr="001A1A34">
        <w:rPr>
          <w:rFonts w:ascii="Times New Roman" w:eastAsia="Times New Roman" w:hAnsi="Times New Roman" w:cs="Times New Roman"/>
          <w:sz w:val="24"/>
          <w:szCs w:val="24"/>
          <w:lang w:val="en-US"/>
        </w:rPr>
        <w:t xml:space="preserve">This conclusion is in line with </w:t>
      </w:r>
      <w:sdt>
        <w:sdtPr>
          <w:rPr>
            <w:rFonts w:ascii="Times New Roman" w:eastAsia="Times New Roman" w:hAnsi="Times New Roman" w:cs="Times New Roman"/>
            <w:color w:val="000000"/>
            <w:sz w:val="24"/>
            <w:szCs w:val="24"/>
            <w:lang w:val="en-US"/>
          </w:rPr>
          <w:tag w:val="MENDELEY_CITATION_v3_eyJjaXRhdGlvbklEIjoiTUVOREVMRVlfQ0lUQVRJT05fOGQ4YWVhOTMtYTFkYy00ZGJlLThmZDctZDVkNGU3YmVmMDNiIiwicHJvcGVydGllcyI6eyJub3RlSW5kZXgiOjB9LCJpc0VkaXRlZCI6ZmFsc2UsIm1hbnVhbE92ZXJyaWRlIjp7ImlzTWFudWFsbHlPdmVycmlkZGVuIjpmYWxzZSwiY2l0ZXByb2NUZXh0IjoiKFpoYW5nICYjMzg7IFdhbmcsIDIwMjMpIiwibWFudWFsT3ZlcnJpZGVUZXh0IjoiIn0sImNpdGF0aW9uSXRlbXMiOlt7ImlkIjoiOTk3ODA3MzktMjA4MC0zNTJhLWJmMmQtMzlmOTRjZjZhNDg5IiwiaXRlbURhdGEiOnsidHlwZSI6ImFydGljbGUtam91cm5hbCIsImlkIjoiOTk3ODA3MzktMjA4MC0zNTJhLWJmMmQtMzlmOTRjZjZhNDg5IiwidGl0bGUiOiJEb2VzIGVudmlyb25tZW50YWwgaW5mb3JtYXRpb24gZGlzY2xvc3VyZSBkcml2ZSBjb3Jwb3JhdGUgc3VzdGFpbmFibGUgZ3Jvd3RoPyBBIG5ldyBpbnNpZ2h0IGludG8gVS1zaGFwZWQgcmVsYXRpb25zaGlwIiwiYXV0aG9yIjpbeyJmYW1pbHkiOiJaaGFuZyIsImdpdmVuIjoiSmluc29uZyIsInBhcnNlLW5hbWVzIjpmYWxzZSwiZHJvcHBpbmctcGFydGljbGUiOiIiLCJub24tZHJvcHBpbmctcGFydGljbGUiOiIifSx7ImZhbWlseSI6IldhbmciLCJnaXZlbiI6Ik1lbmdtZW5nIiwicGFyc2UtbmFtZXMiOmZhbHNlLCJkcm9wcGluZy1wYXJ0aWNsZSI6IiIsIm5vbi1kcm9wcGluZy1wYXJ0aWNsZSI6IiJ9XSwiY29udGFpbmVyLXRpdGxlIjoiRnJvbnRpZXJzIGluIEVjb2xvZ3kgYW5kIEV2b2x1dGlvbiIsImNvbnRhaW5lci10aXRsZS1zaG9ydCI6IkZyb250IEVjb2wgRXZvbCIsIkRPSSI6IjEwLjMzODkvZmV2by4yMDIzLjExODkwNTIiLCJJU1NOIjoiMjI5NjcwMVgiLCJpc3N1ZWQiOnsiZGF0ZS1wYXJ0cyI6W1syMDIzXV19LCJhYnN0cmFjdCI6IkR1ZSB0byB0aGUgaW5jcmVhc2luZyByYXRlIG9mIGVjb25vbWljIGRldmVsb3BtZW50IGFuZCB0aGUgaW5jcmVhc2luZ2x5IHNlcmlvdXMgcHJvYmxlbSBvZiBlbnZpcm9ubWVudGFsIGRlZ3JhZGF0aW9uLCBlbnZpcm9ubWVudGFsIGluZm9ybWF0aW9uIGRpc2Nsb3N1cmUgaGFzIGJlY29tZSBhbiBpbXBvcnRhbnQgYmFzaXMgZm9yIHByb21vdGluZyBjYXJib24gcGVha2luZyBhbmQgY2FyYm9uIG5ldXRyYWxpdHksIGFuZCBhbiBpbXBvcnRhbnQgd2F5IGZvciBlbnRlcnByaXNlcyB0byBjYXJyeSBvdXQgZ3JlZW4gZ292ZXJuYW5jZSB0byBhY2hpZXZlIHN1c3RhaW5hYmxlIGRldmVsb3BtZW50LiBUaGlzIHN0dWR5IHVzZXMgZW1waXJpY2FsIHJlc2VhcmNoIG1ldGhvZHMgdG8gYW5hbHl6ZSB0aGUgcmVsYXRpb25zaGlwIGJldHdlZW4gZW52aXJvbm1lbnRhbCBpbmZvcm1hdGlvbiBkaXNjbG9zdXJlIGFuZCBjb3Jwb3JhdGUgc3VzdGFpbmFibGUgZ3Jvd3RoIGluIHRoZSBjb250ZXh0IG9mIGdyZWVuIGdvdmVybmFuY2UgdXNpbmcgcGFuZWwgZGF0YSBvZiBDaGluZXNlIEEtc2hhcmUgbGlzdGVkIGNvbXBhbmllcyBpbiBTaGFuZ2hhaSBhbmQgU2hlbnpoZW4gZnJvbSAyMDEyIHRvIDIwMjEuIFRoZSBlbXBpcmljYWwgdGVzdHMgY29uY2x1ZGUgdGhhdCB0aGVyZSBpcyBhIFUtc2hhcGVkIHJlbGF0aW9uc2hpcCBiZXR3ZWVuIGVudmlyb25tZW50YWwgaW5mb3JtYXRpb24gZGlzY2xvc3VyZSBhbmQgY29ycG9yYXRlIHN1c3RhaW5hYmxlIGdyb3d0aCwgd2hpY2ggZGVjcmVhc2VzIGFuZCB0aGVuIGluY3JlYXNlcywgYW5kIHRoZSBVLXNoYXBlZCByZWxhdGlvbnNoaXAgaXMgdHJhbnNtaXR0ZWQgdGhyb3VnaCBpbm5vdmF0aW9uIGlucHV0cy4gVGhlIFUtc2hhcGVkIHJlbGF0aW9uc2hpcCBiZXR3ZWVuIGVudmlyb25tZW50YWwgaW5mb3JtYXRpb24gZGlzY2xvc3VyZSBhbmQgY29ycG9yYXRlIHN1c3RhaW5hYmxlIGdyb3d0aCBpcyB3ZWFrZW5lZCBieSBmaXJtIHNpemUgYW5kIGVuaGFuY2VkIGJ5IGVxdWl0eSBpbmNlbnRpdmVzLiBJbiBhZGRpdGlvbiwgZnVydGhlciBncm91cCBhbmFseXNpcyByZXZlYWxzIHRoYXQgdGhlIGFib3ZlIFUtc2hhcGVkIHJlbGF0aW9uc2hpcCBpcyBtb3JlIHNpZ25pZmljYW50IGluIG5vbi1zdGF0ZSBlbnRlcnByaXNlcyB0aGFuIGluIHN0YXRlLW93bmVkIGVudGVycHJpc2VzLiIsInB1Ymxpc2hlciI6IkZyb250aWVycyBNZWRpYSBTLkEuIiwidm9sdW1lIjoiMTEifSwiaXNUZW1wb3JhcnkiOmZhbHNlLCJzdXBwcmVzcy1hdXRob3IiOmZhbHNlLCJjb21wb3NpdGUiOmZhbHNlLCJhdXRob3Itb25seSI6ZmFsc2V9XX0="/>
          <w:id w:val="-714732278"/>
          <w:placeholder>
            <w:docPart w:val="DefaultPlaceholder_-1854013440"/>
          </w:placeholder>
        </w:sdtPr>
        <w:sdtContent>
          <w:r w:rsidRPr="001A1A34">
            <w:rPr>
              <w:rFonts w:ascii="Times New Roman" w:eastAsia="Times New Roman" w:hAnsi="Times New Roman" w:cs="Times New Roman"/>
              <w:color w:val="000000"/>
              <w:sz w:val="24"/>
            </w:rPr>
            <w:t>(Zhang &amp; Wang, 2023)</w:t>
          </w:r>
        </w:sdtContent>
      </w:sdt>
      <w:r w:rsidRPr="001A1A34">
        <w:rPr>
          <w:rFonts w:ascii="Times New Roman" w:eastAsia="Times New Roman" w:hAnsi="Times New Roman" w:cs="Times New Roman"/>
          <w:sz w:val="24"/>
          <w:szCs w:val="24"/>
          <w:lang w:val="en-US"/>
        </w:rPr>
        <w:t xml:space="preserve">, who found that environmental information disclosure impacts sustainable growth only when supported by tangible internal structures and systems. Similarly, </w:t>
      </w:r>
      <w:sdt>
        <w:sdtPr>
          <w:rPr>
            <w:rFonts w:ascii="Times New Roman" w:eastAsia="Times New Roman" w:hAnsi="Times New Roman" w:cs="Times New Roman"/>
            <w:color w:val="000000"/>
            <w:sz w:val="24"/>
            <w:szCs w:val="24"/>
            <w:lang w:val="en-US"/>
          </w:rPr>
          <w:tag w:val="MENDELEY_CITATION_v3_eyJjaXRhdGlvbklEIjoiTUVOREVMRVlfQ0lUQVRJT05fM2Y0MjkxMTItMzY5YS00N2RlLTlkMzYtNThjYzQxNTlkOTUy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
          <w:id w:val="282156403"/>
          <w:placeholder>
            <w:docPart w:val="DefaultPlaceholder_-1854013440"/>
          </w:placeholder>
        </w:sdtPr>
        <w:sdtContent>
          <w:r w:rsidRPr="001A1A34">
            <w:rPr>
              <w:rFonts w:ascii="Times New Roman" w:eastAsia="Times New Roman" w:hAnsi="Times New Roman" w:cs="Times New Roman"/>
              <w:color w:val="000000"/>
              <w:sz w:val="24"/>
              <w:szCs w:val="24"/>
              <w:lang w:val="en-US"/>
            </w:rPr>
            <w:t>(Benevene et al., 2021)</w:t>
          </w:r>
        </w:sdtContent>
      </w:sdt>
      <w:r>
        <w:rPr>
          <w:rFonts w:ascii="Times New Roman" w:eastAsia="Times New Roman" w:hAnsi="Times New Roman" w:cs="Times New Roman"/>
          <w:sz w:val="24"/>
          <w:szCs w:val="24"/>
          <w:lang w:val="en-US"/>
        </w:rPr>
        <w:t xml:space="preserve">, </w:t>
      </w:r>
      <w:r w:rsidRPr="001A1A34">
        <w:rPr>
          <w:rFonts w:ascii="Times New Roman" w:eastAsia="Times New Roman" w:hAnsi="Times New Roman" w:cs="Times New Roman"/>
          <w:sz w:val="24"/>
          <w:szCs w:val="24"/>
          <w:lang w:val="en-US"/>
        </w:rPr>
        <w:t>highlight that in developing countries, GIC has not consistently moderated the link between sustainability strategy and firm performance due to weak recognition and disclosure of intangible assets. In the context of legitimacy, this study reinforces that GIC can only enhance the credibility of green financing when it is systematically integrated into internal processes and transparently communicated. Without these elements, its potential to strengthen the legitimacy derived from Green Capital Structure remains limited.</w:t>
      </w:r>
    </w:p>
    <w:p w14:paraId="3B50ACD7" w14:textId="0453B191" w:rsidR="00153781" w:rsidRPr="007E7CB6" w:rsidRDefault="00153781">
      <w:pPr>
        <w:spacing w:line="480" w:lineRule="auto"/>
        <w:ind w:firstLine="720"/>
        <w:jc w:val="both"/>
        <w:rPr>
          <w:rFonts w:ascii="Times New Roman" w:eastAsia="Times New Roman" w:hAnsi="Times New Roman" w:cs="Times New Roman"/>
          <w:sz w:val="24"/>
          <w:szCs w:val="24"/>
        </w:rPr>
      </w:pPr>
    </w:p>
    <w:p w14:paraId="210380FC" w14:textId="77777777" w:rsidR="00153781" w:rsidRPr="007E7CB6" w:rsidRDefault="00153781">
      <w:pPr>
        <w:pBdr>
          <w:top w:val="nil"/>
          <w:left w:val="nil"/>
          <w:bottom w:val="nil"/>
          <w:right w:val="nil"/>
          <w:between w:val="nil"/>
        </w:pBdr>
        <w:spacing w:line="480" w:lineRule="auto"/>
        <w:ind w:firstLine="709"/>
        <w:jc w:val="both"/>
        <w:rPr>
          <w:rFonts w:ascii="Times New Roman" w:eastAsia="Times New Roman" w:hAnsi="Times New Roman" w:cs="Times New Roman"/>
          <w:sz w:val="24"/>
          <w:szCs w:val="24"/>
        </w:rPr>
      </w:pPr>
    </w:p>
    <w:p w14:paraId="1E7804F6" w14:textId="77777777" w:rsidR="00153781" w:rsidRPr="007E7CB6" w:rsidRDefault="00153781">
      <w:pPr>
        <w:spacing w:after="240"/>
        <w:rPr>
          <w:rFonts w:ascii="Times New Roman" w:hAnsi="Times New Roman" w:cs="Times New Roman"/>
        </w:rPr>
        <w:sectPr w:rsidR="00153781" w:rsidRPr="007E7CB6">
          <w:footerReference w:type="default" r:id="rId46"/>
          <w:footerReference w:type="first" r:id="rId47"/>
          <w:pgSz w:w="11906" w:h="16838"/>
          <w:pgMar w:top="2268" w:right="1701" w:bottom="1701" w:left="2268" w:header="720" w:footer="737" w:gutter="0"/>
          <w:cols w:space="720"/>
          <w:titlePg/>
        </w:sectPr>
      </w:pPr>
    </w:p>
    <w:p w14:paraId="7D631ACB"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147" w:name="_Toc210744268"/>
      <w:r w:rsidRPr="007E7CB6">
        <w:rPr>
          <w:rFonts w:ascii="Times New Roman" w:eastAsia="Times New Roman" w:hAnsi="Times New Roman" w:cs="Times New Roman"/>
          <w:b/>
          <w:sz w:val="24"/>
          <w:szCs w:val="24"/>
        </w:rPr>
        <w:lastRenderedPageBreak/>
        <w:t>BAB V</w:t>
      </w:r>
      <w:bookmarkEnd w:id="147"/>
    </w:p>
    <w:p w14:paraId="5E07DE3F"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148" w:name="_Toc209602857"/>
      <w:bookmarkStart w:id="149" w:name="_Toc209604816"/>
      <w:bookmarkStart w:id="150" w:name="_Toc209703252"/>
      <w:bookmarkStart w:id="151" w:name="_Toc210742447"/>
      <w:bookmarkStart w:id="152" w:name="_Toc210744269"/>
      <w:r w:rsidRPr="007E7CB6">
        <w:rPr>
          <w:rFonts w:ascii="Times New Roman" w:eastAsia="Times New Roman" w:hAnsi="Times New Roman" w:cs="Times New Roman"/>
          <w:b/>
          <w:sz w:val="24"/>
          <w:szCs w:val="24"/>
        </w:rPr>
        <w:t>CLOSING</w:t>
      </w:r>
      <w:bookmarkEnd w:id="148"/>
      <w:bookmarkEnd w:id="149"/>
      <w:bookmarkEnd w:id="150"/>
      <w:bookmarkEnd w:id="151"/>
      <w:bookmarkEnd w:id="152"/>
    </w:p>
    <w:p w14:paraId="6EE60481" w14:textId="77777777" w:rsidR="00153781" w:rsidRPr="007E7CB6" w:rsidRDefault="00000000">
      <w:pPr>
        <w:pStyle w:val="Heading2"/>
        <w:spacing w:line="480" w:lineRule="auto"/>
        <w:rPr>
          <w:rFonts w:ascii="Times New Roman" w:eastAsia="Times New Roman" w:hAnsi="Times New Roman" w:cs="Times New Roman"/>
          <w:b/>
          <w:sz w:val="24"/>
          <w:szCs w:val="24"/>
        </w:rPr>
      </w:pPr>
      <w:bookmarkStart w:id="153" w:name="_Toc210744270"/>
      <w:r w:rsidRPr="007E7CB6">
        <w:rPr>
          <w:rFonts w:ascii="Times New Roman" w:eastAsia="Times New Roman" w:hAnsi="Times New Roman" w:cs="Times New Roman"/>
          <w:b/>
          <w:sz w:val="24"/>
          <w:szCs w:val="24"/>
        </w:rPr>
        <w:t>5.1</w:t>
      </w:r>
      <w:r w:rsidRPr="007E7CB6">
        <w:rPr>
          <w:rFonts w:ascii="Times New Roman" w:hAnsi="Times New Roman" w:cs="Times New Roman"/>
        </w:rPr>
        <w:tab/>
      </w:r>
      <w:r w:rsidRPr="007E7CB6">
        <w:rPr>
          <w:rFonts w:ascii="Times New Roman" w:eastAsia="Times New Roman" w:hAnsi="Times New Roman" w:cs="Times New Roman"/>
          <w:b/>
          <w:sz w:val="24"/>
          <w:szCs w:val="24"/>
        </w:rPr>
        <w:t>Conclusion</w:t>
      </w:r>
      <w:bookmarkEnd w:id="153"/>
    </w:p>
    <w:p w14:paraId="0947BF1B" w14:textId="77777777" w:rsidR="00153781" w:rsidRPr="007E7CB6" w:rsidRDefault="00000000">
      <w:pPr>
        <w:spacing w:line="480" w:lineRule="auto"/>
        <w:ind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After analyzing, obtaining, and discussing the results from the previous chapters, the conclusion of this study is as follows:</w:t>
      </w:r>
    </w:p>
    <w:p w14:paraId="207B1433"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Accounting has a positive and significant effect on the firm value of energy sector companies listed on the Indonesia Stock Exchange for the period 2021–2024. This shows that measuring and reporting environmental impacts through green accounting practices can increase investors' positive perceptions of companies.</w:t>
      </w:r>
    </w:p>
    <w:p w14:paraId="2CC2B482"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Carbon Emission Disclosure has a positive but insignificant effect on firm value. This shows that although carbon emission disclosure is important as a form of environmental transparency, this information is not yet fully considered relevant or impactful by investors in increasing a firm's market value.</w:t>
      </w:r>
    </w:p>
    <w:p w14:paraId="449399BF"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Capital Structure has a positive and significant effect on firm value. An environmentally friendly capital structure oriented towards sustainable financing can increase the legitimacy and trust of stakeholders in the firm, which ultimately has an impact on firm value. </w:t>
      </w:r>
    </w:p>
    <w:p w14:paraId="6D7E08E7"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Green Intellectual Capital cannot moderate the influence of Green Accounting on firm value. Despite its potential as a strategic intangible resource, GIC has not made a significant moderating contribution in strengthening the relationship between environmental reporting and firm </w:t>
      </w:r>
      <w:r w:rsidRPr="007E7CB6">
        <w:rPr>
          <w:rFonts w:ascii="Times New Roman" w:eastAsia="Times New Roman" w:hAnsi="Times New Roman" w:cs="Times New Roman"/>
          <w:sz w:val="24"/>
          <w:szCs w:val="24"/>
        </w:rPr>
        <w:lastRenderedPageBreak/>
        <w:t>market value. Thus, GIC acts as a homologizer moderator or potential moderator.</w:t>
      </w:r>
    </w:p>
    <w:p w14:paraId="172881ED"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Intellectual Capital can moderate the effect of Carbon Emission Disclosure on firm value. This indicates that the green intellectual capabilities possessed by the company can strengthen the relationship between carbon emission disclosure and an increase in firm value. Thus, GIC acts as a pure moderator.</w:t>
      </w:r>
    </w:p>
    <w:p w14:paraId="080D2C41" w14:textId="77777777" w:rsidR="00153781" w:rsidRPr="007E7CB6" w:rsidRDefault="00000000">
      <w:pPr>
        <w:numPr>
          <w:ilvl w:val="0"/>
          <w:numId w:val="14"/>
        </w:numPr>
        <w:spacing w:line="480" w:lineRule="auto"/>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Green Intellectual Capital cannot moderate the influence of Green Capital Structure on firm value. This shows that even though green capital structure has a positive influence on firm value, the existence of GIC has not been able to strengthen this influence. In this case, GIC again acts as a homologizer moderator or potential moderator.</w:t>
      </w:r>
    </w:p>
    <w:p w14:paraId="7C677434" w14:textId="77777777" w:rsidR="00153781" w:rsidRPr="007E7CB6" w:rsidRDefault="00000000">
      <w:pPr>
        <w:pStyle w:val="Heading2"/>
        <w:spacing w:line="480" w:lineRule="auto"/>
        <w:jc w:val="both"/>
        <w:rPr>
          <w:rFonts w:ascii="Times New Roman" w:eastAsia="Times New Roman" w:hAnsi="Times New Roman" w:cs="Times New Roman"/>
          <w:b/>
          <w:sz w:val="24"/>
          <w:szCs w:val="24"/>
        </w:rPr>
      </w:pPr>
      <w:bookmarkStart w:id="154" w:name="_heading=h.8mvizfq0v9ol" w:colFirst="0" w:colLast="0"/>
      <w:bookmarkStart w:id="155" w:name="_Toc210744271"/>
      <w:bookmarkEnd w:id="154"/>
      <w:r w:rsidRPr="007E7CB6">
        <w:rPr>
          <w:rFonts w:ascii="Times New Roman" w:eastAsia="Times New Roman" w:hAnsi="Times New Roman" w:cs="Times New Roman"/>
          <w:b/>
          <w:sz w:val="24"/>
          <w:szCs w:val="24"/>
        </w:rPr>
        <w:t xml:space="preserve">5.2 </w:t>
      </w:r>
      <w:r w:rsidRPr="007E7CB6">
        <w:rPr>
          <w:rFonts w:ascii="Times New Roman" w:eastAsia="Times New Roman" w:hAnsi="Times New Roman" w:cs="Times New Roman"/>
          <w:b/>
          <w:sz w:val="24"/>
          <w:szCs w:val="24"/>
        </w:rPr>
        <w:tab/>
        <w:t>Research Limitations</w:t>
      </w:r>
      <w:bookmarkEnd w:id="155"/>
    </w:p>
    <w:p w14:paraId="27E1F0BE" w14:textId="77777777" w:rsidR="00153781" w:rsidRPr="007E7CB6" w:rsidRDefault="00000000">
      <w:pPr>
        <w:numPr>
          <w:ilvl w:val="0"/>
          <w:numId w:val="6"/>
        </w:numPr>
        <w:spacing w:line="480" w:lineRule="auto"/>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Research Object Limitations</w:t>
      </w:r>
    </w:p>
    <w:p w14:paraId="21DD7A9F"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This study only focuses on energy sector companies included in the ESG Quality 45 (ESGQ-KEHATI) index during the 2021–2024 period. Thus, the results of this study cannot be generalized to all industrial sectors in Indonesia.</w:t>
      </w:r>
    </w:p>
    <w:p w14:paraId="48B5F82F"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2.</w:t>
      </w:r>
      <w:r w:rsidRPr="007E7CB6">
        <w:rPr>
          <w:rFonts w:ascii="Times New Roman" w:eastAsia="Times New Roman" w:hAnsi="Times New Roman" w:cs="Times New Roman"/>
          <w:sz w:val="24"/>
          <w:szCs w:val="24"/>
        </w:rPr>
        <w:tab/>
      </w:r>
      <w:r w:rsidRPr="007E7CB6">
        <w:rPr>
          <w:rFonts w:ascii="Times New Roman" w:eastAsia="Times New Roman" w:hAnsi="Times New Roman" w:cs="Times New Roman"/>
          <w:b/>
          <w:sz w:val="24"/>
          <w:szCs w:val="24"/>
        </w:rPr>
        <w:t>Time and Period Limitations</w:t>
      </w:r>
    </w:p>
    <w:p w14:paraId="07FEF56D" w14:textId="77777777" w:rsidR="00153781" w:rsidRPr="007E7CB6" w:rsidRDefault="00000000">
      <w:pPr>
        <w:spacing w:line="480" w:lineRule="auto"/>
        <w:ind w:left="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research time frame is limited to only four years (2021–2024), so it may not be able to describe long-term trends in the relationship between green accounting, carbon emission disclosure, green capital structure, and firm value.</w:t>
      </w:r>
    </w:p>
    <w:p w14:paraId="5B19FB9C" w14:textId="77777777" w:rsidR="00153781" w:rsidRPr="007E7CB6" w:rsidRDefault="00000000">
      <w:pPr>
        <w:pStyle w:val="Heading2"/>
        <w:spacing w:line="480" w:lineRule="auto"/>
        <w:jc w:val="both"/>
        <w:rPr>
          <w:rFonts w:ascii="Times New Roman" w:eastAsia="Times New Roman" w:hAnsi="Times New Roman" w:cs="Times New Roman"/>
          <w:b/>
          <w:sz w:val="24"/>
          <w:szCs w:val="24"/>
        </w:rPr>
      </w:pPr>
      <w:bookmarkStart w:id="156" w:name="_heading=h.37j0eo4mkazm" w:colFirst="0" w:colLast="0"/>
      <w:bookmarkStart w:id="157" w:name="_Toc210744272"/>
      <w:bookmarkEnd w:id="156"/>
      <w:r w:rsidRPr="007E7CB6">
        <w:rPr>
          <w:rFonts w:ascii="Times New Roman" w:eastAsia="Times New Roman" w:hAnsi="Times New Roman" w:cs="Times New Roman"/>
          <w:b/>
          <w:sz w:val="24"/>
          <w:szCs w:val="24"/>
        </w:rPr>
        <w:lastRenderedPageBreak/>
        <w:t xml:space="preserve">5.3 </w:t>
      </w:r>
      <w:r w:rsidRPr="007E7CB6">
        <w:rPr>
          <w:rFonts w:ascii="Times New Roman" w:eastAsia="Times New Roman" w:hAnsi="Times New Roman" w:cs="Times New Roman"/>
          <w:b/>
          <w:sz w:val="24"/>
          <w:szCs w:val="24"/>
        </w:rPr>
        <w:tab/>
        <w:t>Recommendations</w:t>
      </w:r>
      <w:bookmarkEnd w:id="157"/>
    </w:p>
    <w:p w14:paraId="0ED6858A"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1. </w:t>
      </w:r>
      <w:r w:rsidRPr="007E7CB6">
        <w:rPr>
          <w:rFonts w:ascii="Times New Roman" w:eastAsia="Times New Roman" w:hAnsi="Times New Roman" w:cs="Times New Roman"/>
          <w:b/>
          <w:sz w:val="24"/>
          <w:szCs w:val="24"/>
        </w:rPr>
        <w:tab/>
        <w:t>For the Government</w:t>
      </w:r>
    </w:p>
    <w:p w14:paraId="56CDA7E5"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government is expected to strengthen regulations related to environmental reporting, particularly carbon emission disclosure and green accounting practices, so that they become standardized obligations rather than voluntary measures. This will increase corporate accountability and transparency in supporting the transition to a green economy.</w:t>
      </w:r>
    </w:p>
    <w:p w14:paraId="2AAECED7"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The government can also expand fiscal and non-fiscal incentives for companies that implement green capital structure, such as tax deductions for green projects or special interest rates on green bonds.</w:t>
      </w:r>
    </w:p>
    <w:p w14:paraId="0F41CEFF"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2. </w:t>
      </w:r>
      <w:r w:rsidRPr="007E7CB6">
        <w:rPr>
          <w:rFonts w:ascii="Times New Roman" w:eastAsia="Times New Roman" w:hAnsi="Times New Roman" w:cs="Times New Roman"/>
          <w:b/>
          <w:sz w:val="24"/>
          <w:szCs w:val="24"/>
        </w:rPr>
        <w:tab/>
        <w:t>For Companies</w:t>
      </w:r>
    </w:p>
    <w:p w14:paraId="6AAECBA6"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Companies need to improve the integration of sustainability aspects into their business strategies through the comprehensive implementation of green accounting and the presentation of transparent information in their annual reports and sustainability reports.</w:t>
      </w:r>
    </w:p>
    <w:p w14:paraId="4EC7964A"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Strengthening green intellectual capital is important to reinforce the link between environmental initiatives and firm value. Companies are advised to develop environmentally friendly human resource training, sustainable innovation, and collaborate with relevant stakeholders. Companies can also begin to strategically develop a financing structure that supports environmentally friendly activities (green capital structure) to maintain long-term legitimacy in the eyes of the market and regulators.</w:t>
      </w:r>
    </w:p>
    <w:p w14:paraId="59DD7FCE" w14:textId="77777777" w:rsidR="00153781" w:rsidRPr="007E7CB6" w:rsidRDefault="00153781">
      <w:pPr>
        <w:spacing w:line="480" w:lineRule="auto"/>
        <w:ind w:left="360"/>
        <w:jc w:val="both"/>
        <w:rPr>
          <w:rFonts w:ascii="Times New Roman" w:eastAsia="Times New Roman" w:hAnsi="Times New Roman" w:cs="Times New Roman"/>
          <w:b/>
          <w:sz w:val="24"/>
          <w:szCs w:val="24"/>
        </w:rPr>
      </w:pPr>
    </w:p>
    <w:p w14:paraId="217CE365"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lastRenderedPageBreak/>
        <w:t xml:space="preserve">3. </w:t>
      </w:r>
      <w:r w:rsidRPr="007E7CB6">
        <w:rPr>
          <w:rFonts w:ascii="Times New Roman" w:eastAsia="Times New Roman" w:hAnsi="Times New Roman" w:cs="Times New Roman"/>
          <w:b/>
          <w:sz w:val="24"/>
          <w:szCs w:val="24"/>
        </w:rPr>
        <w:tab/>
        <w:t>For Investors</w:t>
      </w:r>
    </w:p>
    <w:p w14:paraId="4F2C6033"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Investors can consider disclosures on green accounting, carbon emissions, and green financing structures as important factors in their investment decisions. These three factors reflect a company's environmental risk management and long-term orientation. Assessing green intellectual capital is also important as it can be an indicator of a company's readiness to face sustainability challenges, as well as opportunities to create economic and social value.</w:t>
      </w:r>
    </w:p>
    <w:p w14:paraId="74735B71" w14:textId="77777777" w:rsidR="00153781" w:rsidRPr="007E7CB6" w:rsidRDefault="00000000">
      <w:pPr>
        <w:spacing w:line="480" w:lineRule="auto"/>
        <w:ind w:left="36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4. </w:t>
      </w:r>
      <w:r w:rsidRPr="007E7CB6">
        <w:rPr>
          <w:rFonts w:ascii="Times New Roman" w:eastAsia="Times New Roman" w:hAnsi="Times New Roman" w:cs="Times New Roman"/>
          <w:b/>
          <w:sz w:val="24"/>
          <w:szCs w:val="24"/>
        </w:rPr>
        <w:tab/>
        <w:t>For Further Research</w:t>
      </w:r>
    </w:p>
    <w:p w14:paraId="0887F2DE" w14:textId="77777777" w:rsidR="00153781" w:rsidRPr="007E7CB6" w:rsidRDefault="00000000">
      <w:pPr>
        <w:spacing w:line="480" w:lineRule="auto"/>
        <w:ind w:left="720" w:firstLine="72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Further research should expand the scope of industrial sectors and extend the observation period to obtain more general and comprehensive results. The addition of control variables such as company size, profitability, and type of ownership can help further explain the relationship between variables in the context of firm value.</w:t>
      </w:r>
    </w:p>
    <w:p w14:paraId="627CE904" w14:textId="77777777" w:rsidR="00153781" w:rsidRPr="007E7CB6" w:rsidRDefault="00153781">
      <w:pPr>
        <w:pStyle w:val="Heading2"/>
        <w:spacing w:line="480" w:lineRule="auto"/>
        <w:rPr>
          <w:rFonts w:ascii="Times New Roman" w:eastAsia="Times New Roman" w:hAnsi="Times New Roman" w:cs="Times New Roman"/>
          <w:color w:val="000000"/>
          <w:sz w:val="24"/>
          <w:szCs w:val="24"/>
        </w:rPr>
      </w:pPr>
      <w:bookmarkStart w:id="158" w:name="_heading=h.g4nf0m4n69bo" w:colFirst="0" w:colLast="0"/>
      <w:bookmarkEnd w:id="158"/>
    </w:p>
    <w:p w14:paraId="6D042B65" w14:textId="77777777" w:rsidR="00153781" w:rsidRPr="007E7CB6" w:rsidRDefault="00153781">
      <w:pPr>
        <w:rPr>
          <w:rFonts w:ascii="Times New Roman" w:hAnsi="Times New Roman" w:cs="Times New Roman"/>
        </w:rPr>
      </w:pPr>
    </w:p>
    <w:p w14:paraId="5401C5F0" w14:textId="77777777" w:rsidR="00153781" w:rsidRPr="007E7CB6" w:rsidRDefault="00153781">
      <w:pPr>
        <w:rPr>
          <w:rFonts w:ascii="Times New Roman" w:hAnsi="Times New Roman" w:cs="Times New Roman"/>
        </w:rPr>
        <w:sectPr w:rsidR="00153781" w:rsidRPr="007E7CB6">
          <w:pgSz w:w="11906" w:h="16838"/>
          <w:pgMar w:top="2268" w:right="1701" w:bottom="1701" w:left="2268" w:header="720" w:footer="737" w:gutter="0"/>
          <w:cols w:space="720"/>
          <w:titlePg/>
        </w:sectPr>
      </w:pPr>
    </w:p>
    <w:p w14:paraId="631378F4" w14:textId="77777777" w:rsidR="00153781" w:rsidRPr="007E7CB6" w:rsidRDefault="00153781">
      <w:pPr>
        <w:pStyle w:val="Heading1"/>
        <w:spacing w:before="0" w:after="0" w:line="480" w:lineRule="auto"/>
        <w:rPr>
          <w:rFonts w:ascii="Times New Roman" w:eastAsia="Times New Roman" w:hAnsi="Times New Roman" w:cs="Times New Roman"/>
          <w:b/>
          <w:sz w:val="24"/>
          <w:szCs w:val="24"/>
        </w:rPr>
        <w:sectPr w:rsidR="00153781" w:rsidRPr="007E7CB6">
          <w:type w:val="continuous"/>
          <w:pgSz w:w="11906" w:h="16838"/>
          <w:pgMar w:top="2268" w:right="1701" w:bottom="1701" w:left="2268" w:header="720" w:footer="737" w:gutter="0"/>
          <w:cols w:space="720"/>
          <w:titlePg/>
        </w:sectPr>
      </w:pPr>
    </w:p>
    <w:p w14:paraId="7D1410A3" w14:textId="77777777" w:rsidR="00153781" w:rsidRPr="007E7CB6" w:rsidRDefault="00000000">
      <w:pPr>
        <w:pStyle w:val="Heading1"/>
        <w:spacing w:before="0" w:after="0" w:line="480" w:lineRule="auto"/>
        <w:jc w:val="center"/>
        <w:rPr>
          <w:rFonts w:ascii="Times New Roman" w:eastAsia="Times New Roman" w:hAnsi="Times New Roman" w:cs="Times New Roman"/>
          <w:b/>
          <w:sz w:val="24"/>
          <w:szCs w:val="24"/>
        </w:rPr>
      </w:pPr>
      <w:bookmarkStart w:id="159" w:name="_Toc210744273"/>
      <w:r w:rsidRPr="007E7CB6">
        <w:rPr>
          <w:rFonts w:ascii="Times New Roman" w:eastAsia="Times New Roman" w:hAnsi="Times New Roman" w:cs="Times New Roman"/>
          <w:b/>
          <w:sz w:val="24"/>
          <w:szCs w:val="24"/>
        </w:rPr>
        <w:lastRenderedPageBreak/>
        <w:t>BIBLIOGRAPHY</w:t>
      </w:r>
      <w:bookmarkEnd w:id="159"/>
    </w:p>
    <w:p w14:paraId="05CF41EB"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i/>
          <w:sz w:val="24"/>
          <w:szCs w:val="24"/>
        </w:rPr>
        <w:t>A General Equilibrium Approach To</w:t>
      </w:r>
      <w:r w:rsidRPr="007E7CB6">
        <w:rPr>
          <w:rFonts w:ascii="Times New Roman" w:eastAsia="Times New Roman" w:hAnsi="Times New Roman" w:cs="Times New Roman"/>
          <w:sz w:val="24"/>
          <w:szCs w:val="24"/>
        </w:rPr>
        <w:t>. (n.d.). https://about.jstor.org/terms</w:t>
      </w:r>
    </w:p>
    <w:p w14:paraId="7B207BDB"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Alaika, A. A., &amp; Firmansyah, A. (2024). Unveiling The Impact of Green Accounting and Sustainability Disclosure On The Firm Value. </w:t>
      </w:r>
      <w:r w:rsidRPr="007E7CB6">
        <w:rPr>
          <w:rFonts w:ascii="Times New Roman" w:eastAsia="Times New Roman" w:hAnsi="Times New Roman" w:cs="Times New Roman"/>
          <w:i/>
          <w:sz w:val="24"/>
          <w:szCs w:val="24"/>
        </w:rPr>
        <w:t>Journal of Governance Risk Management Compliance and Sustainability</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4</w:t>
      </w:r>
      <w:r w:rsidRPr="007E7CB6">
        <w:rPr>
          <w:rFonts w:ascii="Times New Roman" w:eastAsia="Times New Roman" w:hAnsi="Times New Roman" w:cs="Times New Roman"/>
          <w:sz w:val="24"/>
          <w:szCs w:val="24"/>
        </w:rPr>
        <w:t>(2), 64–78. https://doi.org/10.31098/jgrcs.v4i2.2436</w:t>
      </w:r>
    </w:p>
    <w:p w14:paraId="283C7633"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Albitar, K., Hussainey, K., Kolade, N., &amp; Gerged, A. M. (2020). ESG disclosure and firm performance before and after IR: The moderating role of governance mechanisms. </w:t>
      </w:r>
      <w:r w:rsidRPr="007E7CB6">
        <w:rPr>
          <w:rFonts w:ascii="Times New Roman" w:eastAsia="Times New Roman" w:hAnsi="Times New Roman" w:cs="Times New Roman"/>
          <w:i/>
          <w:sz w:val="24"/>
          <w:szCs w:val="24"/>
        </w:rPr>
        <w:t>International Journal of Accounting and Information Management</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28</w:t>
      </w:r>
      <w:r w:rsidRPr="007E7CB6">
        <w:rPr>
          <w:rFonts w:ascii="Times New Roman" w:eastAsia="Times New Roman" w:hAnsi="Times New Roman" w:cs="Times New Roman"/>
          <w:sz w:val="24"/>
          <w:szCs w:val="24"/>
        </w:rPr>
        <w:t>(3), 429–444. https://doi.org/10.1108/IJAIM-09-2019-0108</w:t>
      </w:r>
    </w:p>
    <w:p w14:paraId="328F3CE6"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Alnaim, M., &amp; Metwally, A. B. M. (2024). Green Intellectual Capital and Corporate Environmental Performance: Does Environmental Management Accounting Matter? </w:t>
      </w:r>
      <w:r w:rsidRPr="007E7CB6">
        <w:rPr>
          <w:rFonts w:ascii="Times New Roman" w:eastAsia="Times New Roman" w:hAnsi="Times New Roman" w:cs="Times New Roman"/>
          <w:i/>
          <w:sz w:val="24"/>
          <w:szCs w:val="24"/>
        </w:rPr>
        <w:t>Administrative Sciences</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14</w:t>
      </w:r>
      <w:r w:rsidRPr="007E7CB6">
        <w:rPr>
          <w:rFonts w:ascii="Times New Roman" w:eastAsia="Times New Roman" w:hAnsi="Times New Roman" w:cs="Times New Roman"/>
          <w:sz w:val="24"/>
          <w:szCs w:val="24"/>
        </w:rPr>
        <w:t>(12). https://doi.org/10.3390/admsci14120311</w:t>
      </w:r>
    </w:p>
    <w:p w14:paraId="3C200A23"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Bae Choi, B., Lee, D., &amp; Psaros, J. (2013). An analysis of Australian company carbon emission disclosures. </w:t>
      </w:r>
      <w:r w:rsidRPr="007E7CB6">
        <w:rPr>
          <w:rFonts w:ascii="Times New Roman" w:eastAsia="Times New Roman" w:hAnsi="Times New Roman" w:cs="Times New Roman"/>
          <w:i/>
          <w:sz w:val="24"/>
          <w:szCs w:val="24"/>
        </w:rPr>
        <w:t>Pacific Accounting Review</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25</w:t>
      </w:r>
      <w:r w:rsidRPr="007E7CB6">
        <w:rPr>
          <w:rFonts w:ascii="Times New Roman" w:eastAsia="Times New Roman" w:hAnsi="Times New Roman" w:cs="Times New Roman"/>
          <w:sz w:val="24"/>
          <w:szCs w:val="24"/>
        </w:rPr>
        <w:t>(1), 58–79. https://doi.org/10.1108/01140581311318968</w:t>
      </w:r>
    </w:p>
    <w:p w14:paraId="3431BE9A"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Benevene, P., Buonomo, I., Kong, E., Pansini, M., &amp; Farnese, M. L. (2021). Management of green intellectual capital: Evidence-based literature review and future directions. In </w:t>
      </w:r>
      <w:r w:rsidRPr="007E7CB6">
        <w:rPr>
          <w:rFonts w:ascii="Times New Roman" w:eastAsia="Times New Roman" w:hAnsi="Times New Roman" w:cs="Times New Roman"/>
          <w:i/>
          <w:sz w:val="24"/>
          <w:szCs w:val="24"/>
        </w:rPr>
        <w:t>Sustainability (Switzerland)</w:t>
      </w:r>
      <w:r w:rsidRPr="007E7CB6">
        <w:rPr>
          <w:rFonts w:ascii="Times New Roman" w:eastAsia="Times New Roman" w:hAnsi="Times New Roman" w:cs="Times New Roman"/>
          <w:sz w:val="24"/>
          <w:szCs w:val="24"/>
        </w:rPr>
        <w:t xml:space="preserve"> (Vol. 13, Issue 15). MDPI AG. https://doi.org/10.3390/su13158349</w:t>
      </w:r>
    </w:p>
    <w:p w14:paraId="7369E44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Brigham, E. F. ., &amp; Houston, J. F. . (2019). </w:t>
      </w:r>
      <w:r w:rsidRPr="007E7CB6">
        <w:rPr>
          <w:rFonts w:ascii="Times New Roman" w:eastAsia="Times New Roman" w:hAnsi="Times New Roman" w:cs="Times New Roman"/>
          <w:i/>
          <w:sz w:val="24"/>
          <w:szCs w:val="24"/>
        </w:rPr>
        <w:t>Fundamentals of financial management</w:t>
      </w:r>
      <w:r w:rsidRPr="007E7CB6">
        <w:rPr>
          <w:rFonts w:ascii="Times New Roman" w:eastAsia="Times New Roman" w:hAnsi="Times New Roman" w:cs="Times New Roman"/>
          <w:sz w:val="24"/>
          <w:szCs w:val="24"/>
        </w:rPr>
        <w:t>. Cengage.</w:t>
      </w:r>
    </w:p>
    <w:p w14:paraId="40673276"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Bui, T. N., Nguyen, X. H., &amp; Pham, K. T. (2023). The Effect of Capital Structure on Firm Value: A Study of Companies Listed on the Vietnamese Stock Market. </w:t>
      </w:r>
      <w:r w:rsidRPr="007E7CB6">
        <w:rPr>
          <w:rFonts w:ascii="Times New Roman" w:eastAsia="Times New Roman" w:hAnsi="Times New Roman" w:cs="Times New Roman"/>
          <w:i/>
          <w:sz w:val="24"/>
          <w:szCs w:val="24"/>
        </w:rPr>
        <w:t>International Journal of Financial Studies</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11</w:t>
      </w:r>
      <w:r w:rsidRPr="007E7CB6">
        <w:rPr>
          <w:rFonts w:ascii="Times New Roman" w:eastAsia="Times New Roman" w:hAnsi="Times New Roman" w:cs="Times New Roman"/>
          <w:sz w:val="24"/>
          <w:szCs w:val="24"/>
        </w:rPr>
        <w:t>(3). https://doi.org/10.3390/ijfs11030100</w:t>
      </w:r>
    </w:p>
    <w:p w14:paraId="5207BB66"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Calvin, K., Dasgupta, D., Krinner, G., Mukherji, A., Thorne, P. W., Trisos, C., Romero, J., Aldunce, P., Barrett, K., Blanco, G., Cheung, W. W. L., Connors, S., Denton, F., Diongue-Niang, A., Dodman, D., Garschagen, M., Geden, O., Hayward, B., Jones, C., … Ha, M. (2023). </w:t>
      </w:r>
      <w:r w:rsidRPr="007E7CB6">
        <w:rPr>
          <w:rFonts w:ascii="Times New Roman" w:eastAsia="Times New Roman" w:hAnsi="Times New Roman" w:cs="Times New Roman"/>
          <w:i/>
          <w:sz w:val="24"/>
          <w:szCs w:val="24"/>
        </w:rPr>
        <w:t>IPCC, 2023: Climate Change 2023: Synthesis Report. Contribution of Working Groups I, II and III to the Sixth Assessment Report of the Intergovernmental Panel on Climate Change [Core Writing Team, H. Lee and J. Romero (eds.)]. IPCC, Geneva, Switzerland.</w:t>
      </w:r>
      <w:r w:rsidRPr="007E7CB6">
        <w:rPr>
          <w:rFonts w:ascii="Times New Roman" w:eastAsia="Times New Roman" w:hAnsi="Times New Roman" w:cs="Times New Roman"/>
          <w:sz w:val="24"/>
          <w:szCs w:val="24"/>
        </w:rPr>
        <w:t xml:space="preserve"> (P. Arias, M. Bustamante, I. Elgizouli, </w:t>
      </w:r>
      <w:r w:rsidRPr="007E7CB6">
        <w:rPr>
          <w:rFonts w:ascii="Times New Roman" w:eastAsia="Times New Roman" w:hAnsi="Times New Roman" w:cs="Times New Roman"/>
          <w:sz w:val="24"/>
          <w:szCs w:val="24"/>
        </w:rPr>
        <w:lastRenderedPageBreak/>
        <w:t>G. Flato, M. Howden, C. Méndez-Vallejo, J. J. Pereira, R. Pichs-Madruga, S. K. Rose, Y. Saheb, R. Sánchez Rodríguez, D. Ürge-Vorsatz, C. Xiao, N. Yassaa, J. Romero, J. Kim, E. F. Haites, Y. Jung, R. Stavins, … C. Péan, Eds.). https://doi.org/10.59327/IPCC/AR6-9789291691647</w:t>
      </w:r>
    </w:p>
    <w:p w14:paraId="0DAD0C6D"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Chang, C. H., &amp; Chen, Y. S. (2012). The determinants of green intellectual capital. </w:t>
      </w:r>
      <w:r w:rsidRPr="007E7CB6">
        <w:rPr>
          <w:rFonts w:ascii="Times New Roman" w:eastAsia="Times New Roman" w:hAnsi="Times New Roman" w:cs="Times New Roman"/>
          <w:i/>
          <w:sz w:val="24"/>
          <w:szCs w:val="24"/>
        </w:rPr>
        <w:t>Management Decision</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50</w:t>
      </w:r>
      <w:r w:rsidRPr="007E7CB6">
        <w:rPr>
          <w:rFonts w:ascii="Times New Roman" w:eastAsia="Times New Roman" w:hAnsi="Times New Roman" w:cs="Times New Roman"/>
          <w:sz w:val="24"/>
          <w:szCs w:val="24"/>
        </w:rPr>
        <w:t>(1), 74–94. https://doi.org/10.1108/00251741211194886</w:t>
      </w:r>
    </w:p>
    <w:p w14:paraId="42C2794E"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Chen, Y. S. (2008). The positive effect of green intellectual capital on competitive advantages of firms. </w:t>
      </w:r>
      <w:r w:rsidRPr="007E7CB6">
        <w:rPr>
          <w:rFonts w:ascii="Times New Roman" w:eastAsia="Times New Roman" w:hAnsi="Times New Roman" w:cs="Times New Roman"/>
          <w:i/>
          <w:sz w:val="24"/>
          <w:szCs w:val="24"/>
        </w:rPr>
        <w:t>Journal of Business Ethics</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77</w:t>
      </w:r>
      <w:r w:rsidRPr="007E7CB6">
        <w:rPr>
          <w:rFonts w:ascii="Times New Roman" w:eastAsia="Times New Roman" w:hAnsi="Times New Roman" w:cs="Times New Roman"/>
          <w:sz w:val="24"/>
          <w:szCs w:val="24"/>
        </w:rPr>
        <w:t>(3), 271–286. https://doi.org/10.1007/s10551-006-9349-1</w:t>
      </w:r>
    </w:p>
    <w:p w14:paraId="39B478A8"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Dincer, B., Keskin, A. İ., &amp; Dincer, C. (2023). Nexus between Sustainability Reporting and Firm Performance: Considering Industry Groups, Accounting, and Market Measures. </w:t>
      </w:r>
      <w:r w:rsidRPr="007E7CB6">
        <w:rPr>
          <w:rFonts w:ascii="Times New Roman" w:eastAsia="Times New Roman" w:hAnsi="Times New Roman" w:cs="Times New Roman"/>
          <w:i/>
          <w:sz w:val="24"/>
          <w:szCs w:val="24"/>
        </w:rPr>
        <w:t>Sustainability (Switzerland)</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15</w:t>
      </w:r>
      <w:r w:rsidRPr="007E7CB6">
        <w:rPr>
          <w:rFonts w:ascii="Times New Roman" w:eastAsia="Times New Roman" w:hAnsi="Times New Roman" w:cs="Times New Roman"/>
          <w:sz w:val="24"/>
          <w:szCs w:val="24"/>
        </w:rPr>
        <w:t>(7). https://doi.org/10.3390/su15075849</w:t>
      </w:r>
    </w:p>
    <w:p w14:paraId="5B859E4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Dowling, J., &amp; Pfeffer, J. (1975). Pacific Sociological Association Organizational Legitimacy: Social Values and Organizational Behavior. In </w:t>
      </w:r>
      <w:r w:rsidRPr="007E7CB6">
        <w:rPr>
          <w:rFonts w:ascii="Times New Roman" w:eastAsia="Times New Roman" w:hAnsi="Times New Roman" w:cs="Times New Roman"/>
          <w:i/>
          <w:sz w:val="24"/>
          <w:szCs w:val="24"/>
        </w:rPr>
        <w:t>Source: The Pacific Sociological Review</w:t>
      </w:r>
      <w:r w:rsidRPr="007E7CB6">
        <w:rPr>
          <w:rFonts w:ascii="Times New Roman" w:eastAsia="Times New Roman" w:hAnsi="Times New Roman" w:cs="Times New Roman"/>
          <w:sz w:val="24"/>
          <w:szCs w:val="24"/>
        </w:rPr>
        <w:t xml:space="preserve"> (Vol. 18, Issue 1).</w:t>
      </w:r>
    </w:p>
    <w:p w14:paraId="3015A3B8"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Febrianti, S., Giriati, Malini, H., &amp; Wendy. (2024). Determinants of Capital Structure and the Effect on Firm Value: Evidence from Indonesia. </w:t>
      </w:r>
      <w:r w:rsidRPr="007E7CB6">
        <w:rPr>
          <w:rFonts w:ascii="Times New Roman" w:eastAsia="Times New Roman" w:hAnsi="Times New Roman" w:cs="Times New Roman"/>
          <w:i/>
          <w:sz w:val="24"/>
          <w:szCs w:val="24"/>
        </w:rPr>
        <w:t>Asian Journal of Economics, Business and Accounting</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24</w:t>
      </w:r>
      <w:r w:rsidRPr="007E7CB6">
        <w:rPr>
          <w:rFonts w:ascii="Times New Roman" w:eastAsia="Times New Roman" w:hAnsi="Times New Roman" w:cs="Times New Roman"/>
          <w:sz w:val="24"/>
          <w:szCs w:val="24"/>
        </w:rPr>
        <w:t>(6), 407–421. https://doi.org/10.9734/ajeba/2024/v24i61370</w:t>
      </w:r>
    </w:p>
    <w:p w14:paraId="49369DD7"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Fernando, C. S., Sharfman, M. P., Uysal, V. B., Harper, J., Jandik, T., Kacperczyk, M., Kang, B., Krüger, P., Nejadmalayeri, A., Petersen, M., Rao, R., Smith, C., Sulaeman, J., Zhou, Y., &amp; Zou, H. (2009). </w:t>
      </w:r>
      <w:r w:rsidRPr="007E7CB6">
        <w:rPr>
          <w:rFonts w:ascii="Times New Roman" w:eastAsia="Times New Roman" w:hAnsi="Times New Roman" w:cs="Times New Roman"/>
          <w:i/>
          <w:sz w:val="24"/>
          <w:szCs w:val="24"/>
        </w:rPr>
        <w:t>Corporate Environmental Policy and Shareholder Value: Following the Smart Money</w:t>
      </w:r>
      <w:r w:rsidRPr="007E7CB6">
        <w:rPr>
          <w:rFonts w:ascii="Times New Roman" w:eastAsia="Times New Roman" w:hAnsi="Times New Roman" w:cs="Times New Roman"/>
          <w:sz w:val="24"/>
          <w:szCs w:val="24"/>
        </w:rPr>
        <w:t>.</w:t>
      </w:r>
    </w:p>
    <w:p w14:paraId="4F520C5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Fu, C., Lu, L., &amp; Pirabi, M. (2023). Advancing green finance: a review of sustainable development. </w:t>
      </w:r>
      <w:r w:rsidRPr="007E7CB6">
        <w:rPr>
          <w:rFonts w:ascii="Times New Roman" w:eastAsia="Times New Roman" w:hAnsi="Times New Roman" w:cs="Times New Roman"/>
          <w:i/>
          <w:sz w:val="24"/>
          <w:szCs w:val="24"/>
        </w:rPr>
        <w:t>Digital Economy and Sustainable Development</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w:t>
      </w:r>
      <w:r w:rsidRPr="007E7CB6">
        <w:rPr>
          <w:rFonts w:ascii="Times New Roman" w:eastAsia="Times New Roman" w:hAnsi="Times New Roman" w:cs="Times New Roman"/>
          <w:sz w:val="24"/>
          <w:szCs w:val="24"/>
        </w:rPr>
        <w:t>(1). https://doi.org/10.1007/s44265-023-00020-3</w:t>
      </w:r>
    </w:p>
    <w:p w14:paraId="19B000CF"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Global Carbon Project. (2025). </w:t>
      </w:r>
      <w:r w:rsidRPr="007E7CB6">
        <w:rPr>
          <w:rFonts w:ascii="Times New Roman" w:eastAsia="Times New Roman" w:hAnsi="Times New Roman" w:cs="Times New Roman"/>
          <w:i/>
          <w:sz w:val="24"/>
          <w:szCs w:val="24"/>
        </w:rPr>
        <w:t>The Global Carbon Budget</w:t>
      </w:r>
      <w:r w:rsidRPr="007E7CB6">
        <w:rPr>
          <w:rFonts w:ascii="Times New Roman" w:eastAsia="Times New Roman" w:hAnsi="Times New Roman" w:cs="Times New Roman"/>
          <w:sz w:val="24"/>
          <w:szCs w:val="24"/>
        </w:rPr>
        <w:t>. https://globalcarbonbudget.org/faqs/</w:t>
      </w:r>
    </w:p>
    <w:p w14:paraId="101BB63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Hakki, T. W., Akwila, K., &amp; Jurjanta, P. (2024). </w:t>
      </w:r>
      <w:r w:rsidRPr="007E7CB6">
        <w:rPr>
          <w:rFonts w:ascii="Times New Roman" w:eastAsia="Times New Roman" w:hAnsi="Times New Roman" w:cs="Times New Roman"/>
          <w:i/>
          <w:sz w:val="24"/>
          <w:szCs w:val="24"/>
        </w:rPr>
        <w:t>The Effect of Carbon Management Accounting, Competitive Business Strategic and Carbon Emission Disclosure on Company Performance Moderated by Green Intellectual Capital</w:t>
      </w:r>
      <w:r w:rsidRPr="007E7CB6">
        <w:rPr>
          <w:rFonts w:ascii="Times New Roman" w:eastAsia="Times New Roman" w:hAnsi="Times New Roman" w:cs="Times New Roman"/>
          <w:sz w:val="24"/>
          <w:szCs w:val="24"/>
        </w:rPr>
        <w:t>. https://doi.org/10.38035/jafm.v5i5</w:t>
      </w:r>
    </w:p>
    <w:p w14:paraId="1229BACA"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 xml:space="preserve">Hardiyansah, M., &amp; Agustini, A. T. (2020). Analysis Of Carbon Emissions Disclosure And Firm Value: Type Of Industry As A Moderating Model. </w:t>
      </w:r>
      <w:r w:rsidRPr="007E7CB6">
        <w:rPr>
          <w:rFonts w:ascii="Times New Roman" w:eastAsia="Times New Roman" w:hAnsi="Times New Roman" w:cs="Times New Roman"/>
          <w:i/>
          <w:sz w:val="24"/>
          <w:szCs w:val="24"/>
        </w:rPr>
        <w:t>INTERNATIONAL JOURNAL OF SCIENTIFIC &amp; TECHNOLOGY RESEARCH</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9</w:t>
      </w:r>
      <w:r w:rsidRPr="007E7CB6">
        <w:rPr>
          <w:rFonts w:ascii="Times New Roman" w:eastAsia="Times New Roman" w:hAnsi="Times New Roman" w:cs="Times New Roman"/>
          <w:sz w:val="24"/>
          <w:szCs w:val="24"/>
        </w:rPr>
        <w:t>, 2. www.ijstr.org</w:t>
      </w:r>
    </w:p>
    <w:p w14:paraId="65EF9F50"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Huang, L., Ji, X., Niu, T., &amp; Ou, W. (2025). The Impact of Carbon Information Disclosure Quality on Enterprise Value: Evidence from Chinese Listed Companies. </w:t>
      </w:r>
      <w:r w:rsidRPr="007E7CB6">
        <w:rPr>
          <w:rFonts w:ascii="Times New Roman" w:eastAsia="Times New Roman" w:hAnsi="Times New Roman" w:cs="Times New Roman"/>
          <w:i/>
          <w:sz w:val="24"/>
          <w:szCs w:val="24"/>
        </w:rPr>
        <w:t>Sustainability (Switzerland)</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17</w:t>
      </w:r>
      <w:r w:rsidRPr="007E7CB6">
        <w:rPr>
          <w:rFonts w:ascii="Times New Roman" w:eastAsia="Times New Roman" w:hAnsi="Times New Roman" w:cs="Times New Roman"/>
          <w:sz w:val="24"/>
          <w:szCs w:val="24"/>
        </w:rPr>
        <w:t>(2). https://doi.org/10.3390/su17020402</w:t>
      </w:r>
    </w:p>
    <w:p w14:paraId="34BFA84A"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Intergovernmental Panel on Climate Change. (2023). </w:t>
      </w:r>
      <w:r w:rsidRPr="007E7CB6">
        <w:rPr>
          <w:rFonts w:ascii="Times New Roman" w:eastAsia="Times New Roman" w:hAnsi="Times New Roman" w:cs="Times New Roman"/>
          <w:i/>
          <w:sz w:val="24"/>
          <w:szCs w:val="24"/>
        </w:rPr>
        <w:t>AR6 Synthesis Report: Climate Change</w:t>
      </w:r>
      <w:r w:rsidRPr="007E7CB6">
        <w:rPr>
          <w:rFonts w:ascii="Times New Roman" w:eastAsia="Times New Roman" w:hAnsi="Times New Roman" w:cs="Times New Roman"/>
          <w:sz w:val="24"/>
          <w:szCs w:val="24"/>
        </w:rPr>
        <w:t>. https://www.ipcc.ch/report/ar6/syr/</w:t>
      </w:r>
    </w:p>
    <w:p w14:paraId="37A7EBC3"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Ivan Adyaksana, R., &amp; Vitta Adhivinna, V. (2022). Does Environmental Information Disclosure Mediate the Effect of Environmental Cost on Environmental Performance? </w:t>
      </w:r>
      <w:r w:rsidRPr="007E7CB6">
        <w:rPr>
          <w:rFonts w:ascii="Times New Roman" w:eastAsia="Times New Roman" w:hAnsi="Times New Roman" w:cs="Times New Roman"/>
          <w:i/>
          <w:sz w:val="24"/>
          <w:szCs w:val="24"/>
        </w:rPr>
        <w:t>KnE Social Sciences</w:t>
      </w:r>
      <w:r w:rsidRPr="007E7CB6">
        <w:rPr>
          <w:rFonts w:ascii="Times New Roman" w:eastAsia="Times New Roman" w:hAnsi="Times New Roman" w:cs="Times New Roman"/>
          <w:sz w:val="24"/>
          <w:szCs w:val="24"/>
        </w:rPr>
        <w:t>. https://doi.org/10.18502/kss.v7i14.12024</w:t>
      </w:r>
    </w:p>
    <w:p w14:paraId="400C5941"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Jiang, Y., Luo, L., Xu, J. F., &amp; Shao, X. R. (2021). The value relevance of corporate voluntary carbon disclosure: Evidence from the United States and BRIC countries. </w:t>
      </w:r>
      <w:r w:rsidRPr="007E7CB6">
        <w:rPr>
          <w:rFonts w:ascii="Times New Roman" w:eastAsia="Times New Roman" w:hAnsi="Times New Roman" w:cs="Times New Roman"/>
          <w:i/>
          <w:sz w:val="24"/>
          <w:szCs w:val="24"/>
        </w:rPr>
        <w:t>Journal of Contemporary Accounting and Economics</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17</w:t>
      </w:r>
      <w:r w:rsidRPr="007E7CB6">
        <w:rPr>
          <w:rFonts w:ascii="Times New Roman" w:eastAsia="Times New Roman" w:hAnsi="Times New Roman" w:cs="Times New Roman"/>
          <w:sz w:val="24"/>
          <w:szCs w:val="24"/>
        </w:rPr>
        <w:t>(3). https://doi.org/10.1016/j.jcae.2021.100279</w:t>
      </w:r>
    </w:p>
    <w:p w14:paraId="34C8DC0B"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Jirakraisiri, J., Badir, Y. F., &amp; Frank, B. (2021). Translating green strategic intent into green process innovation performance: the role of green intellectual capital. </w:t>
      </w:r>
      <w:r w:rsidRPr="007E7CB6">
        <w:rPr>
          <w:rFonts w:ascii="Times New Roman" w:eastAsia="Times New Roman" w:hAnsi="Times New Roman" w:cs="Times New Roman"/>
          <w:i/>
          <w:sz w:val="24"/>
          <w:szCs w:val="24"/>
        </w:rPr>
        <w:t>Journal of Intellectual Capital</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22</w:t>
      </w:r>
      <w:r w:rsidRPr="007E7CB6">
        <w:rPr>
          <w:rFonts w:ascii="Times New Roman" w:eastAsia="Times New Roman" w:hAnsi="Times New Roman" w:cs="Times New Roman"/>
          <w:sz w:val="24"/>
          <w:szCs w:val="24"/>
        </w:rPr>
        <w:t>(7), 43–67. https://doi.org/10.1108/JIC-08-2020-0277</w:t>
      </w:r>
    </w:p>
    <w:p w14:paraId="18AE6C23"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Karim, A. E., Albitar, K., &amp; Elmarzouky, M. (2021). A novel measure of corporate carbon emission disclosure, the effect of capital expenditures and corporate governance. </w:t>
      </w:r>
      <w:r w:rsidRPr="007E7CB6">
        <w:rPr>
          <w:rFonts w:ascii="Times New Roman" w:eastAsia="Times New Roman" w:hAnsi="Times New Roman" w:cs="Times New Roman"/>
          <w:i/>
          <w:sz w:val="24"/>
          <w:szCs w:val="24"/>
        </w:rPr>
        <w:t>Journal of Environmental Management</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290</w:t>
      </w:r>
      <w:r w:rsidRPr="007E7CB6">
        <w:rPr>
          <w:rFonts w:ascii="Times New Roman" w:eastAsia="Times New Roman" w:hAnsi="Times New Roman" w:cs="Times New Roman"/>
          <w:sz w:val="24"/>
          <w:szCs w:val="24"/>
        </w:rPr>
        <w:t>. https://doi.org/10.1016/j.jenvman.2021.112581</w:t>
      </w:r>
    </w:p>
    <w:p w14:paraId="767741E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Khan, H. Z., Bose, S., Sheehy, B., &amp; Quazi, A. (2021). Green banking disclosure, firm value and the moderating role of a contextual factor: Evidence from a distinctive regulatory setting. </w:t>
      </w:r>
      <w:r w:rsidRPr="007E7CB6">
        <w:rPr>
          <w:rFonts w:ascii="Times New Roman" w:eastAsia="Times New Roman" w:hAnsi="Times New Roman" w:cs="Times New Roman"/>
          <w:i/>
          <w:sz w:val="24"/>
          <w:szCs w:val="24"/>
        </w:rPr>
        <w:t>Business Strategy and the Environment</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30</w:t>
      </w:r>
      <w:r w:rsidRPr="007E7CB6">
        <w:rPr>
          <w:rFonts w:ascii="Times New Roman" w:eastAsia="Times New Roman" w:hAnsi="Times New Roman" w:cs="Times New Roman"/>
          <w:sz w:val="24"/>
          <w:szCs w:val="24"/>
        </w:rPr>
        <w:t>(8), 3651–3670. https://doi.org/10.1002/bse.2832</w:t>
      </w:r>
    </w:p>
    <w:p w14:paraId="5827DD7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Khan, S., &amp; Gupta, S. (2023). The interplay of sustainability, corporate green accounting and firm financial performance: a meta-analytical investigation. </w:t>
      </w:r>
      <w:r w:rsidRPr="007E7CB6">
        <w:rPr>
          <w:rFonts w:ascii="Times New Roman" w:eastAsia="Times New Roman" w:hAnsi="Times New Roman" w:cs="Times New Roman"/>
          <w:i/>
          <w:sz w:val="24"/>
          <w:szCs w:val="24"/>
        </w:rPr>
        <w:t>Sustainability Accounting, Management and Policy Journal</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15</w:t>
      </w:r>
      <w:r w:rsidRPr="007E7CB6">
        <w:rPr>
          <w:rFonts w:ascii="Times New Roman" w:eastAsia="Times New Roman" w:hAnsi="Times New Roman" w:cs="Times New Roman"/>
          <w:sz w:val="24"/>
          <w:szCs w:val="24"/>
        </w:rPr>
        <w:t>(5), 1038–1066. https://doi.org/10.1108/SAMPJ-01-2022-0016/FULL/XML</w:t>
      </w:r>
    </w:p>
    <w:p w14:paraId="0C67C7AB"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Klaaßen, L., Lohmüller, C., &amp; Steffen, B. (2024). Assessing corporate climate action: Corporate climate policies and company-level emission reductions. </w:t>
      </w:r>
      <w:r w:rsidRPr="007E7CB6">
        <w:rPr>
          <w:rFonts w:ascii="Times New Roman" w:eastAsia="Times New Roman" w:hAnsi="Times New Roman" w:cs="Times New Roman"/>
          <w:i/>
          <w:sz w:val="24"/>
          <w:szCs w:val="24"/>
        </w:rPr>
        <w:t>PLOS Climate</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3</w:t>
      </w:r>
      <w:r w:rsidRPr="007E7CB6">
        <w:rPr>
          <w:rFonts w:ascii="Times New Roman" w:eastAsia="Times New Roman" w:hAnsi="Times New Roman" w:cs="Times New Roman"/>
          <w:sz w:val="24"/>
          <w:szCs w:val="24"/>
        </w:rPr>
        <w:t>(11). https://doi.org/10.1371/journal.pclm.0000458</w:t>
      </w:r>
    </w:p>
    <w:p w14:paraId="0463AFC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 xml:space="preserve">Kumar, J., Rani, V., Rani, M., &amp; Rani, G. (2025). Linking green intellectual capital and firm performance through green innovation and environmental performance in small and medium-sized enterprises. </w:t>
      </w:r>
      <w:r w:rsidRPr="007E7CB6">
        <w:rPr>
          <w:rFonts w:ascii="Times New Roman" w:eastAsia="Times New Roman" w:hAnsi="Times New Roman" w:cs="Times New Roman"/>
          <w:i/>
          <w:sz w:val="24"/>
          <w:szCs w:val="24"/>
        </w:rPr>
        <w:t>Journal of Intellectual Capital</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26</w:t>
      </w:r>
      <w:r w:rsidRPr="007E7CB6">
        <w:rPr>
          <w:rFonts w:ascii="Times New Roman" w:eastAsia="Times New Roman" w:hAnsi="Times New Roman" w:cs="Times New Roman"/>
          <w:sz w:val="24"/>
          <w:szCs w:val="24"/>
        </w:rPr>
        <w:t>(3), 670–690. https://doi.org/10.1108/JIC-10-2024-0345/FULL/XML</w:t>
      </w:r>
    </w:p>
    <w:p w14:paraId="7F5A67A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Kurnia, P., Emrinaldi Nur, D. P., &amp; Putra, A. A. (2021). Carbon emission disclosure and firm value: A study of manufacturing firms in Indonesia and Australia. </w:t>
      </w:r>
      <w:r w:rsidRPr="007E7CB6">
        <w:rPr>
          <w:rFonts w:ascii="Times New Roman" w:eastAsia="Times New Roman" w:hAnsi="Times New Roman" w:cs="Times New Roman"/>
          <w:i/>
          <w:sz w:val="24"/>
          <w:szCs w:val="24"/>
        </w:rPr>
        <w:t>International Journal of Energy Economics and Policy</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11</w:t>
      </w:r>
      <w:r w:rsidRPr="007E7CB6">
        <w:rPr>
          <w:rFonts w:ascii="Times New Roman" w:eastAsia="Times New Roman" w:hAnsi="Times New Roman" w:cs="Times New Roman"/>
          <w:sz w:val="24"/>
          <w:szCs w:val="24"/>
        </w:rPr>
        <w:t>(2), 83–87. https://doi.org/10.32479/ijeep.10730</w:t>
      </w:r>
    </w:p>
    <w:p w14:paraId="4A46C0F7"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Lee’, H. Y., Liu, C. F., Yain, Y. S., &amp; Lin, C. H. (2020). Intellectual capital for green accounting in agribusiness. </w:t>
      </w:r>
      <w:r w:rsidRPr="007E7CB6">
        <w:rPr>
          <w:rFonts w:ascii="Times New Roman" w:eastAsia="Times New Roman" w:hAnsi="Times New Roman" w:cs="Times New Roman"/>
          <w:i/>
          <w:sz w:val="24"/>
          <w:szCs w:val="24"/>
        </w:rPr>
        <w:t>International Food and Agribusiness Management Review</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23</w:t>
      </w:r>
      <w:r w:rsidRPr="007E7CB6">
        <w:rPr>
          <w:rFonts w:ascii="Times New Roman" w:eastAsia="Times New Roman" w:hAnsi="Times New Roman" w:cs="Times New Roman"/>
          <w:sz w:val="24"/>
          <w:szCs w:val="24"/>
        </w:rPr>
        <w:t>(4), 759–765. https://doi.org/10.22434/IFAMR2020.0028</w:t>
      </w:r>
    </w:p>
    <w:p w14:paraId="17659B2D"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Lee, J. H., &amp; Cho, J. H. (2021). Firm-value effects of carbon emissions and carbon disclosures—evidence from korea. </w:t>
      </w:r>
      <w:r w:rsidRPr="007E7CB6">
        <w:rPr>
          <w:rFonts w:ascii="Times New Roman" w:eastAsia="Times New Roman" w:hAnsi="Times New Roman" w:cs="Times New Roman"/>
          <w:i/>
          <w:sz w:val="24"/>
          <w:szCs w:val="24"/>
        </w:rPr>
        <w:t>International Journal of Environmental Research and Public Health</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18</w:t>
      </w:r>
      <w:r w:rsidRPr="007E7CB6">
        <w:rPr>
          <w:rFonts w:ascii="Times New Roman" w:eastAsia="Times New Roman" w:hAnsi="Times New Roman" w:cs="Times New Roman"/>
          <w:sz w:val="24"/>
          <w:szCs w:val="24"/>
        </w:rPr>
        <w:t>(22). https://doi.org/10.3390/ijerph182212166</w:t>
      </w:r>
    </w:p>
    <w:p w14:paraId="2FFEBFDA"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Liu, D., Yu, X., Huang, M., Yang, S., Isa, S. M., &amp; Hu, M. (2022). The Effects of Green Intellectual Capital on Green Innovation: A Green Supply Chain Integration Perspective. </w:t>
      </w:r>
      <w:r w:rsidRPr="007E7CB6">
        <w:rPr>
          <w:rFonts w:ascii="Times New Roman" w:eastAsia="Times New Roman" w:hAnsi="Times New Roman" w:cs="Times New Roman"/>
          <w:i/>
          <w:sz w:val="24"/>
          <w:szCs w:val="24"/>
        </w:rPr>
        <w:t>Frontiers in Psychology</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13</w:t>
      </w:r>
      <w:r w:rsidRPr="007E7CB6">
        <w:rPr>
          <w:rFonts w:ascii="Times New Roman" w:eastAsia="Times New Roman" w:hAnsi="Times New Roman" w:cs="Times New Roman"/>
          <w:sz w:val="24"/>
          <w:szCs w:val="24"/>
        </w:rPr>
        <w:t>. https://doi.org/10.3389/fpsyg.2022.830716</w:t>
      </w:r>
    </w:p>
    <w:p w14:paraId="5B12D201"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Martínez-Falcó, J., Sánchez-García, E., Marco-Lajara, B., &amp; Visser, G. (2025). The Influence of Green Intellectual Capital on Competitive Advantage: A Mediation Analysis in Spanish Wineries. </w:t>
      </w:r>
      <w:r w:rsidRPr="007E7CB6">
        <w:rPr>
          <w:rFonts w:ascii="Times New Roman" w:eastAsia="Times New Roman" w:hAnsi="Times New Roman" w:cs="Times New Roman"/>
          <w:i/>
          <w:sz w:val="24"/>
          <w:szCs w:val="24"/>
        </w:rPr>
        <w:t>Journal of the Knowledge Economy</w:t>
      </w:r>
      <w:r w:rsidRPr="007E7CB6">
        <w:rPr>
          <w:rFonts w:ascii="Times New Roman" w:eastAsia="Times New Roman" w:hAnsi="Times New Roman" w:cs="Times New Roman"/>
          <w:sz w:val="24"/>
          <w:szCs w:val="24"/>
        </w:rPr>
        <w:t>. https://doi.org/10.1007/s13132-025-02811-9</w:t>
      </w:r>
    </w:p>
    <w:p w14:paraId="7C0F58F6"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Mirza Aulia, A., Noer, U., &amp; Safitri, C. (2024). The Impact of Carbon Emission Disclosure on Firm Value. In </w:t>
      </w:r>
      <w:r w:rsidRPr="007E7CB6">
        <w:rPr>
          <w:rFonts w:ascii="Times New Roman" w:eastAsia="Times New Roman" w:hAnsi="Times New Roman" w:cs="Times New Roman"/>
          <w:i/>
          <w:sz w:val="24"/>
          <w:szCs w:val="24"/>
        </w:rPr>
        <w:t>Journal of Environmental Economics and Sustainability</w:t>
      </w:r>
      <w:r w:rsidRPr="007E7CB6">
        <w:rPr>
          <w:rFonts w:ascii="Times New Roman" w:eastAsia="Times New Roman" w:hAnsi="Times New Roman" w:cs="Times New Roman"/>
          <w:sz w:val="24"/>
          <w:szCs w:val="24"/>
        </w:rPr>
        <w:t xml:space="preserve"> (Vol. 1, Issue 3). https://economics.pubmedia.id/index.php/jees</w:t>
      </w:r>
    </w:p>
    <w:p w14:paraId="73D4C51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Morningstar. (2024). </w:t>
      </w:r>
      <w:r w:rsidRPr="007E7CB6">
        <w:rPr>
          <w:rFonts w:ascii="Times New Roman" w:eastAsia="Times New Roman" w:hAnsi="Times New Roman" w:cs="Times New Roman"/>
          <w:i/>
          <w:sz w:val="24"/>
          <w:szCs w:val="24"/>
        </w:rPr>
        <w:t>ESG Investing Trends: A Qualitative Look Into Investor Perception</w:t>
      </w:r>
      <w:r w:rsidRPr="007E7CB6">
        <w:rPr>
          <w:rFonts w:ascii="Times New Roman" w:eastAsia="Times New Roman" w:hAnsi="Times New Roman" w:cs="Times New Roman"/>
          <w:sz w:val="24"/>
          <w:szCs w:val="24"/>
        </w:rPr>
        <w:t>. https://www.morningstar.com/views/esg-investing-trends</w:t>
      </w:r>
    </w:p>
    <w:p w14:paraId="4499B03D"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Moussa, A. S., &amp; Elmarzouky, M. (2024). Sustainability Reporting and Market Uncertainty: The Moderating Effect of Carbon Disclosure. </w:t>
      </w:r>
      <w:r w:rsidRPr="007E7CB6">
        <w:rPr>
          <w:rFonts w:ascii="Times New Roman" w:eastAsia="Times New Roman" w:hAnsi="Times New Roman" w:cs="Times New Roman"/>
          <w:i/>
          <w:sz w:val="24"/>
          <w:szCs w:val="24"/>
        </w:rPr>
        <w:t xml:space="preserve">Sustainability (Switzerland) </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16</w:t>
      </w:r>
      <w:r w:rsidRPr="007E7CB6">
        <w:rPr>
          <w:rFonts w:ascii="Times New Roman" w:eastAsia="Times New Roman" w:hAnsi="Times New Roman" w:cs="Times New Roman"/>
          <w:sz w:val="24"/>
          <w:szCs w:val="24"/>
        </w:rPr>
        <w:t>(13). https://doi.org/10.3390/su16135290</w:t>
      </w:r>
    </w:p>
    <w:p w14:paraId="570AE681"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Myers, S. C., &amp; Majiuf, N. S. (1981). </w:t>
      </w:r>
      <w:r w:rsidRPr="007E7CB6">
        <w:rPr>
          <w:rFonts w:ascii="Times New Roman" w:eastAsia="Times New Roman" w:hAnsi="Times New Roman" w:cs="Times New Roman"/>
          <w:i/>
          <w:sz w:val="24"/>
          <w:szCs w:val="24"/>
        </w:rPr>
        <w:t>CORPORATE FINANCING AND INVESTMENT DECISIONS WHEN FIRMS HAVE INFORMATION THE INVESTORS DO NOT HAVE</w:t>
      </w:r>
      <w:r w:rsidRPr="007E7CB6">
        <w:rPr>
          <w:rFonts w:ascii="Times New Roman" w:eastAsia="Times New Roman" w:hAnsi="Times New Roman" w:cs="Times New Roman"/>
          <w:sz w:val="24"/>
          <w:szCs w:val="24"/>
        </w:rPr>
        <w:t>.</w:t>
      </w:r>
    </w:p>
    <w:p w14:paraId="5839D49A"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lastRenderedPageBreak/>
        <w:t xml:space="preserve">Naseer, M. M., Khan, M. A., Bagh, T., Guo, Y., &amp; Zhu, X. (2024). Firm climate change risk and financial flexibility: Drivers of ESG performance and firm value. </w:t>
      </w:r>
      <w:r w:rsidRPr="007E7CB6">
        <w:rPr>
          <w:rFonts w:ascii="Times New Roman" w:eastAsia="Times New Roman" w:hAnsi="Times New Roman" w:cs="Times New Roman"/>
          <w:i/>
          <w:sz w:val="24"/>
          <w:szCs w:val="24"/>
        </w:rPr>
        <w:t>Borsa Istanbul Review</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24</w:t>
      </w:r>
      <w:r w:rsidRPr="007E7CB6">
        <w:rPr>
          <w:rFonts w:ascii="Times New Roman" w:eastAsia="Times New Roman" w:hAnsi="Times New Roman" w:cs="Times New Roman"/>
          <w:sz w:val="24"/>
          <w:szCs w:val="24"/>
        </w:rPr>
        <w:t>(1), 106–117. https://doi.org/10.1016/j.bir.2023.11.003</w:t>
      </w:r>
    </w:p>
    <w:p w14:paraId="3D9E0DCF"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National Oceanic and Atmospheric Administration. (2024). </w:t>
      </w:r>
      <w:r w:rsidRPr="007E7CB6">
        <w:rPr>
          <w:rFonts w:ascii="Times New Roman" w:eastAsia="Times New Roman" w:hAnsi="Times New Roman" w:cs="Times New Roman"/>
          <w:i/>
          <w:sz w:val="24"/>
          <w:szCs w:val="24"/>
        </w:rPr>
        <w:t>Climate change: Global temperature</w:t>
      </w:r>
      <w:r w:rsidRPr="007E7CB6">
        <w:rPr>
          <w:rFonts w:ascii="Times New Roman" w:eastAsia="Times New Roman" w:hAnsi="Times New Roman" w:cs="Times New Roman"/>
          <w:sz w:val="24"/>
          <w:szCs w:val="24"/>
        </w:rPr>
        <w:t>. https://www.climate.gov/news-features/understanding-climate/climate-change-global-temperature</w:t>
      </w:r>
    </w:p>
    <w:p w14:paraId="73848D5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Our World in Data. (2024). </w:t>
      </w:r>
      <w:r w:rsidRPr="007E7CB6">
        <w:rPr>
          <w:rFonts w:ascii="Times New Roman" w:eastAsia="Times New Roman" w:hAnsi="Times New Roman" w:cs="Times New Roman"/>
          <w:i/>
          <w:sz w:val="24"/>
          <w:szCs w:val="24"/>
        </w:rPr>
        <w:t>CO₂ and Greenhouse Gas Emissions</w:t>
      </w:r>
      <w:r w:rsidRPr="007E7CB6">
        <w:rPr>
          <w:rFonts w:ascii="Times New Roman" w:eastAsia="Times New Roman" w:hAnsi="Times New Roman" w:cs="Times New Roman"/>
          <w:sz w:val="24"/>
          <w:szCs w:val="24"/>
        </w:rPr>
        <w:t>. https://ourworldindata.org/co2-and-greenhouse-gas-emissions</w:t>
      </w:r>
    </w:p>
    <w:p w14:paraId="3F2E7BCC"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Riyanti, Y. E., &amp; Murwaningsari, E. (2023). </w:t>
      </w:r>
      <w:r w:rsidRPr="007E7CB6">
        <w:rPr>
          <w:rFonts w:ascii="Times New Roman" w:eastAsia="Times New Roman" w:hAnsi="Times New Roman" w:cs="Times New Roman"/>
          <w:i/>
          <w:sz w:val="24"/>
          <w:szCs w:val="24"/>
        </w:rPr>
        <w:t>CORPORATE GOVERNANCE ROLE AS MODERATING GREEN INTELLECTUAL CAPITAL AND GREEN ACCOUNTING INFLUENCE ON SUSTAINABLE FINANCE IMPLEMENTATION</w:t>
      </w:r>
      <w:r w:rsidRPr="007E7CB6">
        <w:rPr>
          <w:rFonts w:ascii="Times New Roman" w:eastAsia="Times New Roman" w:hAnsi="Times New Roman" w:cs="Times New Roman"/>
          <w:sz w:val="24"/>
          <w:szCs w:val="24"/>
        </w:rPr>
        <w:t>. http://devotion.greenvest.co.id</w:t>
      </w:r>
    </w:p>
    <w:p w14:paraId="7550286F"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i/>
          <w:sz w:val="24"/>
          <w:szCs w:val="24"/>
        </w:rPr>
        <w:t>SECTORAL DECARBONIZATION APPROACH (SDA): A method for setting corporate emission reduction targets in line with climate science</w:t>
      </w:r>
      <w:r w:rsidRPr="007E7CB6">
        <w:rPr>
          <w:rFonts w:ascii="Times New Roman" w:eastAsia="Times New Roman" w:hAnsi="Times New Roman" w:cs="Times New Roman"/>
          <w:sz w:val="24"/>
          <w:szCs w:val="24"/>
        </w:rPr>
        <w:t>. (2015).</w:t>
      </w:r>
    </w:p>
    <w:p w14:paraId="1F2C16AC"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Setiana, A., &amp; Arieftiara, D. (2023). </w:t>
      </w:r>
      <w:r w:rsidRPr="007E7CB6">
        <w:rPr>
          <w:rFonts w:ascii="Times New Roman" w:eastAsia="Times New Roman" w:hAnsi="Times New Roman" w:cs="Times New Roman"/>
          <w:i/>
          <w:sz w:val="24"/>
          <w:szCs w:val="24"/>
        </w:rPr>
        <w:t>CARBON EMISSION DISCLOSURE AND GREEN INTELLECTUAL CAPITAL: THE EFFECT ON FIRM VALUE</w:t>
      </w:r>
      <w:r w:rsidRPr="007E7CB6">
        <w:rPr>
          <w:rFonts w:ascii="Times New Roman" w:eastAsia="Times New Roman" w:hAnsi="Times New Roman" w:cs="Times New Roman"/>
          <w:sz w:val="24"/>
          <w:szCs w:val="24"/>
        </w:rPr>
        <w:t>.</w:t>
      </w:r>
    </w:p>
    <w:p w14:paraId="796E912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Suchman, M. C. (1995). MANAGING LEGITIMACY: STRATEGIC AND INSTITUTIONAL APPROACHES. In </w:t>
      </w:r>
      <w:r w:rsidRPr="007E7CB6">
        <w:rPr>
          <w:rFonts w:ascii="Times New Roman" w:eastAsia="Times New Roman" w:hAnsi="Times New Roman" w:cs="Times New Roman"/>
          <w:i/>
          <w:sz w:val="24"/>
          <w:szCs w:val="24"/>
        </w:rPr>
        <w:t>Management Review</w:t>
      </w:r>
      <w:r w:rsidRPr="007E7CB6">
        <w:rPr>
          <w:rFonts w:ascii="Times New Roman" w:eastAsia="Times New Roman" w:hAnsi="Times New Roman" w:cs="Times New Roman"/>
          <w:sz w:val="24"/>
          <w:szCs w:val="24"/>
        </w:rPr>
        <w:t xml:space="preserve"> (Vol. 20, Issue 3).</w:t>
      </w:r>
    </w:p>
    <w:p w14:paraId="21C2BE96"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Sundarasen, S., Rajagopalan, U., &amp; Alsmady, A. A. (2024). Environmental Accounting and Sustainability: A Meta-Synthesis. In </w:t>
      </w:r>
      <w:r w:rsidRPr="007E7CB6">
        <w:rPr>
          <w:rFonts w:ascii="Times New Roman" w:eastAsia="Times New Roman" w:hAnsi="Times New Roman" w:cs="Times New Roman"/>
          <w:i/>
          <w:sz w:val="24"/>
          <w:szCs w:val="24"/>
        </w:rPr>
        <w:t>Sustainability (Switzerland)</w:t>
      </w:r>
      <w:r w:rsidRPr="007E7CB6">
        <w:rPr>
          <w:rFonts w:ascii="Times New Roman" w:eastAsia="Times New Roman" w:hAnsi="Times New Roman" w:cs="Times New Roman"/>
          <w:sz w:val="24"/>
          <w:szCs w:val="24"/>
        </w:rPr>
        <w:t xml:space="preserve"> (Vol. 16, Issue 21). Multidisciplinary Digital Publishing Institute (MDPI). https://doi.org/10.3390/su16219341</w:t>
      </w:r>
    </w:p>
    <w:p w14:paraId="4716566F"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Tang, D. Y., &amp; Zhang, Y. (2020). Do shareholders benefit from green bonds? </w:t>
      </w:r>
      <w:r w:rsidRPr="007E7CB6">
        <w:rPr>
          <w:rFonts w:ascii="Times New Roman" w:eastAsia="Times New Roman" w:hAnsi="Times New Roman" w:cs="Times New Roman"/>
          <w:i/>
          <w:sz w:val="24"/>
          <w:szCs w:val="24"/>
        </w:rPr>
        <w:t>Journal of Corporate Finance</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61</w:t>
      </w:r>
      <w:r w:rsidRPr="007E7CB6">
        <w:rPr>
          <w:rFonts w:ascii="Times New Roman" w:eastAsia="Times New Roman" w:hAnsi="Times New Roman" w:cs="Times New Roman"/>
          <w:sz w:val="24"/>
          <w:szCs w:val="24"/>
        </w:rPr>
        <w:t>. https://doi.org/10.1016/j.jcorpfin.2018.12.001</w:t>
      </w:r>
    </w:p>
    <w:p w14:paraId="3EFEC747"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Utomo, M. N., Rahayu, S., Kaujan, K., &amp; Irwandi, S. A. (2020). Environmental performance, environmental disclosure, and firm value: empirical study of non-financial companies at Indonesia Stock Exchange. </w:t>
      </w:r>
      <w:r w:rsidRPr="007E7CB6">
        <w:rPr>
          <w:rFonts w:ascii="Times New Roman" w:eastAsia="Times New Roman" w:hAnsi="Times New Roman" w:cs="Times New Roman"/>
          <w:i/>
          <w:sz w:val="24"/>
          <w:szCs w:val="24"/>
        </w:rPr>
        <w:t>Green Finance</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w:t>
      </w:r>
      <w:r w:rsidRPr="007E7CB6">
        <w:rPr>
          <w:rFonts w:ascii="Times New Roman" w:eastAsia="Times New Roman" w:hAnsi="Times New Roman" w:cs="Times New Roman"/>
          <w:sz w:val="24"/>
          <w:szCs w:val="24"/>
        </w:rPr>
        <w:t>(1), 100–113. https://doi.org/10.3934/GF.2020006</w:t>
      </w:r>
    </w:p>
    <w:p w14:paraId="4F2FB84C"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Widagdo, A. K., Ika, S. R., Neni, M. F., Hasthoro, H. A., &amp; Widiawati. (2023). Does carbon emission disclosure and environmental performance increase firm value? Evidence from highly emitted industry in Indonesia. </w:t>
      </w:r>
      <w:r w:rsidRPr="007E7CB6">
        <w:rPr>
          <w:rFonts w:ascii="Times New Roman" w:eastAsia="Times New Roman" w:hAnsi="Times New Roman" w:cs="Times New Roman"/>
          <w:i/>
          <w:sz w:val="24"/>
          <w:szCs w:val="24"/>
        </w:rPr>
        <w:t>E3S Web of Conferences</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467</w:t>
      </w:r>
      <w:r w:rsidRPr="007E7CB6">
        <w:rPr>
          <w:rFonts w:ascii="Times New Roman" w:eastAsia="Times New Roman" w:hAnsi="Times New Roman" w:cs="Times New Roman"/>
          <w:sz w:val="24"/>
          <w:szCs w:val="24"/>
        </w:rPr>
        <w:t>. https://doi.org/10.1051/e3sconf/202346704002</w:t>
      </w:r>
    </w:p>
    <w:p w14:paraId="74BE1CB7"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i/>
          <w:sz w:val="24"/>
          <w:szCs w:val="24"/>
        </w:rPr>
        <w:lastRenderedPageBreak/>
        <w:t>World Greenhouse Gas Emissions by Sector | World Resources Institute</w:t>
      </w:r>
      <w:r w:rsidRPr="007E7CB6">
        <w:rPr>
          <w:rFonts w:ascii="Times New Roman" w:eastAsia="Times New Roman" w:hAnsi="Times New Roman" w:cs="Times New Roman"/>
          <w:sz w:val="24"/>
          <w:szCs w:val="24"/>
        </w:rPr>
        <w:t>. (2024). https://www.wri.org/data/world-greenhouse-gas-emissions-sector-2021-sunburst-chart</w:t>
      </w:r>
    </w:p>
    <w:p w14:paraId="3C6081E8"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Xie, Z., Wang, J., &amp; Zhao, G. (2022). Impact of Green Innovation on Firm Value: Evidence From Listed Companies in China’s Heavy Pollution Industries. </w:t>
      </w:r>
      <w:r w:rsidRPr="007E7CB6">
        <w:rPr>
          <w:rFonts w:ascii="Times New Roman" w:eastAsia="Times New Roman" w:hAnsi="Times New Roman" w:cs="Times New Roman"/>
          <w:i/>
          <w:sz w:val="24"/>
          <w:szCs w:val="24"/>
        </w:rPr>
        <w:t>Frontiers in Energy Research</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9</w:t>
      </w:r>
      <w:r w:rsidRPr="007E7CB6">
        <w:rPr>
          <w:rFonts w:ascii="Times New Roman" w:eastAsia="Times New Roman" w:hAnsi="Times New Roman" w:cs="Times New Roman"/>
          <w:sz w:val="24"/>
          <w:szCs w:val="24"/>
        </w:rPr>
        <w:t>. https://doi.org/10.3389/fenrg.2021.806926</w:t>
      </w:r>
    </w:p>
    <w:p w14:paraId="5D646AA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Yunus, S., Elijido-Ten, E. O., &amp; Abhayawansa, S. (2020). Impact of stakeholder pressure on the adoption of carbon management strategies: Evidence from Australia. </w:t>
      </w:r>
      <w:r w:rsidRPr="007E7CB6">
        <w:rPr>
          <w:rFonts w:ascii="Times New Roman" w:eastAsia="Times New Roman" w:hAnsi="Times New Roman" w:cs="Times New Roman"/>
          <w:i/>
          <w:sz w:val="24"/>
          <w:szCs w:val="24"/>
        </w:rPr>
        <w:t>Sustainability Accounting, Management and Policy Journal</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11</w:t>
      </w:r>
      <w:r w:rsidRPr="007E7CB6">
        <w:rPr>
          <w:rFonts w:ascii="Times New Roman" w:eastAsia="Times New Roman" w:hAnsi="Times New Roman" w:cs="Times New Roman"/>
          <w:sz w:val="24"/>
          <w:szCs w:val="24"/>
        </w:rPr>
        <w:t>(7), 1189–1212. https://doi.org/10.1108/SAMPJ-04-2019-0135</w:t>
      </w:r>
    </w:p>
    <w:p w14:paraId="705BC26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Yusliza, M. Y., Yong, J. Y., Tanveer, M. I., Ramayah, T., Noor Faezah, J., &amp; Muhammad, Z. (2020). A structural model of the impact of green intellectual capital on sustainable performance. </w:t>
      </w:r>
      <w:r w:rsidRPr="007E7CB6">
        <w:rPr>
          <w:rFonts w:ascii="Times New Roman" w:eastAsia="Times New Roman" w:hAnsi="Times New Roman" w:cs="Times New Roman"/>
          <w:i/>
          <w:sz w:val="24"/>
          <w:szCs w:val="24"/>
        </w:rPr>
        <w:t>Journal of Cleaner Production</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249</w:t>
      </w:r>
      <w:r w:rsidRPr="007E7CB6">
        <w:rPr>
          <w:rFonts w:ascii="Times New Roman" w:eastAsia="Times New Roman" w:hAnsi="Times New Roman" w:cs="Times New Roman"/>
          <w:sz w:val="24"/>
          <w:szCs w:val="24"/>
        </w:rPr>
        <w:t>. https://doi.org/10.1016/j.jclepro.2019.119334</w:t>
      </w:r>
    </w:p>
    <w:p w14:paraId="0B3D1B45"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Zairis, G., Liargovas, P., &amp; Apostolopoulos, N. (2024). Sustainable Finance and ESG Importance: A Systematic Literature Review and Research Agenda. In </w:t>
      </w:r>
      <w:r w:rsidRPr="007E7CB6">
        <w:rPr>
          <w:rFonts w:ascii="Times New Roman" w:eastAsia="Times New Roman" w:hAnsi="Times New Roman" w:cs="Times New Roman"/>
          <w:i/>
          <w:sz w:val="24"/>
          <w:szCs w:val="24"/>
        </w:rPr>
        <w:t xml:space="preserve">Sustainability (Switzerland) </w:t>
      </w:r>
      <w:r w:rsidRPr="007E7CB6">
        <w:rPr>
          <w:rFonts w:ascii="Times New Roman" w:eastAsia="Times New Roman" w:hAnsi="Times New Roman" w:cs="Times New Roman"/>
          <w:sz w:val="24"/>
          <w:szCs w:val="24"/>
        </w:rPr>
        <w:t>(Vol. 16, Issue 7). Multidisciplinary Digital Publishing Institute (MDPI). https://doi.org/10.3390/su16072878</w:t>
      </w:r>
    </w:p>
    <w:p w14:paraId="424BEEAC"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Zhang, J., &amp; Wang, M. (2023). Does environmental information disclosure drive corporate sustainable growth? A new insight into U-shaped relationship. </w:t>
      </w:r>
      <w:r w:rsidRPr="007E7CB6">
        <w:rPr>
          <w:rFonts w:ascii="Times New Roman" w:eastAsia="Times New Roman" w:hAnsi="Times New Roman" w:cs="Times New Roman"/>
          <w:i/>
          <w:sz w:val="24"/>
          <w:szCs w:val="24"/>
        </w:rPr>
        <w:t>Frontiers in Ecology and Evolution</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11</w:t>
      </w:r>
      <w:r w:rsidRPr="007E7CB6">
        <w:rPr>
          <w:rFonts w:ascii="Times New Roman" w:eastAsia="Times New Roman" w:hAnsi="Times New Roman" w:cs="Times New Roman"/>
          <w:sz w:val="24"/>
          <w:szCs w:val="24"/>
        </w:rPr>
        <w:t>. https://doi.org/10.3389/fevo.2023.1189052</w:t>
      </w:r>
    </w:p>
    <w:p w14:paraId="761016B2" w14:textId="77777777" w:rsidR="00153781" w:rsidRPr="007E7CB6" w:rsidRDefault="00000000">
      <w:pPr>
        <w:spacing w:after="240"/>
        <w:ind w:hanging="480"/>
        <w:jc w:val="both"/>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 xml:space="preserve">Zhou, M., &amp; Fan, R. (2023). The Impact of Green Capital Structure on Enterprise Development and the Regulation of Technological Innovation under Carbon Peaking. </w:t>
      </w:r>
      <w:r w:rsidRPr="007E7CB6">
        <w:rPr>
          <w:rFonts w:ascii="Times New Roman" w:eastAsia="Times New Roman" w:hAnsi="Times New Roman" w:cs="Times New Roman"/>
          <w:i/>
          <w:sz w:val="24"/>
          <w:szCs w:val="24"/>
        </w:rPr>
        <w:t>Sustainability (Switzerland)</w:t>
      </w:r>
      <w:r w:rsidRPr="007E7CB6">
        <w:rPr>
          <w:rFonts w:ascii="Times New Roman" w:eastAsia="Times New Roman" w:hAnsi="Times New Roman" w:cs="Times New Roman"/>
          <w:sz w:val="24"/>
          <w:szCs w:val="24"/>
        </w:rPr>
        <w:t xml:space="preserve">, </w:t>
      </w:r>
      <w:r w:rsidRPr="007E7CB6">
        <w:rPr>
          <w:rFonts w:ascii="Times New Roman" w:eastAsia="Times New Roman" w:hAnsi="Times New Roman" w:cs="Times New Roman"/>
          <w:i/>
          <w:sz w:val="24"/>
          <w:szCs w:val="24"/>
        </w:rPr>
        <w:t>15</w:t>
      </w:r>
      <w:r w:rsidRPr="007E7CB6">
        <w:rPr>
          <w:rFonts w:ascii="Times New Roman" w:eastAsia="Times New Roman" w:hAnsi="Times New Roman" w:cs="Times New Roman"/>
          <w:sz w:val="24"/>
          <w:szCs w:val="24"/>
        </w:rPr>
        <w:t>(7). https://doi.org/10.3390/su15075743</w:t>
      </w:r>
    </w:p>
    <w:p w14:paraId="62439F2D" w14:textId="77777777" w:rsidR="00153781" w:rsidRPr="007E7CB6" w:rsidRDefault="00000000">
      <w:pPr>
        <w:spacing w:after="240"/>
        <w:jc w:val="both"/>
        <w:rPr>
          <w:rFonts w:ascii="Times New Roman" w:eastAsia="Times New Roman" w:hAnsi="Times New Roman" w:cs="Times New Roman"/>
        </w:rPr>
        <w:sectPr w:rsidR="00153781" w:rsidRPr="007E7CB6">
          <w:pgSz w:w="11906" w:h="16838"/>
          <w:pgMar w:top="2268" w:right="1701" w:bottom="1701" w:left="2268" w:header="720" w:footer="737" w:gutter="0"/>
          <w:cols w:space="720"/>
          <w:titlePg/>
        </w:sectPr>
      </w:pPr>
      <w:r w:rsidRPr="007E7CB6">
        <w:rPr>
          <w:rFonts w:ascii="Times New Roman" w:eastAsia="Times New Roman" w:hAnsi="Times New Roman" w:cs="Times New Roman"/>
          <w:sz w:val="24"/>
          <w:szCs w:val="24"/>
        </w:rPr>
        <w:t> </w:t>
      </w:r>
    </w:p>
    <w:p w14:paraId="573E6C92"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10D7F41C" w14:textId="77777777" w:rsidR="00153781" w:rsidRPr="007E7CB6" w:rsidRDefault="00153781">
      <w:pPr>
        <w:spacing w:after="240"/>
        <w:jc w:val="both"/>
        <w:rPr>
          <w:rFonts w:ascii="Times New Roman" w:eastAsia="Times New Roman" w:hAnsi="Times New Roman" w:cs="Times New Roman"/>
          <w:b/>
          <w:sz w:val="48"/>
          <w:szCs w:val="48"/>
        </w:rPr>
      </w:pPr>
    </w:p>
    <w:p w14:paraId="47BC8C32"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275B3295"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70B03E7D"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345A42BD"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05BF13EC" w14:textId="77777777" w:rsidR="00153781" w:rsidRPr="007E7CB6" w:rsidRDefault="00153781">
      <w:pPr>
        <w:spacing w:after="240"/>
        <w:ind w:hanging="480"/>
        <w:jc w:val="both"/>
        <w:rPr>
          <w:rFonts w:ascii="Times New Roman" w:eastAsia="Times New Roman" w:hAnsi="Times New Roman" w:cs="Times New Roman"/>
          <w:b/>
          <w:sz w:val="48"/>
          <w:szCs w:val="48"/>
        </w:rPr>
      </w:pPr>
    </w:p>
    <w:p w14:paraId="0E6BEE3F" w14:textId="272F4FFB" w:rsidR="00153781" w:rsidRPr="007E7CB6" w:rsidRDefault="006B7C4E">
      <w:pPr>
        <w:pStyle w:val="Heading1"/>
        <w:jc w:val="center"/>
        <w:rPr>
          <w:rFonts w:ascii="Times New Roman" w:eastAsia="Times New Roman" w:hAnsi="Times New Roman" w:cs="Times New Roman"/>
          <w:b/>
          <w:sz w:val="48"/>
          <w:szCs w:val="48"/>
        </w:rPr>
      </w:pPr>
      <w:bookmarkStart w:id="160" w:name="_Toc210744274"/>
      <w:r w:rsidRPr="007E7CB6">
        <w:rPr>
          <w:rFonts w:ascii="Times New Roman" w:eastAsia="Times New Roman" w:hAnsi="Times New Roman" w:cs="Times New Roman"/>
          <w:b/>
          <w:sz w:val="48"/>
          <w:szCs w:val="48"/>
        </w:rPr>
        <w:t>APPENDICES</w:t>
      </w:r>
      <w:bookmarkEnd w:id="160"/>
    </w:p>
    <w:p w14:paraId="5D9FB27D" w14:textId="77777777" w:rsidR="00153781" w:rsidRPr="007E7CB6" w:rsidRDefault="00153781">
      <w:pPr>
        <w:spacing w:after="240"/>
        <w:ind w:hanging="480"/>
        <w:jc w:val="center"/>
        <w:rPr>
          <w:rFonts w:ascii="Times New Roman" w:eastAsia="Times New Roman" w:hAnsi="Times New Roman" w:cs="Times New Roman"/>
          <w:b/>
          <w:sz w:val="48"/>
          <w:szCs w:val="48"/>
        </w:rPr>
      </w:pPr>
    </w:p>
    <w:p w14:paraId="528F49D0" w14:textId="77777777" w:rsidR="00153781" w:rsidRPr="007E7CB6" w:rsidRDefault="00153781">
      <w:pPr>
        <w:spacing w:after="240"/>
        <w:ind w:hanging="480"/>
        <w:jc w:val="center"/>
        <w:rPr>
          <w:rFonts w:ascii="Times New Roman" w:eastAsia="Times New Roman" w:hAnsi="Times New Roman" w:cs="Times New Roman"/>
          <w:b/>
          <w:sz w:val="48"/>
          <w:szCs w:val="48"/>
        </w:rPr>
      </w:pPr>
    </w:p>
    <w:p w14:paraId="5E0F99AF" w14:textId="77777777" w:rsidR="00153781" w:rsidRPr="007E7CB6" w:rsidRDefault="00153781">
      <w:pPr>
        <w:spacing w:after="240"/>
        <w:ind w:hanging="480"/>
        <w:jc w:val="center"/>
        <w:rPr>
          <w:rFonts w:ascii="Times New Roman" w:eastAsia="Times New Roman" w:hAnsi="Times New Roman" w:cs="Times New Roman"/>
          <w:b/>
          <w:sz w:val="48"/>
          <w:szCs w:val="48"/>
        </w:rPr>
      </w:pPr>
    </w:p>
    <w:p w14:paraId="1787C8B6" w14:textId="77777777" w:rsidR="00153781" w:rsidRPr="007E7CB6" w:rsidRDefault="00153781">
      <w:pPr>
        <w:spacing w:after="240"/>
        <w:ind w:hanging="480"/>
        <w:jc w:val="center"/>
        <w:rPr>
          <w:rFonts w:ascii="Times New Roman" w:eastAsia="Times New Roman" w:hAnsi="Times New Roman" w:cs="Times New Roman"/>
          <w:b/>
          <w:sz w:val="48"/>
          <w:szCs w:val="48"/>
        </w:rPr>
      </w:pPr>
    </w:p>
    <w:p w14:paraId="4F2BA471" w14:textId="77777777" w:rsidR="00153781" w:rsidRPr="007E7CB6" w:rsidRDefault="00153781">
      <w:pPr>
        <w:spacing w:after="240"/>
        <w:ind w:hanging="480"/>
        <w:jc w:val="center"/>
        <w:rPr>
          <w:rFonts w:ascii="Times New Roman" w:eastAsia="Times New Roman" w:hAnsi="Times New Roman" w:cs="Times New Roman"/>
          <w:b/>
          <w:sz w:val="48"/>
          <w:szCs w:val="48"/>
        </w:rPr>
      </w:pPr>
    </w:p>
    <w:p w14:paraId="585050FA" w14:textId="77777777"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p>
    <w:p w14:paraId="1C3F5D11" w14:textId="77777777" w:rsidR="00153781" w:rsidRPr="007E7CB6" w:rsidRDefault="00153781">
      <w:pPr>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p>
    <w:p w14:paraId="0E8B1A6F" w14:textId="77777777" w:rsidR="00FB7ED7" w:rsidRDefault="00FB7ED7" w:rsidP="00FB7ED7">
      <w:pPr>
        <w:pStyle w:val="Caption"/>
        <w:rPr>
          <w:rFonts w:ascii="Times New Roman" w:hAnsi="Times New Roman" w:cs="Times New Roman"/>
          <w:b/>
          <w:bCs/>
          <w:i w:val="0"/>
          <w:iCs w:val="0"/>
          <w:color w:val="000000" w:themeColor="text1"/>
          <w:sz w:val="24"/>
          <w:szCs w:val="24"/>
        </w:rPr>
      </w:pPr>
    </w:p>
    <w:p w14:paraId="0BD75BD1" w14:textId="5A0F6303" w:rsidR="00153781" w:rsidRPr="00FB7ED7" w:rsidRDefault="00FB7ED7" w:rsidP="00FB7ED7">
      <w:pPr>
        <w:pStyle w:val="Caption"/>
        <w:rPr>
          <w:rFonts w:ascii="Times New Roman" w:eastAsia="Times New Roman" w:hAnsi="Times New Roman" w:cs="Times New Roman"/>
          <w:b/>
          <w:bCs/>
          <w:i w:val="0"/>
          <w:iCs w:val="0"/>
          <w:color w:val="000000" w:themeColor="text1"/>
          <w:sz w:val="36"/>
          <w:szCs w:val="36"/>
        </w:rPr>
      </w:pPr>
      <w:bookmarkStart w:id="161" w:name="_Toc210649270"/>
      <w:r w:rsidRPr="00FB7ED7">
        <w:rPr>
          <w:rFonts w:ascii="Times New Roman" w:hAnsi="Times New Roman" w:cs="Times New Roman"/>
          <w:b/>
          <w:bCs/>
          <w:i w:val="0"/>
          <w:iCs w:val="0"/>
          <w:color w:val="000000" w:themeColor="text1"/>
          <w:sz w:val="24"/>
          <w:szCs w:val="24"/>
        </w:rPr>
        <w:lastRenderedPageBreak/>
        <w:t xml:space="preserve">Appendix </w:t>
      </w:r>
      <w:r w:rsidRPr="00FB7ED7">
        <w:rPr>
          <w:rFonts w:ascii="Times New Roman" w:hAnsi="Times New Roman" w:cs="Times New Roman"/>
          <w:b/>
          <w:bCs/>
          <w:i w:val="0"/>
          <w:iCs w:val="0"/>
          <w:color w:val="000000" w:themeColor="text1"/>
          <w:sz w:val="24"/>
          <w:szCs w:val="24"/>
        </w:rPr>
        <w:fldChar w:fldCharType="begin"/>
      </w:r>
      <w:r w:rsidRPr="00FB7ED7">
        <w:rPr>
          <w:rFonts w:ascii="Times New Roman" w:hAnsi="Times New Roman" w:cs="Times New Roman"/>
          <w:b/>
          <w:bCs/>
          <w:i w:val="0"/>
          <w:iCs w:val="0"/>
          <w:color w:val="000000" w:themeColor="text1"/>
          <w:sz w:val="24"/>
          <w:szCs w:val="24"/>
        </w:rPr>
        <w:instrText xml:space="preserve"> SEQ Appendix \* ARABIC </w:instrText>
      </w:r>
      <w:r w:rsidRPr="00FB7ED7">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w:t>
      </w:r>
      <w:r w:rsidRPr="00FB7ED7">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Company Sample List</w:t>
      </w:r>
      <w:bookmarkEnd w:id="161"/>
    </w:p>
    <w:tbl>
      <w:tblPr>
        <w:tblStyle w:val="afc"/>
        <w:tblpPr w:leftFromText="180" w:rightFromText="180" w:vertAnchor="text"/>
        <w:tblW w:w="7875" w:type="dxa"/>
        <w:tblLayout w:type="fixed"/>
        <w:tblLook w:val="0400" w:firstRow="0" w:lastRow="0" w:firstColumn="0" w:lastColumn="0" w:noHBand="0" w:noVBand="1"/>
      </w:tblPr>
      <w:tblGrid>
        <w:gridCol w:w="597"/>
        <w:gridCol w:w="1218"/>
        <w:gridCol w:w="3968"/>
        <w:gridCol w:w="2092"/>
      </w:tblGrid>
      <w:tr w:rsidR="00153781" w:rsidRPr="007E7CB6" w14:paraId="0C86D5F7" w14:textId="77777777">
        <w:trPr>
          <w:trHeight w:val="435"/>
        </w:trPr>
        <w:tc>
          <w:tcPr>
            <w:tcW w:w="597" w:type="dxa"/>
            <w:tcBorders>
              <w:top w:val="single" w:sz="4" w:space="0" w:color="000000"/>
              <w:left w:val="single" w:sz="4" w:space="0" w:color="000000"/>
              <w:bottom w:val="single" w:sz="4" w:space="0" w:color="000000"/>
              <w:right w:val="single" w:sz="4" w:space="0" w:color="000000"/>
            </w:tcBorders>
            <w:vAlign w:val="center"/>
          </w:tcPr>
          <w:p w14:paraId="5FEA1D2B" w14:textId="77777777" w:rsidR="00153781" w:rsidRPr="007E7CB6" w:rsidRDefault="00000000">
            <w:pP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No</w:t>
            </w:r>
          </w:p>
        </w:tc>
        <w:tc>
          <w:tcPr>
            <w:tcW w:w="1218" w:type="dxa"/>
            <w:tcBorders>
              <w:top w:val="single" w:sz="4" w:space="0" w:color="000000"/>
              <w:left w:val="nil"/>
              <w:bottom w:val="single" w:sz="4" w:space="0" w:color="000000"/>
              <w:right w:val="single" w:sz="4" w:space="0" w:color="000000"/>
            </w:tcBorders>
            <w:vAlign w:val="center"/>
          </w:tcPr>
          <w:p w14:paraId="336DD5F6" w14:textId="77777777" w:rsidR="00153781" w:rsidRPr="007E7CB6" w:rsidRDefault="00000000">
            <w:pP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Code</w:t>
            </w:r>
          </w:p>
        </w:tc>
        <w:tc>
          <w:tcPr>
            <w:tcW w:w="3969" w:type="dxa"/>
            <w:tcBorders>
              <w:top w:val="single" w:sz="4" w:space="0" w:color="000000"/>
              <w:left w:val="nil"/>
              <w:bottom w:val="single" w:sz="4" w:space="0" w:color="000000"/>
              <w:right w:val="single" w:sz="4" w:space="0" w:color="000000"/>
            </w:tcBorders>
            <w:vAlign w:val="center"/>
          </w:tcPr>
          <w:p w14:paraId="17B601F5" w14:textId="0C166D28" w:rsidR="00153781" w:rsidRPr="007E7CB6" w:rsidRDefault="00FB7ED7">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Name</w:t>
            </w:r>
          </w:p>
        </w:tc>
        <w:tc>
          <w:tcPr>
            <w:tcW w:w="2092" w:type="dxa"/>
            <w:tcBorders>
              <w:top w:val="single" w:sz="4" w:space="0" w:color="000000"/>
              <w:left w:val="nil"/>
              <w:bottom w:val="single" w:sz="4" w:space="0" w:color="000000"/>
              <w:right w:val="single" w:sz="4" w:space="0" w:color="000000"/>
            </w:tcBorders>
            <w:vAlign w:val="center"/>
          </w:tcPr>
          <w:p w14:paraId="3C75C156" w14:textId="77777777" w:rsidR="00153781" w:rsidRPr="007E7CB6" w:rsidRDefault="00000000">
            <w:pP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Indeks</w:t>
            </w:r>
          </w:p>
        </w:tc>
      </w:tr>
      <w:tr w:rsidR="00153781" w:rsidRPr="007E7CB6" w14:paraId="7FA8E697"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2BCB106A"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218" w:type="dxa"/>
            <w:tcBorders>
              <w:top w:val="nil"/>
              <w:left w:val="nil"/>
              <w:bottom w:val="single" w:sz="4" w:space="0" w:color="000000"/>
              <w:right w:val="single" w:sz="4" w:space="0" w:color="000000"/>
            </w:tcBorders>
            <w:vAlign w:val="center"/>
          </w:tcPr>
          <w:p w14:paraId="2841886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AKRA</w:t>
            </w:r>
          </w:p>
        </w:tc>
        <w:tc>
          <w:tcPr>
            <w:tcW w:w="3969" w:type="dxa"/>
            <w:tcBorders>
              <w:top w:val="nil"/>
              <w:left w:val="nil"/>
              <w:bottom w:val="single" w:sz="4" w:space="0" w:color="000000"/>
              <w:right w:val="single" w:sz="4" w:space="0" w:color="000000"/>
            </w:tcBorders>
            <w:vAlign w:val="center"/>
          </w:tcPr>
          <w:p w14:paraId="7519AADB"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AKR Corporindo Tbk.</w:t>
            </w:r>
          </w:p>
        </w:tc>
        <w:tc>
          <w:tcPr>
            <w:tcW w:w="2092" w:type="dxa"/>
            <w:vMerge w:val="restart"/>
            <w:tcBorders>
              <w:top w:val="nil"/>
              <w:left w:val="single" w:sz="4" w:space="0" w:color="000000"/>
              <w:bottom w:val="single" w:sz="4" w:space="0" w:color="000000"/>
              <w:right w:val="single" w:sz="4" w:space="0" w:color="000000"/>
            </w:tcBorders>
            <w:vAlign w:val="center"/>
          </w:tcPr>
          <w:p w14:paraId="74BC878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ESG Q KEHATI</w:t>
            </w:r>
          </w:p>
        </w:tc>
      </w:tr>
      <w:tr w:rsidR="00153781" w:rsidRPr="007E7CB6" w14:paraId="1E51B4B0"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0DA31BE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w:t>
            </w:r>
          </w:p>
        </w:tc>
        <w:tc>
          <w:tcPr>
            <w:tcW w:w="1218" w:type="dxa"/>
            <w:tcBorders>
              <w:top w:val="nil"/>
              <w:left w:val="nil"/>
              <w:bottom w:val="single" w:sz="4" w:space="0" w:color="000000"/>
              <w:right w:val="single" w:sz="4" w:space="0" w:color="000000"/>
            </w:tcBorders>
            <w:vAlign w:val="center"/>
          </w:tcPr>
          <w:p w14:paraId="4571454E"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ANTM</w:t>
            </w:r>
          </w:p>
        </w:tc>
        <w:tc>
          <w:tcPr>
            <w:tcW w:w="3969" w:type="dxa"/>
            <w:tcBorders>
              <w:top w:val="nil"/>
              <w:left w:val="nil"/>
              <w:bottom w:val="single" w:sz="4" w:space="0" w:color="000000"/>
              <w:right w:val="single" w:sz="4" w:space="0" w:color="000000"/>
            </w:tcBorders>
            <w:vAlign w:val="center"/>
          </w:tcPr>
          <w:p w14:paraId="257C8E84"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Aneka Tambang Tbk.</w:t>
            </w:r>
          </w:p>
        </w:tc>
        <w:tc>
          <w:tcPr>
            <w:tcW w:w="2092" w:type="dxa"/>
            <w:vMerge/>
            <w:tcBorders>
              <w:top w:val="nil"/>
              <w:left w:val="single" w:sz="4" w:space="0" w:color="000000"/>
              <w:bottom w:val="single" w:sz="4" w:space="0" w:color="000000"/>
              <w:right w:val="single" w:sz="4" w:space="0" w:color="000000"/>
            </w:tcBorders>
            <w:vAlign w:val="center"/>
          </w:tcPr>
          <w:p w14:paraId="367414E0"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1F32A318"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3F8D7936"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w:t>
            </w:r>
          </w:p>
        </w:tc>
        <w:tc>
          <w:tcPr>
            <w:tcW w:w="1218" w:type="dxa"/>
            <w:tcBorders>
              <w:top w:val="nil"/>
              <w:left w:val="nil"/>
              <w:bottom w:val="single" w:sz="4" w:space="0" w:color="000000"/>
              <w:right w:val="single" w:sz="4" w:space="0" w:color="000000"/>
            </w:tcBorders>
            <w:vAlign w:val="center"/>
          </w:tcPr>
          <w:p w14:paraId="316FEC14"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ASII</w:t>
            </w:r>
          </w:p>
        </w:tc>
        <w:tc>
          <w:tcPr>
            <w:tcW w:w="3969" w:type="dxa"/>
            <w:tcBorders>
              <w:top w:val="nil"/>
              <w:left w:val="nil"/>
              <w:bottom w:val="single" w:sz="4" w:space="0" w:color="000000"/>
              <w:right w:val="single" w:sz="4" w:space="0" w:color="000000"/>
            </w:tcBorders>
            <w:vAlign w:val="center"/>
          </w:tcPr>
          <w:p w14:paraId="2DC07E7A"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Astra International Tbk.</w:t>
            </w:r>
          </w:p>
        </w:tc>
        <w:tc>
          <w:tcPr>
            <w:tcW w:w="2092" w:type="dxa"/>
            <w:vMerge/>
            <w:tcBorders>
              <w:top w:val="nil"/>
              <w:left w:val="single" w:sz="4" w:space="0" w:color="000000"/>
              <w:bottom w:val="single" w:sz="4" w:space="0" w:color="000000"/>
              <w:right w:val="single" w:sz="4" w:space="0" w:color="000000"/>
            </w:tcBorders>
            <w:vAlign w:val="center"/>
          </w:tcPr>
          <w:p w14:paraId="4CC0E58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4B0828BC"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74A79FE4"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1218" w:type="dxa"/>
            <w:tcBorders>
              <w:top w:val="nil"/>
              <w:left w:val="nil"/>
              <w:bottom w:val="single" w:sz="4" w:space="0" w:color="000000"/>
              <w:right w:val="single" w:sz="4" w:space="0" w:color="000000"/>
            </w:tcBorders>
            <w:vAlign w:val="center"/>
          </w:tcPr>
          <w:p w14:paraId="5DADD54D"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AVIA</w:t>
            </w:r>
          </w:p>
        </w:tc>
        <w:tc>
          <w:tcPr>
            <w:tcW w:w="3969" w:type="dxa"/>
            <w:tcBorders>
              <w:top w:val="nil"/>
              <w:left w:val="nil"/>
              <w:bottom w:val="single" w:sz="4" w:space="0" w:color="000000"/>
              <w:right w:val="single" w:sz="4" w:space="0" w:color="000000"/>
            </w:tcBorders>
            <w:vAlign w:val="center"/>
          </w:tcPr>
          <w:p w14:paraId="70DCE554"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Avia Avian Tbk.</w:t>
            </w:r>
          </w:p>
        </w:tc>
        <w:tc>
          <w:tcPr>
            <w:tcW w:w="2092" w:type="dxa"/>
            <w:vMerge/>
            <w:tcBorders>
              <w:top w:val="nil"/>
              <w:left w:val="single" w:sz="4" w:space="0" w:color="000000"/>
              <w:bottom w:val="single" w:sz="4" w:space="0" w:color="000000"/>
              <w:right w:val="single" w:sz="4" w:space="0" w:color="000000"/>
            </w:tcBorders>
            <w:vAlign w:val="center"/>
          </w:tcPr>
          <w:p w14:paraId="6556B91B"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355BAB19"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130F8BA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w:t>
            </w:r>
          </w:p>
        </w:tc>
        <w:tc>
          <w:tcPr>
            <w:tcW w:w="1218" w:type="dxa"/>
            <w:tcBorders>
              <w:top w:val="nil"/>
              <w:left w:val="nil"/>
              <w:bottom w:val="single" w:sz="4" w:space="0" w:color="000000"/>
              <w:right w:val="single" w:sz="4" w:space="0" w:color="000000"/>
            </w:tcBorders>
            <w:vAlign w:val="center"/>
          </w:tcPr>
          <w:p w14:paraId="566DCAA7"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BIRD</w:t>
            </w:r>
          </w:p>
        </w:tc>
        <w:tc>
          <w:tcPr>
            <w:tcW w:w="3969" w:type="dxa"/>
            <w:tcBorders>
              <w:top w:val="nil"/>
              <w:left w:val="nil"/>
              <w:bottom w:val="single" w:sz="4" w:space="0" w:color="000000"/>
              <w:right w:val="single" w:sz="4" w:space="0" w:color="000000"/>
            </w:tcBorders>
            <w:vAlign w:val="center"/>
          </w:tcPr>
          <w:p w14:paraId="4D0456F6"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Blue Bird Tbk.</w:t>
            </w:r>
          </w:p>
        </w:tc>
        <w:tc>
          <w:tcPr>
            <w:tcW w:w="2092" w:type="dxa"/>
            <w:vMerge/>
            <w:tcBorders>
              <w:top w:val="nil"/>
              <w:left w:val="single" w:sz="4" w:space="0" w:color="000000"/>
              <w:bottom w:val="single" w:sz="4" w:space="0" w:color="000000"/>
              <w:right w:val="single" w:sz="4" w:space="0" w:color="000000"/>
            </w:tcBorders>
            <w:vAlign w:val="center"/>
          </w:tcPr>
          <w:p w14:paraId="3A89039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1A872814"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18BF9F7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w:t>
            </w:r>
          </w:p>
        </w:tc>
        <w:tc>
          <w:tcPr>
            <w:tcW w:w="1218" w:type="dxa"/>
            <w:tcBorders>
              <w:top w:val="nil"/>
              <w:left w:val="nil"/>
              <w:bottom w:val="single" w:sz="4" w:space="0" w:color="000000"/>
              <w:right w:val="single" w:sz="4" w:space="0" w:color="000000"/>
            </w:tcBorders>
            <w:vAlign w:val="center"/>
          </w:tcPr>
          <w:p w14:paraId="0A56949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ELSA</w:t>
            </w:r>
          </w:p>
        </w:tc>
        <w:tc>
          <w:tcPr>
            <w:tcW w:w="3969" w:type="dxa"/>
            <w:tcBorders>
              <w:top w:val="nil"/>
              <w:left w:val="nil"/>
              <w:bottom w:val="single" w:sz="4" w:space="0" w:color="000000"/>
              <w:right w:val="single" w:sz="4" w:space="0" w:color="000000"/>
            </w:tcBorders>
            <w:vAlign w:val="center"/>
          </w:tcPr>
          <w:p w14:paraId="368E58D1"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Elnusa Tbk.</w:t>
            </w:r>
          </w:p>
        </w:tc>
        <w:tc>
          <w:tcPr>
            <w:tcW w:w="2092" w:type="dxa"/>
            <w:vMerge/>
            <w:tcBorders>
              <w:top w:val="nil"/>
              <w:left w:val="single" w:sz="4" w:space="0" w:color="000000"/>
              <w:bottom w:val="single" w:sz="4" w:space="0" w:color="000000"/>
              <w:right w:val="single" w:sz="4" w:space="0" w:color="000000"/>
            </w:tcBorders>
            <w:vAlign w:val="center"/>
          </w:tcPr>
          <w:p w14:paraId="0DF2111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532CDFED"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4E1956FD"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7</w:t>
            </w:r>
          </w:p>
        </w:tc>
        <w:tc>
          <w:tcPr>
            <w:tcW w:w="1218" w:type="dxa"/>
            <w:tcBorders>
              <w:top w:val="nil"/>
              <w:left w:val="nil"/>
              <w:bottom w:val="single" w:sz="4" w:space="0" w:color="000000"/>
              <w:right w:val="single" w:sz="4" w:space="0" w:color="000000"/>
            </w:tcBorders>
            <w:vAlign w:val="center"/>
          </w:tcPr>
          <w:p w14:paraId="3D2B0BF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ESSA</w:t>
            </w:r>
          </w:p>
        </w:tc>
        <w:tc>
          <w:tcPr>
            <w:tcW w:w="3969" w:type="dxa"/>
            <w:tcBorders>
              <w:top w:val="nil"/>
              <w:left w:val="nil"/>
              <w:bottom w:val="single" w:sz="4" w:space="0" w:color="000000"/>
              <w:right w:val="single" w:sz="4" w:space="0" w:color="000000"/>
            </w:tcBorders>
            <w:vAlign w:val="center"/>
          </w:tcPr>
          <w:p w14:paraId="3775E2D6"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ESSA Industries Indonesia Tbk.</w:t>
            </w:r>
          </w:p>
        </w:tc>
        <w:tc>
          <w:tcPr>
            <w:tcW w:w="2092" w:type="dxa"/>
            <w:vMerge/>
            <w:tcBorders>
              <w:top w:val="nil"/>
              <w:left w:val="single" w:sz="4" w:space="0" w:color="000000"/>
              <w:bottom w:val="single" w:sz="4" w:space="0" w:color="000000"/>
              <w:right w:val="single" w:sz="4" w:space="0" w:color="000000"/>
            </w:tcBorders>
            <w:vAlign w:val="center"/>
          </w:tcPr>
          <w:p w14:paraId="408BEDC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593AA654"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7B9766A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8</w:t>
            </w:r>
          </w:p>
        </w:tc>
        <w:tc>
          <w:tcPr>
            <w:tcW w:w="1218" w:type="dxa"/>
            <w:tcBorders>
              <w:top w:val="nil"/>
              <w:left w:val="nil"/>
              <w:bottom w:val="single" w:sz="4" w:space="0" w:color="000000"/>
              <w:right w:val="single" w:sz="4" w:space="0" w:color="000000"/>
            </w:tcBorders>
            <w:vAlign w:val="center"/>
          </w:tcPr>
          <w:p w14:paraId="7A491F07"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INCO</w:t>
            </w:r>
          </w:p>
        </w:tc>
        <w:tc>
          <w:tcPr>
            <w:tcW w:w="3969" w:type="dxa"/>
            <w:tcBorders>
              <w:top w:val="nil"/>
              <w:left w:val="nil"/>
              <w:bottom w:val="single" w:sz="4" w:space="0" w:color="000000"/>
              <w:right w:val="single" w:sz="4" w:space="0" w:color="000000"/>
            </w:tcBorders>
            <w:vAlign w:val="center"/>
          </w:tcPr>
          <w:p w14:paraId="62384926"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Vale Indonesia Tbk.</w:t>
            </w:r>
          </w:p>
        </w:tc>
        <w:tc>
          <w:tcPr>
            <w:tcW w:w="2092" w:type="dxa"/>
            <w:vMerge/>
            <w:tcBorders>
              <w:top w:val="nil"/>
              <w:left w:val="single" w:sz="4" w:space="0" w:color="000000"/>
              <w:bottom w:val="single" w:sz="4" w:space="0" w:color="000000"/>
              <w:right w:val="single" w:sz="4" w:space="0" w:color="000000"/>
            </w:tcBorders>
            <w:vAlign w:val="center"/>
          </w:tcPr>
          <w:p w14:paraId="245B2F8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6D5ED7F0"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3A0BDA6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9</w:t>
            </w:r>
          </w:p>
        </w:tc>
        <w:tc>
          <w:tcPr>
            <w:tcW w:w="1218" w:type="dxa"/>
            <w:tcBorders>
              <w:top w:val="nil"/>
              <w:left w:val="nil"/>
              <w:bottom w:val="single" w:sz="4" w:space="0" w:color="000000"/>
              <w:right w:val="single" w:sz="4" w:space="0" w:color="000000"/>
            </w:tcBorders>
            <w:vAlign w:val="center"/>
          </w:tcPr>
          <w:p w14:paraId="73C58A5C"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INTP</w:t>
            </w:r>
          </w:p>
        </w:tc>
        <w:tc>
          <w:tcPr>
            <w:tcW w:w="3969" w:type="dxa"/>
            <w:tcBorders>
              <w:top w:val="nil"/>
              <w:left w:val="nil"/>
              <w:bottom w:val="single" w:sz="4" w:space="0" w:color="000000"/>
              <w:right w:val="single" w:sz="4" w:space="0" w:color="000000"/>
            </w:tcBorders>
            <w:vAlign w:val="center"/>
          </w:tcPr>
          <w:p w14:paraId="7C59E46D"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Indocement Tunggal Prakarsa Tbk.</w:t>
            </w:r>
          </w:p>
        </w:tc>
        <w:tc>
          <w:tcPr>
            <w:tcW w:w="2092" w:type="dxa"/>
            <w:vMerge/>
            <w:tcBorders>
              <w:top w:val="nil"/>
              <w:left w:val="single" w:sz="4" w:space="0" w:color="000000"/>
              <w:bottom w:val="single" w:sz="4" w:space="0" w:color="000000"/>
              <w:right w:val="single" w:sz="4" w:space="0" w:color="000000"/>
            </w:tcBorders>
            <w:vAlign w:val="center"/>
          </w:tcPr>
          <w:p w14:paraId="1F9D374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6139AC61"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6A8F0C05"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w:t>
            </w:r>
          </w:p>
        </w:tc>
        <w:tc>
          <w:tcPr>
            <w:tcW w:w="1218" w:type="dxa"/>
            <w:tcBorders>
              <w:top w:val="nil"/>
              <w:left w:val="nil"/>
              <w:bottom w:val="single" w:sz="4" w:space="0" w:color="000000"/>
              <w:right w:val="single" w:sz="4" w:space="0" w:color="000000"/>
            </w:tcBorders>
            <w:vAlign w:val="center"/>
          </w:tcPr>
          <w:p w14:paraId="0CCD0325"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JSMR</w:t>
            </w:r>
          </w:p>
        </w:tc>
        <w:tc>
          <w:tcPr>
            <w:tcW w:w="3969" w:type="dxa"/>
            <w:tcBorders>
              <w:top w:val="nil"/>
              <w:left w:val="nil"/>
              <w:bottom w:val="single" w:sz="4" w:space="0" w:color="000000"/>
              <w:right w:val="single" w:sz="4" w:space="0" w:color="000000"/>
            </w:tcBorders>
            <w:vAlign w:val="center"/>
          </w:tcPr>
          <w:p w14:paraId="2FFE686D"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Jasa Marga (Persero) Tbk.</w:t>
            </w:r>
          </w:p>
        </w:tc>
        <w:tc>
          <w:tcPr>
            <w:tcW w:w="2092" w:type="dxa"/>
            <w:vMerge/>
            <w:tcBorders>
              <w:top w:val="nil"/>
              <w:left w:val="single" w:sz="4" w:space="0" w:color="000000"/>
              <w:bottom w:val="single" w:sz="4" w:space="0" w:color="000000"/>
              <w:right w:val="single" w:sz="4" w:space="0" w:color="000000"/>
            </w:tcBorders>
            <w:vAlign w:val="center"/>
          </w:tcPr>
          <w:p w14:paraId="4DF8EA1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277D6A9F"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7C96E345"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w:t>
            </w:r>
          </w:p>
        </w:tc>
        <w:tc>
          <w:tcPr>
            <w:tcW w:w="1218" w:type="dxa"/>
            <w:tcBorders>
              <w:top w:val="nil"/>
              <w:left w:val="nil"/>
              <w:bottom w:val="single" w:sz="4" w:space="0" w:color="000000"/>
              <w:right w:val="single" w:sz="4" w:space="0" w:color="000000"/>
            </w:tcBorders>
            <w:vAlign w:val="center"/>
          </w:tcPr>
          <w:p w14:paraId="4399CCB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MTEL</w:t>
            </w:r>
          </w:p>
        </w:tc>
        <w:tc>
          <w:tcPr>
            <w:tcW w:w="3969" w:type="dxa"/>
            <w:tcBorders>
              <w:top w:val="nil"/>
              <w:left w:val="nil"/>
              <w:bottom w:val="single" w:sz="4" w:space="0" w:color="000000"/>
              <w:right w:val="single" w:sz="4" w:space="0" w:color="000000"/>
            </w:tcBorders>
            <w:vAlign w:val="center"/>
          </w:tcPr>
          <w:p w14:paraId="7E4EA19A"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Dayamitra Telekomunikasi Tbk.</w:t>
            </w:r>
          </w:p>
        </w:tc>
        <w:tc>
          <w:tcPr>
            <w:tcW w:w="2092" w:type="dxa"/>
            <w:vMerge/>
            <w:tcBorders>
              <w:top w:val="nil"/>
              <w:left w:val="single" w:sz="4" w:space="0" w:color="000000"/>
              <w:bottom w:val="single" w:sz="4" w:space="0" w:color="000000"/>
              <w:right w:val="single" w:sz="4" w:space="0" w:color="000000"/>
            </w:tcBorders>
            <w:vAlign w:val="center"/>
          </w:tcPr>
          <w:p w14:paraId="299A821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7019BBB9"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11702D6E"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12</w:t>
            </w:r>
          </w:p>
        </w:tc>
        <w:tc>
          <w:tcPr>
            <w:tcW w:w="1218" w:type="dxa"/>
            <w:tcBorders>
              <w:top w:val="nil"/>
              <w:left w:val="nil"/>
              <w:bottom w:val="single" w:sz="4" w:space="0" w:color="000000"/>
              <w:right w:val="single" w:sz="4" w:space="0" w:color="000000"/>
            </w:tcBorders>
            <w:vAlign w:val="center"/>
          </w:tcPr>
          <w:p w14:paraId="178B9C5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PGEO</w:t>
            </w:r>
          </w:p>
        </w:tc>
        <w:tc>
          <w:tcPr>
            <w:tcW w:w="3969" w:type="dxa"/>
            <w:tcBorders>
              <w:top w:val="nil"/>
              <w:left w:val="nil"/>
              <w:bottom w:val="single" w:sz="4" w:space="0" w:color="000000"/>
              <w:right w:val="single" w:sz="4" w:space="0" w:color="000000"/>
            </w:tcBorders>
            <w:vAlign w:val="center"/>
          </w:tcPr>
          <w:p w14:paraId="61FA9FF5"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Pertamina Geothermal Energy Tbk.</w:t>
            </w:r>
          </w:p>
        </w:tc>
        <w:tc>
          <w:tcPr>
            <w:tcW w:w="2092" w:type="dxa"/>
            <w:vMerge/>
            <w:tcBorders>
              <w:top w:val="nil"/>
              <w:left w:val="single" w:sz="4" w:space="0" w:color="000000"/>
              <w:bottom w:val="single" w:sz="4" w:space="0" w:color="000000"/>
              <w:right w:val="single" w:sz="4" w:space="0" w:color="000000"/>
            </w:tcBorders>
            <w:vAlign w:val="center"/>
          </w:tcPr>
          <w:p w14:paraId="66D763B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4AAD2949"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26438A4A"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13</w:t>
            </w:r>
          </w:p>
        </w:tc>
        <w:tc>
          <w:tcPr>
            <w:tcW w:w="1218" w:type="dxa"/>
            <w:tcBorders>
              <w:top w:val="nil"/>
              <w:left w:val="nil"/>
              <w:bottom w:val="single" w:sz="4" w:space="0" w:color="000000"/>
              <w:right w:val="single" w:sz="4" w:space="0" w:color="000000"/>
            </w:tcBorders>
            <w:vAlign w:val="center"/>
          </w:tcPr>
          <w:p w14:paraId="081D09E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POWR</w:t>
            </w:r>
          </w:p>
        </w:tc>
        <w:tc>
          <w:tcPr>
            <w:tcW w:w="3969" w:type="dxa"/>
            <w:tcBorders>
              <w:top w:val="nil"/>
              <w:left w:val="nil"/>
              <w:bottom w:val="single" w:sz="4" w:space="0" w:color="000000"/>
              <w:right w:val="single" w:sz="4" w:space="0" w:color="000000"/>
            </w:tcBorders>
            <w:vAlign w:val="center"/>
          </w:tcPr>
          <w:p w14:paraId="5D10E423"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Cikarang Listrindo Tbk.</w:t>
            </w:r>
          </w:p>
        </w:tc>
        <w:tc>
          <w:tcPr>
            <w:tcW w:w="2092" w:type="dxa"/>
            <w:vMerge/>
            <w:tcBorders>
              <w:top w:val="nil"/>
              <w:left w:val="single" w:sz="4" w:space="0" w:color="000000"/>
              <w:bottom w:val="single" w:sz="4" w:space="0" w:color="000000"/>
              <w:right w:val="single" w:sz="4" w:space="0" w:color="000000"/>
            </w:tcBorders>
            <w:vAlign w:val="center"/>
          </w:tcPr>
          <w:p w14:paraId="6C0D060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286D3926"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7015C157"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14</w:t>
            </w:r>
          </w:p>
        </w:tc>
        <w:tc>
          <w:tcPr>
            <w:tcW w:w="1218" w:type="dxa"/>
            <w:tcBorders>
              <w:top w:val="nil"/>
              <w:left w:val="nil"/>
              <w:bottom w:val="single" w:sz="4" w:space="0" w:color="000000"/>
              <w:right w:val="single" w:sz="4" w:space="0" w:color="000000"/>
            </w:tcBorders>
            <w:vAlign w:val="center"/>
          </w:tcPr>
          <w:p w14:paraId="0DA70F0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SMGR</w:t>
            </w:r>
          </w:p>
        </w:tc>
        <w:tc>
          <w:tcPr>
            <w:tcW w:w="3969" w:type="dxa"/>
            <w:tcBorders>
              <w:top w:val="nil"/>
              <w:left w:val="nil"/>
              <w:bottom w:val="single" w:sz="4" w:space="0" w:color="000000"/>
              <w:right w:val="single" w:sz="4" w:space="0" w:color="000000"/>
            </w:tcBorders>
            <w:vAlign w:val="center"/>
          </w:tcPr>
          <w:p w14:paraId="5CF96E04"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Semen Indonesia (Persero) Tbk.</w:t>
            </w:r>
          </w:p>
        </w:tc>
        <w:tc>
          <w:tcPr>
            <w:tcW w:w="2092" w:type="dxa"/>
            <w:vMerge/>
            <w:tcBorders>
              <w:top w:val="nil"/>
              <w:left w:val="single" w:sz="4" w:space="0" w:color="000000"/>
              <w:bottom w:val="single" w:sz="4" w:space="0" w:color="000000"/>
              <w:right w:val="single" w:sz="4" w:space="0" w:color="000000"/>
            </w:tcBorders>
            <w:vAlign w:val="center"/>
          </w:tcPr>
          <w:p w14:paraId="67FE78CD"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08AFDCB2"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0136372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w:t>
            </w:r>
          </w:p>
        </w:tc>
        <w:tc>
          <w:tcPr>
            <w:tcW w:w="1218" w:type="dxa"/>
            <w:tcBorders>
              <w:top w:val="nil"/>
              <w:left w:val="nil"/>
              <w:bottom w:val="single" w:sz="4" w:space="0" w:color="000000"/>
              <w:right w:val="single" w:sz="4" w:space="0" w:color="000000"/>
            </w:tcBorders>
            <w:vAlign w:val="center"/>
          </w:tcPr>
          <w:p w14:paraId="17EDBC0A"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TLKM</w:t>
            </w:r>
          </w:p>
        </w:tc>
        <w:tc>
          <w:tcPr>
            <w:tcW w:w="3969" w:type="dxa"/>
            <w:tcBorders>
              <w:top w:val="nil"/>
              <w:left w:val="nil"/>
              <w:bottom w:val="single" w:sz="4" w:space="0" w:color="000000"/>
              <w:right w:val="single" w:sz="4" w:space="0" w:color="000000"/>
            </w:tcBorders>
            <w:vAlign w:val="center"/>
          </w:tcPr>
          <w:p w14:paraId="16539750"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Telkom Indonesia (Persero) Tbk</w:t>
            </w:r>
          </w:p>
        </w:tc>
        <w:tc>
          <w:tcPr>
            <w:tcW w:w="2092" w:type="dxa"/>
            <w:vMerge/>
            <w:tcBorders>
              <w:top w:val="nil"/>
              <w:left w:val="single" w:sz="4" w:space="0" w:color="000000"/>
              <w:bottom w:val="single" w:sz="4" w:space="0" w:color="000000"/>
              <w:right w:val="single" w:sz="4" w:space="0" w:color="000000"/>
            </w:tcBorders>
            <w:vAlign w:val="center"/>
          </w:tcPr>
          <w:p w14:paraId="1FE0A89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r w:rsidR="00153781" w:rsidRPr="007E7CB6" w14:paraId="47986FA1" w14:textId="77777777">
        <w:trPr>
          <w:trHeight w:val="435"/>
        </w:trPr>
        <w:tc>
          <w:tcPr>
            <w:tcW w:w="597" w:type="dxa"/>
            <w:tcBorders>
              <w:top w:val="nil"/>
              <w:left w:val="single" w:sz="4" w:space="0" w:color="000000"/>
              <w:bottom w:val="single" w:sz="4" w:space="0" w:color="000000"/>
              <w:right w:val="single" w:sz="4" w:space="0" w:color="000000"/>
            </w:tcBorders>
            <w:vAlign w:val="center"/>
          </w:tcPr>
          <w:p w14:paraId="5DB246D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w:t>
            </w:r>
          </w:p>
        </w:tc>
        <w:tc>
          <w:tcPr>
            <w:tcW w:w="1218" w:type="dxa"/>
            <w:tcBorders>
              <w:top w:val="nil"/>
              <w:left w:val="nil"/>
              <w:bottom w:val="single" w:sz="4" w:space="0" w:color="000000"/>
              <w:right w:val="single" w:sz="4" w:space="0" w:color="000000"/>
            </w:tcBorders>
            <w:vAlign w:val="center"/>
          </w:tcPr>
          <w:p w14:paraId="1B552BD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UNTR</w:t>
            </w:r>
          </w:p>
        </w:tc>
        <w:tc>
          <w:tcPr>
            <w:tcW w:w="3969" w:type="dxa"/>
            <w:tcBorders>
              <w:top w:val="nil"/>
              <w:left w:val="nil"/>
              <w:bottom w:val="single" w:sz="4" w:space="0" w:color="000000"/>
              <w:right w:val="single" w:sz="4" w:space="0" w:color="000000"/>
            </w:tcBorders>
            <w:vAlign w:val="center"/>
          </w:tcPr>
          <w:p w14:paraId="2D80BFD0" w14:textId="77777777" w:rsidR="00153781" w:rsidRPr="007E7CB6" w:rsidRDefault="00000000">
            <w:pP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United Tractors Tbk.</w:t>
            </w:r>
          </w:p>
        </w:tc>
        <w:tc>
          <w:tcPr>
            <w:tcW w:w="2092" w:type="dxa"/>
            <w:vMerge/>
            <w:tcBorders>
              <w:top w:val="nil"/>
              <w:left w:val="single" w:sz="4" w:space="0" w:color="000000"/>
              <w:bottom w:val="single" w:sz="4" w:space="0" w:color="000000"/>
              <w:right w:val="single" w:sz="4" w:space="0" w:color="000000"/>
            </w:tcBorders>
            <w:vAlign w:val="center"/>
          </w:tcPr>
          <w:p w14:paraId="3F4B521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r>
    </w:tbl>
    <w:p w14:paraId="3DFF4D54" w14:textId="77777777" w:rsidR="00153781" w:rsidRPr="007E7CB6" w:rsidRDefault="00153781">
      <w:pPr>
        <w:spacing w:after="240"/>
        <w:jc w:val="both"/>
        <w:rPr>
          <w:rFonts w:ascii="Times New Roman" w:eastAsia="Times New Roman" w:hAnsi="Times New Roman" w:cs="Times New Roman"/>
          <w:b/>
          <w:sz w:val="24"/>
          <w:szCs w:val="24"/>
        </w:rPr>
      </w:pPr>
    </w:p>
    <w:p w14:paraId="06466131"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550B47D3"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2CCF5E3E"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2A5F3C47"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22983BC6"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4539D573" w14:textId="77777777" w:rsidR="00153781" w:rsidRPr="007E7CB6" w:rsidRDefault="00153781">
      <w:pPr>
        <w:spacing w:after="240"/>
        <w:ind w:hanging="480"/>
        <w:jc w:val="both"/>
        <w:rPr>
          <w:rFonts w:ascii="Times New Roman" w:eastAsia="Times New Roman" w:hAnsi="Times New Roman" w:cs="Times New Roman"/>
          <w:b/>
          <w:sz w:val="24"/>
          <w:szCs w:val="24"/>
        </w:rPr>
        <w:sectPr w:rsidR="00153781" w:rsidRPr="007E7CB6">
          <w:footerReference w:type="default" r:id="rId48"/>
          <w:footerReference w:type="first" r:id="rId49"/>
          <w:pgSz w:w="11906" w:h="16838"/>
          <w:pgMar w:top="2268" w:right="1701" w:bottom="1701" w:left="2268" w:header="720" w:footer="737" w:gutter="0"/>
          <w:cols w:space="720"/>
          <w:titlePg/>
        </w:sectPr>
      </w:pPr>
    </w:p>
    <w:p w14:paraId="56BE714C" w14:textId="12D4C506" w:rsidR="00153781" w:rsidRDefault="009C1C18" w:rsidP="009C1C18">
      <w:pPr>
        <w:pStyle w:val="Caption"/>
        <w:rPr>
          <w:rFonts w:ascii="Times New Roman" w:hAnsi="Times New Roman" w:cs="Times New Roman"/>
          <w:b/>
          <w:bCs/>
          <w:i w:val="0"/>
          <w:iCs w:val="0"/>
          <w:color w:val="000000" w:themeColor="text1"/>
          <w:sz w:val="24"/>
          <w:szCs w:val="24"/>
        </w:rPr>
      </w:pPr>
      <w:bookmarkStart w:id="162" w:name="_Toc210649271"/>
      <w:r w:rsidRPr="009C1C18">
        <w:rPr>
          <w:rFonts w:ascii="Times New Roman" w:hAnsi="Times New Roman" w:cs="Times New Roman"/>
          <w:b/>
          <w:bCs/>
          <w:i w:val="0"/>
          <w:iCs w:val="0"/>
          <w:color w:val="000000" w:themeColor="text1"/>
          <w:sz w:val="24"/>
          <w:szCs w:val="24"/>
        </w:rPr>
        <w:lastRenderedPageBreak/>
        <w:t xml:space="preserve">Appendix </w:t>
      </w:r>
      <w:r w:rsidRPr="009C1C18">
        <w:rPr>
          <w:rFonts w:ascii="Times New Roman" w:hAnsi="Times New Roman" w:cs="Times New Roman"/>
          <w:b/>
          <w:bCs/>
          <w:i w:val="0"/>
          <w:iCs w:val="0"/>
          <w:color w:val="000000" w:themeColor="text1"/>
          <w:sz w:val="24"/>
          <w:szCs w:val="24"/>
        </w:rPr>
        <w:fldChar w:fldCharType="begin"/>
      </w:r>
      <w:r w:rsidRPr="009C1C18">
        <w:rPr>
          <w:rFonts w:ascii="Times New Roman" w:hAnsi="Times New Roman" w:cs="Times New Roman"/>
          <w:b/>
          <w:bCs/>
          <w:i w:val="0"/>
          <w:iCs w:val="0"/>
          <w:color w:val="000000" w:themeColor="text1"/>
          <w:sz w:val="24"/>
          <w:szCs w:val="24"/>
        </w:rPr>
        <w:instrText xml:space="preserve"> SEQ Appendix \* ARABIC </w:instrText>
      </w:r>
      <w:r w:rsidRPr="009C1C18">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2</w:t>
      </w:r>
      <w:r w:rsidRPr="009C1C18">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Green Accounting Calculation Results</w:t>
      </w:r>
      <w:bookmarkEnd w:id="162"/>
    </w:p>
    <w:p w14:paraId="07CBC58C" w14:textId="5C3255E8" w:rsidR="009C1C18" w:rsidRPr="009C1C18" w:rsidRDefault="009C1C18" w:rsidP="009C1C18">
      <w:r>
        <w:rPr>
          <w:noProof/>
        </w:rPr>
        <w:drawing>
          <wp:anchor distT="0" distB="0" distL="114300" distR="114300" simplePos="0" relativeHeight="251746304" behindDoc="0" locked="0" layoutInCell="1" allowOverlap="1" wp14:anchorId="6C4F409D" wp14:editId="13CC6297">
            <wp:simplePos x="1435100" y="1384300"/>
            <wp:positionH relativeFrom="margin">
              <wp:align>center</wp:align>
            </wp:positionH>
            <wp:positionV relativeFrom="margin">
              <wp:align>center</wp:align>
            </wp:positionV>
            <wp:extent cx="7920000" cy="4575796"/>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3893" t="2395" r="2291" b="2288"/>
                    <a:stretch/>
                  </pic:blipFill>
                  <pic:spPr bwMode="auto">
                    <a:xfrm>
                      <a:off x="0" y="0"/>
                      <a:ext cx="7920000" cy="4575796"/>
                    </a:xfrm>
                    <a:prstGeom prst="rect">
                      <a:avLst/>
                    </a:prstGeom>
                    <a:noFill/>
                    <a:ln>
                      <a:noFill/>
                    </a:ln>
                    <a:extLst>
                      <a:ext uri="{53640926-AAD7-44D8-BBD7-CCE9431645EC}">
                        <a14:shadowObscured xmlns:a14="http://schemas.microsoft.com/office/drawing/2010/main"/>
                      </a:ext>
                    </a:extLst>
                  </pic:spPr>
                </pic:pic>
              </a:graphicData>
            </a:graphic>
          </wp:anchor>
        </w:drawing>
      </w:r>
    </w:p>
    <w:p w14:paraId="630D4640" w14:textId="19F3CB6D" w:rsidR="00153781" w:rsidRPr="007E7CB6" w:rsidRDefault="009C1C18">
      <w:pPr>
        <w:spacing w:after="240"/>
        <w:ind w:hanging="480"/>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747328" behindDoc="0" locked="0" layoutInCell="1" allowOverlap="1" wp14:anchorId="1718B0F0" wp14:editId="205DE3D0">
            <wp:simplePos x="1130300" y="1079500"/>
            <wp:positionH relativeFrom="margin">
              <wp:align>center</wp:align>
            </wp:positionH>
            <wp:positionV relativeFrom="margin">
              <wp:align>top</wp:align>
            </wp:positionV>
            <wp:extent cx="7920000" cy="5170118"/>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l="3211" t="947" r="2252" b="2018"/>
                    <a:stretch/>
                  </pic:blipFill>
                  <pic:spPr bwMode="auto">
                    <a:xfrm>
                      <a:off x="0" y="0"/>
                      <a:ext cx="7920000" cy="5170118"/>
                    </a:xfrm>
                    <a:prstGeom prst="rect">
                      <a:avLst/>
                    </a:prstGeom>
                    <a:noFill/>
                    <a:ln>
                      <a:noFill/>
                    </a:ln>
                    <a:extLst>
                      <a:ext uri="{53640926-AAD7-44D8-BBD7-CCE9431645EC}">
                        <a14:shadowObscured xmlns:a14="http://schemas.microsoft.com/office/drawing/2010/main"/>
                      </a:ext>
                    </a:extLst>
                  </pic:spPr>
                </pic:pic>
              </a:graphicData>
            </a:graphic>
          </wp:anchor>
        </w:drawing>
      </w:r>
    </w:p>
    <w:p w14:paraId="0F4CF6B2" w14:textId="53B3F34E" w:rsidR="00153781" w:rsidRDefault="009C1C18">
      <w:pPr>
        <w:tabs>
          <w:tab w:val="left" w:pos="142"/>
        </w:tabs>
        <w:spacing w:after="240"/>
        <w:ind w:hanging="480"/>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748352" behindDoc="0" locked="0" layoutInCell="1" allowOverlap="1" wp14:anchorId="7CC5B265" wp14:editId="4AC2558A">
            <wp:simplePos x="1130300" y="1079500"/>
            <wp:positionH relativeFrom="margin">
              <wp:align>center</wp:align>
            </wp:positionH>
            <wp:positionV relativeFrom="margin">
              <wp:align>top</wp:align>
            </wp:positionV>
            <wp:extent cx="7920000" cy="4251653"/>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l="3107" t="2608" r="1936" b="2319"/>
                    <a:stretch/>
                  </pic:blipFill>
                  <pic:spPr bwMode="auto">
                    <a:xfrm>
                      <a:off x="0" y="0"/>
                      <a:ext cx="7920000" cy="4251653"/>
                    </a:xfrm>
                    <a:prstGeom prst="rect">
                      <a:avLst/>
                    </a:prstGeom>
                    <a:noFill/>
                    <a:ln>
                      <a:noFill/>
                    </a:ln>
                    <a:extLst>
                      <a:ext uri="{53640926-AAD7-44D8-BBD7-CCE9431645EC}">
                        <a14:shadowObscured xmlns:a14="http://schemas.microsoft.com/office/drawing/2010/main"/>
                      </a:ext>
                    </a:extLst>
                  </pic:spPr>
                </pic:pic>
              </a:graphicData>
            </a:graphic>
          </wp:anchor>
        </w:drawing>
      </w:r>
    </w:p>
    <w:p w14:paraId="7274336F" w14:textId="77777777" w:rsidR="009C1C18" w:rsidRPr="007E7CB6" w:rsidRDefault="009C1C18">
      <w:pPr>
        <w:tabs>
          <w:tab w:val="left" w:pos="142"/>
        </w:tabs>
        <w:spacing w:after="240"/>
        <w:ind w:hanging="480"/>
        <w:jc w:val="both"/>
        <w:rPr>
          <w:rFonts w:ascii="Times New Roman" w:eastAsia="Times New Roman" w:hAnsi="Times New Roman" w:cs="Times New Roman"/>
          <w:b/>
          <w:sz w:val="24"/>
          <w:szCs w:val="24"/>
        </w:rPr>
      </w:pPr>
    </w:p>
    <w:p w14:paraId="16A0BE4B" w14:textId="2957CC8E" w:rsidR="00153781" w:rsidRDefault="009C1C18" w:rsidP="009C1C18">
      <w:pPr>
        <w:pStyle w:val="Caption"/>
        <w:rPr>
          <w:rFonts w:ascii="Times New Roman" w:hAnsi="Times New Roman" w:cs="Times New Roman"/>
          <w:b/>
          <w:bCs/>
          <w:i w:val="0"/>
          <w:iCs w:val="0"/>
          <w:color w:val="000000" w:themeColor="text1"/>
          <w:sz w:val="24"/>
          <w:szCs w:val="24"/>
        </w:rPr>
      </w:pPr>
      <w:bookmarkStart w:id="163" w:name="_Toc210649272"/>
      <w:r>
        <w:rPr>
          <w:noProof/>
        </w:rPr>
        <w:lastRenderedPageBreak/>
        <w:drawing>
          <wp:anchor distT="0" distB="0" distL="114300" distR="114300" simplePos="0" relativeHeight="251749376" behindDoc="0" locked="0" layoutInCell="1" allowOverlap="1" wp14:anchorId="19227A25" wp14:editId="54E7B6F9">
            <wp:simplePos x="0" y="0"/>
            <wp:positionH relativeFrom="margin">
              <wp:posOffset>123825</wp:posOffset>
            </wp:positionH>
            <wp:positionV relativeFrom="margin">
              <wp:posOffset>285115</wp:posOffset>
            </wp:positionV>
            <wp:extent cx="7919720" cy="4749165"/>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l="1398" t="1291" r="1159" b="1614"/>
                    <a:stretch/>
                  </pic:blipFill>
                  <pic:spPr bwMode="auto">
                    <a:xfrm>
                      <a:off x="0" y="0"/>
                      <a:ext cx="7919720" cy="4749165"/>
                    </a:xfrm>
                    <a:prstGeom prst="rect">
                      <a:avLst/>
                    </a:prstGeom>
                    <a:noFill/>
                    <a:ln>
                      <a:noFill/>
                    </a:ln>
                    <a:extLst>
                      <a:ext uri="{53640926-AAD7-44D8-BBD7-CCE9431645EC}">
                        <a14:shadowObscured xmlns:a14="http://schemas.microsoft.com/office/drawing/2010/main"/>
                      </a:ext>
                    </a:extLst>
                  </pic:spPr>
                </pic:pic>
              </a:graphicData>
            </a:graphic>
          </wp:anchor>
        </w:drawing>
      </w:r>
      <w:r w:rsidRPr="007E7CB6">
        <w:rPr>
          <w:rFonts w:ascii="Times New Roman" w:hAnsi="Times New Roman" w:cs="Times New Roman"/>
          <w:color w:val="FFFFFF"/>
        </w:rPr>
        <w:t>3</w:t>
      </w:r>
      <w:r w:rsidRPr="009C1C18">
        <w:rPr>
          <w:rFonts w:ascii="Times New Roman" w:hAnsi="Times New Roman" w:cs="Times New Roman"/>
          <w:b/>
          <w:bCs/>
          <w:i w:val="0"/>
          <w:iCs w:val="0"/>
          <w:color w:val="000000" w:themeColor="text1"/>
          <w:sz w:val="24"/>
          <w:szCs w:val="24"/>
        </w:rPr>
        <w:t xml:space="preserve">Appendix </w:t>
      </w:r>
      <w:r w:rsidRPr="009C1C18">
        <w:rPr>
          <w:rFonts w:ascii="Times New Roman" w:hAnsi="Times New Roman" w:cs="Times New Roman"/>
          <w:b/>
          <w:bCs/>
          <w:i w:val="0"/>
          <w:iCs w:val="0"/>
          <w:color w:val="000000" w:themeColor="text1"/>
          <w:sz w:val="24"/>
          <w:szCs w:val="24"/>
        </w:rPr>
        <w:fldChar w:fldCharType="begin"/>
      </w:r>
      <w:r w:rsidRPr="009C1C18">
        <w:rPr>
          <w:rFonts w:ascii="Times New Roman" w:hAnsi="Times New Roman" w:cs="Times New Roman"/>
          <w:b/>
          <w:bCs/>
          <w:i w:val="0"/>
          <w:iCs w:val="0"/>
          <w:color w:val="000000" w:themeColor="text1"/>
          <w:sz w:val="24"/>
          <w:szCs w:val="24"/>
        </w:rPr>
        <w:instrText xml:space="preserve"> SEQ Appendix \* ARABIC </w:instrText>
      </w:r>
      <w:r w:rsidRPr="009C1C18">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3</w:t>
      </w:r>
      <w:r w:rsidRPr="009C1C18">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Carbon Emission Disclosure Calculation Results</w:t>
      </w:r>
      <w:bookmarkEnd w:id="163"/>
    </w:p>
    <w:p w14:paraId="66BAB249" w14:textId="139F33EB" w:rsidR="009C1C18" w:rsidRPr="009C1C18" w:rsidRDefault="009C1C18" w:rsidP="009C1C18">
      <w:r>
        <w:rPr>
          <w:noProof/>
        </w:rPr>
        <w:lastRenderedPageBreak/>
        <w:drawing>
          <wp:anchor distT="0" distB="0" distL="114300" distR="114300" simplePos="0" relativeHeight="251750400" behindDoc="0" locked="0" layoutInCell="1" allowOverlap="1" wp14:anchorId="42B04537" wp14:editId="4A36D387">
            <wp:simplePos x="1435100" y="1079500"/>
            <wp:positionH relativeFrom="margin">
              <wp:align>center</wp:align>
            </wp:positionH>
            <wp:positionV relativeFrom="margin">
              <wp:align>top</wp:align>
            </wp:positionV>
            <wp:extent cx="7920000" cy="4495135"/>
            <wp:effectExtent l="0" t="0" r="508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a:extLst>
                        <a:ext uri="{28A0092B-C50C-407E-A947-70E740481C1C}">
                          <a14:useLocalDpi xmlns:a14="http://schemas.microsoft.com/office/drawing/2010/main" val="0"/>
                        </a:ext>
                      </a:extLst>
                    </a:blip>
                    <a:srcRect l="1243" r="1002" b="2098"/>
                    <a:stretch/>
                  </pic:blipFill>
                  <pic:spPr bwMode="auto">
                    <a:xfrm>
                      <a:off x="0" y="0"/>
                      <a:ext cx="7920000" cy="4495135"/>
                    </a:xfrm>
                    <a:prstGeom prst="rect">
                      <a:avLst/>
                    </a:prstGeom>
                    <a:noFill/>
                    <a:ln>
                      <a:noFill/>
                    </a:ln>
                    <a:extLst>
                      <a:ext uri="{53640926-AAD7-44D8-BBD7-CCE9431645EC}">
                        <a14:shadowObscured xmlns:a14="http://schemas.microsoft.com/office/drawing/2010/main"/>
                      </a:ext>
                    </a:extLst>
                  </pic:spPr>
                </pic:pic>
              </a:graphicData>
            </a:graphic>
          </wp:anchor>
        </w:drawing>
      </w:r>
    </w:p>
    <w:p w14:paraId="2FB0FC7E" w14:textId="5AFBC5BB" w:rsidR="00153781" w:rsidRPr="007E7CB6" w:rsidRDefault="00153781">
      <w:pPr>
        <w:tabs>
          <w:tab w:val="left" w:pos="142"/>
        </w:tabs>
        <w:spacing w:after="240"/>
        <w:ind w:hanging="480"/>
        <w:jc w:val="both"/>
        <w:rPr>
          <w:rFonts w:ascii="Times New Roman" w:eastAsia="Times New Roman" w:hAnsi="Times New Roman" w:cs="Times New Roman"/>
          <w:b/>
          <w:sz w:val="24"/>
          <w:szCs w:val="24"/>
        </w:rPr>
      </w:pPr>
    </w:p>
    <w:p w14:paraId="33D33EEC" w14:textId="0BC063EA" w:rsidR="00153781" w:rsidRDefault="009C1C18" w:rsidP="009C1C18">
      <w:pPr>
        <w:pStyle w:val="Caption"/>
        <w:rPr>
          <w:rFonts w:ascii="Times New Roman" w:hAnsi="Times New Roman" w:cs="Times New Roman"/>
          <w:noProof/>
        </w:rPr>
      </w:pPr>
      <w:bookmarkStart w:id="164" w:name="_Toc210649273"/>
      <w:r>
        <w:rPr>
          <w:noProof/>
        </w:rPr>
        <w:lastRenderedPageBreak/>
        <w:drawing>
          <wp:anchor distT="0" distB="0" distL="114300" distR="114300" simplePos="0" relativeHeight="251751424" behindDoc="0" locked="0" layoutInCell="1" allowOverlap="1" wp14:anchorId="315A0AA3" wp14:editId="443A7F9B">
            <wp:simplePos x="0" y="0"/>
            <wp:positionH relativeFrom="margin">
              <wp:posOffset>123825</wp:posOffset>
            </wp:positionH>
            <wp:positionV relativeFrom="margin">
              <wp:posOffset>309245</wp:posOffset>
            </wp:positionV>
            <wp:extent cx="7919720" cy="421767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a:extLst>
                        <a:ext uri="{28A0092B-C50C-407E-A947-70E740481C1C}">
                          <a14:useLocalDpi xmlns:a14="http://schemas.microsoft.com/office/drawing/2010/main" val="0"/>
                        </a:ext>
                      </a:extLst>
                    </a:blip>
                    <a:srcRect l="1554" t="1470" r="3022" b="2325"/>
                    <a:stretch/>
                  </pic:blipFill>
                  <pic:spPr bwMode="auto">
                    <a:xfrm>
                      <a:off x="0" y="0"/>
                      <a:ext cx="7919720" cy="4217670"/>
                    </a:xfrm>
                    <a:prstGeom prst="rect">
                      <a:avLst/>
                    </a:prstGeom>
                    <a:noFill/>
                    <a:ln>
                      <a:noFill/>
                    </a:ln>
                    <a:extLst>
                      <a:ext uri="{53640926-AAD7-44D8-BBD7-CCE9431645EC}">
                        <a14:shadowObscured xmlns:a14="http://schemas.microsoft.com/office/drawing/2010/main"/>
                      </a:ext>
                    </a:extLst>
                  </pic:spPr>
                </pic:pic>
              </a:graphicData>
            </a:graphic>
          </wp:anchor>
        </w:drawing>
      </w:r>
      <w:r w:rsidRPr="009C1C18">
        <w:rPr>
          <w:rFonts w:ascii="Times New Roman" w:hAnsi="Times New Roman" w:cs="Times New Roman"/>
          <w:b/>
          <w:bCs/>
          <w:i w:val="0"/>
          <w:iCs w:val="0"/>
          <w:color w:val="000000" w:themeColor="text1"/>
          <w:sz w:val="24"/>
          <w:szCs w:val="24"/>
        </w:rPr>
        <w:t xml:space="preserve">Appendix </w:t>
      </w:r>
      <w:r w:rsidRPr="009C1C18">
        <w:rPr>
          <w:rFonts w:ascii="Times New Roman" w:hAnsi="Times New Roman" w:cs="Times New Roman"/>
          <w:b/>
          <w:bCs/>
          <w:i w:val="0"/>
          <w:iCs w:val="0"/>
          <w:color w:val="000000" w:themeColor="text1"/>
          <w:sz w:val="24"/>
          <w:szCs w:val="24"/>
        </w:rPr>
        <w:fldChar w:fldCharType="begin"/>
      </w:r>
      <w:r w:rsidRPr="009C1C18">
        <w:rPr>
          <w:rFonts w:ascii="Times New Roman" w:hAnsi="Times New Roman" w:cs="Times New Roman"/>
          <w:b/>
          <w:bCs/>
          <w:i w:val="0"/>
          <w:iCs w:val="0"/>
          <w:color w:val="000000" w:themeColor="text1"/>
          <w:sz w:val="24"/>
          <w:szCs w:val="24"/>
        </w:rPr>
        <w:instrText xml:space="preserve"> SEQ Appendix \* ARABIC </w:instrText>
      </w:r>
      <w:r w:rsidRPr="009C1C18">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4</w:t>
      </w:r>
      <w:r w:rsidRPr="009C1C18">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Green Capital Structure Calculation Results</w:t>
      </w:r>
      <w:r w:rsidRPr="007E7CB6">
        <w:rPr>
          <w:rFonts w:ascii="Times New Roman" w:hAnsi="Times New Roman" w:cs="Times New Roman"/>
          <w:color w:val="FFFFFF"/>
        </w:rPr>
        <w:t>4</w:t>
      </w:r>
      <w:bookmarkEnd w:id="164"/>
    </w:p>
    <w:p w14:paraId="30A89D27" w14:textId="6317F441" w:rsidR="009C1C18" w:rsidRPr="009C1C18" w:rsidRDefault="009C1C18" w:rsidP="009C1C18"/>
    <w:p w14:paraId="4A21B2B5" w14:textId="77777777" w:rsidR="00153781" w:rsidRPr="007E7CB6" w:rsidRDefault="00153781">
      <w:pPr>
        <w:tabs>
          <w:tab w:val="left" w:pos="142"/>
        </w:tabs>
        <w:rPr>
          <w:rFonts w:ascii="Times New Roman" w:hAnsi="Times New Roman" w:cs="Times New Roman"/>
        </w:rPr>
      </w:pPr>
    </w:p>
    <w:p w14:paraId="09D1B4D4" w14:textId="0FA29074" w:rsidR="00153781" w:rsidRPr="007E7CB6" w:rsidRDefault="009C1C18">
      <w:pPr>
        <w:rPr>
          <w:rFonts w:ascii="Times New Roman" w:hAnsi="Times New Roman" w:cs="Times New Roman"/>
        </w:rPr>
      </w:pPr>
      <w:r>
        <w:rPr>
          <w:noProof/>
        </w:rPr>
        <w:lastRenderedPageBreak/>
        <w:drawing>
          <wp:anchor distT="0" distB="0" distL="114300" distR="114300" simplePos="0" relativeHeight="251752448" behindDoc="0" locked="0" layoutInCell="1" allowOverlap="1" wp14:anchorId="6180443A" wp14:editId="2400D550">
            <wp:simplePos x="1435100" y="1079500"/>
            <wp:positionH relativeFrom="margin">
              <wp:align>center</wp:align>
            </wp:positionH>
            <wp:positionV relativeFrom="margin">
              <wp:align>top</wp:align>
            </wp:positionV>
            <wp:extent cx="7920000" cy="4796072"/>
            <wp:effectExtent l="0" t="0" r="508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a:extLst>
                        <a:ext uri="{28A0092B-C50C-407E-A947-70E740481C1C}">
                          <a14:useLocalDpi xmlns:a14="http://schemas.microsoft.com/office/drawing/2010/main" val="0"/>
                        </a:ext>
                      </a:extLst>
                    </a:blip>
                    <a:srcRect l="1711" t="1564" r="3333" b="1983"/>
                    <a:stretch/>
                  </pic:blipFill>
                  <pic:spPr bwMode="auto">
                    <a:xfrm>
                      <a:off x="0" y="0"/>
                      <a:ext cx="7920000" cy="4796072"/>
                    </a:xfrm>
                    <a:prstGeom prst="rect">
                      <a:avLst/>
                    </a:prstGeom>
                    <a:noFill/>
                    <a:ln>
                      <a:noFill/>
                    </a:ln>
                    <a:extLst>
                      <a:ext uri="{53640926-AAD7-44D8-BBD7-CCE9431645EC}">
                        <a14:shadowObscured xmlns:a14="http://schemas.microsoft.com/office/drawing/2010/main"/>
                      </a:ext>
                    </a:extLst>
                  </pic:spPr>
                </pic:pic>
              </a:graphicData>
            </a:graphic>
          </wp:anchor>
        </w:drawing>
      </w:r>
    </w:p>
    <w:p w14:paraId="4D12F225" w14:textId="16DA728A" w:rsidR="00153781" w:rsidRPr="007E7CB6" w:rsidRDefault="006A6965">
      <w:pPr>
        <w:rPr>
          <w:rFonts w:ascii="Times New Roman" w:hAnsi="Times New Roman" w:cs="Times New Roman"/>
        </w:rPr>
      </w:pPr>
      <w:r>
        <w:rPr>
          <w:noProof/>
        </w:rPr>
        <w:lastRenderedPageBreak/>
        <w:drawing>
          <wp:anchor distT="0" distB="0" distL="114300" distR="114300" simplePos="0" relativeHeight="251753472" behindDoc="0" locked="0" layoutInCell="1" allowOverlap="1" wp14:anchorId="22F02882" wp14:editId="4D2DBE7A">
            <wp:simplePos x="1435100" y="1079500"/>
            <wp:positionH relativeFrom="margin">
              <wp:align>center</wp:align>
            </wp:positionH>
            <wp:positionV relativeFrom="margin">
              <wp:align>top</wp:align>
            </wp:positionV>
            <wp:extent cx="7920000" cy="4037647"/>
            <wp:effectExtent l="0" t="0" r="508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a:extLst>
                        <a:ext uri="{28A0092B-C50C-407E-A947-70E740481C1C}">
                          <a14:useLocalDpi xmlns:a14="http://schemas.microsoft.com/office/drawing/2010/main" val="0"/>
                        </a:ext>
                      </a:extLst>
                    </a:blip>
                    <a:srcRect l="1864" t="2379" r="3023" b="4848"/>
                    <a:stretch/>
                  </pic:blipFill>
                  <pic:spPr bwMode="auto">
                    <a:xfrm>
                      <a:off x="0" y="0"/>
                      <a:ext cx="7920000" cy="4037647"/>
                    </a:xfrm>
                    <a:prstGeom prst="rect">
                      <a:avLst/>
                    </a:prstGeom>
                    <a:noFill/>
                    <a:ln>
                      <a:noFill/>
                    </a:ln>
                    <a:extLst>
                      <a:ext uri="{53640926-AAD7-44D8-BBD7-CCE9431645EC}">
                        <a14:shadowObscured xmlns:a14="http://schemas.microsoft.com/office/drawing/2010/main"/>
                      </a:ext>
                    </a:extLst>
                  </pic:spPr>
                </pic:pic>
              </a:graphicData>
            </a:graphic>
          </wp:anchor>
        </w:drawing>
      </w:r>
    </w:p>
    <w:p w14:paraId="6AE05A11" w14:textId="730750F8" w:rsidR="00153781" w:rsidRPr="007E7CB6" w:rsidRDefault="00153781">
      <w:pPr>
        <w:rPr>
          <w:rFonts w:ascii="Times New Roman" w:hAnsi="Times New Roman" w:cs="Times New Roman"/>
        </w:rPr>
      </w:pPr>
    </w:p>
    <w:p w14:paraId="3BEC3C35" w14:textId="77777777" w:rsidR="00153781" w:rsidRPr="007E7CB6" w:rsidRDefault="00153781">
      <w:pPr>
        <w:rPr>
          <w:rFonts w:ascii="Times New Roman" w:hAnsi="Times New Roman" w:cs="Times New Roman"/>
        </w:rPr>
      </w:pPr>
    </w:p>
    <w:p w14:paraId="70CE84CF" w14:textId="77777777" w:rsidR="00153781" w:rsidRPr="007E7CB6" w:rsidRDefault="00153781">
      <w:pPr>
        <w:rPr>
          <w:rFonts w:ascii="Times New Roman" w:eastAsia="Times New Roman" w:hAnsi="Times New Roman" w:cs="Times New Roman"/>
          <w:b/>
          <w:sz w:val="24"/>
          <w:szCs w:val="24"/>
        </w:rPr>
      </w:pPr>
    </w:p>
    <w:p w14:paraId="3DC9E4F2" w14:textId="77777777" w:rsidR="00153781" w:rsidRPr="007E7CB6" w:rsidRDefault="00153781">
      <w:pPr>
        <w:rPr>
          <w:rFonts w:ascii="Times New Roman" w:eastAsia="Times New Roman" w:hAnsi="Times New Roman" w:cs="Times New Roman"/>
          <w:b/>
          <w:sz w:val="24"/>
          <w:szCs w:val="24"/>
        </w:rPr>
      </w:pPr>
    </w:p>
    <w:p w14:paraId="74523D55" w14:textId="3982028A" w:rsidR="00153781" w:rsidRDefault="006A6965" w:rsidP="006A6965">
      <w:pPr>
        <w:pStyle w:val="Caption"/>
        <w:rPr>
          <w:rFonts w:ascii="Times New Roman" w:hAnsi="Times New Roman" w:cs="Times New Roman"/>
          <w:b/>
          <w:bCs/>
          <w:i w:val="0"/>
          <w:iCs w:val="0"/>
          <w:color w:val="000000" w:themeColor="text1"/>
          <w:sz w:val="24"/>
          <w:szCs w:val="24"/>
        </w:rPr>
      </w:pPr>
      <w:bookmarkStart w:id="165" w:name="_Toc210649274"/>
      <w:r>
        <w:rPr>
          <w:noProof/>
        </w:rPr>
        <w:lastRenderedPageBreak/>
        <w:drawing>
          <wp:anchor distT="0" distB="0" distL="114300" distR="114300" simplePos="0" relativeHeight="251754496" behindDoc="0" locked="0" layoutInCell="1" allowOverlap="1" wp14:anchorId="071C31FE" wp14:editId="4260CC33">
            <wp:simplePos x="0" y="0"/>
            <wp:positionH relativeFrom="margin">
              <wp:posOffset>123825</wp:posOffset>
            </wp:positionH>
            <wp:positionV relativeFrom="margin">
              <wp:posOffset>261458</wp:posOffset>
            </wp:positionV>
            <wp:extent cx="7920000" cy="5015016"/>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a:extLst>
                        <a:ext uri="{28A0092B-C50C-407E-A947-70E740481C1C}">
                          <a14:useLocalDpi xmlns:a14="http://schemas.microsoft.com/office/drawing/2010/main" val="0"/>
                        </a:ext>
                      </a:extLst>
                    </a:blip>
                    <a:srcRect l="1723" t="1477" r="1852" b="1269"/>
                    <a:stretch/>
                  </pic:blipFill>
                  <pic:spPr bwMode="auto">
                    <a:xfrm>
                      <a:off x="0" y="0"/>
                      <a:ext cx="7920000" cy="5015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965">
        <w:rPr>
          <w:rFonts w:ascii="Times New Roman" w:hAnsi="Times New Roman" w:cs="Times New Roman"/>
          <w:b/>
          <w:bCs/>
          <w:i w:val="0"/>
          <w:iCs w:val="0"/>
          <w:color w:val="000000" w:themeColor="text1"/>
          <w:sz w:val="24"/>
          <w:szCs w:val="24"/>
        </w:rPr>
        <w:t xml:space="preserve">Appendix </w:t>
      </w:r>
      <w:r w:rsidRPr="006A6965">
        <w:rPr>
          <w:rFonts w:ascii="Times New Roman" w:hAnsi="Times New Roman" w:cs="Times New Roman"/>
          <w:b/>
          <w:bCs/>
          <w:i w:val="0"/>
          <w:iCs w:val="0"/>
          <w:color w:val="000000" w:themeColor="text1"/>
          <w:sz w:val="24"/>
          <w:szCs w:val="24"/>
        </w:rPr>
        <w:fldChar w:fldCharType="begin"/>
      </w:r>
      <w:r w:rsidRPr="006A6965">
        <w:rPr>
          <w:rFonts w:ascii="Times New Roman" w:hAnsi="Times New Roman" w:cs="Times New Roman"/>
          <w:b/>
          <w:bCs/>
          <w:i w:val="0"/>
          <w:iCs w:val="0"/>
          <w:color w:val="000000" w:themeColor="text1"/>
          <w:sz w:val="24"/>
          <w:szCs w:val="24"/>
        </w:rPr>
        <w:instrText xml:space="preserve"> SEQ Appendix \* ARABIC </w:instrText>
      </w:r>
      <w:r w:rsidRPr="006A6965">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5</w:t>
      </w:r>
      <w:r w:rsidRPr="006A6965">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Firm Value Calculation Results</w:t>
      </w:r>
      <w:bookmarkEnd w:id="165"/>
    </w:p>
    <w:p w14:paraId="63BA35D0" w14:textId="5E135816" w:rsidR="006A6965" w:rsidRPr="006A6965" w:rsidRDefault="006A6965" w:rsidP="006A6965">
      <w:r>
        <w:rPr>
          <w:noProof/>
        </w:rPr>
        <w:lastRenderedPageBreak/>
        <w:drawing>
          <wp:inline distT="0" distB="0" distL="0" distR="0" wp14:anchorId="1411C11E" wp14:editId="1290F4FD">
            <wp:extent cx="8063865" cy="50399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63865" cy="5039995"/>
                    </a:xfrm>
                    <a:prstGeom prst="rect">
                      <a:avLst/>
                    </a:prstGeom>
                    <a:noFill/>
                    <a:ln>
                      <a:noFill/>
                    </a:ln>
                  </pic:spPr>
                </pic:pic>
              </a:graphicData>
            </a:graphic>
          </wp:inline>
        </w:drawing>
      </w:r>
      <w:r>
        <w:rPr>
          <w:noProof/>
        </w:rPr>
        <w:drawing>
          <wp:anchor distT="0" distB="0" distL="114300" distR="114300" simplePos="0" relativeHeight="251755520" behindDoc="0" locked="0" layoutInCell="1" allowOverlap="1" wp14:anchorId="7901783A" wp14:editId="4BBE6F83">
            <wp:simplePos x="1435395" y="1084521"/>
            <wp:positionH relativeFrom="margin">
              <wp:align>center</wp:align>
            </wp:positionH>
            <wp:positionV relativeFrom="margin">
              <wp:align>center</wp:align>
            </wp:positionV>
            <wp:extent cx="7920000" cy="4857594"/>
            <wp:effectExtent l="0" t="0" r="508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0">
                      <a:extLst>
                        <a:ext uri="{28A0092B-C50C-407E-A947-70E740481C1C}">
                          <a14:useLocalDpi xmlns:a14="http://schemas.microsoft.com/office/drawing/2010/main" val="0"/>
                        </a:ext>
                      </a:extLst>
                    </a:blip>
                    <a:srcRect l="1780" t="1797" r="1531" b="2454"/>
                    <a:stretch/>
                  </pic:blipFill>
                  <pic:spPr bwMode="auto">
                    <a:xfrm>
                      <a:off x="0" y="0"/>
                      <a:ext cx="7920000" cy="4857594"/>
                    </a:xfrm>
                    <a:prstGeom prst="rect">
                      <a:avLst/>
                    </a:prstGeom>
                    <a:noFill/>
                    <a:ln>
                      <a:noFill/>
                    </a:ln>
                    <a:extLst>
                      <a:ext uri="{53640926-AAD7-44D8-BBD7-CCE9431645EC}">
                        <a14:shadowObscured xmlns:a14="http://schemas.microsoft.com/office/drawing/2010/main"/>
                      </a:ext>
                    </a:extLst>
                  </pic:spPr>
                </pic:pic>
              </a:graphicData>
            </a:graphic>
          </wp:anchor>
        </w:drawing>
      </w:r>
    </w:p>
    <w:p w14:paraId="33A518D8" w14:textId="5FF2F211" w:rsidR="00153781" w:rsidRPr="006A6965" w:rsidRDefault="006A6965" w:rsidP="006A6965">
      <w:pPr>
        <w:pStyle w:val="Caption"/>
        <w:rPr>
          <w:rFonts w:ascii="Times New Roman" w:eastAsia="Times New Roman" w:hAnsi="Times New Roman" w:cs="Times New Roman"/>
          <w:b/>
          <w:bCs/>
          <w:i w:val="0"/>
          <w:iCs w:val="0"/>
          <w:color w:val="000000" w:themeColor="text1"/>
          <w:sz w:val="36"/>
          <w:szCs w:val="36"/>
        </w:rPr>
      </w:pPr>
      <w:bookmarkStart w:id="166" w:name="_Toc210649275"/>
      <w:r>
        <w:rPr>
          <w:noProof/>
        </w:rPr>
        <w:lastRenderedPageBreak/>
        <w:drawing>
          <wp:anchor distT="0" distB="0" distL="114300" distR="114300" simplePos="0" relativeHeight="251756544" behindDoc="0" locked="0" layoutInCell="1" allowOverlap="1" wp14:anchorId="33249A5F" wp14:editId="1823DD2E">
            <wp:simplePos x="0" y="0"/>
            <wp:positionH relativeFrom="margin">
              <wp:posOffset>123825</wp:posOffset>
            </wp:positionH>
            <wp:positionV relativeFrom="margin">
              <wp:posOffset>243043</wp:posOffset>
            </wp:positionV>
            <wp:extent cx="7920000" cy="520503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1">
                      <a:extLst>
                        <a:ext uri="{28A0092B-C50C-407E-A947-70E740481C1C}">
                          <a14:useLocalDpi xmlns:a14="http://schemas.microsoft.com/office/drawing/2010/main" val="0"/>
                        </a:ext>
                      </a:extLst>
                    </a:blip>
                    <a:srcRect l="1894" r="2197" b="1691"/>
                    <a:stretch/>
                  </pic:blipFill>
                  <pic:spPr bwMode="auto">
                    <a:xfrm>
                      <a:off x="0" y="0"/>
                      <a:ext cx="7920000" cy="520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965">
        <w:rPr>
          <w:rFonts w:ascii="Times New Roman" w:hAnsi="Times New Roman" w:cs="Times New Roman"/>
          <w:b/>
          <w:bCs/>
          <w:i w:val="0"/>
          <w:iCs w:val="0"/>
          <w:color w:val="000000" w:themeColor="text1"/>
          <w:sz w:val="24"/>
          <w:szCs w:val="24"/>
        </w:rPr>
        <w:t xml:space="preserve">Appendix </w:t>
      </w:r>
      <w:r w:rsidRPr="006A6965">
        <w:rPr>
          <w:rFonts w:ascii="Times New Roman" w:hAnsi="Times New Roman" w:cs="Times New Roman"/>
          <w:b/>
          <w:bCs/>
          <w:i w:val="0"/>
          <w:iCs w:val="0"/>
          <w:color w:val="000000" w:themeColor="text1"/>
          <w:sz w:val="24"/>
          <w:szCs w:val="24"/>
        </w:rPr>
        <w:fldChar w:fldCharType="begin"/>
      </w:r>
      <w:r w:rsidRPr="006A6965">
        <w:rPr>
          <w:rFonts w:ascii="Times New Roman" w:hAnsi="Times New Roman" w:cs="Times New Roman"/>
          <w:b/>
          <w:bCs/>
          <w:i w:val="0"/>
          <w:iCs w:val="0"/>
          <w:color w:val="000000" w:themeColor="text1"/>
          <w:sz w:val="24"/>
          <w:szCs w:val="24"/>
        </w:rPr>
        <w:instrText xml:space="preserve"> SEQ Appendix \* ARABIC </w:instrText>
      </w:r>
      <w:r w:rsidRPr="006A6965">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6</w:t>
      </w:r>
      <w:r w:rsidRPr="006A6965">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Green Intellectual Capital Calculation Results</w:t>
      </w:r>
      <w:bookmarkEnd w:id="166"/>
    </w:p>
    <w:p w14:paraId="7DDC153C" w14:textId="627535F0" w:rsidR="00153781" w:rsidRPr="007E7CB6" w:rsidRDefault="006A6965" w:rsidP="006A6965">
      <w:pPr>
        <w:spacing w:after="240"/>
        <w:jc w:val="both"/>
        <w:rPr>
          <w:rFonts w:ascii="Times New Roman" w:eastAsia="Times New Roman" w:hAnsi="Times New Roman" w:cs="Times New Roman"/>
          <w:b/>
          <w:sz w:val="24"/>
          <w:szCs w:val="24"/>
        </w:rPr>
      </w:pPr>
      <w:r>
        <w:rPr>
          <w:noProof/>
        </w:rPr>
        <w:lastRenderedPageBreak/>
        <w:drawing>
          <wp:anchor distT="0" distB="0" distL="114300" distR="114300" simplePos="0" relativeHeight="251757568" behindDoc="0" locked="0" layoutInCell="1" allowOverlap="1" wp14:anchorId="2B9A6E54" wp14:editId="33FD1471">
            <wp:simplePos x="1130300" y="1079500"/>
            <wp:positionH relativeFrom="margin">
              <wp:align>center</wp:align>
            </wp:positionH>
            <wp:positionV relativeFrom="margin">
              <wp:align>center</wp:align>
            </wp:positionV>
            <wp:extent cx="7920000" cy="4949062"/>
            <wp:effectExtent l="0" t="0" r="508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a:extLst>
                        <a:ext uri="{28A0092B-C50C-407E-A947-70E740481C1C}">
                          <a14:useLocalDpi xmlns:a14="http://schemas.microsoft.com/office/drawing/2010/main" val="0"/>
                        </a:ext>
                      </a:extLst>
                    </a:blip>
                    <a:srcRect l="1909" t="1258" r="2045" b="2716"/>
                    <a:stretch/>
                  </pic:blipFill>
                  <pic:spPr bwMode="auto">
                    <a:xfrm>
                      <a:off x="0" y="0"/>
                      <a:ext cx="7920000" cy="4949062"/>
                    </a:xfrm>
                    <a:prstGeom prst="rect">
                      <a:avLst/>
                    </a:prstGeom>
                    <a:noFill/>
                    <a:ln>
                      <a:noFill/>
                    </a:ln>
                    <a:extLst>
                      <a:ext uri="{53640926-AAD7-44D8-BBD7-CCE9431645EC}">
                        <a14:shadowObscured xmlns:a14="http://schemas.microsoft.com/office/drawing/2010/main"/>
                      </a:ext>
                    </a:extLst>
                  </pic:spPr>
                </pic:pic>
              </a:graphicData>
            </a:graphic>
          </wp:anchor>
        </w:drawing>
      </w:r>
    </w:p>
    <w:p w14:paraId="7F2796FA" w14:textId="58BC8054" w:rsidR="00153781" w:rsidRPr="00676C80" w:rsidRDefault="00676C80" w:rsidP="00676C80">
      <w:pPr>
        <w:pStyle w:val="Caption"/>
        <w:rPr>
          <w:rFonts w:ascii="Times New Roman" w:eastAsia="Times New Roman" w:hAnsi="Times New Roman" w:cs="Times New Roman"/>
          <w:b/>
          <w:bCs/>
          <w:i w:val="0"/>
          <w:iCs w:val="0"/>
          <w:color w:val="000000" w:themeColor="text1"/>
          <w:sz w:val="36"/>
          <w:szCs w:val="36"/>
        </w:rPr>
      </w:pPr>
      <w:bookmarkStart w:id="167" w:name="_Toc210649276"/>
      <w:r>
        <w:rPr>
          <w:noProof/>
        </w:rPr>
        <w:lastRenderedPageBreak/>
        <w:drawing>
          <wp:anchor distT="0" distB="0" distL="114300" distR="114300" simplePos="0" relativeHeight="251758592" behindDoc="0" locked="0" layoutInCell="1" allowOverlap="1" wp14:anchorId="713786EB" wp14:editId="5D8EF2B8">
            <wp:simplePos x="0" y="0"/>
            <wp:positionH relativeFrom="margin">
              <wp:posOffset>123825</wp:posOffset>
            </wp:positionH>
            <wp:positionV relativeFrom="margin">
              <wp:posOffset>266700</wp:posOffset>
            </wp:positionV>
            <wp:extent cx="7920000" cy="5499640"/>
            <wp:effectExtent l="0" t="0" r="508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l="1499" r="6442" b="3238"/>
                    <a:stretch/>
                  </pic:blipFill>
                  <pic:spPr bwMode="auto">
                    <a:xfrm>
                      <a:off x="0" y="0"/>
                      <a:ext cx="7920000" cy="54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6C80">
        <w:rPr>
          <w:rFonts w:ascii="Times New Roman" w:hAnsi="Times New Roman" w:cs="Times New Roman"/>
          <w:b/>
          <w:bCs/>
          <w:i w:val="0"/>
          <w:iCs w:val="0"/>
          <w:color w:val="000000" w:themeColor="text1"/>
          <w:sz w:val="24"/>
          <w:szCs w:val="24"/>
        </w:rPr>
        <w:t xml:space="preserve">Appendix </w:t>
      </w:r>
      <w:r w:rsidRPr="00676C80">
        <w:rPr>
          <w:rFonts w:ascii="Times New Roman" w:hAnsi="Times New Roman" w:cs="Times New Roman"/>
          <w:b/>
          <w:bCs/>
          <w:i w:val="0"/>
          <w:iCs w:val="0"/>
          <w:color w:val="000000" w:themeColor="text1"/>
          <w:sz w:val="24"/>
          <w:szCs w:val="24"/>
        </w:rPr>
        <w:fldChar w:fldCharType="begin"/>
      </w:r>
      <w:r w:rsidRPr="00676C80">
        <w:rPr>
          <w:rFonts w:ascii="Times New Roman" w:hAnsi="Times New Roman" w:cs="Times New Roman"/>
          <w:b/>
          <w:bCs/>
          <w:i w:val="0"/>
          <w:iCs w:val="0"/>
          <w:color w:val="000000" w:themeColor="text1"/>
          <w:sz w:val="24"/>
          <w:szCs w:val="24"/>
        </w:rPr>
        <w:instrText xml:space="preserve"> SEQ Appendix \* ARABIC </w:instrText>
      </w:r>
      <w:r w:rsidRPr="00676C80">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7</w:t>
      </w:r>
      <w:r w:rsidRPr="00676C80">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Data Tabulation</w:t>
      </w:r>
      <w:bookmarkEnd w:id="167"/>
    </w:p>
    <w:p w14:paraId="5C6A66A1" w14:textId="31AE1B1C" w:rsidR="00153781" w:rsidRPr="007E7CB6" w:rsidRDefault="00676C80" w:rsidP="00676C80">
      <w:pPr>
        <w:spacing w:after="240"/>
        <w:jc w:val="both"/>
        <w:rPr>
          <w:rFonts w:ascii="Times New Roman" w:eastAsia="Times New Roman" w:hAnsi="Times New Roman" w:cs="Times New Roman"/>
          <w:b/>
          <w:sz w:val="24"/>
          <w:szCs w:val="24"/>
        </w:rPr>
        <w:sectPr w:rsidR="00153781" w:rsidRPr="007E7CB6">
          <w:headerReference w:type="default" r:id="rId63"/>
          <w:footerReference w:type="default" r:id="rId64"/>
          <w:headerReference w:type="first" r:id="rId65"/>
          <w:footerReference w:type="first" r:id="rId66"/>
          <w:pgSz w:w="16838" w:h="11906" w:orient="landscape"/>
          <w:pgMar w:top="1701" w:right="1701" w:bottom="2268" w:left="2268" w:header="720" w:footer="737" w:gutter="0"/>
          <w:cols w:space="720"/>
          <w:titlePg/>
        </w:sectPr>
      </w:pPr>
      <w:r>
        <w:rPr>
          <w:noProof/>
        </w:rPr>
        <w:lastRenderedPageBreak/>
        <w:drawing>
          <wp:anchor distT="0" distB="0" distL="114300" distR="114300" simplePos="0" relativeHeight="251759616" behindDoc="0" locked="0" layoutInCell="1" allowOverlap="1" wp14:anchorId="42549A88" wp14:editId="513289A0">
            <wp:simplePos x="1130300" y="1079500"/>
            <wp:positionH relativeFrom="margin">
              <wp:align>center</wp:align>
            </wp:positionH>
            <wp:positionV relativeFrom="margin">
              <wp:align>top</wp:align>
            </wp:positionV>
            <wp:extent cx="7920000" cy="5372738"/>
            <wp:effectExtent l="0" t="0" r="508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a:extLst>
                        <a:ext uri="{28A0092B-C50C-407E-A947-70E740481C1C}">
                          <a14:useLocalDpi xmlns:a14="http://schemas.microsoft.com/office/drawing/2010/main" val="0"/>
                        </a:ext>
                      </a:extLst>
                    </a:blip>
                    <a:srcRect l="2303" r="1479"/>
                    <a:stretch/>
                  </pic:blipFill>
                  <pic:spPr bwMode="auto">
                    <a:xfrm>
                      <a:off x="0" y="0"/>
                      <a:ext cx="7920000" cy="5372738"/>
                    </a:xfrm>
                    <a:prstGeom prst="rect">
                      <a:avLst/>
                    </a:prstGeom>
                    <a:noFill/>
                    <a:ln>
                      <a:noFill/>
                    </a:ln>
                    <a:extLst>
                      <a:ext uri="{53640926-AAD7-44D8-BBD7-CCE9431645EC}">
                        <a14:shadowObscured xmlns:a14="http://schemas.microsoft.com/office/drawing/2010/main"/>
                      </a:ext>
                    </a:extLst>
                  </pic:spPr>
                </pic:pic>
              </a:graphicData>
            </a:graphic>
          </wp:anchor>
        </w:drawing>
      </w:r>
    </w:p>
    <w:p w14:paraId="78F01476" w14:textId="6F5E1F16" w:rsidR="00153781" w:rsidRPr="00676C80" w:rsidRDefault="00676C80" w:rsidP="00676C80">
      <w:pPr>
        <w:pStyle w:val="Caption"/>
        <w:ind w:hanging="426"/>
      </w:pPr>
      <w:bookmarkStart w:id="168" w:name="_Toc210649277"/>
      <w:r w:rsidRPr="00676C80">
        <w:rPr>
          <w:rFonts w:ascii="Times New Roman" w:hAnsi="Times New Roman" w:cs="Times New Roman"/>
          <w:b/>
          <w:bCs/>
          <w:i w:val="0"/>
          <w:iCs w:val="0"/>
          <w:color w:val="000000" w:themeColor="text1"/>
          <w:sz w:val="24"/>
          <w:szCs w:val="24"/>
        </w:rPr>
        <w:lastRenderedPageBreak/>
        <w:t xml:space="preserve">Appendix </w:t>
      </w:r>
      <w:r w:rsidRPr="00676C80">
        <w:rPr>
          <w:rFonts w:ascii="Times New Roman" w:hAnsi="Times New Roman" w:cs="Times New Roman"/>
          <w:b/>
          <w:bCs/>
          <w:i w:val="0"/>
          <w:iCs w:val="0"/>
          <w:color w:val="000000" w:themeColor="text1"/>
          <w:sz w:val="24"/>
          <w:szCs w:val="24"/>
        </w:rPr>
        <w:fldChar w:fldCharType="begin"/>
      </w:r>
      <w:r w:rsidRPr="00676C80">
        <w:rPr>
          <w:rFonts w:ascii="Times New Roman" w:hAnsi="Times New Roman" w:cs="Times New Roman"/>
          <w:b/>
          <w:bCs/>
          <w:i w:val="0"/>
          <w:iCs w:val="0"/>
          <w:color w:val="000000" w:themeColor="text1"/>
          <w:sz w:val="24"/>
          <w:szCs w:val="24"/>
        </w:rPr>
        <w:instrText xml:space="preserve"> SEQ Appendix \* ARABIC </w:instrText>
      </w:r>
      <w:r w:rsidRPr="00676C80">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8</w:t>
      </w:r>
      <w:r w:rsidRPr="00676C80">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Descriptive Statistical Test Results</w:t>
      </w:r>
      <w:r w:rsidRPr="007E7CB6">
        <w:rPr>
          <w:rFonts w:ascii="Times New Roman" w:hAnsi="Times New Roman" w:cs="Times New Roman"/>
          <w:color w:val="FFFFFF"/>
        </w:rPr>
        <w:t>9</w:t>
      </w:r>
      <w:bookmarkEnd w:id="168"/>
    </w:p>
    <w:tbl>
      <w:tblPr>
        <w:tblStyle w:val="afd"/>
        <w:tblW w:w="7452" w:type="dxa"/>
        <w:tblInd w:w="-5" w:type="dxa"/>
        <w:tblLayout w:type="fixed"/>
        <w:tblLook w:val="0400" w:firstRow="0" w:lastRow="0" w:firstColumn="0" w:lastColumn="0" w:noHBand="0" w:noVBand="1"/>
      </w:tblPr>
      <w:tblGrid>
        <w:gridCol w:w="2215"/>
        <w:gridCol w:w="440"/>
        <w:gridCol w:w="1227"/>
        <w:gridCol w:w="1267"/>
        <w:gridCol w:w="860"/>
        <w:gridCol w:w="1443"/>
      </w:tblGrid>
      <w:tr w:rsidR="00153781" w:rsidRPr="007E7CB6" w14:paraId="23AC1D1E" w14:textId="77777777">
        <w:trPr>
          <w:trHeight w:val="20"/>
        </w:trPr>
        <w:tc>
          <w:tcPr>
            <w:tcW w:w="7452" w:type="dxa"/>
            <w:gridSpan w:val="6"/>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4DFB3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69" w:name="_heading=h.dz8e9d1b95ll" w:colFirst="0" w:colLast="0"/>
            <w:bookmarkEnd w:id="169"/>
            <w:r w:rsidRPr="007E7CB6">
              <w:rPr>
                <w:rFonts w:ascii="Times New Roman" w:eastAsia="Times New Roman" w:hAnsi="Times New Roman" w:cs="Times New Roman"/>
                <w:b/>
                <w:color w:val="000000"/>
                <w:sz w:val="24"/>
                <w:szCs w:val="24"/>
              </w:rPr>
              <w:t>Descriptive Statistics</w:t>
            </w:r>
          </w:p>
        </w:tc>
      </w:tr>
      <w:tr w:rsidR="00153781" w:rsidRPr="007E7CB6" w14:paraId="3FF7AAC8" w14:textId="77777777">
        <w:trPr>
          <w:trHeight w:val="74"/>
        </w:trPr>
        <w:tc>
          <w:tcPr>
            <w:tcW w:w="22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5C617" w14:textId="77777777" w:rsidR="00153781" w:rsidRPr="007E7CB6" w:rsidRDefault="00153781">
            <w:pPr>
              <w:rPr>
                <w:rFonts w:ascii="Times New Roman" w:eastAsia="Times New Roman" w:hAnsi="Times New Roman" w:cs="Times New Roman"/>
                <w:sz w:val="24"/>
                <w:szCs w:val="24"/>
              </w:rPr>
            </w:pPr>
          </w:p>
        </w:tc>
        <w:tc>
          <w:tcPr>
            <w:tcW w:w="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ED310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N</w:t>
            </w:r>
          </w:p>
        </w:tc>
        <w:tc>
          <w:tcPr>
            <w:tcW w:w="12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7FB19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Minimum</w:t>
            </w:r>
          </w:p>
        </w:tc>
        <w:tc>
          <w:tcPr>
            <w:tcW w:w="12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CDB17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Maximum</w:t>
            </w:r>
          </w:p>
        </w:tc>
        <w:tc>
          <w:tcPr>
            <w:tcW w:w="8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1E35D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Mean</w:t>
            </w:r>
          </w:p>
        </w:tc>
        <w:tc>
          <w:tcPr>
            <w:tcW w:w="14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44C8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Std. Deviation</w:t>
            </w:r>
          </w:p>
        </w:tc>
      </w:tr>
      <w:tr w:rsidR="00153781" w:rsidRPr="007E7CB6" w14:paraId="28A1F29F"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B5FA429"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Green Accounting</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F2970A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3D322D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5EB5A3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0.04</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0F16D0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0.0052</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8EFF54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0.00637</w:t>
            </w:r>
          </w:p>
        </w:tc>
      </w:tr>
      <w:tr w:rsidR="00153781" w:rsidRPr="007E7CB6" w14:paraId="296E4405"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7E59666"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Carbon Emission Disclosure</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DC7C2A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384A88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0.44</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3427E7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0.94</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8F9736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0.7273</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4CCA1F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0.15168</w:t>
            </w:r>
          </w:p>
        </w:tc>
      </w:tr>
      <w:tr w:rsidR="00153781" w:rsidRPr="007E7CB6" w14:paraId="140F2B50"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6342BA4"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Green Capital Structure</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A7AF26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9B2C36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FFC3D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4085B7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0.0005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FAA51C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0.00125</w:t>
            </w:r>
          </w:p>
        </w:tc>
      </w:tr>
      <w:tr w:rsidR="00153781" w:rsidRPr="007E7CB6" w14:paraId="55A9C144"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4FD5981"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Firm Value</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65F819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8FBE5A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2A7444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0.85</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5F2A87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0.4380</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34B25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0.16423</w:t>
            </w:r>
          </w:p>
        </w:tc>
      </w:tr>
      <w:tr w:rsidR="00153781" w:rsidRPr="007E7CB6" w14:paraId="03049682"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C68207F"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Green Intellectual Capital</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1B39D5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2A7564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0.43</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8A6265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0.86</w:t>
            </w: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194F5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0.6685</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B067D6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0.10700</w:t>
            </w:r>
          </w:p>
        </w:tc>
      </w:tr>
      <w:tr w:rsidR="00153781" w:rsidRPr="007E7CB6" w14:paraId="206F250E" w14:textId="77777777">
        <w:tc>
          <w:tcPr>
            <w:tcW w:w="22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20EA967"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Valid N (listwise)</w:t>
            </w:r>
          </w:p>
        </w:tc>
        <w:tc>
          <w:tcPr>
            <w:tcW w:w="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785CCC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c>
          <w:tcPr>
            <w:tcW w:w="12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30CEE05" w14:textId="77777777" w:rsidR="00153781" w:rsidRPr="007E7CB6" w:rsidRDefault="00153781">
            <w:pPr>
              <w:rPr>
                <w:rFonts w:ascii="Times New Roman" w:eastAsia="Times New Roman" w:hAnsi="Times New Roman" w:cs="Times New Roman"/>
                <w:sz w:val="24"/>
                <w:szCs w:val="24"/>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213EA7D" w14:textId="77777777" w:rsidR="00153781" w:rsidRPr="007E7CB6" w:rsidRDefault="00153781">
            <w:pPr>
              <w:rPr>
                <w:rFonts w:ascii="Times New Roman" w:eastAsia="Times New Roman" w:hAnsi="Times New Roman" w:cs="Times New Roman"/>
                <w:sz w:val="24"/>
                <w:szCs w:val="24"/>
              </w:rPr>
            </w:pPr>
          </w:p>
        </w:tc>
        <w:tc>
          <w:tcPr>
            <w:tcW w:w="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117B1DA" w14:textId="77777777" w:rsidR="00153781" w:rsidRPr="007E7CB6" w:rsidRDefault="00153781">
            <w:pPr>
              <w:rPr>
                <w:rFonts w:ascii="Times New Roman" w:eastAsia="Times New Roman" w:hAnsi="Times New Roman" w:cs="Times New Roman"/>
                <w:sz w:val="24"/>
                <w:szCs w:val="24"/>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50EB62A" w14:textId="77777777" w:rsidR="00153781" w:rsidRPr="007E7CB6" w:rsidRDefault="00153781">
            <w:pPr>
              <w:rPr>
                <w:rFonts w:ascii="Times New Roman" w:eastAsia="Times New Roman" w:hAnsi="Times New Roman" w:cs="Times New Roman"/>
                <w:sz w:val="24"/>
                <w:szCs w:val="24"/>
              </w:rPr>
            </w:pPr>
          </w:p>
        </w:tc>
      </w:tr>
    </w:tbl>
    <w:p w14:paraId="43CDE07D" w14:textId="4707CE6F" w:rsidR="00153781" w:rsidRDefault="00000000" w:rsidP="00676C80">
      <w:pPr>
        <w:keepNext/>
        <w:pBdr>
          <w:top w:val="nil"/>
          <w:left w:val="nil"/>
          <w:bottom w:val="nil"/>
          <w:right w:val="nil"/>
          <w:between w:val="nil"/>
        </w:pBdr>
        <w:tabs>
          <w:tab w:val="left" w:pos="142"/>
        </w:tabs>
        <w:spacing w:after="200" w:line="240" w:lineRule="auto"/>
        <w:rPr>
          <w:rFonts w:ascii="Times New Roman" w:hAnsi="Times New Roman" w:cs="Times New Roman"/>
          <w:color w:val="FFFFFF"/>
          <w:sz w:val="18"/>
          <w:szCs w:val="18"/>
        </w:rPr>
      </w:pPr>
      <w:r w:rsidRPr="007E7CB6">
        <w:rPr>
          <w:rFonts w:ascii="Times New Roman" w:hAnsi="Times New Roman" w:cs="Times New Roman"/>
          <w:color w:val="FFFFFF"/>
          <w:sz w:val="18"/>
          <w:szCs w:val="18"/>
        </w:rPr>
        <w:t>10</w:t>
      </w:r>
    </w:p>
    <w:p w14:paraId="5B5B04B2" w14:textId="4C3C7FD1" w:rsidR="00C716EA" w:rsidRDefault="00C716EA" w:rsidP="00C716EA">
      <w:pPr>
        <w:keepNext/>
        <w:pBdr>
          <w:top w:val="nil"/>
          <w:left w:val="nil"/>
          <w:bottom w:val="nil"/>
          <w:right w:val="nil"/>
          <w:between w:val="nil"/>
        </w:pBdr>
        <w:tabs>
          <w:tab w:val="left" w:pos="142"/>
        </w:tabs>
        <w:spacing w:line="240" w:lineRule="auto"/>
        <w:rPr>
          <w:rFonts w:ascii="Times New Roman" w:eastAsia="Times New Roman" w:hAnsi="Times New Roman" w:cs="Times New Roman"/>
          <w:b/>
          <w:color w:val="000000"/>
          <w:sz w:val="24"/>
          <w:szCs w:val="24"/>
        </w:rPr>
      </w:pPr>
    </w:p>
    <w:p w14:paraId="4800597B" w14:textId="77777777" w:rsidR="00C716EA" w:rsidRPr="007E7CB6" w:rsidRDefault="00C716EA" w:rsidP="00C716EA">
      <w:pPr>
        <w:keepNext/>
        <w:pBdr>
          <w:top w:val="nil"/>
          <w:left w:val="nil"/>
          <w:bottom w:val="nil"/>
          <w:right w:val="nil"/>
          <w:between w:val="nil"/>
        </w:pBdr>
        <w:tabs>
          <w:tab w:val="left" w:pos="142"/>
        </w:tabs>
        <w:spacing w:line="240" w:lineRule="auto"/>
        <w:rPr>
          <w:rFonts w:ascii="Times New Roman" w:eastAsia="Times New Roman" w:hAnsi="Times New Roman" w:cs="Times New Roman"/>
          <w:b/>
          <w:color w:val="000000"/>
          <w:sz w:val="24"/>
          <w:szCs w:val="24"/>
        </w:rPr>
      </w:pPr>
    </w:p>
    <w:p w14:paraId="177D30DE" w14:textId="1897353C" w:rsidR="00676C80" w:rsidRPr="00676C80" w:rsidRDefault="00676C80" w:rsidP="00676C80">
      <w:pPr>
        <w:pStyle w:val="Caption"/>
        <w:ind w:hanging="426"/>
        <w:rPr>
          <w:rFonts w:ascii="Times New Roman" w:hAnsi="Times New Roman" w:cs="Times New Roman"/>
          <w:b/>
          <w:bCs/>
          <w:i w:val="0"/>
          <w:iCs w:val="0"/>
        </w:rPr>
      </w:pPr>
      <w:bookmarkStart w:id="170" w:name="_Toc210649278"/>
      <w:r w:rsidRPr="00676C80">
        <w:rPr>
          <w:rFonts w:ascii="Times New Roman" w:hAnsi="Times New Roman" w:cs="Times New Roman"/>
          <w:b/>
          <w:bCs/>
          <w:i w:val="0"/>
          <w:iCs w:val="0"/>
          <w:color w:val="000000" w:themeColor="text1"/>
          <w:sz w:val="24"/>
          <w:szCs w:val="24"/>
        </w:rPr>
        <w:t xml:space="preserve">Appendix </w:t>
      </w:r>
      <w:r w:rsidRPr="00676C80">
        <w:rPr>
          <w:rFonts w:ascii="Times New Roman" w:hAnsi="Times New Roman" w:cs="Times New Roman"/>
          <w:b/>
          <w:bCs/>
          <w:i w:val="0"/>
          <w:iCs w:val="0"/>
          <w:color w:val="000000" w:themeColor="text1"/>
          <w:sz w:val="24"/>
          <w:szCs w:val="24"/>
        </w:rPr>
        <w:fldChar w:fldCharType="begin"/>
      </w:r>
      <w:r w:rsidRPr="00676C80">
        <w:rPr>
          <w:rFonts w:ascii="Times New Roman" w:hAnsi="Times New Roman" w:cs="Times New Roman"/>
          <w:b/>
          <w:bCs/>
          <w:i w:val="0"/>
          <w:iCs w:val="0"/>
          <w:color w:val="000000" w:themeColor="text1"/>
          <w:sz w:val="24"/>
          <w:szCs w:val="24"/>
        </w:rPr>
        <w:instrText xml:space="preserve"> SEQ Appendix \* ARABIC </w:instrText>
      </w:r>
      <w:r w:rsidRPr="00676C80">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9</w:t>
      </w:r>
      <w:r w:rsidRPr="00676C80">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Normality Test Results</w:t>
      </w:r>
      <w:bookmarkEnd w:id="170"/>
    </w:p>
    <w:tbl>
      <w:tblPr>
        <w:tblStyle w:val="afe"/>
        <w:tblW w:w="6945" w:type="dxa"/>
        <w:tblInd w:w="-5" w:type="dxa"/>
        <w:tblLayout w:type="fixed"/>
        <w:tblLook w:val="0400" w:firstRow="0" w:lastRow="0" w:firstColumn="0" w:lastColumn="0" w:noHBand="0" w:noVBand="1"/>
      </w:tblPr>
      <w:tblGrid>
        <w:gridCol w:w="2268"/>
        <w:gridCol w:w="1842"/>
        <w:gridCol w:w="2835"/>
      </w:tblGrid>
      <w:tr w:rsidR="00153781" w:rsidRPr="007E7CB6" w14:paraId="02367878" w14:textId="77777777">
        <w:trPr>
          <w:trHeight w:val="623"/>
        </w:trPr>
        <w:tc>
          <w:tcPr>
            <w:tcW w:w="694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C29FF5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171" w:name="_heading=h.gztdzydonvcb" w:colFirst="0" w:colLast="0"/>
            <w:bookmarkEnd w:id="171"/>
            <w:r w:rsidRPr="007E7CB6">
              <w:rPr>
                <w:rFonts w:ascii="Times New Roman" w:eastAsia="Times New Roman" w:hAnsi="Times New Roman" w:cs="Times New Roman"/>
                <w:b/>
                <w:color w:val="000000"/>
                <w:sz w:val="24"/>
                <w:szCs w:val="24"/>
              </w:rPr>
              <w:t>One-Sample Kolmogorov-Smirnov Test</w:t>
            </w:r>
          </w:p>
        </w:tc>
      </w:tr>
      <w:tr w:rsidR="00153781" w:rsidRPr="007E7CB6" w14:paraId="7713F1C3" w14:textId="77777777">
        <w:trPr>
          <w:trHeight w:val="417"/>
        </w:trPr>
        <w:tc>
          <w:tcPr>
            <w:tcW w:w="41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EB8335C" w14:textId="77777777" w:rsidR="00153781" w:rsidRPr="007E7CB6" w:rsidRDefault="00153781">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B975139"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Unstandardized Residual</w:t>
            </w:r>
          </w:p>
        </w:tc>
      </w:tr>
      <w:tr w:rsidR="00153781" w:rsidRPr="007E7CB6" w14:paraId="6421B449"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32EC1FF"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3D52CB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64</w:t>
            </w:r>
          </w:p>
        </w:tc>
      </w:tr>
      <w:tr w:rsidR="00153781" w:rsidRPr="007E7CB6" w14:paraId="460FC9A0" w14:textId="77777777">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C0E30C1"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Normal Parameters</w:t>
            </w:r>
            <w:r w:rsidRPr="007E7CB6">
              <w:rPr>
                <w:rFonts w:ascii="Times New Roman" w:eastAsia="Times New Roman" w:hAnsi="Times New Roman" w:cs="Times New Roman"/>
                <w:color w:val="000000"/>
                <w:sz w:val="14"/>
                <w:szCs w:val="14"/>
                <w:vertAlign w:val="superscript"/>
              </w:rPr>
              <w:t>a,b</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7714CF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Mean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0A21BC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0.0000000</w:t>
            </w:r>
          </w:p>
        </w:tc>
      </w:tr>
      <w:tr w:rsidR="00153781" w:rsidRPr="007E7CB6" w14:paraId="442A824E"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6B6EB6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716D9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Std. Deviation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48602E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0.09933663</w:t>
            </w:r>
          </w:p>
        </w:tc>
      </w:tr>
      <w:tr w:rsidR="00153781" w:rsidRPr="007E7CB6" w14:paraId="5F745DD3" w14:textId="77777777">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D5C62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Most Extreme Differences</w:t>
            </w: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D1E80A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Absolute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63A8E5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05BB8F79"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E4051E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92D41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Positive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FE094D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7CD45CE6" w14:textId="77777777">
        <w:tc>
          <w:tcPr>
            <w:tcW w:w="2268" w:type="dxa"/>
            <w:vMerge/>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77BB66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105B2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Negative</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E862F5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-0.061</w:t>
            </w:r>
          </w:p>
        </w:tc>
      </w:tr>
      <w:tr w:rsidR="00153781" w:rsidRPr="007E7CB6" w14:paraId="1F2F2FB3"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9FCDA76"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Test Statistic</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455EB4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r>
      <w:tr w:rsidR="00153781" w:rsidRPr="007E7CB6" w14:paraId="7A4470D1" w14:textId="77777777">
        <w:tc>
          <w:tcPr>
            <w:tcW w:w="4110"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045AF14"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Asymp. Sig. (2-tailed)</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5A964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0.200</w:t>
            </w:r>
            <w:r w:rsidRPr="007E7CB6">
              <w:rPr>
                <w:rFonts w:ascii="Times New Roman" w:eastAsia="Times New Roman" w:hAnsi="Times New Roman" w:cs="Times New Roman"/>
                <w:color w:val="000000"/>
                <w:sz w:val="14"/>
                <w:szCs w:val="14"/>
                <w:vertAlign w:val="superscript"/>
              </w:rPr>
              <w:t>c</w:t>
            </w:r>
          </w:p>
        </w:tc>
      </w:tr>
      <w:tr w:rsidR="00153781" w:rsidRPr="007E7CB6" w14:paraId="2408A638" w14:textId="77777777">
        <w:trPr>
          <w:trHeight w:val="445"/>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EA8FD42"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a. Test distribution is Normal.</w:t>
            </w:r>
          </w:p>
        </w:tc>
      </w:tr>
      <w:tr w:rsidR="00153781" w:rsidRPr="007E7CB6" w14:paraId="1C8384D9" w14:textId="77777777">
        <w:trPr>
          <w:trHeight w:val="423"/>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ADD72A1"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b. Calculated from data.</w:t>
            </w:r>
          </w:p>
        </w:tc>
      </w:tr>
      <w:tr w:rsidR="00153781" w:rsidRPr="007E7CB6" w14:paraId="2C1EBB3F" w14:textId="77777777">
        <w:trPr>
          <w:trHeight w:val="402"/>
        </w:trPr>
        <w:tc>
          <w:tcPr>
            <w:tcW w:w="6945" w:type="dxa"/>
            <w:gridSpan w:val="3"/>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C8C4422"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 Lilliefors Significance Correction.</w:t>
            </w:r>
          </w:p>
        </w:tc>
      </w:tr>
    </w:tbl>
    <w:p w14:paraId="32023322" w14:textId="14C2168D" w:rsidR="00153781" w:rsidRDefault="00153781">
      <w:pPr>
        <w:spacing w:after="240"/>
        <w:ind w:hanging="480"/>
        <w:jc w:val="both"/>
        <w:rPr>
          <w:rFonts w:ascii="Times New Roman" w:eastAsia="Times New Roman" w:hAnsi="Times New Roman" w:cs="Times New Roman"/>
          <w:b/>
          <w:sz w:val="24"/>
          <w:szCs w:val="24"/>
        </w:rPr>
      </w:pPr>
    </w:p>
    <w:p w14:paraId="74E7EBDF" w14:textId="77777777" w:rsidR="00C716EA" w:rsidRPr="007E7CB6" w:rsidRDefault="00C716EA">
      <w:pPr>
        <w:spacing w:after="240"/>
        <w:ind w:hanging="480"/>
        <w:jc w:val="both"/>
        <w:rPr>
          <w:rFonts w:ascii="Times New Roman" w:eastAsia="Times New Roman" w:hAnsi="Times New Roman" w:cs="Times New Roman"/>
          <w:b/>
          <w:sz w:val="24"/>
          <w:szCs w:val="24"/>
        </w:rPr>
      </w:pPr>
    </w:p>
    <w:p w14:paraId="197071A0" w14:textId="77777777" w:rsidR="00153781" w:rsidRPr="007E7CB6" w:rsidRDefault="00153781">
      <w:pPr>
        <w:ind w:hanging="480"/>
        <w:jc w:val="both"/>
        <w:rPr>
          <w:rFonts w:ascii="Times New Roman" w:eastAsia="Times New Roman" w:hAnsi="Times New Roman" w:cs="Times New Roman"/>
          <w:b/>
          <w:sz w:val="24"/>
          <w:szCs w:val="24"/>
        </w:rPr>
      </w:pPr>
    </w:p>
    <w:p w14:paraId="09C3CB8A"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37641A64"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4371BDD1" w14:textId="512DEC11" w:rsidR="00153781" w:rsidRPr="00C716EA" w:rsidRDefault="00C716EA" w:rsidP="00C716EA">
      <w:pPr>
        <w:pStyle w:val="Caption"/>
        <w:ind w:hanging="426"/>
        <w:rPr>
          <w:rFonts w:ascii="Times New Roman" w:eastAsia="Times New Roman" w:hAnsi="Times New Roman" w:cs="Times New Roman"/>
          <w:b/>
          <w:bCs/>
          <w:i w:val="0"/>
          <w:iCs w:val="0"/>
          <w:color w:val="000000" w:themeColor="text1"/>
          <w:sz w:val="36"/>
          <w:szCs w:val="36"/>
        </w:rPr>
      </w:pPr>
      <w:bookmarkStart w:id="172" w:name="_Toc210649279"/>
      <w:r w:rsidRPr="007E7CB6">
        <w:rPr>
          <w:rFonts w:ascii="Times New Roman" w:eastAsia="Times New Roman" w:hAnsi="Times New Roman" w:cs="Times New Roman"/>
          <w:noProof/>
          <w:color w:val="000000"/>
          <w:sz w:val="24"/>
          <w:szCs w:val="24"/>
        </w:rPr>
        <w:lastRenderedPageBreak/>
        <w:drawing>
          <wp:anchor distT="0" distB="0" distL="114300" distR="114300" simplePos="0" relativeHeight="251721728" behindDoc="0" locked="0" layoutInCell="1" hidden="0" allowOverlap="1" wp14:anchorId="3FC53630" wp14:editId="395AA1AD">
            <wp:simplePos x="0" y="0"/>
            <wp:positionH relativeFrom="margin">
              <wp:posOffset>718820</wp:posOffset>
            </wp:positionH>
            <wp:positionV relativeFrom="margin">
              <wp:posOffset>278765</wp:posOffset>
            </wp:positionV>
            <wp:extent cx="3906520" cy="2644775"/>
            <wp:effectExtent l="0" t="0" r="0" b="3175"/>
            <wp:wrapSquare wrapText="bothSides" distT="0" distB="0" distL="114300" distR="114300"/>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r="13140"/>
                    <a:stretch>
                      <a:fillRect/>
                    </a:stretch>
                  </pic:blipFill>
                  <pic:spPr>
                    <a:xfrm>
                      <a:off x="0" y="0"/>
                      <a:ext cx="3906520" cy="2644775"/>
                    </a:xfrm>
                    <a:prstGeom prst="rect">
                      <a:avLst/>
                    </a:prstGeom>
                    <a:ln/>
                  </pic:spPr>
                </pic:pic>
              </a:graphicData>
            </a:graphic>
          </wp:anchor>
        </w:drawing>
      </w:r>
      <w:r w:rsidRPr="00C716EA">
        <w:rPr>
          <w:rFonts w:ascii="Times New Roman" w:hAnsi="Times New Roman" w:cs="Times New Roman"/>
          <w:b/>
          <w:bCs/>
          <w:i w:val="0"/>
          <w:iCs w:val="0"/>
          <w:color w:val="000000" w:themeColor="text1"/>
          <w:sz w:val="24"/>
          <w:szCs w:val="24"/>
        </w:rPr>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10</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Histogram Chart</w:t>
      </w:r>
      <w:bookmarkEnd w:id="172"/>
    </w:p>
    <w:p w14:paraId="7D8BDE6D" w14:textId="319344AD" w:rsidR="00153781" w:rsidRPr="007E7CB6" w:rsidRDefault="00153781">
      <w:pPr>
        <w:spacing w:after="240"/>
        <w:ind w:hanging="480"/>
        <w:jc w:val="both"/>
        <w:rPr>
          <w:rFonts w:ascii="Times New Roman" w:eastAsia="Times New Roman" w:hAnsi="Times New Roman" w:cs="Times New Roman"/>
          <w:b/>
          <w:sz w:val="24"/>
          <w:szCs w:val="24"/>
        </w:rPr>
      </w:pPr>
    </w:p>
    <w:p w14:paraId="79E10430" w14:textId="6938D907" w:rsidR="00153781" w:rsidRPr="007E7CB6" w:rsidRDefault="00153781">
      <w:pPr>
        <w:spacing w:after="240"/>
        <w:ind w:hanging="480"/>
        <w:jc w:val="both"/>
        <w:rPr>
          <w:rFonts w:ascii="Times New Roman" w:eastAsia="Times New Roman" w:hAnsi="Times New Roman" w:cs="Times New Roman"/>
          <w:b/>
          <w:sz w:val="24"/>
          <w:szCs w:val="24"/>
        </w:rPr>
      </w:pPr>
    </w:p>
    <w:p w14:paraId="486AAABC" w14:textId="07B133F4" w:rsidR="00153781" w:rsidRPr="007E7CB6" w:rsidRDefault="00153781">
      <w:pPr>
        <w:spacing w:after="240"/>
        <w:ind w:hanging="480"/>
        <w:jc w:val="both"/>
        <w:rPr>
          <w:rFonts w:ascii="Times New Roman" w:eastAsia="Times New Roman" w:hAnsi="Times New Roman" w:cs="Times New Roman"/>
          <w:b/>
          <w:sz w:val="24"/>
          <w:szCs w:val="24"/>
        </w:rPr>
      </w:pPr>
    </w:p>
    <w:p w14:paraId="3F24CD88" w14:textId="4E569255" w:rsidR="00153781" w:rsidRPr="007E7CB6" w:rsidRDefault="00153781">
      <w:pPr>
        <w:spacing w:after="240"/>
        <w:ind w:hanging="480"/>
        <w:jc w:val="both"/>
        <w:rPr>
          <w:rFonts w:ascii="Times New Roman" w:eastAsia="Times New Roman" w:hAnsi="Times New Roman" w:cs="Times New Roman"/>
          <w:b/>
          <w:sz w:val="24"/>
          <w:szCs w:val="24"/>
        </w:rPr>
      </w:pPr>
    </w:p>
    <w:p w14:paraId="01EDAF14" w14:textId="32A7381B" w:rsidR="00153781" w:rsidRPr="007E7CB6" w:rsidRDefault="00153781">
      <w:pPr>
        <w:spacing w:after="240"/>
        <w:ind w:hanging="480"/>
        <w:jc w:val="both"/>
        <w:rPr>
          <w:rFonts w:ascii="Times New Roman" w:eastAsia="Times New Roman" w:hAnsi="Times New Roman" w:cs="Times New Roman"/>
          <w:b/>
          <w:sz w:val="24"/>
          <w:szCs w:val="24"/>
        </w:rPr>
      </w:pPr>
    </w:p>
    <w:p w14:paraId="16624F7C"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54900AE2"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440B9B33" w14:textId="7A0F1896" w:rsidR="00C716EA" w:rsidRPr="00C716EA" w:rsidRDefault="00C716EA" w:rsidP="00C716EA">
      <w:pPr>
        <w:spacing w:line="240" w:lineRule="auto"/>
        <w:jc w:val="both"/>
        <w:rPr>
          <w:rFonts w:ascii="Times New Roman" w:eastAsia="Times New Roman" w:hAnsi="Times New Roman" w:cs="Times New Roman"/>
          <w:b/>
          <w:bCs/>
          <w:color w:val="000000" w:themeColor="text1"/>
          <w:sz w:val="24"/>
          <w:szCs w:val="24"/>
        </w:rPr>
      </w:pPr>
    </w:p>
    <w:p w14:paraId="302F28A8" w14:textId="2CB4959B" w:rsidR="00C716EA" w:rsidRDefault="00C716EA" w:rsidP="00C716EA">
      <w:pPr>
        <w:jc w:val="both"/>
        <w:rPr>
          <w:rFonts w:ascii="Times New Roman" w:eastAsia="Times New Roman" w:hAnsi="Times New Roman" w:cs="Times New Roman"/>
          <w:b/>
          <w:bCs/>
          <w:color w:val="000000" w:themeColor="text1"/>
          <w:sz w:val="24"/>
          <w:szCs w:val="24"/>
        </w:rPr>
      </w:pPr>
    </w:p>
    <w:p w14:paraId="26DC2F3B" w14:textId="40212CB9" w:rsidR="00C716EA" w:rsidRDefault="00C716EA" w:rsidP="00C716EA">
      <w:pPr>
        <w:jc w:val="both"/>
        <w:rPr>
          <w:rFonts w:ascii="Times New Roman" w:eastAsia="Times New Roman" w:hAnsi="Times New Roman" w:cs="Times New Roman"/>
          <w:b/>
          <w:bCs/>
          <w:color w:val="000000" w:themeColor="text1"/>
          <w:sz w:val="24"/>
          <w:szCs w:val="24"/>
        </w:rPr>
      </w:pPr>
    </w:p>
    <w:p w14:paraId="53BD92DE" w14:textId="77777777" w:rsidR="00C716EA" w:rsidRPr="00C716EA" w:rsidRDefault="00C716EA" w:rsidP="00C716EA">
      <w:pPr>
        <w:jc w:val="both"/>
        <w:rPr>
          <w:rFonts w:ascii="Times New Roman" w:eastAsia="Times New Roman" w:hAnsi="Times New Roman" w:cs="Times New Roman"/>
          <w:b/>
          <w:bCs/>
          <w:color w:val="000000" w:themeColor="text1"/>
          <w:sz w:val="24"/>
          <w:szCs w:val="24"/>
        </w:rPr>
      </w:pPr>
    </w:p>
    <w:p w14:paraId="1F2435FE" w14:textId="5419F8D7" w:rsidR="00153781" w:rsidRPr="007E7CB6" w:rsidRDefault="00C716EA" w:rsidP="00C716EA">
      <w:pPr>
        <w:pStyle w:val="Caption"/>
        <w:ind w:hanging="426"/>
        <w:rPr>
          <w:rFonts w:ascii="Times New Roman" w:eastAsia="Times New Roman" w:hAnsi="Times New Roman" w:cs="Times New Roman"/>
          <w:b/>
          <w:sz w:val="24"/>
          <w:szCs w:val="24"/>
        </w:rPr>
      </w:pPr>
      <w:bookmarkStart w:id="173" w:name="_Toc210649280"/>
      <w:r w:rsidRPr="00C716EA">
        <w:rPr>
          <w:rFonts w:ascii="Times New Roman" w:hAnsi="Times New Roman" w:cs="Times New Roman"/>
          <w:b/>
          <w:bCs/>
          <w:i w:val="0"/>
          <w:iCs w:val="0"/>
          <w:color w:val="000000" w:themeColor="text1"/>
          <w:sz w:val="24"/>
          <w:szCs w:val="24"/>
        </w:rPr>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11</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Normal Chart of P-Plot</w:t>
      </w:r>
      <w:bookmarkEnd w:id="173"/>
    </w:p>
    <w:p w14:paraId="4B38123C" w14:textId="6D7CAFCE" w:rsidR="00153781" w:rsidRPr="007E7CB6" w:rsidRDefault="00C716EA">
      <w:pPr>
        <w:spacing w:after="240"/>
        <w:ind w:hanging="480"/>
        <w:jc w:val="both"/>
        <w:rPr>
          <w:rFonts w:ascii="Times New Roman" w:eastAsia="Times New Roman" w:hAnsi="Times New Roman" w:cs="Times New Roman"/>
          <w:b/>
          <w:sz w:val="24"/>
          <w:szCs w:val="24"/>
        </w:rPr>
      </w:pPr>
      <w:r w:rsidRPr="007E7CB6">
        <w:rPr>
          <w:rFonts w:ascii="Times New Roman" w:eastAsia="Times New Roman" w:hAnsi="Times New Roman" w:cs="Times New Roman"/>
          <w:noProof/>
          <w:color w:val="000000"/>
          <w:sz w:val="24"/>
          <w:szCs w:val="24"/>
        </w:rPr>
        <w:drawing>
          <wp:anchor distT="0" distB="0" distL="114300" distR="114300" simplePos="0" relativeHeight="251722752" behindDoc="0" locked="0" layoutInCell="1" hidden="0" allowOverlap="1" wp14:anchorId="5E1EACD4" wp14:editId="55487990">
            <wp:simplePos x="0" y="0"/>
            <wp:positionH relativeFrom="margin">
              <wp:posOffset>1097280</wp:posOffset>
            </wp:positionH>
            <wp:positionV relativeFrom="margin">
              <wp:posOffset>3862070</wp:posOffset>
            </wp:positionV>
            <wp:extent cx="2812415" cy="2981960"/>
            <wp:effectExtent l="0" t="0" r="6985" b="8890"/>
            <wp:wrapSquare wrapText="bothSides" distT="0" distB="0" distL="114300" distR="114300"/>
            <wp:docPr id="1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l="23779" r="20722"/>
                    <a:stretch>
                      <a:fillRect/>
                    </a:stretch>
                  </pic:blipFill>
                  <pic:spPr>
                    <a:xfrm>
                      <a:off x="0" y="0"/>
                      <a:ext cx="2812415" cy="2981960"/>
                    </a:xfrm>
                    <a:prstGeom prst="rect">
                      <a:avLst/>
                    </a:prstGeom>
                    <a:ln/>
                  </pic:spPr>
                </pic:pic>
              </a:graphicData>
            </a:graphic>
          </wp:anchor>
        </w:drawing>
      </w:r>
    </w:p>
    <w:p w14:paraId="41207425" w14:textId="1D02E311" w:rsidR="00153781" w:rsidRPr="007E7CB6" w:rsidRDefault="00153781">
      <w:pPr>
        <w:spacing w:after="240"/>
        <w:ind w:hanging="480"/>
        <w:jc w:val="both"/>
        <w:rPr>
          <w:rFonts w:ascii="Times New Roman" w:eastAsia="Times New Roman" w:hAnsi="Times New Roman" w:cs="Times New Roman"/>
          <w:b/>
          <w:sz w:val="24"/>
          <w:szCs w:val="24"/>
        </w:rPr>
      </w:pPr>
    </w:p>
    <w:p w14:paraId="15147BF2" w14:textId="17CDCDFC" w:rsidR="00153781" w:rsidRPr="007E7CB6" w:rsidRDefault="00153781">
      <w:pPr>
        <w:spacing w:after="240"/>
        <w:ind w:hanging="480"/>
        <w:jc w:val="both"/>
        <w:rPr>
          <w:rFonts w:ascii="Times New Roman" w:eastAsia="Times New Roman" w:hAnsi="Times New Roman" w:cs="Times New Roman"/>
          <w:b/>
          <w:sz w:val="24"/>
          <w:szCs w:val="24"/>
        </w:rPr>
      </w:pPr>
    </w:p>
    <w:p w14:paraId="4DE3B7D9" w14:textId="60B7D110" w:rsidR="00153781" w:rsidRPr="007E7CB6" w:rsidRDefault="00153781">
      <w:pPr>
        <w:spacing w:after="240"/>
        <w:ind w:hanging="480"/>
        <w:jc w:val="both"/>
        <w:rPr>
          <w:rFonts w:ascii="Times New Roman" w:eastAsia="Times New Roman" w:hAnsi="Times New Roman" w:cs="Times New Roman"/>
          <w:b/>
          <w:sz w:val="24"/>
          <w:szCs w:val="24"/>
        </w:rPr>
      </w:pPr>
    </w:p>
    <w:p w14:paraId="3410DDDE"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061C65EB"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0A7E9ACD"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36056751"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085954CA" w14:textId="586C69BE" w:rsidR="00153781" w:rsidRDefault="00153781">
      <w:pPr>
        <w:spacing w:after="240"/>
        <w:ind w:hanging="480"/>
        <w:jc w:val="both"/>
        <w:rPr>
          <w:rFonts w:ascii="Times New Roman" w:eastAsia="Times New Roman" w:hAnsi="Times New Roman" w:cs="Times New Roman"/>
          <w:b/>
          <w:sz w:val="24"/>
          <w:szCs w:val="24"/>
        </w:rPr>
      </w:pPr>
    </w:p>
    <w:p w14:paraId="52219575" w14:textId="545FFB02" w:rsidR="00C716EA" w:rsidRDefault="00C716EA">
      <w:pPr>
        <w:spacing w:after="240"/>
        <w:ind w:hanging="480"/>
        <w:jc w:val="both"/>
        <w:rPr>
          <w:rFonts w:ascii="Times New Roman" w:eastAsia="Times New Roman" w:hAnsi="Times New Roman" w:cs="Times New Roman"/>
          <w:b/>
          <w:sz w:val="24"/>
          <w:szCs w:val="24"/>
        </w:rPr>
      </w:pPr>
    </w:p>
    <w:p w14:paraId="012D63F5" w14:textId="77777777" w:rsidR="00C716EA" w:rsidRPr="007E7CB6" w:rsidRDefault="00C716EA">
      <w:pPr>
        <w:spacing w:after="240"/>
        <w:ind w:hanging="480"/>
        <w:jc w:val="both"/>
        <w:rPr>
          <w:rFonts w:ascii="Times New Roman" w:eastAsia="Times New Roman" w:hAnsi="Times New Roman" w:cs="Times New Roman"/>
          <w:b/>
          <w:sz w:val="24"/>
          <w:szCs w:val="24"/>
        </w:rPr>
      </w:pPr>
    </w:p>
    <w:p w14:paraId="66166BFF" w14:textId="77777777" w:rsidR="00153781" w:rsidRPr="007E7CB6" w:rsidRDefault="00153781">
      <w:pPr>
        <w:spacing w:after="240"/>
        <w:jc w:val="both"/>
        <w:rPr>
          <w:rFonts w:ascii="Times New Roman" w:eastAsia="Times New Roman" w:hAnsi="Times New Roman" w:cs="Times New Roman"/>
          <w:b/>
          <w:sz w:val="24"/>
          <w:szCs w:val="24"/>
        </w:rPr>
      </w:pPr>
    </w:p>
    <w:p w14:paraId="053A12B2" w14:textId="2D69F4AD" w:rsidR="00153781" w:rsidRPr="007E7CB6" w:rsidRDefault="00C716EA" w:rsidP="00C716EA">
      <w:pPr>
        <w:pStyle w:val="Caption"/>
        <w:ind w:hanging="426"/>
        <w:rPr>
          <w:rFonts w:ascii="Times New Roman" w:eastAsia="Times New Roman" w:hAnsi="Times New Roman" w:cs="Times New Roman"/>
          <w:b/>
          <w:color w:val="FFFFFF"/>
          <w:sz w:val="24"/>
          <w:szCs w:val="24"/>
        </w:rPr>
      </w:pPr>
      <w:bookmarkStart w:id="174" w:name="_Toc210649281"/>
      <w:r w:rsidRPr="00C716EA">
        <w:rPr>
          <w:rFonts w:ascii="Times New Roman" w:hAnsi="Times New Roman" w:cs="Times New Roman"/>
          <w:b/>
          <w:bCs/>
          <w:i w:val="0"/>
          <w:iCs w:val="0"/>
          <w:color w:val="000000" w:themeColor="text1"/>
          <w:sz w:val="24"/>
          <w:szCs w:val="24"/>
        </w:rPr>
        <w:lastRenderedPageBreak/>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12</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Multicollinearity Test Results</w:t>
      </w:r>
      <w:bookmarkEnd w:id="174"/>
    </w:p>
    <w:tbl>
      <w:tblPr>
        <w:tblStyle w:val="aff"/>
        <w:tblW w:w="6945" w:type="dxa"/>
        <w:tblInd w:w="-5" w:type="dxa"/>
        <w:tblLayout w:type="fixed"/>
        <w:tblLook w:val="0400" w:firstRow="0" w:lastRow="0" w:firstColumn="0" w:lastColumn="0" w:noHBand="0" w:noVBand="1"/>
      </w:tblPr>
      <w:tblGrid>
        <w:gridCol w:w="425"/>
        <w:gridCol w:w="3452"/>
        <w:gridCol w:w="1312"/>
        <w:gridCol w:w="1756"/>
      </w:tblGrid>
      <w:tr w:rsidR="00153781" w:rsidRPr="007E7CB6" w14:paraId="396B0E46" w14:textId="77777777">
        <w:trPr>
          <w:trHeight w:val="135"/>
        </w:trPr>
        <w:tc>
          <w:tcPr>
            <w:tcW w:w="6945" w:type="dxa"/>
            <w:gridSpan w:val="4"/>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tcPr>
          <w:p w14:paraId="1FEBF03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Coefficients</w:t>
            </w:r>
            <w:r w:rsidRPr="007E7CB6">
              <w:rPr>
                <w:rFonts w:ascii="Times New Roman" w:eastAsia="Times New Roman" w:hAnsi="Times New Roman" w:cs="Times New Roman"/>
                <w:b/>
                <w:color w:val="000000"/>
                <w:sz w:val="14"/>
                <w:szCs w:val="14"/>
                <w:vertAlign w:val="superscript"/>
              </w:rPr>
              <w:t>a</w:t>
            </w:r>
          </w:p>
        </w:tc>
      </w:tr>
      <w:tr w:rsidR="00153781" w:rsidRPr="007E7CB6" w14:paraId="6A8716FA" w14:textId="77777777">
        <w:trPr>
          <w:trHeight w:val="72"/>
        </w:trPr>
        <w:tc>
          <w:tcPr>
            <w:tcW w:w="3877" w:type="dxa"/>
            <w:gridSpan w:val="2"/>
            <w:vMerge w:val="restart"/>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5B0F784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3068" w:type="dxa"/>
            <w:gridSpan w:val="2"/>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tcPr>
          <w:p w14:paraId="7B864EB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Collinearity Statistics</w:t>
            </w:r>
          </w:p>
        </w:tc>
      </w:tr>
      <w:tr w:rsidR="00153781" w:rsidRPr="007E7CB6" w14:paraId="06E01AB1" w14:textId="77777777">
        <w:trPr>
          <w:trHeight w:val="35"/>
        </w:trPr>
        <w:tc>
          <w:tcPr>
            <w:tcW w:w="3877" w:type="dxa"/>
            <w:gridSpan w:val="2"/>
            <w:vMerge/>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5B8953C1"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3E5EF24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6"/>
                <w:szCs w:val="26"/>
              </w:rPr>
              <w:t>Tolerance</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5B81352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VIF</w:t>
            </w:r>
          </w:p>
        </w:tc>
      </w:tr>
      <w:tr w:rsidR="00153781" w:rsidRPr="007E7CB6" w14:paraId="2231DEF7" w14:textId="77777777">
        <w:trPr>
          <w:trHeight w:val="20"/>
        </w:trPr>
        <w:tc>
          <w:tcPr>
            <w:tcW w:w="425" w:type="dxa"/>
            <w:vMerge w:val="restart"/>
            <w:tcBorders>
              <w:top w:val="single" w:sz="4" w:space="0" w:color="152935"/>
              <w:left w:val="single" w:sz="4" w:space="0" w:color="152935"/>
              <w:right w:val="single" w:sz="4" w:space="0" w:color="152935"/>
            </w:tcBorders>
            <w:tcMar>
              <w:top w:w="100" w:type="dxa"/>
              <w:left w:w="100" w:type="dxa"/>
              <w:bottom w:w="100" w:type="dxa"/>
              <w:right w:w="100" w:type="dxa"/>
            </w:tcMar>
          </w:tcPr>
          <w:p w14:paraId="5E6CBAC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0C45A91A"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Green Accounting</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6775114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0.804</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1123B70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1.244</w:t>
            </w:r>
          </w:p>
        </w:tc>
      </w:tr>
      <w:tr w:rsidR="00153781" w:rsidRPr="007E7CB6" w14:paraId="46F785D1"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6E43658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2A9A9D92"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Carbon Emission Disclosure</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089BC66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0.749</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5B181C0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1.355</w:t>
            </w:r>
          </w:p>
        </w:tc>
      </w:tr>
      <w:tr w:rsidR="00153781" w:rsidRPr="007E7CB6" w14:paraId="11BEA540"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20D57DE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394B5AF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i/>
                <w:color w:val="000000"/>
                <w:sz w:val="24"/>
                <w:szCs w:val="24"/>
              </w:rPr>
              <w:t>Green Capital Structure</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1AEC6B2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0.802</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7AD67E7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1.248</w:t>
            </w:r>
          </w:p>
        </w:tc>
      </w:tr>
      <w:tr w:rsidR="00153781" w:rsidRPr="007E7CB6" w14:paraId="32FF4A40" w14:textId="77777777">
        <w:trPr>
          <w:trHeight w:val="20"/>
        </w:trPr>
        <w:tc>
          <w:tcPr>
            <w:tcW w:w="425" w:type="dxa"/>
            <w:vMerge/>
            <w:tcBorders>
              <w:top w:val="single" w:sz="4" w:space="0" w:color="152935"/>
              <w:left w:val="single" w:sz="4" w:space="0" w:color="152935"/>
              <w:right w:val="single" w:sz="4" w:space="0" w:color="152935"/>
            </w:tcBorders>
            <w:tcMar>
              <w:top w:w="100" w:type="dxa"/>
              <w:left w:w="100" w:type="dxa"/>
              <w:bottom w:w="100" w:type="dxa"/>
              <w:right w:w="100" w:type="dxa"/>
            </w:tcMar>
          </w:tcPr>
          <w:p w14:paraId="59D6523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3452" w:type="dxa"/>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0E1C7973"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sidRPr="007E7CB6">
              <w:rPr>
                <w:rFonts w:ascii="Times New Roman" w:eastAsia="Times New Roman" w:hAnsi="Times New Roman" w:cs="Times New Roman"/>
                <w:i/>
                <w:color w:val="000000"/>
                <w:sz w:val="24"/>
                <w:szCs w:val="24"/>
              </w:rPr>
              <w:t>Green Intellectual Capital</w:t>
            </w:r>
          </w:p>
        </w:tc>
        <w:tc>
          <w:tcPr>
            <w:tcW w:w="1312"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756BDB1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0.759</w:t>
            </w:r>
          </w:p>
        </w:tc>
        <w:tc>
          <w:tcPr>
            <w:tcW w:w="1756" w:type="dxa"/>
            <w:tcBorders>
              <w:top w:val="single" w:sz="4" w:space="0" w:color="152935"/>
              <w:left w:val="single" w:sz="4" w:space="0" w:color="152935"/>
              <w:bottom w:val="single" w:sz="4" w:space="0" w:color="152935"/>
              <w:right w:val="single" w:sz="4" w:space="0" w:color="152935"/>
            </w:tcBorders>
            <w:shd w:val="clear" w:color="auto" w:fill="FFFFFF"/>
            <w:tcMar>
              <w:top w:w="0" w:type="dxa"/>
              <w:left w:w="100" w:type="dxa"/>
              <w:bottom w:w="0" w:type="dxa"/>
              <w:right w:w="100" w:type="dxa"/>
            </w:tcMar>
            <w:vAlign w:val="center"/>
          </w:tcPr>
          <w:p w14:paraId="45C1B31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1.318</w:t>
            </w:r>
          </w:p>
        </w:tc>
      </w:tr>
      <w:tr w:rsidR="00153781" w:rsidRPr="007E7CB6" w14:paraId="7E392BBE" w14:textId="77777777">
        <w:trPr>
          <w:trHeight w:val="20"/>
        </w:trPr>
        <w:tc>
          <w:tcPr>
            <w:tcW w:w="6945" w:type="dxa"/>
            <w:gridSpan w:val="4"/>
            <w:tcBorders>
              <w:top w:val="single" w:sz="4" w:space="0" w:color="152935"/>
              <w:left w:val="single" w:sz="4" w:space="0" w:color="152935"/>
              <w:bottom w:val="single" w:sz="4" w:space="0" w:color="152935"/>
              <w:right w:val="single" w:sz="4" w:space="0" w:color="152935"/>
            </w:tcBorders>
            <w:tcMar>
              <w:top w:w="100" w:type="dxa"/>
              <w:left w:w="100" w:type="dxa"/>
              <w:bottom w:w="100" w:type="dxa"/>
              <w:right w:w="100" w:type="dxa"/>
            </w:tcMar>
            <w:vAlign w:val="center"/>
          </w:tcPr>
          <w:p w14:paraId="06D04023"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bl>
    <w:p w14:paraId="72501E98" w14:textId="01BE3457" w:rsidR="00153781" w:rsidRDefault="00153781" w:rsidP="00C716EA">
      <w:pPr>
        <w:spacing w:line="240" w:lineRule="auto"/>
        <w:ind w:hanging="480"/>
        <w:jc w:val="both"/>
        <w:rPr>
          <w:rFonts w:ascii="Times New Roman" w:eastAsia="Times New Roman" w:hAnsi="Times New Roman" w:cs="Times New Roman"/>
          <w:b/>
          <w:sz w:val="24"/>
          <w:szCs w:val="24"/>
        </w:rPr>
      </w:pPr>
    </w:p>
    <w:p w14:paraId="54237610" w14:textId="77777777" w:rsidR="00C716EA" w:rsidRDefault="00C716EA" w:rsidP="00C716EA">
      <w:pPr>
        <w:spacing w:line="240" w:lineRule="auto"/>
        <w:ind w:hanging="480"/>
        <w:jc w:val="both"/>
        <w:rPr>
          <w:rFonts w:ascii="Times New Roman" w:eastAsia="Times New Roman" w:hAnsi="Times New Roman" w:cs="Times New Roman"/>
          <w:b/>
          <w:sz w:val="24"/>
          <w:szCs w:val="24"/>
        </w:rPr>
      </w:pPr>
    </w:p>
    <w:p w14:paraId="587B000F" w14:textId="77777777" w:rsidR="00C716EA" w:rsidRDefault="00C716EA" w:rsidP="00C716EA">
      <w:pPr>
        <w:spacing w:line="240" w:lineRule="auto"/>
        <w:ind w:hanging="480"/>
        <w:jc w:val="both"/>
        <w:rPr>
          <w:rFonts w:ascii="Times New Roman" w:eastAsia="Times New Roman" w:hAnsi="Times New Roman" w:cs="Times New Roman"/>
          <w:b/>
          <w:sz w:val="24"/>
          <w:szCs w:val="24"/>
        </w:rPr>
      </w:pPr>
    </w:p>
    <w:p w14:paraId="533111DE" w14:textId="04DD8BFB" w:rsidR="00C716EA" w:rsidRPr="00C716EA" w:rsidRDefault="00C716EA" w:rsidP="00C716EA">
      <w:pPr>
        <w:pStyle w:val="Caption"/>
        <w:ind w:hanging="426"/>
        <w:rPr>
          <w:rFonts w:ascii="Times New Roman" w:eastAsia="Times New Roman" w:hAnsi="Times New Roman" w:cs="Times New Roman"/>
          <w:b/>
          <w:bCs/>
          <w:i w:val="0"/>
          <w:iCs w:val="0"/>
          <w:color w:val="000000" w:themeColor="text1"/>
          <w:sz w:val="36"/>
          <w:szCs w:val="36"/>
        </w:rPr>
      </w:pPr>
      <w:bookmarkStart w:id="175" w:name="_Toc210649282"/>
      <w:r w:rsidRPr="007E7CB6">
        <w:rPr>
          <w:rFonts w:ascii="Times New Roman" w:eastAsia="Times New Roman" w:hAnsi="Times New Roman" w:cs="Times New Roman"/>
          <w:i w:val="0"/>
          <w:noProof/>
          <w:color w:val="1F497D"/>
          <w:sz w:val="24"/>
          <w:szCs w:val="24"/>
        </w:rPr>
        <w:drawing>
          <wp:anchor distT="0" distB="0" distL="114300" distR="114300" simplePos="0" relativeHeight="251723776" behindDoc="0" locked="0" layoutInCell="1" hidden="0" allowOverlap="1" wp14:anchorId="7A4C8531" wp14:editId="4CEEA03C">
            <wp:simplePos x="0" y="0"/>
            <wp:positionH relativeFrom="margin">
              <wp:posOffset>-8890</wp:posOffset>
            </wp:positionH>
            <wp:positionV relativeFrom="margin">
              <wp:posOffset>3613785</wp:posOffset>
            </wp:positionV>
            <wp:extent cx="4934585" cy="2900045"/>
            <wp:effectExtent l="0" t="0" r="0" b="0"/>
            <wp:wrapSquare wrapText="bothSides" distT="0" distB="0" distL="114300" distR="114300"/>
            <wp:docPr id="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4934585" cy="2900045"/>
                    </a:xfrm>
                    <a:prstGeom prst="rect">
                      <a:avLst/>
                    </a:prstGeom>
                    <a:ln/>
                  </pic:spPr>
                </pic:pic>
              </a:graphicData>
            </a:graphic>
          </wp:anchor>
        </w:drawing>
      </w:r>
      <w:r w:rsidRPr="00C716EA">
        <w:rPr>
          <w:rFonts w:ascii="Times New Roman" w:hAnsi="Times New Roman" w:cs="Times New Roman"/>
          <w:b/>
          <w:bCs/>
          <w:i w:val="0"/>
          <w:iCs w:val="0"/>
          <w:color w:val="000000" w:themeColor="text1"/>
          <w:sz w:val="24"/>
          <w:szCs w:val="24"/>
        </w:rPr>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13</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Heteroskedasticity Test Results</w:t>
      </w:r>
      <w:bookmarkEnd w:id="175"/>
    </w:p>
    <w:p w14:paraId="0ED1FBCA" w14:textId="17A2287F" w:rsidR="00C716EA" w:rsidRPr="00C716EA" w:rsidRDefault="00C716EA" w:rsidP="00C716EA">
      <w:pPr>
        <w:spacing w:line="240" w:lineRule="auto"/>
        <w:ind w:hanging="480"/>
        <w:jc w:val="both"/>
        <w:rPr>
          <w:rFonts w:ascii="Times New Roman" w:eastAsia="Times New Roman" w:hAnsi="Times New Roman" w:cs="Times New Roman"/>
          <w:b/>
          <w:sz w:val="24"/>
          <w:szCs w:val="24"/>
        </w:rPr>
      </w:pPr>
    </w:p>
    <w:p w14:paraId="06B28FC1" w14:textId="1A22F710" w:rsidR="00153781" w:rsidRPr="00C716EA" w:rsidRDefault="00153781">
      <w:pPr>
        <w:spacing w:line="480" w:lineRule="auto"/>
        <w:ind w:hanging="480"/>
        <w:jc w:val="both"/>
        <w:rPr>
          <w:rFonts w:ascii="Times New Roman" w:eastAsia="Times New Roman" w:hAnsi="Times New Roman" w:cs="Times New Roman"/>
          <w:b/>
          <w:sz w:val="24"/>
          <w:szCs w:val="24"/>
        </w:rPr>
      </w:pPr>
    </w:p>
    <w:p w14:paraId="0B418D33" w14:textId="123A8CCD" w:rsidR="00153781" w:rsidRPr="007E7CB6" w:rsidRDefault="00153781" w:rsidP="00C716EA">
      <w:pPr>
        <w:pBdr>
          <w:top w:val="nil"/>
          <w:left w:val="nil"/>
          <w:bottom w:val="nil"/>
          <w:right w:val="nil"/>
          <w:between w:val="nil"/>
        </w:pBdr>
        <w:tabs>
          <w:tab w:val="left" w:pos="142"/>
        </w:tabs>
        <w:spacing w:after="200" w:line="240" w:lineRule="auto"/>
        <w:rPr>
          <w:rFonts w:ascii="Times New Roman" w:eastAsia="Times New Roman" w:hAnsi="Times New Roman" w:cs="Times New Roman"/>
          <w:b/>
          <w:color w:val="000000"/>
          <w:sz w:val="24"/>
          <w:szCs w:val="24"/>
        </w:rPr>
      </w:pPr>
    </w:p>
    <w:p w14:paraId="6CD285D6" w14:textId="5A7FF552" w:rsidR="00153781" w:rsidRPr="007E7CB6" w:rsidRDefault="00153781">
      <w:pPr>
        <w:spacing w:after="240"/>
        <w:ind w:hanging="480"/>
        <w:jc w:val="both"/>
        <w:rPr>
          <w:rFonts w:ascii="Times New Roman" w:eastAsia="Times New Roman" w:hAnsi="Times New Roman" w:cs="Times New Roman"/>
          <w:b/>
          <w:sz w:val="24"/>
          <w:szCs w:val="24"/>
        </w:rPr>
      </w:pPr>
    </w:p>
    <w:p w14:paraId="7BDD276C" w14:textId="77777777" w:rsidR="00153781" w:rsidRPr="007E7CB6" w:rsidRDefault="00153781">
      <w:pPr>
        <w:spacing w:after="240"/>
        <w:jc w:val="both"/>
        <w:rPr>
          <w:rFonts w:ascii="Times New Roman" w:eastAsia="Times New Roman" w:hAnsi="Times New Roman" w:cs="Times New Roman"/>
          <w:b/>
          <w:sz w:val="52"/>
          <w:szCs w:val="52"/>
        </w:rPr>
      </w:pPr>
    </w:p>
    <w:p w14:paraId="6E3E4E12" w14:textId="432892E0" w:rsidR="00153781" w:rsidRPr="00C716EA" w:rsidRDefault="00C716EA" w:rsidP="00C716EA">
      <w:pPr>
        <w:pStyle w:val="Caption"/>
        <w:ind w:hanging="426"/>
        <w:rPr>
          <w:rFonts w:ascii="Times New Roman" w:eastAsia="Times New Roman" w:hAnsi="Times New Roman" w:cs="Times New Roman"/>
          <w:b/>
          <w:bCs/>
          <w:i w:val="0"/>
          <w:iCs w:val="0"/>
          <w:color w:val="000000" w:themeColor="text1"/>
          <w:sz w:val="36"/>
          <w:szCs w:val="36"/>
        </w:rPr>
      </w:pPr>
      <w:bookmarkStart w:id="176" w:name="_Toc210649283"/>
      <w:r w:rsidRPr="00C716EA">
        <w:rPr>
          <w:rFonts w:ascii="Times New Roman" w:hAnsi="Times New Roman" w:cs="Times New Roman"/>
          <w:b/>
          <w:bCs/>
          <w:i w:val="0"/>
          <w:iCs w:val="0"/>
          <w:color w:val="000000" w:themeColor="text1"/>
          <w:sz w:val="24"/>
          <w:szCs w:val="24"/>
        </w:rPr>
        <w:lastRenderedPageBreak/>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14</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Autocorrelation Test Results</w:t>
      </w:r>
      <w:bookmarkEnd w:id="176"/>
    </w:p>
    <w:tbl>
      <w:tblPr>
        <w:tblStyle w:val="aff0"/>
        <w:tblW w:w="7240" w:type="dxa"/>
        <w:tblInd w:w="-5" w:type="dxa"/>
        <w:tblLayout w:type="fixed"/>
        <w:tblLook w:val="0400" w:firstRow="0" w:lastRow="0" w:firstColumn="0" w:lastColumn="0" w:noHBand="0" w:noVBand="1"/>
      </w:tblPr>
      <w:tblGrid>
        <w:gridCol w:w="1353"/>
        <w:gridCol w:w="780"/>
        <w:gridCol w:w="1004"/>
        <w:gridCol w:w="1441"/>
        <w:gridCol w:w="1635"/>
        <w:gridCol w:w="1027"/>
      </w:tblGrid>
      <w:tr w:rsidR="00153781" w:rsidRPr="007E7CB6" w14:paraId="03C1BEAC" w14:textId="77777777">
        <w:trPr>
          <w:trHeight w:val="601"/>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74601D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 Summary</w:t>
            </w:r>
            <w:r w:rsidRPr="007E7CB6">
              <w:rPr>
                <w:rFonts w:ascii="Times New Roman" w:eastAsia="Times New Roman" w:hAnsi="Times New Roman" w:cs="Times New Roman"/>
                <w:b/>
                <w:color w:val="000000"/>
                <w:sz w:val="14"/>
                <w:szCs w:val="14"/>
                <w:vertAlign w:val="superscript"/>
              </w:rPr>
              <w:t>b</w:t>
            </w:r>
          </w:p>
        </w:tc>
      </w:tr>
      <w:tr w:rsidR="00153781" w:rsidRPr="007E7CB6" w14:paraId="228AD383" w14:textId="77777777">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ABC81FC" w14:textId="77777777" w:rsidR="00153781" w:rsidRPr="007E7CB6" w:rsidRDefault="00000000">
            <w:pPr>
              <w:pBdr>
                <w:top w:val="nil"/>
                <w:left w:val="nil"/>
                <w:bottom w:val="nil"/>
                <w:right w:val="nil"/>
                <w:between w:val="nil"/>
              </w:pBdr>
              <w:spacing w:after="160"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Model</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CD36E8B" w14:textId="77777777" w:rsidR="00153781" w:rsidRPr="007E7CB6" w:rsidRDefault="00000000">
            <w:pPr>
              <w:pBdr>
                <w:top w:val="nil"/>
                <w:left w:val="nil"/>
                <w:bottom w:val="nil"/>
                <w:right w:val="nil"/>
                <w:between w:val="nil"/>
              </w:pBdr>
              <w:spacing w:after="160"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R</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644CE13" w14:textId="77777777" w:rsidR="00153781" w:rsidRPr="007E7CB6" w:rsidRDefault="00000000">
            <w:pPr>
              <w:pBdr>
                <w:top w:val="nil"/>
                <w:left w:val="nil"/>
                <w:bottom w:val="nil"/>
                <w:right w:val="nil"/>
                <w:between w:val="nil"/>
              </w:pBdr>
              <w:spacing w:after="160"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R Square</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8A260E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Adjusted R Square</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86B778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 of the Estimate</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DD4223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Durbin-</w:t>
            </w:r>
          </w:p>
          <w:p w14:paraId="0E31AB7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Watson</w:t>
            </w:r>
          </w:p>
        </w:tc>
      </w:tr>
      <w:tr w:rsidR="00153781" w:rsidRPr="007E7CB6" w14:paraId="424293D7" w14:textId="77777777">
        <w:trPr>
          <w:trHeight w:val="580"/>
        </w:trPr>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2E10AA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1</w:t>
            </w:r>
          </w:p>
        </w:tc>
        <w:tc>
          <w:tcPr>
            <w:tcW w:w="7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E6370A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0.846</w:t>
            </w:r>
            <w:r w:rsidRPr="007E7CB6">
              <w:rPr>
                <w:rFonts w:ascii="Times New Roman" w:eastAsia="Times New Roman" w:hAnsi="Times New Roman" w:cs="Times New Roman"/>
                <w:color w:val="000000"/>
                <w:sz w:val="14"/>
                <w:szCs w:val="14"/>
                <w:vertAlign w:val="superscript"/>
              </w:rPr>
              <w:t>a</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7E4ABE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0.716</w:t>
            </w:r>
          </w:p>
        </w:tc>
        <w:tc>
          <w:tcPr>
            <w:tcW w:w="14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AA3877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0.691</w:t>
            </w:r>
          </w:p>
        </w:tc>
        <w:tc>
          <w:tcPr>
            <w:tcW w:w="16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6E90FC8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0.09162</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B34C3A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1.655</w:t>
            </w:r>
          </w:p>
        </w:tc>
      </w:tr>
      <w:tr w:rsidR="00153781" w:rsidRPr="007E7CB6" w14:paraId="06C2B7FE" w14:textId="77777777">
        <w:trPr>
          <w:trHeight w:val="669"/>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F2E8576"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sidRPr="007E7CB6">
              <w:rPr>
                <w:rFonts w:ascii="Times New Roman" w:eastAsia="Times New Roman" w:hAnsi="Times New Roman" w:cs="Times New Roman"/>
                <w:color w:val="000000"/>
                <w:sz w:val="24"/>
                <w:szCs w:val="24"/>
              </w:rPr>
              <w:t xml:space="preserve">a. Predictors: (Constant), </w:t>
            </w:r>
            <w:r w:rsidRPr="007E7CB6">
              <w:rPr>
                <w:rFonts w:ascii="Times New Roman" w:eastAsia="Times New Roman" w:hAnsi="Times New Roman" w:cs="Times New Roman"/>
                <w:i/>
                <w:color w:val="000000"/>
                <w:sz w:val="24"/>
                <w:szCs w:val="24"/>
              </w:rPr>
              <w:t>Green Intellectual Capital, Green Accounting, Carbon Emission disclosure, Green Capital Structure</w:t>
            </w:r>
          </w:p>
        </w:tc>
      </w:tr>
      <w:tr w:rsidR="00153781" w:rsidRPr="007E7CB6" w14:paraId="1ED0FA31" w14:textId="77777777">
        <w:trPr>
          <w:trHeight w:val="409"/>
        </w:trPr>
        <w:tc>
          <w:tcPr>
            <w:tcW w:w="724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719409F"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b. Dependent Variable: </w:t>
            </w:r>
            <w:r w:rsidRPr="007E7CB6">
              <w:rPr>
                <w:rFonts w:ascii="Times New Roman" w:eastAsia="Times New Roman" w:hAnsi="Times New Roman" w:cs="Times New Roman"/>
                <w:i/>
                <w:color w:val="000000"/>
                <w:sz w:val="24"/>
                <w:szCs w:val="24"/>
              </w:rPr>
              <w:t>Firm Value</w:t>
            </w:r>
          </w:p>
        </w:tc>
      </w:tr>
    </w:tbl>
    <w:p w14:paraId="521AE8F7" w14:textId="731B9E9C" w:rsidR="00153781" w:rsidRDefault="00153781" w:rsidP="00C716EA">
      <w:pPr>
        <w:pBdr>
          <w:top w:val="nil"/>
          <w:left w:val="nil"/>
          <w:bottom w:val="nil"/>
          <w:right w:val="nil"/>
          <w:between w:val="nil"/>
        </w:pBdr>
        <w:spacing w:line="240" w:lineRule="auto"/>
        <w:ind w:hanging="426"/>
        <w:rPr>
          <w:rFonts w:ascii="Times New Roman" w:eastAsia="Times New Roman" w:hAnsi="Times New Roman" w:cs="Times New Roman"/>
          <w:b/>
          <w:color w:val="000000"/>
          <w:sz w:val="24"/>
          <w:szCs w:val="24"/>
        </w:rPr>
      </w:pPr>
    </w:p>
    <w:p w14:paraId="04274CB9" w14:textId="72B6FC3F" w:rsidR="00C716EA" w:rsidRPr="00C716EA" w:rsidRDefault="00C716EA" w:rsidP="002D12C3">
      <w:pPr>
        <w:pBdr>
          <w:top w:val="nil"/>
          <w:left w:val="nil"/>
          <w:bottom w:val="nil"/>
          <w:right w:val="nil"/>
          <w:between w:val="nil"/>
        </w:pBdr>
        <w:spacing w:line="240" w:lineRule="auto"/>
        <w:rPr>
          <w:rFonts w:ascii="Times New Roman" w:eastAsia="Times New Roman" w:hAnsi="Times New Roman" w:cs="Times New Roman"/>
          <w:b/>
          <w:bCs/>
          <w:color w:val="000000" w:themeColor="text1"/>
          <w:sz w:val="36"/>
          <w:szCs w:val="36"/>
        </w:rPr>
      </w:pPr>
    </w:p>
    <w:p w14:paraId="6D682A4A" w14:textId="088CD0EE" w:rsidR="00153781" w:rsidRPr="002D12C3" w:rsidRDefault="00C716EA" w:rsidP="002D12C3">
      <w:pPr>
        <w:pStyle w:val="Caption"/>
        <w:ind w:hanging="426"/>
        <w:rPr>
          <w:rFonts w:ascii="Times New Roman" w:eastAsia="Times New Roman" w:hAnsi="Times New Roman" w:cs="Times New Roman"/>
          <w:b/>
          <w:bCs/>
          <w:i w:val="0"/>
          <w:iCs w:val="0"/>
          <w:color w:val="000000" w:themeColor="text1"/>
          <w:sz w:val="36"/>
          <w:szCs w:val="36"/>
        </w:rPr>
      </w:pPr>
      <w:bookmarkStart w:id="177" w:name="_Toc210649284"/>
      <w:r w:rsidRPr="00C716EA">
        <w:rPr>
          <w:rFonts w:ascii="Times New Roman" w:hAnsi="Times New Roman" w:cs="Times New Roman"/>
          <w:b/>
          <w:bCs/>
          <w:i w:val="0"/>
          <w:iCs w:val="0"/>
          <w:color w:val="000000" w:themeColor="text1"/>
          <w:sz w:val="24"/>
          <w:szCs w:val="24"/>
        </w:rPr>
        <w:t xml:space="preserve">Appendix </w:t>
      </w:r>
      <w:r w:rsidRPr="00C716EA">
        <w:rPr>
          <w:rFonts w:ascii="Times New Roman" w:hAnsi="Times New Roman" w:cs="Times New Roman"/>
          <w:b/>
          <w:bCs/>
          <w:i w:val="0"/>
          <w:iCs w:val="0"/>
          <w:color w:val="000000" w:themeColor="text1"/>
          <w:sz w:val="24"/>
          <w:szCs w:val="24"/>
        </w:rPr>
        <w:fldChar w:fldCharType="begin"/>
      </w:r>
      <w:r w:rsidRPr="00C716EA">
        <w:rPr>
          <w:rFonts w:ascii="Times New Roman" w:hAnsi="Times New Roman" w:cs="Times New Roman"/>
          <w:b/>
          <w:bCs/>
          <w:i w:val="0"/>
          <w:iCs w:val="0"/>
          <w:color w:val="000000" w:themeColor="text1"/>
          <w:sz w:val="24"/>
          <w:szCs w:val="24"/>
        </w:rPr>
        <w:instrText xml:space="preserve"> SEQ Appendix \* ARABIC </w:instrText>
      </w:r>
      <w:r w:rsidRPr="00C716EA">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15</w:t>
      </w:r>
      <w:r w:rsidRPr="00C716EA">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2D12C3">
        <w:rPr>
          <w:rFonts w:ascii="Times New Roman" w:hAnsi="Times New Roman" w:cs="Times New Roman"/>
          <w:b/>
          <w:bCs/>
          <w:i w:val="0"/>
          <w:iCs w:val="0"/>
          <w:color w:val="000000" w:themeColor="text1"/>
          <w:sz w:val="24"/>
          <w:szCs w:val="24"/>
        </w:rPr>
        <w:t>F Test Results (Model Feasibility)</w:t>
      </w:r>
      <w:bookmarkEnd w:id="177"/>
    </w:p>
    <w:tbl>
      <w:tblPr>
        <w:tblStyle w:val="aff1"/>
        <w:tblW w:w="7446" w:type="dxa"/>
        <w:tblLayout w:type="fixed"/>
        <w:tblLook w:val="0400" w:firstRow="0" w:lastRow="0" w:firstColumn="0" w:lastColumn="0" w:noHBand="0" w:noVBand="1"/>
      </w:tblPr>
      <w:tblGrid>
        <w:gridCol w:w="376"/>
        <w:gridCol w:w="1496"/>
        <w:gridCol w:w="1552"/>
        <w:gridCol w:w="536"/>
        <w:gridCol w:w="1382"/>
        <w:gridCol w:w="1016"/>
        <w:gridCol w:w="1088"/>
      </w:tblGrid>
      <w:tr w:rsidR="00153781" w:rsidRPr="007E7CB6" w14:paraId="2598E5B2" w14:textId="77777777">
        <w:trPr>
          <w:trHeight w:val="420"/>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02B3B9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ANOVA</w:t>
            </w:r>
            <w:r w:rsidRPr="007E7CB6">
              <w:rPr>
                <w:rFonts w:ascii="Times New Roman" w:eastAsia="Times New Roman" w:hAnsi="Times New Roman" w:cs="Times New Roman"/>
                <w:b/>
                <w:color w:val="000000"/>
                <w:sz w:val="14"/>
                <w:szCs w:val="14"/>
                <w:vertAlign w:val="superscript"/>
              </w:rPr>
              <w:t>a</w:t>
            </w:r>
          </w:p>
        </w:tc>
      </w:tr>
      <w:tr w:rsidR="00153781" w:rsidRPr="007E7CB6" w14:paraId="61D53335" w14:textId="77777777">
        <w:trPr>
          <w:trHeight w:val="20"/>
        </w:trPr>
        <w:tc>
          <w:tcPr>
            <w:tcW w:w="1873"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B0A41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15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4230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Sum of Squares</w:t>
            </w:r>
          </w:p>
        </w:tc>
        <w:tc>
          <w:tcPr>
            <w:tcW w:w="5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10BC8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Df</w:t>
            </w:r>
          </w:p>
        </w:tc>
        <w:tc>
          <w:tcPr>
            <w:tcW w:w="138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E547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Mean Square</w:t>
            </w:r>
          </w:p>
        </w:tc>
        <w:tc>
          <w:tcPr>
            <w:tcW w:w="10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19B8B5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F</w:t>
            </w:r>
          </w:p>
        </w:tc>
        <w:tc>
          <w:tcPr>
            <w:tcW w:w="10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3D32D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1649B83D" w14:textId="77777777">
        <w:trPr>
          <w:trHeight w:val="20"/>
        </w:trPr>
        <w:tc>
          <w:tcPr>
            <w:tcW w:w="377"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A59C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4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F44712"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Regression</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257547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1.078</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B4FDAF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w:t>
            </w:r>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18FA34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0.269</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E7880B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25.567</w:t>
            </w:r>
          </w:p>
        </w:tc>
        <w:tc>
          <w:tcPr>
            <w:tcW w:w="1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FEF9C3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&lt;0.001</w:t>
            </w:r>
            <w:r w:rsidRPr="007E7CB6">
              <w:rPr>
                <w:rFonts w:ascii="Times New Roman" w:eastAsia="Times New Roman" w:hAnsi="Times New Roman" w:cs="Times New Roman"/>
                <w:color w:val="000000"/>
                <w:sz w:val="14"/>
                <w:szCs w:val="14"/>
                <w:vertAlign w:val="superscript"/>
              </w:rPr>
              <w:t>b</w:t>
            </w:r>
          </w:p>
        </w:tc>
      </w:tr>
      <w:tr w:rsidR="00153781" w:rsidRPr="007E7CB6" w14:paraId="48C13C03" w14:textId="77777777">
        <w:trPr>
          <w:trHeight w:val="20"/>
        </w:trPr>
        <w:tc>
          <w:tcPr>
            <w:tcW w:w="37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DBB1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4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F9E19"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Residual</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311142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0.622</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13DF0C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59</w:t>
            </w:r>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04BFF3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0.011</w:t>
            </w: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E8B3F97" w14:textId="77777777" w:rsidR="00153781" w:rsidRPr="007E7CB6" w:rsidRDefault="00153781">
            <w:pPr>
              <w:rPr>
                <w:rFonts w:ascii="Times New Roman" w:hAnsi="Times New Roman" w:cs="Times New Roman"/>
              </w:rPr>
            </w:pPr>
          </w:p>
        </w:tc>
        <w:tc>
          <w:tcPr>
            <w:tcW w:w="1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F1376CC" w14:textId="77777777" w:rsidR="00153781" w:rsidRPr="007E7CB6" w:rsidRDefault="00153781">
            <w:pPr>
              <w:rPr>
                <w:rFonts w:ascii="Times New Roman" w:hAnsi="Times New Roman" w:cs="Times New Roman"/>
              </w:rPr>
            </w:pPr>
          </w:p>
        </w:tc>
      </w:tr>
      <w:tr w:rsidR="00153781" w:rsidRPr="007E7CB6" w14:paraId="1EC9DA60" w14:textId="77777777">
        <w:trPr>
          <w:trHeight w:val="20"/>
        </w:trPr>
        <w:tc>
          <w:tcPr>
            <w:tcW w:w="377"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281901" w14:textId="77777777" w:rsidR="00153781" w:rsidRPr="007E7CB6" w:rsidRDefault="00153781">
            <w:pPr>
              <w:widowControl w:val="0"/>
              <w:pBdr>
                <w:top w:val="nil"/>
                <w:left w:val="nil"/>
                <w:bottom w:val="nil"/>
                <w:right w:val="nil"/>
                <w:between w:val="nil"/>
              </w:pBdr>
              <w:rPr>
                <w:rFonts w:ascii="Times New Roman" w:hAnsi="Times New Roman" w:cs="Times New Roman"/>
              </w:rPr>
            </w:pPr>
          </w:p>
        </w:tc>
        <w:tc>
          <w:tcPr>
            <w:tcW w:w="14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41400"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Total</w:t>
            </w:r>
          </w:p>
        </w:tc>
        <w:tc>
          <w:tcPr>
            <w:tcW w:w="1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5903FA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1.699</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9E5F89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63</w:t>
            </w:r>
          </w:p>
        </w:tc>
        <w:tc>
          <w:tcPr>
            <w:tcW w:w="1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67F021E" w14:textId="77777777" w:rsidR="00153781" w:rsidRPr="007E7CB6" w:rsidRDefault="00153781">
            <w:pPr>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180E82D" w14:textId="77777777" w:rsidR="00153781" w:rsidRPr="007E7CB6" w:rsidRDefault="00153781">
            <w:pPr>
              <w:rPr>
                <w:rFonts w:ascii="Times New Roman" w:hAnsi="Times New Roman" w:cs="Times New Roman"/>
              </w:rPr>
            </w:pPr>
          </w:p>
        </w:tc>
        <w:tc>
          <w:tcPr>
            <w:tcW w:w="10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957F7CA" w14:textId="77777777" w:rsidR="00153781" w:rsidRPr="007E7CB6" w:rsidRDefault="00153781">
            <w:pPr>
              <w:rPr>
                <w:rFonts w:ascii="Times New Roman" w:hAnsi="Times New Roman" w:cs="Times New Roman"/>
              </w:rPr>
            </w:pPr>
          </w:p>
        </w:tc>
      </w:tr>
      <w:tr w:rsidR="00153781" w:rsidRPr="007E7CB6" w14:paraId="5280CC69" w14:textId="77777777">
        <w:trPr>
          <w:trHeight w:val="47"/>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B4E1F"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r w:rsidR="00153781" w:rsidRPr="007E7CB6" w14:paraId="42CE14F9" w14:textId="77777777">
        <w:trPr>
          <w:trHeight w:val="20"/>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EA71F"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b. Predictors: (Constant), </w:t>
            </w:r>
            <w:r w:rsidRPr="007E7CB6">
              <w:rPr>
                <w:rFonts w:ascii="Times New Roman" w:eastAsia="Times New Roman" w:hAnsi="Times New Roman" w:cs="Times New Roman"/>
                <w:i/>
                <w:color w:val="000000"/>
                <w:sz w:val="24"/>
                <w:szCs w:val="24"/>
              </w:rPr>
              <w:t>Green Intellectual Capital, Green Accounting, Carbon Emission Disclosure, Green Capital Structure</w:t>
            </w:r>
          </w:p>
        </w:tc>
      </w:tr>
    </w:tbl>
    <w:p w14:paraId="77075D96" w14:textId="17CAA5A0" w:rsidR="00153781" w:rsidRDefault="00153781" w:rsidP="002D12C3">
      <w:pPr>
        <w:spacing w:line="240" w:lineRule="auto"/>
        <w:jc w:val="both"/>
        <w:rPr>
          <w:rFonts w:ascii="Times New Roman" w:eastAsia="Times New Roman" w:hAnsi="Times New Roman" w:cs="Times New Roman"/>
          <w:b/>
          <w:sz w:val="24"/>
          <w:szCs w:val="24"/>
        </w:rPr>
      </w:pPr>
    </w:p>
    <w:p w14:paraId="5440AFC2" w14:textId="50A38E00" w:rsidR="002D12C3" w:rsidRDefault="002D12C3" w:rsidP="002D12C3">
      <w:pPr>
        <w:spacing w:line="240" w:lineRule="auto"/>
        <w:jc w:val="both"/>
        <w:rPr>
          <w:rFonts w:ascii="Times New Roman" w:eastAsia="Times New Roman" w:hAnsi="Times New Roman" w:cs="Times New Roman"/>
          <w:b/>
          <w:sz w:val="24"/>
          <w:szCs w:val="24"/>
        </w:rPr>
      </w:pPr>
    </w:p>
    <w:p w14:paraId="709E281E" w14:textId="271A4294" w:rsidR="00153781" w:rsidRPr="002D12C3" w:rsidRDefault="002D12C3" w:rsidP="002D12C3">
      <w:pPr>
        <w:pStyle w:val="Caption"/>
        <w:ind w:hanging="426"/>
        <w:rPr>
          <w:rFonts w:ascii="Times New Roman" w:eastAsia="Times New Roman" w:hAnsi="Times New Roman" w:cs="Times New Roman"/>
          <w:b/>
          <w:bCs/>
          <w:i w:val="0"/>
          <w:iCs w:val="0"/>
          <w:color w:val="000000" w:themeColor="text1"/>
          <w:sz w:val="36"/>
          <w:szCs w:val="36"/>
        </w:rPr>
      </w:pPr>
      <w:bookmarkStart w:id="178" w:name="_Toc210649285"/>
      <w:r w:rsidRPr="002D12C3">
        <w:rPr>
          <w:rFonts w:ascii="Times New Roman" w:hAnsi="Times New Roman" w:cs="Times New Roman"/>
          <w:b/>
          <w:bCs/>
          <w:i w:val="0"/>
          <w:iCs w:val="0"/>
          <w:color w:val="000000" w:themeColor="text1"/>
          <w:sz w:val="24"/>
          <w:szCs w:val="24"/>
        </w:rPr>
        <w:t xml:space="preserve">Appendix </w:t>
      </w:r>
      <w:r w:rsidRPr="002D12C3">
        <w:rPr>
          <w:rFonts w:ascii="Times New Roman" w:hAnsi="Times New Roman" w:cs="Times New Roman"/>
          <w:b/>
          <w:bCs/>
          <w:i w:val="0"/>
          <w:iCs w:val="0"/>
          <w:color w:val="000000" w:themeColor="text1"/>
          <w:sz w:val="24"/>
          <w:szCs w:val="24"/>
        </w:rPr>
        <w:fldChar w:fldCharType="begin"/>
      </w:r>
      <w:r w:rsidRPr="002D12C3">
        <w:rPr>
          <w:rFonts w:ascii="Times New Roman" w:hAnsi="Times New Roman" w:cs="Times New Roman"/>
          <w:b/>
          <w:bCs/>
          <w:i w:val="0"/>
          <w:iCs w:val="0"/>
          <w:color w:val="000000" w:themeColor="text1"/>
          <w:sz w:val="24"/>
          <w:szCs w:val="24"/>
        </w:rPr>
        <w:instrText xml:space="preserve"> SEQ Appendix \* ARABIC </w:instrText>
      </w:r>
      <w:r w:rsidRPr="002D12C3">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16</w:t>
      </w:r>
      <w:r w:rsidRPr="002D12C3">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Determination Coefficient Test Results (R</w:t>
      </w:r>
      <w:r w:rsidRPr="002D12C3">
        <w:rPr>
          <w:rFonts w:ascii="Times New Roman" w:hAnsi="Times New Roman" w:cs="Times New Roman"/>
          <w:b/>
          <w:bCs/>
          <w:i w:val="0"/>
          <w:iCs w:val="0"/>
          <w:color w:val="000000" w:themeColor="text1"/>
          <w:sz w:val="24"/>
          <w:szCs w:val="24"/>
        </w:rPr>
        <w:t>²</w:t>
      </w:r>
      <w:r>
        <w:rPr>
          <w:rFonts w:ascii="Times New Roman" w:hAnsi="Times New Roman" w:cs="Times New Roman"/>
          <w:b/>
          <w:bCs/>
          <w:i w:val="0"/>
          <w:iCs w:val="0"/>
          <w:color w:val="000000" w:themeColor="text1"/>
          <w:sz w:val="24"/>
          <w:szCs w:val="24"/>
        </w:rPr>
        <w:t>)</w:t>
      </w:r>
      <w:bookmarkEnd w:id="178"/>
    </w:p>
    <w:tbl>
      <w:tblPr>
        <w:tblStyle w:val="aff2"/>
        <w:tblW w:w="7792" w:type="dxa"/>
        <w:tblLayout w:type="fixed"/>
        <w:tblLook w:val="0400" w:firstRow="0" w:lastRow="0" w:firstColumn="0" w:lastColumn="0" w:noHBand="0" w:noVBand="1"/>
      </w:tblPr>
      <w:tblGrid>
        <w:gridCol w:w="988"/>
        <w:gridCol w:w="992"/>
        <w:gridCol w:w="1417"/>
        <w:gridCol w:w="2410"/>
        <w:gridCol w:w="1985"/>
      </w:tblGrid>
      <w:tr w:rsidR="00153781" w:rsidRPr="007E7CB6" w14:paraId="10AAC5D1" w14:textId="77777777">
        <w:trPr>
          <w:trHeight w:val="449"/>
        </w:trPr>
        <w:tc>
          <w:tcPr>
            <w:tcW w:w="77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E76050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Model Summary</w:t>
            </w:r>
          </w:p>
        </w:tc>
      </w:tr>
      <w:tr w:rsidR="00153781" w:rsidRPr="007E7CB6" w14:paraId="2907BE0F" w14:textId="77777777">
        <w:trPr>
          <w:trHeight w:val="743"/>
        </w:trPr>
        <w:tc>
          <w:tcPr>
            <w:tcW w:w="9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2739D4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866333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R</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3C6BCA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R Square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A418D4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Adjusted R Square</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FD5681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Std. Error of the Estimate</w:t>
            </w:r>
          </w:p>
        </w:tc>
      </w:tr>
      <w:tr w:rsidR="00153781" w:rsidRPr="007E7CB6" w14:paraId="34A83F5C" w14:textId="77777777">
        <w:trPr>
          <w:trHeight w:val="485"/>
        </w:trPr>
        <w:tc>
          <w:tcPr>
            <w:tcW w:w="98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9130EA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B26084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0.846</w:t>
            </w:r>
            <w:r w:rsidRPr="007E7CB6">
              <w:rPr>
                <w:rFonts w:ascii="Times New Roman" w:eastAsia="Times New Roman" w:hAnsi="Times New Roman" w:cs="Times New Roman"/>
                <w:color w:val="000000"/>
                <w:sz w:val="14"/>
                <w:szCs w:val="14"/>
                <w:vertAlign w:val="superscript"/>
              </w:rPr>
              <w:t>a</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17EC3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0.716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9CF1B0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0.691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94CDC3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0.09162</w:t>
            </w:r>
          </w:p>
        </w:tc>
      </w:tr>
      <w:tr w:rsidR="00153781" w:rsidRPr="007E7CB6" w14:paraId="74D8096F" w14:textId="77777777">
        <w:trPr>
          <w:trHeight w:val="485"/>
        </w:trPr>
        <w:tc>
          <w:tcPr>
            <w:tcW w:w="7792"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593740E"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Predictors: (Constant), </w:t>
            </w:r>
            <w:r w:rsidRPr="007E7CB6">
              <w:rPr>
                <w:rFonts w:ascii="Times New Roman" w:eastAsia="Times New Roman" w:hAnsi="Times New Roman" w:cs="Times New Roman"/>
                <w:i/>
                <w:color w:val="000000"/>
                <w:sz w:val="24"/>
                <w:szCs w:val="24"/>
              </w:rPr>
              <w:t>Green Intellectual Capital, Green Accounting, Carbon Emission Disclosure, Green Capital Structure, X1M, X2M, X3M</w:t>
            </w:r>
          </w:p>
        </w:tc>
      </w:tr>
      <w:tr w:rsidR="00153781" w:rsidRPr="007E7CB6" w14:paraId="4EBC11C9" w14:textId="77777777">
        <w:trPr>
          <w:trHeight w:val="485"/>
        </w:trPr>
        <w:tc>
          <w:tcPr>
            <w:tcW w:w="7792"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EEEEB0D" w14:textId="77777777" w:rsidR="00153781" w:rsidRPr="007E7CB6"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b. Dependent Variable: </w:t>
            </w:r>
            <w:r w:rsidRPr="007E7CB6">
              <w:rPr>
                <w:rFonts w:ascii="Times New Roman" w:eastAsia="Times New Roman" w:hAnsi="Times New Roman" w:cs="Times New Roman"/>
                <w:i/>
                <w:color w:val="000000"/>
                <w:sz w:val="24"/>
                <w:szCs w:val="24"/>
              </w:rPr>
              <w:t>Firm Value</w:t>
            </w:r>
          </w:p>
        </w:tc>
      </w:tr>
    </w:tbl>
    <w:p w14:paraId="2003317A" w14:textId="77777777" w:rsidR="00153781" w:rsidRPr="007E7CB6" w:rsidRDefault="00153781">
      <w:pPr>
        <w:spacing w:after="240"/>
        <w:jc w:val="both"/>
        <w:rPr>
          <w:rFonts w:ascii="Times New Roman" w:eastAsia="Times New Roman" w:hAnsi="Times New Roman" w:cs="Times New Roman"/>
          <w:b/>
          <w:sz w:val="24"/>
          <w:szCs w:val="24"/>
        </w:rPr>
      </w:pPr>
    </w:p>
    <w:p w14:paraId="358DC68D" w14:textId="3377C13D" w:rsidR="00153781" w:rsidRPr="007E7CB6" w:rsidRDefault="002D12C3" w:rsidP="002D12C3">
      <w:pPr>
        <w:pStyle w:val="Caption"/>
        <w:ind w:hanging="426"/>
        <w:rPr>
          <w:rFonts w:ascii="Times New Roman" w:eastAsia="Times New Roman" w:hAnsi="Times New Roman" w:cs="Times New Roman"/>
          <w:b/>
          <w:color w:val="000000"/>
          <w:sz w:val="24"/>
          <w:szCs w:val="24"/>
        </w:rPr>
      </w:pPr>
      <w:bookmarkStart w:id="179" w:name="_Toc210649286"/>
      <w:r w:rsidRPr="002D12C3">
        <w:rPr>
          <w:rFonts w:ascii="Times New Roman" w:hAnsi="Times New Roman" w:cs="Times New Roman"/>
          <w:b/>
          <w:bCs/>
          <w:i w:val="0"/>
          <w:iCs w:val="0"/>
          <w:color w:val="000000" w:themeColor="text1"/>
          <w:sz w:val="24"/>
          <w:szCs w:val="24"/>
        </w:rPr>
        <w:t xml:space="preserve">Appendix </w:t>
      </w:r>
      <w:r w:rsidRPr="002D12C3">
        <w:rPr>
          <w:rFonts w:ascii="Times New Roman" w:hAnsi="Times New Roman" w:cs="Times New Roman"/>
          <w:b/>
          <w:bCs/>
          <w:i w:val="0"/>
          <w:iCs w:val="0"/>
          <w:color w:val="000000" w:themeColor="text1"/>
          <w:sz w:val="24"/>
          <w:szCs w:val="24"/>
        </w:rPr>
        <w:fldChar w:fldCharType="begin"/>
      </w:r>
      <w:r w:rsidRPr="002D12C3">
        <w:rPr>
          <w:rFonts w:ascii="Times New Roman" w:hAnsi="Times New Roman" w:cs="Times New Roman"/>
          <w:b/>
          <w:bCs/>
          <w:i w:val="0"/>
          <w:iCs w:val="0"/>
          <w:color w:val="000000" w:themeColor="text1"/>
          <w:sz w:val="24"/>
          <w:szCs w:val="24"/>
        </w:rPr>
        <w:instrText xml:space="preserve"> SEQ Appendix \* ARABIC </w:instrText>
      </w:r>
      <w:r w:rsidRPr="002D12C3">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17</w:t>
      </w:r>
      <w:r w:rsidRPr="002D12C3">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Multiple Linear Regression Analysis Results</w:t>
      </w:r>
      <w:bookmarkEnd w:id="179"/>
    </w:p>
    <w:tbl>
      <w:tblPr>
        <w:tblStyle w:val="aff3"/>
        <w:tblW w:w="6110" w:type="dxa"/>
        <w:tblLayout w:type="fixed"/>
        <w:tblLook w:val="0400" w:firstRow="0" w:lastRow="0" w:firstColumn="0" w:lastColumn="0" w:noHBand="0" w:noVBand="1"/>
      </w:tblPr>
      <w:tblGrid>
        <w:gridCol w:w="409"/>
        <w:gridCol w:w="1355"/>
        <w:gridCol w:w="997"/>
        <w:gridCol w:w="1396"/>
        <w:gridCol w:w="1953"/>
      </w:tblGrid>
      <w:tr w:rsidR="00153781" w:rsidRPr="007E7CB6" w14:paraId="6F596853" w14:textId="77777777">
        <w:trPr>
          <w:trHeight w:val="379"/>
        </w:trPr>
        <w:tc>
          <w:tcPr>
            <w:tcW w:w="6110" w:type="dxa"/>
            <w:gridSpan w:val="5"/>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1B06CFA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Coefficients</w:t>
            </w:r>
            <w:r w:rsidRPr="007E7CB6">
              <w:rPr>
                <w:rFonts w:ascii="Times New Roman" w:eastAsia="Times New Roman" w:hAnsi="Times New Roman" w:cs="Times New Roman"/>
                <w:b/>
                <w:color w:val="000000"/>
                <w:sz w:val="14"/>
                <w:szCs w:val="14"/>
                <w:vertAlign w:val="superscript"/>
              </w:rPr>
              <w:t>a</w:t>
            </w:r>
          </w:p>
        </w:tc>
      </w:tr>
      <w:tr w:rsidR="00153781" w:rsidRPr="007E7CB6" w14:paraId="6BEBB350" w14:textId="77777777">
        <w:trPr>
          <w:trHeight w:val="379"/>
        </w:trPr>
        <w:tc>
          <w:tcPr>
            <w:tcW w:w="1764"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5404218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393"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6145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6926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r>
      <w:tr w:rsidR="00153781" w:rsidRPr="007E7CB6" w14:paraId="00594EE9" w14:textId="77777777">
        <w:trPr>
          <w:trHeight w:val="49"/>
        </w:trPr>
        <w:tc>
          <w:tcPr>
            <w:tcW w:w="1764"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C4AF6D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9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CED8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39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610FD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9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A95CC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r>
      <w:tr w:rsidR="00153781" w:rsidRPr="007E7CB6" w14:paraId="158F4573" w14:textId="77777777">
        <w:trPr>
          <w:trHeight w:val="20"/>
        </w:trPr>
        <w:tc>
          <w:tcPr>
            <w:tcW w:w="409"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34E37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7F7A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9B456D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675926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77F9BF8"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r>
      <w:tr w:rsidR="00153781" w:rsidRPr="007E7CB6" w14:paraId="39CB15BB"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6803C7"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65A93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8192DC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-15.436</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8FDBE6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33.922</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97E352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-0.599</w:t>
            </w:r>
          </w:p>
        </w:tc>
      </w:tr>
      <w:tr w:rsidR="00153781" w:rsidRPr="007E7CB6" w14:paraId="3240F6E2" w14:textId="77777777">
        <w:trPr>
          <w:trHeight w:val="10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D6F9D"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FBB3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C3E1D6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1.044</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5F9B10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0.252</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7097E59"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0.964</w:t>
            </w:r>
          </w:p>
        </w:tc>
      </w:tr>
      <w:tr w:rsidR="00153781" w:rsidRPr="007E7CB6" w14:paraId="0188723B"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C166F"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053F6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75D646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72.341</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4E1062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202.116</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7B4E38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0.555</w:t>
            </w:r>
          </w:p>
        </w:tc>
      </w:tr>
      <w:tr w:rsidR="00153781" w:rsidRPr="007E7CB6" w14:paraId="0B3DBBBD"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2F4E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A605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X1M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8DDE84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45.058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424D85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50.509</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48D493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1.177</w:t>
            </w:r>
          </w:p>
        </w:tc>
      </w:tr>
      <w:tr w:rsidR="00153781" w:rsidRPr="007E7CB6" w14:paraId="2DF628EA"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57FA7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0283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X2M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E833A9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-1.075</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B6B9BA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0.305</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A404079"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-0.991</w:t>
            </w:r>
          </w:p>
        </w:tc>
      </w:tr>
      <w:tr w:rsidR="00153781" w:rsidRPr="007E7CB6" w14:paraId="3203783F" w14:textId="77777777">
        <w:trPr>
          <w:trHeight w:val="20"/>
        </w:trPr>
        <w:tc>
          <w:tcPr>
            <w:tcW w:w="409"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C735F"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32DF9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X3M</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4B8D37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-62.230</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196334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295.648</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A394470"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-0.328</w:t>
            </w:r>
          </w:p>
        </w:tc>
      </w:tr>
      <w:tr w:rsidR="00153781" w:rsidRPr="007E7CB6" w14:paraId="1AD44AAC" w14:textId="77777777">
        <w:trPr>
          <w:trHeight w:val="334"/>
        </w:trPr>
        <w:tc>
          <w:tcPr>
            <w:tcW w:w="6110" w:type="dxa"/>
            <w:gridSpan w:val="5"/>
            <w:tcBorders>
              <w:left w:val="single" w:sz="4" w:space="0" w:color="000000"/>
              <w:bottom w:val="single" w:sz="4" w:space="0" w:color="000000"/>
              <w:right w:val="single" w:sz="4" w:space="0" w:color="000000"/>
            </w:tcBorders>
            <w:vAlign w:val="center"/>
          </w:tcPr>
          <w:p w14:paraId="4A28D085" w14:textId="77777777" w:rsidR="00153781" w:rsidRPr="007E7CB6" w:rsidRDefault="00000000">
            <w:pPr>
              <w:spacing w:line="240" w:lineRule="auto"/>
              <w:ind w:left="124"/>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bl>
    <w:p w14:paraId="5D415F7B" w14:textId="4722FCE8" w:rsidR="00153781" w:rsidRDefault="00000000" w:rsidP="002D12C3">
      <w:pPr>
        <w:spacing w:line="240" w:lineRule="auto"/>
        <w:ind w:hanging="480"/>
        <w:jc w:val="both"/>
        <w:rPr>
          <w:rFonts w:ascii="Times New Roman" w:eastAsia="Times New Roman" w:hAnsi="Times New Roman" w:cs="Times New Roman"/>
          <w:b/>
          <w:sz w:val="24"/>
          <w:szCs w:val="24"/>
        </w:rPr>
      </w:pPr>
      <w:r w:rsidRPr="007E7CB6">
        <w:rPr>
          <w:rFonts w:ascii="Times New Roman" w:eastAsia="Times New Roman" w:hAnsi="Times New Roman" w:cs="Times New Roman"/>
          <w:b/>
          <w:sz w:val="24"/>
          <w:szCs w:val="24"/>
        </w:rPr>
        <w:t xml:space="preserve"> </w:t>
      </w:r>
    </w:p>
    <w:p w14:paraId="244D337D" w14:textId="40BD08C5" w:rsidR="002D12C3" w:rsidRDefault="002D12C3" w:rsidP="002D12C3">
      <w:pPr>
        <w:spacing w:line="240" w:lineRule="auto"/>
        <w:ind w:hanging="480"/>
        <w:jc w:val="both"/>
        <w:rPr>
          <w:rFonts w:ascii="Times New Roman" w:eastAsia="Times New Roman" w:hAnsi="Times New Roman" w:cs="Times New Roman"/>
          <w:b/>
          <w:sz w:val="24"/>
          <w:szCs w:val="24"/>
        </w:rPr>
      </w:pPr>
    </w:p>
    <w:p w14:paraId="2F06368C" w14:textId="1C676F8E" w:rsidR="002D12C3" w:rsidRDefault="002D12C3" w:rsidP="002D12C3">
      <w:pPr>
        <w:spacing w:line="240" w:lineRule="auto"/>
        <w:ind w:hanging="480"/>
        <w:jc w:val="both"/>
        <w:rPr>
          <w:rFonts w:ascii="Times New Roman" w:eastAsia="Times New Roman" w:hAnsi="Times New Roman" w:cs="Times New Roman"/>
          <w:b/>
          <w:sz w:val="24"/>
          <w:szCs w:val="24"/>
        </w:rPr>
      </w:pPr>
    </w:p>
    <w:p w14:paraId="2FF8D7F6" w14:textId="24FC446F" w:rsidR="00153781" w:rsidRPr="002D12C3" w:rsidRDefault="002D12C3" w:rsidP="002D12C3">
      <w:pPr>
        <w:pStyle w:val="Caption"/>
        <w:ind w:hanging="426"/>
        <w:rPr>
          <w:rFonts w:ascii="Times New Roman" w:eastAsia="Times New Roman" w:hAnsi="Times New Roman" w:cs="Times New Roman"/>
          <w:b/>
          <w:bCs/>
          <w:i w:val="0"/>
          <w:iCs w:val="0"/>
          <w:color w:val="000000" w:themeColor="text1"/>
          <w:sz w:val="36"/>
          <w:szCs w:val="36"/>
        </w:rPr>
      </w:pPr>
      <w:bookmarkStart w:id="180" w:name="_Toc210649287"/>
      <w:r w:rsidRPr="002D12C3">
        <w:rPr>
          <w:rFonts w:ascii="Times New Roman" w:hAnsi="Times New Roman" w:cs="Times New Roman"/>
          <w:b/>
          <w:bCs/>
          <w:i w:val="0"/>
          <w:iCs w:val="0"/>
          <w:color w:val="000000" w:themeColor="text1"/>
          <w:sz w:val="24"/>
          <w:szCs w:val="24"/>
        </w:rPr>
        <w:t xml:space="preserve">Appendix </w:t>
      </w:r>
      <w:r w:rsidRPr="002D12C3">
        <w:rPr>
          <w:rFonts w:ascii="Times New Roman" w:hAnsi="Times New Roman" w:cs="Times New Roman"/>
          <w:b/>
          <w:bCs/>
          <w:i w:val="0"/>
          <w:iCs w:val="0"/>
          <w:color w:val="000000" w:themeColor="text1"/>
          <w:sz w:val="24"/>
          <w:szCs w:val="24"/>
        </w:rPr>
        <w:fldChar w:fldCharType="begin"/>
      </w:r>
      <w:r w:rsidRPr="002D12C3">
        <w:rPr>
          <w:rFonts w:ascii="Times New Roman" w:hAnsi="Times New Roman" w:cs="Times New Roman"/>
          <w:b/>
          <w:bCs/>
          <w:i w:val="0"/>
          <w:iCs w:val="0"/>
          <w:color w:val="000000" w:themeColor="text1"/>
          <w:sz w:val="24"/>
          <w:szCs w:val="24"/>
        </w:rPr>
        <w:instrText xml:space="preserve"> SEQ Appendix \* ARABIC </w:instrText>
      </w:r>
      <w:r w:rsidRPr="002D12C3">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18</w:t>
      </w:r>
      <w:r w:rsidRPr="002D12C3">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t Test Results (Hypothesis Test)</w:t>
      </w:r>
      <w:bookmarkEnd w:id="180"/>
    </w:p>
    <w:tbl>
      <w:tblPr>
        <w:tblStyle w:val="aff4"/>
        <w:tblW w:w="7447" w:type="dxa"/>
        <w:tblLayout w:type="fixed"/>
        <w:tblLook w:val="0400" w:firstRow="0" w:lastRow="0" w:firstColumn="0" w:lastColumn="0" w:noHBand="0" w:noVBand="1"/>
      </w:tblPr>
      <w:tblGrid>
        <w:gridCol w:w="380"/>
        <w:gridCol w:w="1309"/>
        <w:gridCol w:w="968"/>
        <w:gridCol w:w="1238"/>
        <w:gridCol w:w="1824"/>
        <w:gridCol w:w="852"/>
        <w:gridCol w:w="876"/>
      </w:tblGrid>
      <w:tr w:rsidR="00153781" w:rsidRPr="007E7CB6" w14:paraId="2710F0F0" w14:textId="77777777">
        <w:trPr>
          <w:trHeight w:val="420"/>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81CFE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Coefficients</w:t>
            </w:r>
            <w:r w:rsidRPr="007E7CB6">
              <w:rPr>
                <w:rFonts w:ascii="Times New Roman" w:eastAsia="Times New Roman" w:hAnsi="Times New Roman" w:cs="Times New Roman"/>
                <w:b/>
                <w:color w:val="000000"/>
                <w:sz w:val="14"/>
                <w:szCs w:val="14"/>
                <w:vertAlign w:val="superscript"/>
              </w:rPr>
              <w:t>a</w:t>
            </w:r>
          </w:p>
        </w:tc>
      </w:tr>
      <w:tr w:rsidR="00153781" w:rsidRPr="007E7CB6" w14:paraId="03BB82F0" w14:textId="77777777">
        <w:trPr>
          <w:trHeight w:val="379"/>
        </w:trPr>
        <w:tc>
          <w:tcPr>
            <w:tcW w:w="1689"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FF7E6F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206"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3E83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8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0946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c>
          <w:tcPr>
            <w:tcW w:w="852"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57DAB23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t</w:t>
            </w:r>
          </w:p>
        </w:tc>
        <w:tc>
          <w:tcPr>
            <w:tcW w:w="876"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7BF511D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2C7D8CEA" w14:textId="77777777">
        <w:trPr>
          <w:trHeight w:val="49"/>
        </w:trPr>
        <w:tc>
          <w:tcPr>
            <w:tcW w:w="1689"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B9AEC7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E11F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2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B49CF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8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7180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c>
          <w:tcPr>
            <w:tcW w:w="852"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3760E1DD"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876"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1AC5ACA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153781" w:rsidRPr="007E7CB6" w14:paraId="108D8395" w14:textId="77777777">
        <w:trPr>
          <w:trHeight w:val="20"/>
        </w:trPr>
        <w:tc>
          <w:tcPr>
            <w:tcW w:w="380"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6793A55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3B5E5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E9DFD20"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0.248</w:t>
            </w:r>
          </w:p>
        </w:tc>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E049B3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0.075</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1C2E6EB"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D2194B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3.314</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C533E6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0.002</w:t>
            </w:r>
          </w:p>
        </w:tc>
      </w:tr>
      <w:tr w:rsidR="00153781" w:rsidRPr="007E7CB6" w14:paraId="6B892D1F"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FFDAB4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A03C1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B2F6B1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15.352</w:t>
            </w:r>
          </w:p>
        </w:tc>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52C5EE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2.563</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5241559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0.596</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F7DC9B1"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5.989</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07AF4F7D"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&lt;0.001</w:t>
            </w:r>
          </w:p>
        </w:tc>
      </w:tr>
      <w:tr w:rsidR="00153781" w:rsidRPr="007E7CB6" w14:paraId="4F3A41DC" w14:textId="77777777">
        <w:trPr>
          <w:trHeight w:val="10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894FFBE"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23CAB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3243B7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0.129</w:t>
            </w:r>
          </w:p>
        </w:tc>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0097F5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0.098</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7683C2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0.119</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34D75E95"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1.321</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4554547E"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0.191</w:t>
            </w:r>
          </w:p>
        </w:tc>
      </w:tr>
      <w:tr w:rsidR="00153781" w:rsidRPr="007E7CB6" w14:paraId="4C9FAE9E"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8FD77D5"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EAD0D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15B87C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29.999</w:t>
            </w:r>
          </w:p>
        </w:tc>
        <w:tc>
          <w:tcPr>
            <w:tcW w:w="12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7F73A61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12.988</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2B7BC4A"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0.230</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2DBF2725"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2.310</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vAlign w:val="center"/>
          </w:tcPr>
          <w:p w14:paraId="194D7C21"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0.024</w:t>
            </w:r>
          </w:p>
        </w:tc>
      </w:tr>
      <w:tr w:rsidR="00153781" w:rsidRPr="007E7CB6" w14:paraId="41910676" w14:textId="77777777">
        <w:trPr>
          <w:trHeight w:val="172"/>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AB8D2"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bl>
    <w:p w14:paraId="73B1C337" w14:textId="77777777" w:rsidR="00153781" w:rsidRPr="007E7CB6" w:rsidRDefault="00153781">
      <w:pPr>
        <w:spacing w:after="240"/>
        <w:ind w:hanging="480"/>
        <w:jc w:val="both"/>
        <w:rPr>
          <w:rFonts w:ascii="Times New Roman" w:eastAsia="Times New Roman" w:hAnsi="Times New Roman" w:cs="Times New Roman"/>
          <w:b/>
          <w:sz w:val="24"/>
          <w:szCs w:val="24"/>
        </w:rPr>
      </w:pPr>
    </w:p>
    <w:p w14:paraId="2A3AB5CE" w14:textId="12084E20" w:rsidR="00153781" w:rsidRPr="002D12C3" w:rsidRDefault="002D12C3" w:rsidP="002D12C3">
      <w:pPr>
        <w:pStyle w:val="Caption"/>
        <w:ind w:hanging="426"/>
        <w:rPr>
          <w:rFonts w:ascii="Times New Roman" w:eastAsia="Times New Roman" w:hAnsi="Times New Roman" w:cs="Times New Roman"/>
          <w:b/>
          <w:bCs/>
          <w:i w:val="0"/>
          <w:iCs w:val="0"/>
          <w:color w:val="000000" w:themeColor="text1"/>
          <w:sz w:val="36"/>
          <w:szCs w:val="36"/>
        </w:rPr>
      </w:pPr>
      <w:bookmarkStart w:id="181" w:name="_Toc210649288"/>
      <w:r w:rsidRPr="002D12C3">
        <w:rPr>
          <w:rFonts w:ascii="Times New Roman" w:hAnsi="Times New Roman" w:cs="Times New Roman"/>
          <w:b/>
          <w:bCs/>
          <w:i w:val="0"/>
          <w:iCs w:val="0"/>
          <w:color w:val="000000" w:themeColor="text1"/>
          <w:sz w:val="24"/>
          <w:szCs w:val="24"/>
        </w:rPr>
        <w:lastRenderedPageBreak/>
        <w:t xml:space="preserve">Appendix </w:t>
      </w:r>
      <w:r w:rsidRPr="002D12C3">
        <w:rPr>
          <w:rFonts w:ascii="Times New Roman" w:hAnsi="Times New Roman" w:cs="Times New Roman"/>
          <w:b/>
          <w:bCs/>
          <w:i w:val="0"/>
          <w:iCs w:val="0"/>
          <w:color w:val="000000" w:themeColor="text1"/>
          <w:sz w:val="24"/>
          <w:szCs w:val="24"/>
        </w:rPr>
        <w:fldChar w:fldCharType="begin"/>
      </w:r>
      <w:r w:rsidRPr="002D12C3">
        <w:rPr>
          <w:rFonts w:ascii="Times New Roman" w:hAnsi="Times New Roman" w:cs="Times New Roman"/>
          <w:b/>
          <w:bCs/>
          <w:i w:val="0"/>
          <w:iCs w:val="0"/>
          <w:color w:val="000000" w:themeColor="text1"/>
          <w:sz w:val="24"/>
          <w:szCs w:val="24"/>
        </w:rPr>
        <w:instrText xml:space="preserve"> SEQ Appendix \* ARABIC </w:instrText>
      </w:r>
      <w:r w:rsidRPr="002D12C3">
        <w:rPr>
          <w:rFonts w:ascii="Times New Roman" w:hAnsi="Times New Roman" w:cs="Times New Roman"/>
          <w:b/>
          <w:bCs/>
          <w:i w:val="0"/>
          <w:iCs w:val="0"/>
          <w:color w:val="000000" w:themeColor="text1"/>
          <w:sz w:val="24"/>
          <w:szCs w:val="24"/>
        </w:rPr>
        <w:fldChar w:fldCharType="separate"/>
      </w:r>
      <w:r w:rsidR="00FD5B7D">
        <w:rPr>
          <w:rFonts w:ascii="Times New Roman" w:hAnsi="Times New Roman" w:cs="Times New Roman"/>
          <w:b/>
          <w:bCs/>
          <w:i w:val="0"/>
          <w:iCs w:val="0"/>
          <w:noProof/>
          <w:color w:val="000000" w:themeColor="text1"/>
          <w:sz w:val="24"/>
          <w:szCs w:val="24"/>
        </w:rPr>
        <w:t>19</w:t>
      </w:r>
      <w:r w:rsidRPr="002D12C3">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Moderated Regression Analysis Test Results</w:t>
      </w:r>
      <w:bookmarkEnd w:id="181"/>
    </w:p>
    <w:tbl>
      <w:tblPr>
        <w:tblStyle w:val="aff5"/>
        <w:tblW w:w="7447" w:type="dxa"/>
        <w:tblLayout w:type="fixed"/>
        <w:tblLook w:val="0400" w:firstRow="0" w:lastRow="0" w:firstColumn="0" w:lastColumn="0" w:noHBand="0" w:noVBand="1"/>
      </w:tblPr>
      <w:tblGrid>
        <w:gridCol w:w="380"/>
        <w:gridCol w:w="1308"/>
        <w:gridCol w:w="973"/>
        <w:gridCol w:w="1234"/>
        <w:gridCol w:w="1824"/>
        <w:gridCol w:w="852"/>
        <w:gridCol w:w="876"/>
      </w:tblGrid>
      <w:tr w:rsidR="00153781" w:rsidRPr="007E7CB6" w14:paraId="7F4033FA" w14:textId="77777777">
        <w:trPr>
          <w:trHeight w:val="420"/>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5D66D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Coefficients</w:t>
            </w:r>
            <w:r w:rsidRPr="007E7CB6">
              <w:rPr>
                <w:rFonts w:ascii="Times New Roman" w:eastAsia="Times New Roman" w:hAnsi="Times New Roman" w:cs="Times New Roman"/>
                <w:b/>
                <w:color w:val="000000"/>
                <w:sz w:val="14"/>
                <w:szCs w:val="14"/>
                <w:vertAlign w:val="superscript"/>
              </w:rPr>
              <w:t>a</w:t>
            </w:r>
          </w:p>
        </w:tc>
      </w:tr>
      <w:tr w:rsidR="00153781" w:rsidRPr="007E7CB6" w14:paraId="178AAEA4" w14:textId="77777777">
        <w:trPr>
          <w:trHeight w:val="379"/>
        </w:trPr>
        <w:tc>
          <w:tcPr>
            <w:tcW w:w="1688" w:type="dxa"/>
            <w:gridSpan w:val="2"/>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5D16FC2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Model</w:t>
            </w:r>
          </w:p>
        </w:tc>
        <w:tc>
          <w:tcPr>
            <w:tcW w:w="2207" w:type="dxa"/>
            <w:gridSpan w:val="2"/>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D4213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Unstandardized Coefficients</w:t>
            </w:r>
          </w:p>
        </w:tc>
        <w:tc>
          <w:tcPr>
            <w:tcW w:w="18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BD60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Standardized Coefficients</w:t>
            </w:r>
          </w:p>
        </w:tc>
        <w:tc>
          <w:tcPr>
            <w:tcW w:w="852"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4F1FE06E"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t</w:t>
            </w:r>
          </w:p>
        </w:tc>
        <w:tc>
          <w:tcPr>
            <w:tcW w:w="876"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14F1B3C8"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b/>
                <w:color w:val="000000"/>
                <w:sz w:val="24"/>
                <w:szCs w:val="24"/>
              </w:rPr>
              <w:t>Sig.</w:t>
            </w:r>
          </w:p>
        </w:tc>
      </w:tr>
      <w:tr w:rsidR="00153781" w:rsidRPr="007E7CB6" w14:paraId="00EBD5E3" w14:textId="77777777">
        <w:trPr>
          <w:trHeight w:val="49"/>
        </w:trPr>
        <w:tc>
          <w:tcPr>
            <w:tcW w:w="1688" w:type="dxa"/>
            <w:gridSpan w:val="2"/>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3E5A78C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97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D87B2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w:t>
            </w:r>
          </w:p>
        </w:tc>
        <w:tc>
          <w:tcPr>
            <w:tcW w:w="1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87F1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Std. Error</w:t>
            </w:r>
          </w:p>
        </w:tc>
        <w:tc>
          <w:tcPr>
            <w:tcW w:w="182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30C15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7E7CB6">
              <w:rPr>
                <w:rFonts w:ascii="Times New Roman" w:eastAsia="Times New Roman" w:hAnsi="Times New Roman" w:cs="Times New Roman"/>
                <w:b/>
                <w:color w:val="000000"/>
                <w:sz w:val="24"/>
                <w:szCs w:val="24"/>
              </w:rPr>
              <w:t>Beta</w:t>
            </w:r>
          </w:p>
        </w:tc>
        <w:tc>
          <w:tcPr>
            <w:tcW w:w="852"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6F751518"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c>
          <w:tcPr>
            <w:tcW w:w="876" w:type="dxa"/>
            <w:vMerge/>
            <w:tcBorders>
              <w:top w:val="single" w:sz="4" w:space="0" w:color="000000"/>
              <w:left w:val="single" w:sz="4" w:space="0" w:color="000000"/>
              <w:right w:val="single" w:sz="4" w:space="0" w:color="000000"/>
            </w:tcBorders>
            <w:tcMar>
              <w:top w:w="100" w:type="dxa"/>
              <w:left w:w="100" w:type="dxa"/>
              <w:bottom w:w="100" w:type="dxa"/>
              <w:right w:w="100" w:type="dxa"/>
            </w:tcMar>
            <w:vAlign w:val="center"/>
          </w:tcPr>
          <w:p w14:paraId="79B71D4C"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b/>
                <w:color w:val="000000"/>
                <w:sz w:val="24"/>
                <w:szCs w:val="24"/>
              </w:rPr>
            </w:pPr>
          </w:p>
        </w:tc>
      </w:tr>
      <w:tr w:rsidR="00153781" w:rsidRPr="007E7CB6" w14:paraId="5013719E" w14:textId="77777777">
        <w:trPr>
          <w:trHeight w:val="20"/>
        </w:trPr>
        <w:tc>
          <w:tcPr>
            <w:tcW w:w="380" w:type="dxa"/>
            <w:vMerge w:val="restart"/>
            <w:tcBorders>
              <w:top w:val="single" w:sz="4" w:space="0" w:color="000000"/>
              <w:left w:val="single" w:sz="4" w:space="0" w:color="000000"/>
              <w:right w:val="single" w:sz="4" w:space="0" w:color="000000"/>
            </w:tcBorders>
            <w:tcMar>
              <w:top w:w="100" w:type="dxa"/>
              <w:left w:w="100" w:type="dxa"/>
              <w:bottom w:w="100" w:type="dxa"/>
              <w:right w:w="100" w:type="dxa"/>
            </w:tcMar>
          </w:tcPr>
          <w:p w14:paraId="727920E1"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w:t>
            </w: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EF598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(Constant)</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849F30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0.118</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7FDE1E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1CF82BB" w14:textId="77777777" w:rsidR="00153781" w:rsidRPr="007E7CB6" w:rsidRDefault="00153781">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0D6FB6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1.601</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27866F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0.115</w:t>
            </w:r>
          </w:p>
        </w:tc>
      </w:tr>
      <w:tr w:rsidR="00153781" w:rsidRPr="007E7CB6" w14:paraId="15A7FF90"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4FA8A5A"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A4AE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GA</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386034"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-15.436</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9CF6E0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33.922</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5BCD2C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-0.599</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7EF7DD4"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-0.455</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9BAFDD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0.651</w:t>
            </w:r>
          </w:p>
        </w:tc>
      </w:tr>
      <w:tr w:rsidR="00153781" w:rsidRPr="007E7CB6" w14:paraId="51FD94CB" w14:textId="77777777">
        <w:trPr>
          <w:trHeight w:val="10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6903F97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67FB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CED</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ADE1A0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1.044</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59A0949"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0.252</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16327F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0.964</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3FFE3C0"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4.146</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AD1141E"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&lt;0.001</w:t>
            </w:r>
          </w:p>
        </w:tc>
      </w:tr>
      <w:tr w:rsidR="00153781" w:rsidRPr="007E7CB6" w14:paraId="52495774"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08421E0B"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74DDB"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GCS</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0C2BDC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72.341</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9F8230A"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202.116</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F64E7A4"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0.555</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D172A1D"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sz w:val="24"/>
                <w:szCs w:val="24"/>
              </w:rPr>
              <w:t>0.358</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CB76277" w14:textId="77777777" w:rsidR="00153781" w:rsidRPr="007E7CB6" w:rsidRDefault="00000000">
            <w:pPr>
              <w:spacing w:line="240" w:lineRule="auto"/>
              <w:jc w:val="center"/>
              <w:rPr>
                <w:rFonts w:ascii="Times New Roman" w:eastAsia="Times New Roman" w:hAnsi="Times New Roman" w:cs="Times New Roman"/>
                <w:sz w:val="24"/>
                <w:szCs w:val="24"/>
              </w:rPr>
            </w:pPr>
            <w:r w:rsidRPr="007E7CB6">
              <w:rPr>
                <w:rFonts w:ascii="Times New Roman" w:eastAsia="Times New Roman" w:hAnsi="Times New Roman" w:cs="Times New Roman"/>
                <w:color w:val="000000"/>
                <w:sz w:val="24"/>
                <w:szCs w:val="24"/>
              </w:rPr>
              <w:t>0.722</w:t>
            </w:r>
          </w:p>
        </w:tc>
      </w:tr>
      <w:tr w:rsidR="00153781" w:rsidRPr="007E7CB6" w14:paraId="29CCAE98"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62ACF074"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180E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GIC</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C0A49C6"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45.058</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1BD0B72"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50.509</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C6CD81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1.177</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6AA2B9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0.892</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69562B6C"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0.376</w:t>
            </w:r>
          </w:p>
        </w:tc>
      </w:tr>
      <w:tr w:rsidR="00153781" w:rsidRPr="007E7CB6" w14:paraId="6F5E7027"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2C52C75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5874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X1M</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5139D9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-1.075</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C925C63"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0.305</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5EF1F54"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-0.991</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4191996E"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-3.531</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9B7E87B"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&lt;0.001</w:t>
            </w:r>
          </w:p>
        </w:tc>
      </w:tr>
      <w:tr w:rsidR="00153781" w:rsidRPr="007E7CB6" w14:paraId="21B21F16"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15016E39"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E437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X2M</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99F265D"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-62.230</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298F9A9F"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295.648</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052BA1A1"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-0.328</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75E4451F"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-0.210</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13CB9D6"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0.834</w:t>
            </w:r>
          </w:p>
        </w:tc>
      </w:tr>
      <w:tr w:rsidR="00153781" w:rsidRPr="007E7CB6" w14:paraId="621A062C" w14:textId="77777777">
        <w:trPr>
          <w:trHeight w:val="20"/>
        </w:trPr>
        <w:tc>
          <w:tcPr>
            <w:tcW w:w="380" w:type="dxa"/>
            <w:vMerge/>
            <w:tcBorders>
              <w:top w:val="single" w:sz="4" w:space="0" w:color="000000"/>
              <w:left w:val="single" w:sz="4" w:space="0" w:color="000000"/>
              <w:right w:val="single" w:sz="4" w:space="0" w:color="000000"/>
            </w:tcBorders>
            <w:tcMar>
              <w:top w:w="100" w:type="dxa"/>
              <w:left w:w="100" w:type="dxa"/>
              <w:bottom w:w="100" w:type="dxa"/>
              <w:right w:w="100" w:type="dxa"/>
            </w:tcMar>
          </w:tcPr>
          <w:p w14:paraId="495F4863" w14:textId="77777777" w:rsidR="00153781" w:rsidRPr="007E7CB6" w:rsidRDefault="00153781">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3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8DD0C"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X3M</w:t>
            </w:r>
          </w:p>
        </w:tc>
        <w:tc>
          <w:tcPr>
            <w:tcW w:w="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F50275"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0.118</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1E6C07F7" w14:textId="77777777" w:rsidR="00153781" w:rsidRPr="007E7CB6"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0.074</w:t>
            </w:r>
          </w:p>
        </w:tc>
        <w:tc>
          <w:tcPr>
            <w:tcW w:w="18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17A50D2"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hAnsi="Times New Roman" w:cs="Times New Roman"/>
                <w:color w:val="000000"/>
              </w:rPr>
              <w:t>-0.599</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3C7B43B5"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hAnsi="Times New Roman" w:cs="Times New Roman"/>
              </w:rPr>
              <w:t>1.601</w:t>
            </w:r>
          </w:p>
        </w:tc>
        <w:tc>
          <w:tcPr>
            <w:tcW w:w="8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0" w:type="dxa"/>
              <w:bottom w:w="0" w:type="dxa"/>
              <w:right w:w="100" w:type="dxa"/>
            </w:tcMar>
          </w:tcPr>
          <w:p w14:paraId="5FE1522A" w14:textId="77777777" w:rsidR="00153781" w:rsidRPr="007E7CB6" w:rsidRDefault="00000000">
            <w:pPr>
              <w:spacing w:line="240" w:lineRule="auto"/>
              <w:jc w:val="center"/>
              <w:rPr>
                <w:rFonts w:ascii="Times New Roman" w:eastAsia="Times New Roman" w:hAnsi="Times New Roman" w:cs="Times New Roman"/>
                <w:color w:val="000000"/>
                <w:sz w:val="24"/>
                <w:szCs w:val="24"/>
              </w:rPr>
            </w:pPr>
            <w:r w:rsidRPr="007E7CB6">
              <w:rPr>
                <w:rFonts w:ascii="Times New Roman" w:hAnsi="Times New Roman" w:cs="Times New Roman"/>
                <w:color w:val="000000"/>
              </w:rPr>
              <w:t>0.115</w:t>
            </w:r>
          </w:p>
        </w:tc>
      </w:tr>
      <w:tr w:rsidR="00153781" w:rsidRPr="007E7CB6" w14:paraId="0F1522D5" w14:textId="77777777">
        <w:trPr>
          <w:trHeight w:val="172"/>
        </w:trPr>
        <w:tc>
          <w:tcPr>
            <w:tcW w:w="7447" w:type="dxa"/>
            <w:gridSpan w:val="7"/>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6BBBED" w14:textId="77777777" w:rsidR="00153781" w:rsidRPr="007E7CB6"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sidRPr="007E7CB6">
              <w:rPr>
                <w:rFonts w:ascii="Times New Roman" w:eastAsia="Times New Roman" w:hAnsi="Times New Roman" w:cs="Times New Roman"/>
                <w:color w:val="000000"/>
                <w:sz w:val="24"/>
                <w:szCs w:val="24"/>
              </w:rPr>
              <w:t xml:space="preserve">a. Dependent Variable: </w:t>
            </w:r>
            <w:r w:rsidRPr="007E7CB6">
              <w:rPr>
                <w:rFonts w:ascii="Times New Roman" w:eastAsia="Times New Roman" w:hAnsi="Times New Roman" w:cs="Times New Roman"/>
                <w:i/>
                <w:color w:val="000000"/>
                <w:sz w:val="24"/>
                <w:szCs w:val="24"/>
              </w:rPr>
              <w:t>Firm Value</w:t>
            </w:r>
          </w:p>
        </w:tc>
      </w:tr>
    </w:tbl>
    <w:p w14:paraId="38E5ED8B" w14:textId="7D27E340" w:rsidR="00153781" w:rsidRDefault="00153781">
      <w:pPr>
        <w:jc w:val="both"/>
        <w:rPr>
          <w:rFonts w:ascii="Times New Roman" w:eastAsia="Times New Roman" w:hAnsi="Times New Roman" w:cs="Times New Roman"/>
          <w:b/>
          <w:sz w:val="24"/>
          <w:szCs w:val="24"/>
        </w:rPr>
      </w:pPr>
    </w:p>
    <w:p w14:paraId="7E45FFD6" w14:textId="5E74C308" w:rsidR="00500F13" w:rsidRDefault="00500F13">
      <w:pPr>
        <w:jc w:val="both"/>
        <w:rPr>
          <w:rFonts w:ascii="Times New Roman" w:eastAsia="Times New Roman" w:hAnsi="Times New Roman" w:cs="Times New Roman"/>
          <w:b/>
          <w:sz w:val="24"/>
          <w:szCs w:val="24"/>
        </w:rPr>
      </w:pPr>
    </w:p>
    <w:p w14:paraId="406AE159" w14:textId="5F53EC32" w:rsidR="00500F13" w:rsidRDefault="00500F13">
      <w:pPr>
        <w:jc w:val="both"/>
        <w:rPr>
          <w:rFonts w:ascii="Times New Roman" w:eastAsia="Times New Roman" w:hAnsi="Times New Roman" w:cs="Times New Roman"/>
          <w:b/>
          <w:sz w:val="24"/>
          <w:szCs w:val="24"/>
        </w:rPr>
      </w:pPr>
    </w:p>
    <w:p w14:paraId="31992457" w14:textId="5B13DFD7" w:rsidR="00500F13" w:rsidRDefault="00500F13">
      <w:pPr>
        <w:jc w:val="both"/>
        <w:rPr>
          <w:rFonts w:ascii="Times New Roman" w:eastAsia="Times New Roman" w:hAnsi="Times New Roman" w:cs="Times New Roman"/>
          <w:b/>
          <w:sz w:val="24"/>
          <w:szCs w:val="24"/>
        </w:rPr>
      </w:pPr>
    </w:p>
    <w:p w14:paraId="247F2AD3" w14:textId="3D9AB3D3" w:rsidR="00500F13" w:rsidRDefault="00500F13">
      <w:pPr>
        <w:jc w:val="both"/>
        <w:rPr>
          <w:rFonts w:ascii="Times New Roman" w:eastAsia="Times New Roman" w:hAnsi="Times New Roman" w:cs="Times New Roman"/>
          <w:b/>
          <w:sz w:val="24"/>
          <w:szCs w:val="24"/>
        </w:rPr>
      </w:pPr>
    </w:p>
    <w:p w14:paraId="72F170F4" w14:textId="33872F89" w:rsidR="00500F13" w:rsidRDefault="00500F13">
      <w:pPr>
        <w:jc w:val="both"/>
        <w:rPr>
          <w:rFonts w:ascii="Times New Roman" w:eastAsia="Times New Roman" w:hAnsi="Times New Roman" w:cs="Times New Roman"/>
          <w:b/>
          <w:sz w:val="24"/>
          <w:szCs w:val="24"/>
        </w:rPr>
      </w:pPr>
    </w:p>
    <w:p w14:paraId="64376E03" w14:textId="3D8461BA" w:rsidR="00500F13" w:rsidRDefault="00500F13">
      <w:pPr>
        <w:jc w:val="both"/>
        <w:rPr>
          <w:rFonts w:ascii="Times New Roman" w:eastAsia="Times New Roman" w:hAnsi="Times New Roman" w:cs="Times New Roman"/>
          <w:b/>
          <w:sz w:val="24"/>
          <w:szCs w:val="24"/>
        </w:rPr>
      </w:pPr>
    </w:p>
    <w:p w14:paraId="1AA5E0FC" w14:textId="68B4D0CD" w:rsidR="00500F13" w:rsidRDefault="00500F13">
      <w:pPr>
        <w:jc w:val="both"/>
        <w:rPr>
          <w:rFonts w:ascii="Times New Roman" w:eastAsia="Times New Roman" w:hAnsi="Times New Roman" w:cs="Times New Roman"/>
          <w:b/>
          <w:sz w:val="24"/>
          <w:szCs w:val="24"/>
        </w:rPr>
      </w:pPr>
    </w:p>
    <w:p w14:paraId="7BBB3D95" w14:textId="593679A9" w:rsidR="00500F13" w:rsidRDefault="00500F13">
      <w:pPr>
        <w:jc w:val="both"/>
        <w:rPr>
          <w:rFonts w:ascii="Times New Roman" w:eastAsia="Times New Roman" w:hAnsi="Times New Roman" w:cs="Times New Roman"/>
          <w:b/>
          <w:sz w:val="24"/>
          <w:szCs w:val="24"/>
        </w:rPr>
      </w:pPr>
    </w:p>
    <w:p w14:paraId="19E61E0A" w14:textId="2C1B30B6" w:rsidR="00500F13" w:rsidRDefault="00500F13">
      <w:pPr>
        <w:jc w:val="both"/>
        <w:rPr>
          <w:rFonts w:ascii="Times New Roman" w:eastAsia="Times New Roman" w:hAnsi="Times New Roman" w:cs="Times New Roman"/>
          <w:b/>
          <w:sz w:val="24"/>
          <w:szCs w:val="24"/>
        </w:rPr>
      </w:pPr>
    </w:p>
    <w:p w14:paraId="2A28901C" w14:textId="712D3B6A" w:rsidR="00500F13" w:rsidRDefault="00500F13">
      <w:pPr>
        <w:jc w:val="both"/>
        <w:rPr>
          <w:rFonts w:ascii="Times New Roman" w:eastAsia="Times New Roman" w:hAnsi="Times New Roman" w:cs="Times New Roman"/>
          <w:b/>
          <w:sz w:val="24"/>
          <w:szCs w:val="24"/>
        </w:rPr>
      </w:pPr>
    </w:p>
    <w:p w14:paraId="6F4D4904" w14:textId="02F713DF" w:rsidR="00500F13" w:rsidRDefault="00500F13">
      <w:pPr>
        <w:jc w:val="both"/>
        <w:rPr>
          <w:rFonts w:ascii="Times New Roman" w:eastAsia="Times New Roman" w:hAnsi="Times New Roman" w:cs="Times New Roman"/>
          <w:b/>
          <w:sz w:val="24"/>
          <w:szCs w:val="24"/>
        </w:rPr>
      </w:pPr>
    </w:p>
    <w:p w14:paraId="5BC1F766" w14:textId="3B3CF666" w:rsidR="00500F13" w:rsidRDefault="00500F13">
      <w:pPr>
        <w:jc w:val="both"/>
        <w:rPr>
          <w:rFonts w:ascii="Times New Roman" w:eastAsia="Times New Roman" w:hAnsi="Times New Roman" w:cs="Times New Roman"/>
          <w:b/>
          <w:sz w:val="24"/>
          <w:szCs w:val="24"/>
        </w:rPr>
      </w:pPr>
    </w:p>
    <w:p w14:paraId="2CC57894" w14:textId="2EAF9138" w:rsidR="00500F13" w:rsidRDefault="00500F13">
      <w:pPr>
        <w:jc w:val="both"/>
        <w:rPr>
          <w:rFonts w:ascii="Times New Roman" w:eastAsia="Times New Roman" w:hAnsi="Times New Roman" w:cs="Times New Roman"/>
          <w:b/>
          <w:sz w:val="24"/>
          <w:szCs w:val="24"/>
        </w:rPr>
      </w:pPr>
    </w:p>
    <w:p w14:paraId="2062E7D0" w14:textId="0D63E192" w:rsidR="00500F13" w:rsidRDefault="00500F13">
      <w:pPr>
        <w:jc w:val="both"/>
        <w:rPr>
          <w:rFonts w:ascii="Times New Roman" w:eastAsia="Times New Roman" w:hAnsi="Times New Roman" w:cs="Times New Roman"/>
          <w:b/>
          <w:sz w:val="24"/>
          <w:szCs w:val="24"/>
        </w:rPr>
      </w:pPr>
    </w:p>
    <w:p w14:paraId="4BD14AB2" w14:textId="372B7265" w:rsidR="00500F13" w:rsidRDefault="00500F13">
      <w:pPr>
        <w:jc w:val="both"/>
        <w:rPr>
          <w:rFonts w:ascii="Times New Roman" w:eastAsia="Times New Roman" w:hAnsi="Times New Roman" w:cs="Times New Roman"/>
          <w:b/>
          <w:sz w:val="24"/>
          <w:szCs w:val="24"/>
        </w:rPr>
      </w:pPr>
    </w:p>
    <w:p w14:paraId="18D05D78" w14:textId="0C9E70BB" w:rsidR="00500F13" w:rsidRDefault="00500F13">
      <w:pPr>
        <w:jc w:val="both"/>
        <w:rPr>
          <w:rFonts w:ascii="Times New Roman" w:eastAsia="Times New Roman" w:hAnsi="Times New Roman" w:cs="Times New Roman"/>
          <w:b/>
          <w:sz w:val="24"/>
          <w:szCs w:val="24"/>
        </w:rPr>
      </w:pPr>
    </w:p>
    <w:p w14:paraId="6DDC6CB6" w14:textId="5627E1D3" w:rsidR="00500F13" w:rsidRDefault="006B5739" w:rsidP="006B5739">
      <w:pPr>
        <w:pStyle w:val="Heading1"/>
        <w:rPr>
          <w:rFonts w:ascii="Times New Roman" w:eastAsia="Times New Roman" w:hAnsi="Times New Roman" w:cs="Times New Roman"/>
          <w:b/>
          <w:bCs/>
          <w:sz w:val="24"/>
          <w:szCs w:val="24"/>
        </w:rPr>
      </w:pPr>
      <w:bookmarkStart w:id="182" w:name="_Toc210744275"/>
      <w:r>
        <w:rPr>
          <w:noProof/>
        </w:rPr>
        <w:lastRenderedPageBreak/>
        <w:drawing>
          <wp:anchor distT="0" distB="0" distL="114300" distR="114300" simplePos="0" relativeHeight="251760640" behindDoc="0" locked="0" layoutInCell="1" allowOverlap="1" wp14:anchorId="6274D8B3" wp14:editId="06D5E110">
            <wp:simplePos x="0" y="0"/>
            <wp:positionH relativeFrom="margin">
              <wp:posOffset>-744220</wp:posOffset>
            </wp:positionH>
            <wp:positionV relativeFrom="margin">
              <wp:posOffset>285750</wp:posOffset>
            </wp:positionV>
            <wp:extent cx="6172200" cy="812876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8128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4"/>
          <w:szCs w:val="24"/>
        </w:rPr>
        <w:t>TURNITIN SIMILARITY RESULTS</w:t>
      </w:r>
      <w:bookmarkEnd w:id="182"/>
    </w:p>
    <w:p w14:paraId="0872CA38" w14:textId="316F3166" w:rsidR="006B5739" w:rsidRPr="009801CB" w:rsidRDefault="009801CB" w:rsidP="009801CB">
      <w:pPr>
        <w:pStyle w:val="Heading1"/>
        <w:spacing w:before="0"/>
        <w:rPr>
          <w:rFonts w:ascii="Times New Roman" w:hAnsi="Times New Roman" w:cs="Times New Roman"/>
          <w:b/>
          <w:bCs/>
          <w:sz w:val="24"/>
          <w:szCs w:val="24"/>
        </w:rPr>
      </w:pPr>
      <w:bookmarkStart w:id="183" w:name="_Toc210744276"/>
      <w:r>
        <w:rPr>
          <w:noProof/>
        </w:rPr>
        <w:lastRenderedPageBreak/>
        <w:drawing>
          <wp:anchor distT="0" distB="0" distL="114300" distR="114300" simplePos="0" relativeHeight="251761664" behindDoc="0" locked="0" layoutInCell="1" allowOverlap="1" wp14:anchorId="282D5B82" wp14:editId="30CCE5B5">
            <wp:simplePos x="0" y="0"/>
            <wp:positionH relativeFrom="column">
              <wp:posOffset>-316230</wp:posOffset>
            </wp:positionH>
            <wp:positionV relativeFrom="paragraph">
              <wp:posOffset>236220</wp:posOffset>
            </wp:positionV>
            <wp:extent cx="5547572" cy="7920000"/>
            <wp:effectExtent l="0" t="0" r="0" b="5080"/>
            <wp:wrapSquare wrapText="bothSides"/>
            <wp:docPr id="1195967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42334" t="9676" r="22136" b="9169"/>
                    <a:stretch>
                      <a:fillRect/>
                    </a:stretch>
                  </pic:blipFill>
                  <pic:spPr bwMode="auto">
                    <a:xfrm>
                      <a:off x="0" y="0"/>
                      <a:ext cx="5547572" cy="79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739">
        <w:rPr>
          <w:rFonts w:ascii="Times New Roman" w:hAnsi="Times New Roman" w:cs="Times New Roman"/>
          <w:b/>
          <w:bCs/>
          <w:sz w:val="24"/>
          <w:szCs w:val="24"/>
        </w:rPr>
        <w:t>PROPOSAL SEMINAR CORRECTION SHEET</w:t>
      </w:r>
      <w:bookmarkEnd w:id="183"/>
    </w:p>
    <w:p w14:paraId="58BDD8D2" w14:textId="2825DF4A" w:rsidR="009801CB" w:rsidRPr="009801CB" w:rsidRDefault="009801CB" w:rsidP="009801CB">
      <w:pPr>
        <w:pStyle w:val="Heading1"/>
        <w:rPr>
          <w:rFonts w:ascii="Times New Roman" w:hAnsi="Times New Roman" w:cs="Times New Roman"/>
          <w:b/>
          <w:bCs/>
          <w:sz w:val="24"/>
          <w:szCs w:val="24"/>
        </w:rPr>
      </w:pPr>
      <w:bookmarkStart w:id="184" w:name="_Toc210744277"/>
      <w:r>
        <w:rPr>
          <w:noProof/>
        </w:rPr>
        <w:lastRenderedPageBreak/>
        <w:drawing>
          <wp:anchor distT="0" distB="0" distL="114300" distR="114300" simplePos="0" relativeHeight="251763712" behindDoc="0" locked="0" layoutInCell="1" allowOverlap="1" wp14:anchorId="15FCAC3D" wp14:editId="2911BA54">
            <wp:simplePos x="0" y="0"/>
            <wp:positionH relativeFrom="column">
              <wp:posOffset>-334645</wp:posOffset>
            </wp:positionH>
            <wp:positionV relativeFrom="paragraph">
              <wp:posOffset>230505</wp:posOffset>
            </wp:positionV>
            <wp:extent cx="5547600" cy="7920000"/>
            <wp:effectExtent l="0" t="0" r="0" b="5080"/>
            <wp:wrapSquare wrapText="bothSides"/>
            <wp:docPr id="178482908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41388" t="11187" r="22137" b="8083"/>
                    <a:stretch>
                      <a:fillRect/>
                    </a:stretch>
                  </pic:blipFill>
                  <pic:spPr bwMode="auto">
                    <a:xfrm>
                      <a:off x="0" y="0"/>
                      <a:ext cx="5547600" cy="79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739">
        <w:rPr>
          <w:rFonts w:ascii="Times New Roman" w:hAnsi="Times New Roman" w:cs="Times New Roman"/>
          <w:b/>
          <w:bCs/>
          <w:sz w:val="24"/>
          <w:szCs w:val="24"/>
        </w:rPr>
        <w:t>RESULT SEMINAR CORRECTION SHEET</w:t>
      </w:r>
      <w:bookmarkEnd w:id="184"/>
    </w:p>
    <w:sectPr w:rsidR="009801CB" w:rsidRPr="009801CB">
      <w:footerReference w:type="default" r:id="rId71"/>
      <w:footerReference w:type="first" r:id="rId72"/>
      <w:pgSz w:w="11906" w:h="16838"/>
      <w:pgMar w:top="2268" w:right="1701" w:bottom="1701" w:left="2268" w:header="720"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B68C7" w14:textId="77777777" w:rsidR="004B2036" w:rsidRDefault="004B2036">
      <w:pPr>
        <w:spacing w:line="240" w:lineRule="auto"/>
      </w:pPr>
      <w:r>
        <w:separator/>
      </w:r>
    </w:p>
  </w:endnote>
  <w:endnote w:type="continuationSeparator" w:id="0">
    <w:p w14:paraId="6F7AC14A" w14:textId="77777777" w:rsidR="004B2036" w:rsidRDefault="004B20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8A1D" w14:textId="2C452DD1" w:rsidR="00153781"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30E3F">
      <w:rPr>
        <w:noProof/>
        <w:color w:val="000000"/>
      </w:rPr>
      <w:t>ii</w:t>
    </w:r>
    <w:r>
      <w:rPr>
        <w:color w:val="000000"/>
      </w:rPr>
      <w:fldChar w:fldCharType="end"/>
    </w:r>
  </w:p>
  <w:p w14:paraId="4B4A53D9" w14:textId="77777777" w:rsidR="00153781" w:rsidRDefault="00153781">
    <w:pPr>
      <w:jc w:val="center"/>
      <w:rPr>
        <w:rFonts w:ascii="Times New Roman" w:eastAsia="Times New Roman" w:hAnsi="Times New Roman" w:cs="Times New Roman"/>
        <w:sz w:val="28"/>
        <w:szCs w:val="2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7297" w14:textId="23B099D9" w:rsidR="00153781"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80E14">
      <w:rPr>
        <w:rFonts w:ascii="Times New Roman" w:eastAsia="Times New Roman" w:hAnsi="Times New Roman" w:cs="Times New Roman"/>
        <w:noProof/>
        <w:color w:val="000000"/>
        <w:sz w:val="24"/>
        <w:szCs w:val="24"/>
      </w:rPr>
      <w:t>47</w:t>
    </w:r>
    <w:r>
      <w:rPr>
        <w:rFonts w:ascii="Times New Roman" w:eastAsia="Times New Roman" w:hAnsi="Times New Roman" w:cs="Times New Roman"/>
        <w:color w:val="000000"/>
        <w:sz w:val="24"/>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588C"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p w14:paraId="0969ABE2"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404E" w14:textId="490AE3F0" w:rsidR="00153781"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80E14">
      <w:rPr>
        <w:rFonts w:ascii="Times New Roman" w:eastAsia="Times New Roman" w:hAnsi="Times New Roman" w:cs="Times New Roman"/>
        <w:noProof/>
        <w:color w:val="000000"/>
        <w:sz w:val="24"/>
        <w:szCs w:val="24"/>
      </w:rPr>
      <w:t>62</w:t>
    </w:r>
    <w:r>
      <w:rPr>
        <w:rFonts w:ascii="Times New Roman" w:eastAsia="Times New Roman" w:hAnsi="Times New Roman" w:cs="Times New Roman"/>
        <w:color w:val="000000"/>
        <w:sz w:val="24"/>
        <w:szCs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F637"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473653"/>
      <w:docPartObj>
        <w:docPartGallery w:val="Page Numbers (Bottom of Page)"/>
        <w:docPartUnique/>
      </w:docPartObj>
    </w:sdtPr>
    <w:sdtEndPr>
      <w:rPr>
        <w:rFonts w:ascii="Times New Roman" w:hAnsi="Times New Roman" w:cs="Times New Roman"/>
        <w:noProof/>
        <w:sz w:val="24"/>
        <w:szCs w:val="24"/>
      </w:rPr>
    </w:sdtEndPr>
    <w:sdtContent>
      <w:p w14:paraId="74F7B212" w14:textId="36D067E1" w:rsidR="00153781" w:rsidRPr="00FB7ED7" w:rsidRDefault="00FB7ED7" w:rsidP="00FB7ED7">
        <w:pPr>
          <w:pStyle w:val="Footer"/>
          <w:jc w:val="center"/>
          <w:rPr>
            <w:rFonts w:ascii="Times New Roman" w:hAnsi="Times New Roman" w:cs="Times New Roman"/>
            <w:sz w:val="24"/>
            <w:szCs w:val="24"/>
          </w:rPr>
        </w:pPr>
        <w:r w:rsidRPr="00FB7ED7">
          <w:rPr>
            <w:rFonts w:ascii="Times New Roman" w:hAnsi="Times New Roman" w:cs="Times New Roman"/>
            <w:sz w:val="24"/>
            <w:szCs w:val="24"/>
          </w:rPr>
          <w:fldChar w:fldCharType="begin"/>
        </w:r>
        <w:r w:rsidRPr="00FB7ED7">
          <w:rPr>
            <w:rFonts w:ascii="Times New Roman" w:hAnsi="Times New Roman" w:cs="Times New Roman"/>
            <w:sz w:val="24"/>
            <w:szCs w:val="24"/>
          </w:rPr>
          <w:instrText xml:space="preserve"> PAGE   \* MERGEFORMAT </w:instrText>
        </w:r>
        <w:r w:rsidRPr="00FB7ED7">
          <w:rPr>
            <w:rFonts w:ascii="Times New Roman" w:hAnsi="Times New Roman" w:cs="Times New Roman"/>
            <w:sz w:val="24"/>
            <w:szCs w:val="24"/>
          </w:rPr>
          <w:fldChar w:fldCharType="separate"/>
        </w:r>
        <w:r w:rsidRPr="00FB7ED7">
          <w:rPr>
            <w:rFonts w:ascii="Times New Roman" w:hAnsi="Times New Roman" w:cs="Times New Roman"/>
            <w:noProof/>
            <w:sz w:val="24"/>
            <w:szCs w:val="24"/>
          </w:rPr>
          <w:t>2</w:t>
        </w:r>
        <w:r w:rsidRPr="00FB7ED7">
          <w:rPr>
            <w:rFonts w:ascii="Times New Roman" w:hAnsi="Times New Roman" w:cs="Times New Roman"/>
            <w:noProof/>
            <w:sz w:val="24"/>
            <w:szCs w:val="24"/>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9AA9"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F0B25"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p w14:paraId="049B675B" w14:textId="77777777" w:rsidR="00153781" w:rsidRDefault="00153781">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66ED"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A39B" w14:textId="77777777" w:rsidR="00153781" w:rsidRDefault="00153781">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p>
  <w:p w14:paraId="482D62D3" w14:textId="77777777" w:rsidR="00153781" w:rsidRDefault="00153781">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151" w14:textId="77777777" w:rsidR="00153781" w:rsidRDefault="00153781">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942513"/>
      <w:docPartObj>
        <w:docPartGallery w:val="Page Numbers (Bottom of Page)"/>
        <w:docPartUnique/>
      </w:docPartObj>
    </w:sdtPr>
    <w:sdtEndPr>
      <w:rPr>
        <w:rFonts w:ascii="Times New Roman" w:hAnsi="Times New Roman" w:cs="Times New Roman"/>
        <w:noProof/>
        <w:sz w:val="24"/>
        <w:szCs w:val="24"/>
      </w:rPr>
    </w:sdtEndPr>
    <w:sdtContent>
      <w:p w14:paraId="08EEF105" w14:textId="704CAD09" w:rsidR="00153781" w:rsidRPr="00B023B1" w:rsidRDefault="00B023B1" w:rsidP="00B023B1">
        <w:pPr>
          <w:pStyle w:val="Footer"/>
          <w:jc w:val="center"/>
          <w:rPr>
            <w:rFonts w:ascii="Times New Roman" w:hAnsi="Times New Roman" w:cs="Times New Roman"/>
            <w:sz w:val="24"/>
            <w:szCs w:val="24"/>
          </w:rPr>
        </w:pPr>
        <w:r w:rsidRPr="00B023B1">
          <w:rPr>
            <w:rFonts w:ascii="Times New Roman" w:hAnsi="Times New Roman" w:cs="Times New Roman"/>
            <w:sz w:val="24"/>
            <w:szCs w:val="24"/>
          </w:rPr>
          <w:fldChar w:fldCharType="begin"/>
        </w:r>
        <w:r w:rsidRPr="00B023B1">
          <w:rPr>
            <w:rFonts w:ascii="Times New Roman" w:hAnsi="Times New Roman" w:cs="Times New Roman"/>
            <w:sz w:val="24"/>
            <w:szCs w:val="24"/>
          </w:rPr>
          <w:instrText xml:space="preserve"> PAGE   \* MERGEFORMAT </w:instrText>
        </w:r>
        <w:r w:rsidRPr="00B023B1">
          <w:rPr>
            <w:rFonts w:ascii="Times New Roman" w:hAnsi="Times New Roman" w:cs="Times New Roman"/>
            <w:sz w:val="24"/>
            <w:szCs w:val="24"/>
          </w:rPr>
          <w:fldChar w:fldCharType="separate"/>
        </w:r>
        <w:r w:rsidRPr="00B023B1">
          <w:rPr>
            <w:rFonts w:ascii="Times New Roman" w:hAnsi="Times New Roman" w:cs="Times New Roman"/>
            <w:noProof/>
            <w:sz w:val="24"/>
            <w:szCs w:val="24"/>
          </w:rPr>
          <w:t>2</w:t>
        </w:r>
        <w:r w:rsidRPr="00B023B1">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718387"/>
      <w:docPartObj>
        <w:docPartGallery w:val="Page Numbers (Bottom of Page)"/>
        <w:docPartUnique/>
      </w:docPartObj>
    </w:sdtPr>
    <w:sdtEndPr>
      <w:rPr>
        <w:rFonts w:ascii="Times New Roman" w:hAnsi="Times New Roman" w:cs="Times New Roman"/>
        <w:noProof/>
        <w:sz w:val="24"/>
        <w:szCs w:val="24"/>
      </w:rPr>
    </w:sdtEndPr>
    <w:sdtContent>
      <w:p w14:paraId="4E90F77A" w14:textId="25C74AEE" w:rsidR="00153781" w:rsidRPr="00D324E7" w:rsidRDefault="00D324E7" w:rsidP="00D324E7">
        <w:pPr>
          <w:pStyle w:val="Footer"/>
          <w:jc w:val="center"/>
          <w:rPr>
            <w:rFonts w:ascii="Times New Roman" w:hAnsi="Times New Roman" w:cs="Times New Roman"/>
            <w:sz w:val="24"/>
            <w:szCs w:val="24"/>
          </w:rPr>
        </w:pPr>
        <w:r w:rsidRPr="00D324E7">
          <w:rPr>
            <w:rFonts w:ascii="Times New Roman" w:hAnsi="Times New Roman" w:cs="Times New Roman"/>
            <w:sz w:val="24"/>
            <w:szCs w:val="24"/>
          </w:rPr>
          <w:fldChar w:fldCharType="begin"/>
        </w:r>
        <w:r w:rsidRPr="00D324E7">
          <w:rPr>
            <w:rFonts w:ascii="Times New Roman" w:hAnsi="Times New Roman" w:cs="Times New Roman"/>
            <w:sz w:val="24"/>
            <w:szCs w:val="24"/>
          </w:rPr>
          <w:instrText xml:space="preserve"> PAGE   \* MERGEFORMAT </w:instrText>
        </w:r>
        <w:r w:rsidRPr="00D324E7">
          <w:rPr>
            <w:rFonts w:ascii="Times New Roman" w:hAnsi="Times New Roman" w:cs="Times New Roman"/>
            <w:sz w:val="24"/>
            <w:szCs w:val="24"/>
          </w:rPr>
          <w:fldChar w:fldCharType="separate"/>
        </w:r>
        <w:r w:rsidRPr="00D324E7">
          <w:rPr>
            <w:rFonts w:ascii="Times New Roman" w:hAnsi="Times New Roman" w:cs="Times New Roman"/>
            <w:noProof/>
            <w:sz w:val="24"/>
            <w:szCs w:val="24"/>
          </w:rPr>
          <w:t>2</w:t>
        </w:r>
        <w:r w:rsidRPr="00D324E7">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340470"/>
      <w:docPartObj>
        <w:docPartGallery w:val="Page Numbers (Bottom of Page)"/>
        <w:docPartUnique/>
      </w:docPartObj>
    </w:sdtPr>
    <w:sdtEndPr>
      <w:rPr>
        <w:rFonts w:ascii="Times New Roman" w:hAnsi="Times New Roman" w:cs="Times New Roman"/>
        <w:noProof/>
        <w:sz w:val="24"/>
        <w:szCs w:val="24"/>
      </w:rPr>
    </w:sdtEndPr>
    <w:sdtContent>
      <w:p w14:paraId="7C18AA86" w14:textId="721FC349" w:rsidR="00153781" w:rsidRPr="00B023B1" w:rsidRDefault="00B023B1" w:rsidP="00B023B1">
        <w:pPr>
          <w:pStyle w:val="Footer"/>
          <w:jc w:val="center"/>
          <w:rPr>
            <w:rFonts w:ascii="Times New Roman" w:hAnsi="Times New Roman" w:cs="Times New Roman"/>
            <w:sz w:val="24"/>
            <w:szCs w:val="24"/>
          </w:rPr>
        </w:pPr>
        <w:r w:rsidRPr="00B023B1">
          <w:rPr>
            <w:rFonts w:ascii="Times New Roman" w:hAnsi="Times New Roman" w:cs="Times New Roman"/>
            <w:sz w:val="24"/>
            <w:szCs w:val="24"/>
          </w:rPr>
          <w:fldChar w:fldCharType="begin"/>
        </w:r>
        <w:r w:rsidRPr="00B023B1">
          <w:rPr>
            <w:rFonts w:ascii="Times New Roman" w:hAnsi="Times New Roman" w:cs="Times New Roman"/>
            <w:sz w:val="24"/>
            <w:szCs w:val="24"/>
          </w:rPr>
          <w:instrText xml:space="preserve"> PAGE   \* MERGEFORMAT </w:instrText>
        </w:r>
        <w:r w:rsidRPr="00B023B1">
          <w:rPr>
            <w:rFonts w:ascii="Times New Roman" w:hAnsi="Times New Roman" w:cs="Times New Roman"/>
            <w:sz w:val="24"/>
            <w:szCs w:val="24"/>
          </w:rPr>
          <w:fldChar w:fldCharType="separate"/>
        </w:r>
        <w:r w:rsidRPr="00B023B1">
          <w:rPr>
            <w:rFonts w:ascii="Times New Roman" w:hAnsi="Times New Roman" w:cs="Times New Roman"/>
            <w:noProof/>
            <w:sz w:val="24"/>
            <w:szCs w:val="24"/>
          </w:rPr>
          <w:t>2</w:t>
        </w:r>
        <w:r w:rsidRPr="00B023B1">
          <w:rPr>
            <w:rFonts w:ascii="Times New Roman" w:hAnsi="Times New Roman" w:cs="Times New Roman"/>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4986" w14:textId="77777777" w:rsidR="00153781"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992475"/>
      <w:docPartObj>
        <w:docPartGallery w:val="Page Numbers (Bottom of Page)"/>
        <w:docPartUnique/>
      </w:docPartObj>
    </w:sdtPr>
    <w:sdtEndPr>
      <w:rPr>
        <w:noProof/>
      </w:rPr>
    </w:sdtEndPr>
    <w:sdtContent>
      <w:p w14:paraId="2D6D5C84" w14:textId="1E909301" w:rsidR="00153781" w:rsidRPr="00D324E7" w:rsidRDefault="00D324E7" w:rsidP="00D324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BE8F" w14:textId="77777777" w:rsidR="00153781" w:rsidRDefault="00153781">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6916" w14:textId="4BDE494A" w:rsidR="00153781" w:rsidRDefault="00000000">
    <w:pPr>
      <w:pBdr>
        <w:top w:val="nil"/>
        <w:left w:val="nil"/>
        <w:bottom w:val="nil"/>
        <w:right w:val="nil"/>
        <w:between w:val="nil"/>
      </w:pBdr>
      <w:tabs>
        <w:tab w:val="center" w:pos="4680"/>
        <w:tab w:val="right" w:pos="936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80E14">
      <w:rPr>
        <w:rFonts w:ascii="Times New Roman" w:eastAsia="Times New Roman" w:hAnsi="Times New Roman" w:cs="Times New Roman"/>
        <w:noProof/>
        <w:color w:val="000000"/>
      </w:rPr>
      <w:t>14</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09C9A" w14:textId="77777777" w:rsidR="004B2036" w:rsidRDefault="004B2036">
      <w:pPr>
        <w:spacing w:line="240" w:lineRule="auto"/>
      </w:pPr>
      <w:r>
        <w:separator/>
      </w:r>
    </w:p>
  </w:footnote>
  <w:footnote w:type="continuationSeparator" w:id="0">
    <w:p w14:paraId="63C234F4" w14:textId="77777777" w:rsidR="004B2036" w:rsidRDefault="004B20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DDF59"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p w14:paraId="6E1E180C" w14:textId="77777777" w:rsidR="00153781" w:rsidRDefault="00153781">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DB630"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EC704"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p w14:paraId="5495B034" w14:textId="77777777" w:rsidR="00153781" w:rsidRDefault="00153781">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AD90"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p w14:paraId="5A9D1207" w14:textId="77777777" w:rsidR="00153781" w:rsidRDefault="00153781">
    <w:pPr>
      <w:pBdr>
        <w:top w:val="nil"/>
        <w:left w:val="nil"/>
        <w:bottom w:val="nil"/>
        <w:right w:val="nil"/>
        <w:between w:val="nil"/>
      </w:pBdr>
      <w:tabs>
        <w:tab w:val="center" w:pos="4680"/>
        <w:tab w:val="right" w:pos="9360"/>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C058"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p w14:paraId="0721C863" w14:textId="77777777" w:rsidR="00153781"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FFFFFF"/>
      </w:rPr>
    </w:pPr>
    <w:r>
      <w:rPr>
        <w:rFonts w:ascii="Times New Roman" w:eastAsia="Times New Roman" w:hAnsi="Times New Roman" w:cs="Times New Roman"/>
        <w:color w:val="FFFFFF"/>
      </w:rP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A1BF" w14:textId="63C8CA5A" w:rsidR="00B023B1" w:rsidRDefault="00B023B1">
    <w:pPr>
      <w:pStyle w:val="Header"/>
      <w:jc w:val="center"/>
    </w:pPr>
  </w:p>
  <w:p w14:paraId="168C5DB0" w14:textId="77777777" w:rsidR="00153781" w:rsidRDefault="00153781">
    <w:pPr>
      <w:pBdr>
        <w:top w:val="nil"/>
        <w:left w:val="nil"/>
        <w:bottom w:val="nil"/>
        <w:right w:val="nil"/>
        <w:between w:val="nil"/>
      </w:pBdr>
      <w:tabs>
        <w:tab w:val="center" w:pos="4680"/>
        <w:tab w:val="right" w:pos="9360"/>
      </w:tabs>
      <w:spacing w:line="240" w:lineRule="auto"/>
      <w:jc w:val="righ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C59F" w14:textId="29AE6DA2" w:rsidR="00153781"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80E14">
      <w:rPr>
        <w:rFonts w:ascii="Times New Roman" w:eastAsia="Times New Roman" w:hAnsi="Times New Roman" w:cs="Times New Roman"/>
        <w:noProof/>
        <w:color w:val="000000"/>
        <w:sz w:val="24"/>
        <w:szCs w:val="24"/>
      </w:rPr>
      <w:t>15</w:t>
    </w:r>
    <w:r>
      <w:rPr>
        <w:rFonts w:ascii="Times New Roman" w:eastAsia="Times New Roman" w:hAnsi="Times New Roman" w:cs="Times New Roman"/>
        <w:color w:val="000000"/>
        <w:sz w:val="24"/>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3D7F" w14:textId="76B4BC18" w:rsidR="00153781"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80E14">
      <w:rPr>
        <w:rFonts w:ascii="Times New Roman" w:eastAsia="Times New Roman" w:hAnsi="Times New Roman" w:cs="Times New Roman"/>
        <w:noProof/>
        <w:color w:val="000000"/>
        <w:sz w:val="24"/>
        <w:szCs w:val="24"/>
      </w:rPr>
      <w:t>102</w:t>
    </w:r>
    <w:r>
      <w:rPr>
        <w:rFonts w:ascii="Times New Roman" w:eastAsia="Times New Roman" w:hAnsi="Times New Roman" w:cs="Times New Roman"/>
        <w:color w:val="000000"/>
        <w:sz w:val="24"/>
        <w:szCs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9924" w14:textId="437B929F" w:rsidR="00153781"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80E14">
      <w:rPr>
        <w:rFonts w:ascii="Times New Roman" w:eastAsia="Times New Roman" w:hAnsi="Times New Roman" w:cs="Times New Roman"/>
        <w:noProof/>
        <w:color w:val="000000"/>
        <w:sz w:val="24"/>
        <w:szCs w:val="24"/>
      </w:rPr>
      <w:t>101</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19A5"/>
    <w:multiLevelType w:val="multilevel"/>
    <w:tmpl w:val="19A8AEC2"/>
    <w:lvl w:ilvl="0">
      <w:numFmt w:val="lowerLetter"/>
      <w:lvlText w:val="%1."/>
      <w:lvlJc w:val="left"/>
      <w:pPr>
        <w:ind w:left="720" w:hanging="360"/>
      </w:pPr>
      <w:rPr>
        <w:b/>
        <w:i w:val="0"/>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EE6F34"/>
    <w:multiLevelType w:val="multilevel"/>
    <w:tmpl w:val="BD76C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6C22AF"/>
    <w:multiLevelType w:val="multilevel"/>
    <w:tmpl w:val="A0F2FFA8"/>
    <w:lvl w:ilvl="0">
      <w:start w:val="2"/>
      <w:numFmt w:val="lowerLetter"/>
      <w:lvlText w:val="%1."/>
      <w:lvlJc w:val="left"/>
      <w:pPr>
        <w:ind w:left="720" w:hanging="360"/>
      </w:pPr>
      <w:rPr>
        <w:i w:val="0"/>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907329"/>
    <w:multiLevelType w:val="multilevel"/>
    <w:tmpl w:val="9E5E2B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65C074E"/>
    <w:multiLevelType w:val="multilevel"/>
    <w:tmpl w:val="B5C2492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7194E4E"/>
    <w:multiLevelType w:val="multilevel"/>
    <w:tmpl w:val="A0E86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AF2D71"/>
    <w:multiLevelType w:val="multilevel"/>
    <w:tmpl w:val="F72AAB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0C14A72"/>
    <w:multiLevelType w:val="multilevel"/>
    <w:tmpl w:val="9A3ED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B8A0043"/>
    <w:multiLevelType w:val="multilevel"/>
    <w:tmpl w:val="6EF41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BAB7B8C"/>
    <w:multiLevelType w:val="multilevel"/>
    <w:tmpl w:val="133C5D76"/>
    <w:lvl w:ilvl="0">
      <w:start w:val="3"/>
      <w:numFmt w:val="lowerLetter"/>
      <w:lvlText w:val="%1."/>
      <w:lvlJc w:val="left"/>
      <w:pPr>
        <w:ind w:left="720" w:hanging="360"/>
      </w:pPr>
      <w:rPr>
        <w:i w:val="0"/>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8460C1B"/>
    <w:multiLevelType w:val="multilevel"/>
    <w:tmpl w:val="2A02D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0153105"/>
    <w:multiLevelType w:val="multilevel"/>
    <w:tmpl w:val="78F82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92B4381"/>
    <w:multiLevelType w:val="multilevel"/>
    <w:tmpl w:val="FB3A9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6856A67"/>
    <w:multiLevelType w:val="multilevel"/>
    <w:tmpl w:val="6C404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58462B1D"/>
    <w:multiLevelType w:val="multilevel"/>
    <w:tmpl w:val="5DE8E0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8C82A5E"/>
    <w:multiLevelType w:val="multilevel"/>
    <w:tmpl w:val="0CEC0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7446C52"/>
    <w:multiLevelType w:val="multilevel"/>
    <w:tmpl w:val="CD6086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3637E8C"/>
    <w:multiLevelType w:val="multilevel"/>
    <w:tmpl w:val="7ACA03E4"/>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86221377">
    <w:abstractNumId w:val="15"/>
  </w:num>
  <w:num w:numId="2" w16cid:durableId="1323897015">
    <w:abstractNumId w:val="4"/>
  </w:num>
  <w:num w:numId="3" w16cid:durableId="1570967167">
    <w:abstractNumId w:val="11"/>
  </w:num>
  <w:num w:numId="4" w16cid:durableId="800148595">
    <w:abstractNumId w:val="8"/>
  </w:num>
  <w:num w:numId="5" w16cid:durableId="638538515">
    <w:abstractNumId w:val="6"/>
  </w:num>
  <w:num w:numId="6" w16cid:durableId="1575778398">
    <w:abstractNumId w:val="7"/>
  </w:num>
  <w:num w:numId="7" w16cid:durableId="2045788860">
    <w:abstractNumId w:val="3"/>
  </w:num>
  <w:num w:numId="8" w16cid:durableId="751899221">
    <w:abstractNumId w:val="10"/>
  </w:num>
  <w:num w:numId="9" w16cid:durableId="2030176642">
    <w:abstractNumId w:val="14"/>
  </w:num>
  <w:num w:numId="10" w16cid:durableId="1285698309">
    <w:abstractNumId w:val="17"/>
  </w:num>
  <w:num w:numId="11" w16cid:durableId="125465828">
    <w:abstractNumId w:val="0"/>
  </w:num>
  <w:num w:numId="12" w16cid:durableId="1157844971">
    <w:abstractNumId w:val="2"/>
  </w:num>
  <w:num w:numId="13" w16cid:durableId="1858351850">
    <w:abstractNumId w:val="9"/>
  </w:num>
  <w:num w:numId="14" w16cid:durableId="1100564642">
    <w:abstractNumId w:val="13"/>
  </w:num>
  <w:num w:numId="15" w16cid:durableId="2023314281">
    <w:abstractNumId w:val="5"/>
  </w:num>
  <w:num w:numId="16" w16cid:durableId="919413104">
    <w:abstractNumId w:val="1"/>
  </w:num>
  <w:num w:numId="17" w16cid:durableId="1100562882">
    <w:abstractNumId w:val="12"/>
  </w:num>
  <w:num w:numId="18" w16cid:durableId="195363067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781"/>
    <w:rsid w:val="00017231"/>
    <w:rsid w:val="00026F94"/>
    <w:rsid w:val="000C4186"/>
    <w:rsid w:val="00131738"/>
    <w:rsid w:val="00153781"/>
    <w:rsid w:val="001A1A34"/>
    <w:rsid w:val="001B7C52"/>
    <w:rsid w:val="00253EEA"/>
    <w:rsid w:val="002C140A"/>
    <w:rsid w:val="002D12C3"/>
    <w:rsid w:val="002E0B84"/>
    <w:rsid w:val="00303A6B"/>
    <w:rsid w:val="00310715"/>
    <w:rsid w:val="00341855"/>
    <w:rsid w:val="00345482"/>
    <w:rsid w:val="003F090B"/>
    <w:rsid w:val="00400B78"/>
    <w:rsid w:val="00402FAB"/>
    <w:rsid w:val="004320B0"/>
    <w:rsid w:val="00463009"/>
    <w:rsid w:val="004B2036"/>
    <w:rsid w:val="004E5C8A"/>
    <w:rsid w:val="00500F13"/>
    <w:rsid w:val="005257BE"/>
    <w:rsid w:val="00571E22"/>
    <w:rsid w:val="00580E14"/>
    <w:rsid w:val="005938B5"/>
    <w:rsid w:val="00646C1C"/>
    <w:rsid w:val="006654CE"/>
    <w:rsid w:val="00676C80"/>
    <w:rsid w:val="006808DB"/>
    <w:rsid w:val="006A0B61"/>
    <w:rsid w:val="006A6965"/>
    <w:rsid w:val="006B5739"/>
    <w:rsid w:val="006B7C4E"/>
    <w:rsid w:val="00700A0D"/>
    <w:rsid w:val="00775AE4"/>
    <w:rsid w:val="007E7CB6"/>
    <w:rsid w:val="0082052F"/>
    <w:rsid w:val="008462CB"/>
    <w:rsid w:val="0086647C"/>
    <w:rsid w:val="008A3945"/>
    <w:rsid w:val="008E0A64"/>
    <w:rsid w:val="008F04ED"/>
    <w:rsid w:val="0090039D"/>
    <w:rsid w:val="009801CB"/>
    <w:rsid w:val="009822C0"/>
    <w:rsid w:val="009C1C18"/>
    <w:rsid w:val="009D2052"/>
    <w:rsid w:val="00A73E9E"/>
    <w:rsid w:val="00AD449C"/>
    <w:rsid w:val="00AD6D10"/>
    <w:rsid w:val="00B023B1"/>
    <w:rsid w:val="00B037EA"/>
    <w:rsid w:val="00B20462"/>
    <w:rsid w:val="00B30E3F"/>
    <w:rsid w:val="00B46618"/>
    <w:rsid w:val="00B640C3"/>
    <w:rsid w:val="00B6434E"/>
    <w:rsid w:val="00B64F3D"/>
    <w:rsid w:val="00C716EA"/>
    <w:rsid w:val="00C95D6F"/>
    <w:rsid w:val="00C95EB8"/>
    <w:rsid w:val="00CA437D"/>
    <w:rsid w:val="00CD6299"/>
    <w:rsid w:val="00CF6F50"/>
    <w:rsid w:val="00D05F57"/>
    <w:rsid w:val="00D306D6"/>
    <w:rsid w:val="00D324E7"/>
    <w:rsid w:val="00DB71A5"/>
    <w:rsid w:val="00DB7797"/>
    <w:rsid w:val="00E040A6"/>
    <w:rsid w:val="00E06D74"/>
    <w:rsid w:val="00E3537D"/>
    <w:rsid w:val="00EE1C53"/>
    <w:rsid w:val="00EE4405"/>
    <w:rsid w:val="00F04372"/>
    <w:rsid w:val="00F229F0"/>
    <w:rsid w:val="00F6565B"/>
    <w:rsid w:val="00FB7ED7"/>
    <w:rsid w:val="00FD5B7D"/>
    <w:rsid w:val="00FE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C1BB3"/>
  <w15:docId w15:val="{4A914CFA-9E6C-4B53-91D9-788AD4B2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line="360" w:lineRule="auto"/>
      <w:outlineLvl w:val="1"/>
    </w:p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73209D"/>
    <w:rPr>
      <w:color w:val="808080"/>
    </w:rPr>
  </w:style>
  <w:style w:type="paragraph" w:styleId="NormalWeb">
    <w:name w:val="Normal (Web)"/>
    <w:basedOn w:val="Normal"/>
    <w:uiPriority w:val="99"/>
    <w:unhideWhenUsed/>
    <w:rsid w:val="003C357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83C3C"/>
    <w:rPr>
      <w:b/>
      <w:bCs/>
    </w:rPr>
  </w:style>
  <w:style w:type="table" w:styleId="TableGrid">
    <w:name w:val="Table Grid"/>
    <w:basedOn w:val="TableNormal"/>
    <w:uiPriority w:val="39"/>
    <w:rsid w:val="009B19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6C4F"/>
    <w:pPr>
      <w:tabs>
        <w:tab w:val="center" w:pos="4680"/>
        <w:tab w:val="right" w:pos="9360"/>
      </w:tabs>
      <w:spacing w:line="240" w:lineRule="auto"/>
    </w:pPr>
  </w:style>
  <w:style w:type="character" w:customStyle="1" w:styleId="HeaderChar">
    <w:name w:val="Header Char"/>
    <w:basedOn w:val="DefaultParagraphFont"/>
    <w:link w:val="Header"/>
    <w:uiPriority w:val="99"/>
    <w:rsid w:val="00886C4F"/>
  </w:style>
  <w:style w:type="paragraph" w:styleId="Footer">
    <w:name w:val="footer"/>
    <w:basedOn w:val="Normal"/>
    <w:link w:val="FooterChar"/>
    <w:uiPriority w:val="99"/>
    <w:unhideWhenUsed/>
    <w:rsid w:val="00886C4F"/>
    <w:pPr>
      <w:tabs>
        <w:tab w:val="center" w:pos="4680"/>
        <w:tab w:val="right" w:pos="9360"/>
      </w:tabs>
      <w:spacing w:line="240" w:lineRule="auto"/>
    </w:pPr>
  </w:style>
  <w:style w:type="character" w:customStyle="1" w:styleId="FooterChar">
    <w:name w:val="Footer Char"/>
    <w:basedOn w:val="DefaultParagraphFont"/>
    <w:link w:val="Footer"/>
    <w:uiPriority w:val="99"/>
    <w:rsid w:val="00886C4F"/>
  </w:style>
  <w:style w:type="paragraph" w:styleId="TOCHeading">
    <w:name w:val="TOC Heading"/>
    <w:basedOn w:val="Heading1"/>
    <w:next w:val="Normal"/>
    <w:uiPriority w:val="39"/>
    <w:unhideWhenUsed/>
    <w:qFormat/>
    <w:rsid w:val="00F22C7E"/>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026F94"/>
    <w:pPr>
      <w:tabs>
        <w:tab w:val="right" w:leader="dot" w:pos="7927"/>
      </w:tabs>
      <w:spacing w:after="100"/>
      <w:jc w:val="both"/>
    </w:pPr>
    <w:rPr>
      <w:rFonts w:ascii="Times New Roman" w:eastAsia="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580E14"/>
    <w:pPr>
      <w:tabs>
        <w:tab w:val="left" w:pos="993"/>
        <w:tab w:val="right" w:leader="dot" w:pos="7927"/>
      </w:tabs>
      <w:spacing w:after="100"/>
      <w:ind w:left="1134" w:hanging="567"/>
      <w:jc w:val="both"/>
    </w:pPr>
    <w:rPr>
      <w:rFonts w:ascii="Times New Roman" w:eastAsia="Times New Roman" w:hAnsi="Times New Roman" w:cs="Times New Roman"/>
      <w:b/>
      <w:bCs/>
      <w:noProof/>
      <w:sz w:val="24"/>
      <w:szCs w:val="24"/>
    </w:rPr>
  </w:style>
  <w:style w:type="paragraph" w:styleId="TOC3">
    <w:name w:val="toc 3"/>
    <w:basedOn w:val="Normal"/>
    <w:next w:val="Normal"/>
    <w:autoRedefine/>
    <w:uiPriority w:val="39"/>
    <w:unhideWhenUsed/>
    <w:rsid w:val="00026F94"/>
    <w:pPr>
      <w:tabs>
        <w:tab w:val="left" w:pos="1320"/>
        <w:tab w:val="left" w:pos="1418"/>
        <w:tab w:val="right" w:leader="dot" w:pos="7927"/>
      </w:tabs>
      <w:spacing w:after="100"/>
      <w:ind w:left="1560" w:hanging="567"/>
      <w:jc w:val="both"/>
    </w:pPr>
    <w:rPr>
      <w:rFonts w:ascii="Times New Roman" w:eastAsia="Times New Roman" w:hAnsi="Times New Roman" w:cs="Times New Roman"/>
      <w:noProof/>
      <w:color w:val="000000" w:themeColor="text1"/>
      <w:sz w:val="24"/>
      <w:szCs w:val="24"/>
    </w:rPr>
  </w:style>
  <w:style w:type="character" w:styleId="Hyperlink">
    <w:name w:val="Hyperlink"/>
    <w:basedOn w:val="DefaultParagraphFont"/>
    <w:uiPriority w:val="99"/>
    <w:unhideWhenUsed/>
    <w:rsid w:val="00F22C7E"/>
    <w:rPr>
      <w:color w:val="0000FF" w:themeColor="hyperlink"/>
      <w:u w:val="single"/>
    </w:rPr>
  </w:style>
  <w:style w:type="character" w:styleId="LineNumber">
    <w:name w:val="line number"/>
    <w:basedOn w:val="DefaultParagraphFont"/>
    <w:uiPriority w:val="99"/>
    <w:semiHidden/>
    <w:unhideWhenUsed/>
    <w:rsid w:val="00CF224E"/>
  </w:style>
  <w:style w:type="paragraph" w:styleId="Caption">
    <w:name w:val="caption"/>
    <w:basedOn w:val="Normal"/>
    <w:next w:val="Normal"/>
    <w:uiPriority w:val="35"/>
    <w:unhideWhenUsed/>
    <w:qFormat/>
    <w:rsid w:val="005C6CE8"/>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5C6CE8"/>
  </w:style>
  <w:style w:type="character" w:customStyle="1" w:styleId="Heading1Char">
    <w:name w:val="Heading 1 Char"/>
    <w:basedOn w:val="DefaultParagraphFont"/>
    <w:link w:val="Heading1"/>
    <w:uiPriority w:val="9"/>
    <w:rsid w:val="006C27FC"/>
    <w:rPr>
      <w:sz w:val="40"/>
      <w:szCs w:val="40"/>
    </w:rPr>
  </w:style>
  <w:style w:type="character" w:styleId="UnresolvedMention">
    <w:name w:val="Unresolved Mention"/>
    <w:basedOn w:val="DefaultParagraphFont"/>
    <w:uiPriority w:val="99"/>
    <w:semiHidden/>
    <w:unhideWhenUsed/>
    <w:rsid w:val="00767CB4"/>
    <w:rPr>
      <w:color w:val="605E5C"/>
      <w:shd w:val="clear" w:color="auto" w:fill="E1DFDD"/>
    </w:rPr>
  </w:style>
  <w:style w:type="character" w:customStyle="1" w:styleId="apple-tab-span">
    <w:name w:val="apple-tab-span"/>
    <w:basedOn w:val="DefaultParagraphFont"/>
    <w:rsid w:val="00B7321C"/>
  </w:style>
  <w:style w:type="character" w:customStyle="1" w:styleId="Heading2Char">
    <w:name w:val="Heading 2 Char"/>
    <w:basedOn w:val="DefaultParagraphFont"/>
    <w:link w:val="Heading2"/>
    <w:uiPriority w:val="9"/>
    <w:rsid w:val="00310733"/>
  </w:style>
  <w:style w:type="character" w:customStyle="1" w:styleId="Heading3Char">
    <w:name w:val="Heading 3 Char"/>
    <w:basedOn w:val="DefaultParagraphFont"/>
    <w:link w:val="Heading3"/>
    <w:uiPriority w:val="9"/>
    <w:rsid w:val="00310733"/>
    <w:rPr>
      <w:color w:val="434343"/>
      <w:sz w:val="28"/>
      <w:szCs w:val="28"/>
    </w:rPr>
  </w:style>
  <w:style w:type="character" w:customStyle="1" w:styleId="Heading4Char">
    <w:name w:val="Heading 4 Char"/>
    <w:basedOn w:val="DefaultParagraphFont"/>
    <w:link w:val="Heading4"/>
    <w:uiPriority w:val="9"/>
    <w:rsid w:val="00310733"/>
    <w:rPr>
      <w:color w:val="666666"/>
      <w:sz w:val="24"/>
      <w:szCs w:val="24"/>
    </w:rPr>
  </w:style>
  <w:style w:type="paragraph" w:customStyle="1" w:styleId="msonormal0">
    <w:name w:val="msonormal"/>
    <w:basedOn w:val="Normal"/>
    <w:rsid w:val="003107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310733"/>
    <w:rPr>
      <w:color w:val="800080"/>
      <w:u w:val="single"/>
    </w:rPr>
  </w:style>
  <w:style w:type="character" w:styleId="Emphasis">
    <w:name w:val="Emphasis"/>
    <w:basedOn w:val="DefaultParagraphFont"/>
    <w:uiPriority w:val="20"/>
    <w:qFormat/>
    <w:rsid w:val="004C3B85"/>
    <w:rPr>
      <w:i/>
      <w:iCs/>
    </w:rPr>
  </w:style>
  <w:style w:type="paragraph" w:styleId="ListParagraph">
    <w:name w:val="List Paragraph"/>
    <w:basedOn w:val="Normal"/>
    <w:uiPriority w:val="34"/>
    <w:qFormat/>
    <w:rsid w:val="001B09CF"/>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pPr>
      <w:spacing w:line="240" w:lineRule="auto"/>
    </w:pPr>
    <w:tblPr>
      <w:tblStyleRowBandSize w:val="1"/>
      <w:tblStyleColBandSize w:val="1"/>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053">
      <w:bodyDiv w:val="1"/>
      <w:marLeft w:val="0"/>
      <w:marRight w:val="0"/>
      <w:marTop w:val="0"/>
      <w:marBottom w:val="0"/>
      <w:divBdr>
        <w:top w:val="none" w:sz="0" w:space="0" w:color="auto"/>
        <w:left w:val="none" w:sz="0" w:space="0" w:color="auto"/>
        <w:bottom w:val="none" w:sz="0" w:space="0" w:color="auto"/>
        <w:right w:val="none" w:sz="0" w:space="0" w:color="auto"/>
      </w:divBdr>
    </w:div>
    <w:div w:id="47921715">
      <w:bodyDiv w:val="1"/>
      <w:marLeft w:val="0"/>
      <w:marRight w:val="0"/>
      <w:marTop w:val="0"/>
      <w:marBottom w:val="0"/>
      <w:divBdr>
        <w:top w:val="none" w:sz="0" w:space="0" w:color="auto"/>
        <w:left w:val="none" w:sz="0" w:space="0" w:color="auto"/>
        <w:bottom w:val="none" w:sz="0" w:space="0" w:color="auto"/>
        <w:right w:val="none" w:sz="0" w:space="0" w:color="auto"/>
      </w:divBdr>
    </w:div>
    <w:div w:id="166794891">
      <w:bodyDiv w:val="1"/>
      <w:marLeft w:val="0"/>
      <w:marRight w:val="0"/>
      <w:marTop w:val="0"/>
      <w:marBottom w:val="0"/>
      <w:divBdr>
        <w:top w:val="none" w:sz="0" w:space="0" w:color="auto"/>
        <w:left w:val="none" w:sz="0" w:space="0" w:color="auto"/>
        <w:bottom w:val="none" w:sz="0" w:space="0" w:color="auto"/>
        <w:right w:val="none" w:sz="0" w:space="0" w:color="auto"/>
      </w:divBdr>
    </w:div>
    <w:div w:id="183323221">
      <w:bodyDiv w:val="1"/>
      <w:marLeft w:val="0"/>
      <w:marRight w:val="0"/>
      <w:marTop w:val="0"/>
      <w:marBottom w:val="0"/>
      <w:divBdr>
        <w:top w:val="none" w:sz="0" w:space="0" w:color="auto"/>
        <w:left w:val="none" w:sz="0" w:space="0" w:color="auto"/>
        <w:bottom w:val="none" w:sz="0" w:space="0" w:color="auto"/>
        <w:right w:val="none" w:sz="0" w:space="0" w:color="auto"/>
      </w:divBdr>
    </w:div>
    <w:div w:id="239796493">
      <w:bodyDiv w:val="1"/>
      <w:marLeft w:val="0"/>
      <w:marRight w:val="0"/>
      <w:marTop w:val="0"/>
      <w:marBottom w:val="0"/>
      <w:divBdr>
        <w:top w:val="none" w:sz="0" w:space="0" w:color="auto"/>
        <w:left w:val="none" w:sz="0" w:space="0" w:color="auto"/>
        <w:bottom w:val="none" w:sz="0" w:space="0" w:color="auto"/>
        <w:right w:val="none" w:sz="0" w:space="0" w:color="auto"/>
      </w:divBdr>
    </w:div>
    <w:div w:id="299044994">
      <w:bodyDiv w:val="1"/>
      <w:marLeft w:val="0"/>
      <w:marRight w:val="0"/>
      <w:marTop w:val="0"/>
      <w:marBottom w:val="0"/>
      <w:divBdr>
        <w:top w:val="none" w:sz="0" w:space="0" w:color="auto"/>
        <w:left w:val="none" w:sz="0" w:space="0" w:color="auto"/>
        <w:bottom w:val="none" w:sz="0" w:space="0" w:color="auto"/>
        <w:right w:val="none" w:sz="0" w:space="0" w:color="auto"/>
      </w:divBdr>
    </w:div>
    <w:div w:id="329068669">
      <w:bodyDiv w:val="1"/>
      <w:marLeft w:val="0"/>
      <w:marRight w:val="0"/>
      <w:marTop w:val="0"/>
      <w:marBottom w:val="0"/>
      <w:divBdr>
        <w:top w:val="none" w:sz="0" w:space="0" w:color="auto"/>
        <w:left w:val="none" w:sz="0" w:space="0" w:color="auto"/>
        <w:bottom w:val="none" w:sz="0" w:space="0" w:color="auto"/>
        <w:right w:val="none" w:sz="0" w:space="0" w:color="auto"/>
      </w:divBdr>
    </w:div>
    <w:div w:id="357514953">
      <w:bodyDiv w:val="1"/>
      <w:marLeft w:val="0"/>
      <w:marRight w:val="0"/>
      <w:marTop w:val="0"/>
      <w:marBottom w:val="0"/>
      <w:divBdr>
        <w:top w:val="none" w:sz="0" w:space="0" w:color="auto"/>
        <w:left w:val="none" w:sz="0" w:space="0" w:color="auto"/>
        <w:bottom w:val="none" w:sz="0" w:space="0" w:color="auto"/>
        <w:right w:val="none" w:sz="0" w:space="0" w:color="auto"/>
      </w:divBdr>
    </w:div>
    <w:div w:id="370765799">
      <w:bodyDiv w:val="1"/>
      <w:marLeft w:val="0"/>
      <w:marRight w:val="0"/>
      <w:marTop w:val="0"/>
      <w:marBottom w:val="0"/>
      <w:divBdr>
        <w:top w:val="none" w:sz="0" w:space="0" w:color="auto"/>
        <w:left w:val="none" w:sz="0" w:space="0" w:color="auto"/>
        <w:bottom w:val="none" w:sz="0" w:space="0" w:color="auto"/>
        <w:right w:val="none" w:sz="0" w:space="0" w:color="auto"/>
      </w:divBdr>
    </w:div>
    <w:div w:id="421222672">
      <w:bodyDiv w:val="1"/>
      <w:marLeft w:val="0"/>
      <w:marRight w:val="0"/>
      <w:marTop w:val="0"/>
      <w:marBottom w:val="0"/>
      <w:divBdr>
        <w:top w:val="none" w:sz="0" w:space="0" w:color="auto"/>
        <w:left w:val="none" w:sz="0" w:space="0" w:color="auto"/>
        <w:bottom w:val="none" w:sz="0" w:space="0" w:color="auto"/>
        <w:right w:val="none" w:sz="0" w:space="0" w:color="auto"/>
      </w:divBdr>
    </w:div>
    <w:div w:id="434636718">
      <w:bodyDiv w:val="1"/>
      <w:marLeft w:val="0"/>
      <w:marRight w:val="0"/>
      <w:marTop w:val="0"/>
      <w:marBottom w:val="0"/>
      <w:divBdr>
        <w:top w:val="none" w:sz="0" w:space="0" w:color="auto"/>
        <w:left w:val="none" w:sz="0" w:space="0" w:color="auto"/>
        <w:bottom w:val="none" w:sz="0" w:space="0" w:color="auto"/>
        <w:right w:val="none" w:sz="0" w:space="0" w:color="auto"/>
      </w:divBdr>
    </w:div>
    <w:div w:id="436946201">
      <w:bodyDiv w:val="1"/>
      <w:marLeft w:val="0"/>
      <w:marRight w:val="0"/>
      <w:marTop w:val="0"/>
      <w:marBottom w:val="0"/>
      <w:divBdr>
        <w:top w:val="none" w:sz="0" w:space="0" w:color="auto"/>
        <w:left w:val="none" w:sz="0" w:space="0" w:color="auto"/>
        <w:bottom w:val="none" w:sz="0" w:space="0" w:color="auto"/>
        <w:right w:val="none" w:sz="0" w:space="0" w:color="auto"/>
      </w:divBdr>
    </w:div>
    <w:div w:id="442530482">
      <w:bodyDiv w:val="1"/>
      <w:marLeft w:val="0"/>
      <w:marRight w:val="0"/>
      <w:marTop w:val="0"/>
      <w:marBottom w:val="0"/>
      <w:divBdr>
        <w:top w:val="none" w:sz="0" w:space="0" w:color="auto"/>
        <w:left w:val="none" w:sz="0" w:space="0" w:color="auto"/>
        <w:bottom w:val="none" w:sz="0" w:space="0" w:color="auto"/>
        <w:right w:val="none" w:sz="0" w:space="0" w:color="auto"/>
      </w:divBdr>
    </w:div>
    <w:div w:id="449713086">
      <w:bodyDiv w:val="1"/>
      <w:marLeft w:val="0"/>
      <w:marRight w:val="0"/>
      <w:marTop w:val="0"/>
      <w:marBottom w:val="0"/>
      <w:divBdr>
        <w:top w:val="none" w:sz="0" w:space="0" w:color="auto"/>
        <w:left w:val="none" w:sz="0" w:space="0" w:color="auto"/>
        <w:bottom w:val="none" w:sz="0" w:space="0" w:color="auto"/>
        <w:right w:val="none" w:sz="0" w:space="0" w:color="auto"/>
      </w:divBdr>
    </w:div>
    <w:div w:id="503128912">
      <w:bodyDiv w:val="1"/>
      <w:marLeft w:val="0"/>
      <w:marRight w:val="0"/>
      <w:marTop w:val="0"/>
      <w:marBottom w:val="0"/>
      <w:divBdr>
        <w:top w:val="none" w:sz="0" w:space="0" w:color="auto"/>
        <w:left w:val="none" w:sz="0" w:space="0" w:color="auto"/>
        <w:bottom w:val="none" w:sz="0" w:space="0" w:color="auto"/>
        <w:right w:val="none" w:sz="0" w:space="0" w:color="auto"/>
      </w:divBdr>
    </w:div>
    <w:div w:id="516236179">
      <w:bodyDiv w:val="1"/>
      <w:marLeft w:val="0"/>
      <w:marRight w:val="0"/>
      <w:marTop w:val="0"/>
      <w:marBottom w:val="0"/>
      <w:divBdr>
        <w:top w:val="none" w:sz="0" w:space="0" w:color="auto"/>
        <w:left w:val="none" w:sz="0" w:space="0" w:color="auto"/>
        <w:bottom w:val="none" w:sz="0" w:space="0" w:color="auto"/>
        <w:right w:val="none" w:sz="0" w:space="0" w:color="auto"/>
      </w:divBdr>
    </w:div>
    <w:div w:id="527136655">
      <w:bodyDiv w:val="1"/>
      <w:marLeft w:val="0"/>
      <w:marRight w:val="0"/>
      <w:marTop w:val="0"/>
      <w:marBottom w:val="0"/>
      <w:divBdr>
        <w:top w:val="none" w:sz="0" w:space="0" w:color="auto"/>
        <w:left w:val="none" w:sz="0" w:space="0" w:color="auto"/>
        <w:bottom w:val="none" w:sz="0" w:space="0" w:color="auto"/>
        <w:right w:val="none" w:sz="0" w:space="0" w:color="auto"/>
      </w:divBdr>
    </w:div>
    <w:div w:id="531387376">
      <w:bodyDiv w:val="1"/>
      <w:marLeft w:val="0"/>
      <w:marRight w:val="0"/>
      <w:marTop w:val="0"/>
      <w:marBottom w:val="0"/>
      <w:divBdr>
        <w:top w:val="none" w:sz="0" w:space="0" w:color="auto"/>
        <w:left w:val="none" w:sz="0" w:space="0" w:color="auto"/>
        <w:bottom w:val="none" w:sz="0" w:space="0" w:color="auto"/>
        <w:right w:val="none" w:sz="0" w:space="0" w:color="auto"/>
      </w:divBdr>
    </w:div>
    <w:div w:id="538932248">
      <w:bodyDiv w:val="1"/>
      <w:marLeft w:val="0"/>
      <w:marRight w:val="0"/>
      <w:marTop w:val="0"/>
      <w:marBottom w:val="0"/>
      <w:divBdr>
        <w:top w:val="none" w:sz="0" w:space="0" w:color="auto"/>
        <w:left w:val="none" w:sz="0" w:space="0" w:color="auto"/>
        <w:bottom w:val="none" w:sz="0" w:space="0" w:color="auto"/>
        <w:right w:val="none" w:sz="0" w:space="0" w:color="auto"/>
      </w:divBdr>
    </w:div>
    <w:div w:id="541096192">
      <w:bodyDiv w:val="1"/>
      <w:marLeft w:val="0"/>
      <w:marRight w:val="0"/>
      <w:marTop w:val="0"/>
      <w:marBottom w:val="0"/>
      <w:divBdr>
        <w:top w:val="none" w:sz="0" w:space="0" w:color="auto"/>
        <w:left w:val="none" w:sz="0" w:space="0" w:color="auto"/>
        <w:bottom w:val="none" w:sz="0" w:space="0" w:color="auto"/>
        <w:right w:val="none" w:sz="0" w:space="0" w:color="auto"/>
      </w:divBdr>
    </w:div>
    <w:div w:id="572160656">
      <w:bodyDiv w:val="1"/>
      <w:marLeft w:val="0"/>
      <w:marRight w:val="0"/>
      <w:marTop w:val="0"/>
      <w:marBottom w:val="0"/>
      <w:divBdr>
        <w:top w:val="none" w:sz="0" w:space="0" w:color="auto"/>
        <w:left w:val="none" w:sz="0" w:space="0" w:color="auto"/>
        <w:bottom w:val="none" w:sz="0" w:space="0" w:color="auto"/>
        <w:right w:val="none" w:sz="0" w:space="0" w:color="auto"/>
      </w:divBdr>
    </w:div>
    <w:div w:id="634216897">
      <w:bodyDiv w:val="1"/>
      <w:marLeft w:val="0"/>
      <w:marRight w:val="0"/>
      <w:marTop w:val="0"/>
      <w:marBottom w:val="0"/>
      <w:divBdr>
        <w:top w:val="none" w:sz="0" w:space="0" w:color="auto"/>
        <w:left w:val="none" w:sz="0" w:space="0" w:color="auto"/>
        <w:bottom w:val="none" w:sz="0" w:space="0" w:color="auto"/>
        <w:right w:val="none" w:sz="0" w:space="0" w:color="auto"/>
      </w:divBdr>
    </w:div>
    <w:div w:id="707755361">
      <w:bodyDiv w:val="1"/>
      <w:marLeft w:val="0"/>
      <w:marRight w:val="0"/>
      <w:marTop w:val="0"/>
      <w:marBottom w:val="0"/>
      <w:divBdr>
        <w:top w:val="none" w:sz="0" w:space="0" w:color="auto"/>
        <w:left w:val="none" w:sz="0" w:space="0" w:color="auto"/>
        <w:bottom w:val="none" w:sz="0" w:space="0" w:color="auto"/>
        <w:right w:val="none" w:sz="0" w:space="0" w:color="auto"/>
      </w:divBdr>
    </w:div>
    <w:div w:id="709108987">
      <w:bodyDiv w:val="1"/>
      <w:marLeft w:val="0"/>
      <w:marRight w:val="0"/>
      <w:marTop w:val="0"/>
      <w:marBottom w:val="0"/>
      <w:divBdr>
        <w:top w:val="none" w:sz="0" w:space="0" w:color="auto"/>
        <w:left w:val="none" w:sz="0" w:space="0" w:color="auto"/>
        <w:bottom w:val="none" w:sz="0" w:space="0" w:color="auto"/>
        <w:right w:val="none" w:sz="0" w:space="0" w:color="auto"/>
      </w:divBdr>
    </w:div>
    <w:div w:id="793719052">
      <w:bodyDiv w:val="1"/>
      <w:marLeft w:val="0"/>
      <w:marRight w:val="0"/>
      <w:marTop w:val="0"/>
      <w:marBottom w:val="0"/>
      <w:divBdr>
        <w:top w:val="none" w:sz="0" w:space="0" w:color="auto"/>
        <w:left w:val="none" w:sz="0" w:space="0" w:color="auto"/>
        <w:bottom w:val="none" w:sz="0" w:space="0" w:color="auto"/>
        <w:right w:val="none" w:sz="0" w:space="0" w:color="auto"/>
      </w:divBdr>
    </w:div>
    <w:div w:id="805969525">
      <w:bodyDiv w:val="1"/>
      <w:marLeft w:val="0"/>
      <w:marRight w:val="0"/>
      <w:marTop w:val="0"/>
      <w:marBottom w:val="0"/>
      <w:divBdr>
        <w:top w:val="none" w:sz="0" w:space="0" w:color="auto"/>
        <w:left w:val="none" w:sz="0" w:space="0" w:color="auto"/>
        <w:bottom w:val="none" w:sz="0" w:space="0" w:color="auto"/>
        <w:right w:val="none" w:sz="0" w:space="0" w:color="auto"/>
      </w:divBdr>
    </w:div>
    <w:div w:id="814640120">
      <w:bodyDiv w:val="1"/>
      <w:marLeft w:val="0"/>
      <w:marRight w:val="0"/>
      <w:marTop w:val="0"/>
      <w:marBottom w:val="0"/>
      <w:divBdr>
        <w:top w:val="none" w:sz="0" w:space="0" w:color="auto"/>
        <w:left w:val="none" w:sz="0" w:space="0" w:color="auto"/>
        <w:bottom w:val="none" w:sz="0" w:space="0" w:color="auto"/>
        <w:right w:val="none" w:sz="0" w:space="0" w:color="auto"/>
      </w:divBdr>
    </w:div>
    <w:div w:id="819269975">
      <w:bodyDiv w:val="1"/>
      <w:marLeft w:val="0"/>
      <w:marRight w:val="0"/>
      <w:marTop w:val="0"/>
      <w:marBottom w:val="0"/>
      <w:divBdr>
        <w:top w:val="none" w:sz="0" w:space="0" w:color="auto"/>
        <w:left w:val="none" w:sz="0" w:space="0" w:color="auto"/>
        <w:bottom w:val="none" w:sz="0" w:space="0" w:color="auto"/>
        <w:right w:val="none" w:sz="0" w:space="0" w:color="auto"/>
      </w:divBdr>
    </w:div>
    <w:div w:id="831524892">
      <w:bodyDiv w:val="1"/>
      <w:marLeft w:val="0"/>
      <w:marRight w:val="0"/>
      <w:marTop w:val="0"/>
      <w:marBottom w:val="0"/>
      <w:divBdr>
        <w:top w:val="none" w:sz="0" w:space="0" w:color="auto"/>
        <w:left w:val="none" w:sz="0" w:space="0" w:color="auto"/>
        <w:bottom w:val="none" w:sz="0" w:space="0" w:color="auto"/>
        <w:right w:val="none" w:sz="0" w:space="0" w:color="auto"/>
      </w:divBdr>
    </w:div>
    <w:div w:id="918173611">
      <w:bodyDiv w:val="1"/>
      <w:marLeft w:val="0"/>
      <w:marRight w:val="0"/>
      <w:marTop w:val="0"/>
      <w:marBottom w:val="0"/>
      <w:divBdr>
        <w:top w:val="none" w:sz="0" w:space="0" w:color="auto"/>
        <w:left w:val="none" w:sz="0" w:space="0" w:color="auto"/>
        <w:bottom w:val="none" w:sz="0" w:space="0" w:color="auto"/>
        <w:right w:val="none" w:sz="0" w:space="0" w:color="auto"/>
      </w:divBdr>
    </w:div>
    <w:div w:id="967203879">
      <w:bodyDiv w:val="1"/>
      <w:marLeft w:val="0"/>
      <w:marRight w:val="0"/>
      <w:marTop w:val="0"/>
      <w:marBottom w:val="0"/>
      <w:divBdr>
        <w:top w:val="none" w:sz="0" w:space="0" w:color="auto"/>
        <w:left w:val="none" w:sz="0" w:space="0" w:color="auto"/>
        <w:bottom w:val="none" w:sz="0" w:space="0" w:color="auto"/>
        <w:right w:val="none" w:sz="0" w:space="0" w:color="auto"/>
      </w:divBdr>
    </w:div>
    <w:div w:id="998314622">
      <w:bodyDiv w:val="1"/>
      <w:marLeft w:val="0"/>
      <w:marRight w:val="0"/>
      <w:marTop w:val="0"/>
      <w:marBottom w:val="0"/>
      <w:divBdr>
        <w:top w:val="none" w:sz="0" w:space="0" w:color="auto"/>
        <w:left w:val="none" w:sz="0" w:space="0" w:color="auto"/>
        <w:bottom w:val="none" w:sz="0" w:space="0" w:color="auto"/>
        <w:right w:val="none" w:sz="0" w:space="0" w:color="auto"/>
      </w:divBdr>
    </w:div>
    <w:div w:id="1025986191">
      <w:bodyDiv w:val="1"/>
      <w:marLeft w:val="0"/>
      <w:marRight w:val="0"/>
      <w:marTop w:val="0"/>
      <w:marBottom w:val="0"/>
      <w:divBdr>
        <w:top w:val="none" w:sz="0" w:space="0" w:color="auto"/>
        <w:left w:val="none" w:sz="0" w:space="0" w:color="auto"/>
        <w:bottom w:val="none" w:sz="0" w:space="0" w:color="auto"/>
        <w:right w:val="none" w:sz="0" w:space="0" w:color="auto"/>
      </w:divBdr>
    </w:div>
    <w:div w:id="1031801581">
      <w:bodyDiv w:val="1"/>
      <w:marLeft w:val="0"/>
      <w:marRight w:val="0"/>
      <w:marTop w:val="0"/>
      <w:marBottom w:val="0"/>
      <w:divBdr>
        <w:top w:val="none" w:sz="0" w:space="0" w:color="auto"/>
        <w:left w:val="none" w:sz="0" w:space="0" w:color="auto"/>
        <w:bottom w:val="none" w:sz="0" w:space="0" w:color="auto"/>
        <w:right w:val="none" w:sz="0" w:space="0" w:color="auto"/>
      </w:divBdr>
    </w:div>
    <w:div w:id="1032921424">
      <w:bodyDiv w:val="1"/>
      <w:marLeft w:val="0"/>
      <w:marRight w:val="0"/>
      <w:marTop w:val="0"/>
      <w:marBottom w:val="0"/>
      <w:divBdr>
        <w:top w:val="none" w:sz="0" w:space="0" w:color="auto"/>
        <w:left w:val="none" w:sz="0" w:space="0" w:color="auto"/>
        <w:bottom w:val="none" w:sz="0" w:space="0" w:color="auto"/>
        <w:right w:val="none" w:sz="0" w:space="0" w:color="auto"/>
      </w:divBdr>
    </w:div>
    <w:div w:id="1047679569">
      <w:bodyDiv w:val="1"/>
      <w:marLeft w:val="0"/>
      <w:marRight w:val="0"/>
      <w:marTop w:val="0"/>
      <w:marBottom w:val="0"/>
      <w:divBdr>
        <w:top w:val="none" w:sz="0" w:space="0" w:color="auto"/>
        <w:left w:val="none" w:sz="0" w:space="0" w:color="auto"/>
        <w:bottom w:val="none" w:sz="0" w:space="0" w:color="auto"/>
        <w:right w:val="none" w:sz="0" w:space="0" w:color="auto"/>
      </w:divBdr>
    </w:div>
    <w:div w:id="1070613652">
      <w:bodyDiv w:val="1"/>
      <w:marLeft w:val="0"/>
      <w:marRight w:val="0"/>
      <w:marTop w:val="0"/>
      <w:marBottom w:val="0"/>
      <w:divBdr>
        <w:top w:val="none" w:sz="0" w:space="0" w:color="auto"/>
        <w:left w:val="none" w:sz="0" w:space="0" w:color="auto"/>
        <w:bottom w:val="none" w:sz="0" w:space="0" w:color="auto"/>
        <w:right w:val="none" w:sz="0" w:space="0" w:color="auto"/>
      </w:divBdr>
    </w:div>
    <w:div w:id="1123576570">
      <w:bodyDiv w:val="1"/>
      <w:marLeft w:val="0"/>
      <w:marRight w:val="0"/>
      <w:marTop w:val="0"/>
      <w:marBottom w:val="0"/>
      <w:divBdr>
        <w:top w:val="none" w:sz="0" w:space="0" w:color="auto"/>
        <w:left w:val="none" w:sz="0" w:space="0" w:color="auto"/>
        <w:bottom w:val="none" w:sz="0" w:space="0" w:color="auto"/>
        <w:right w:val="none" w:sz="0" w:space="0" w:color="auto"/>
      </w:divBdr>
    </w:div>
    <w:div w:id="1135640364">
      <w:bodyDiv w:val="1"/>
      <w:marLeft w:val="0"/>
      <w:marRight w:val="0"/>
      <w:marTop w:val="0"/>
      <w:marBottom w:val="0"/>
      <w:divBdr>
        <w:top w:val="none" w:sz="0" w:space="0" w:color="auto"/>
        <w:left w:val="none" w:sz="0" w:space="0" w:color="auto"/>
        <w:bottom w:val="none" w:sz="0" w:space="0" w:color="auto"/>
        <w:right w:val="none" w:sz="0" w:space="0" w:color="auto"/>
      </w:divBdr>
    </w:div>
    <w:div w:id="1150949148">
      <w:bodyDiv w:val="1"/>
      <w:marLeft w:val="0"/>
      <w:marRight w:val="0"/>
      <w:marTop w:val="0"/>
      <w:marBottom w:val="0"/>
      <w:divBdr>
        <w:top w:val="none" w:sz="0" w:space="0" w:color="auto"/>
        <w:left w:val="none" w:sz="0" w:space="0" w:color="auto"/>
        <w:bottom w:val="none" w:sz="0" w:space="0" w:color="auto"/>
        <w:right w:val="none" w:sz="0" w:space="0" w:color="auto"/>
      </w:divBdr>
    </w:div>
    <w:div w:id="1167283293">
      <w:bodyDiv w:val="1"/>
      <w:marLeft w:val="0"/>
      <w:marRight w:val="0"/>
      <w:marTop w:val="0"/>
      <w:marBottom w:val="0"/>
      <w:divBdr>
        <w:top w:val="none" w:sz="0" w:space="0" w:color="auto"/>
        <w:left w:val="none" w:sz="0" w:space="0" w:color="auto"/>
        <w:bottom w:val="none" w:sz="0" w:space="0" w:color="auto"/>
        <w:right w:val="none" w:sz="0" w:space="0" w:color="auto"/>
      </w:divBdr>
    </w:div>
    <w:div w:id="1182236628">
      <w:bodyDiv w:val="1"/>
      <w:marLeft w:val="0"/>
      <w:marRight w:val="0"/>
      <w:marTop w:val="0"/>
      <w:marBottom w:val="0"/>
      <w:divBdr>
        <w:top w:val="none" w:sz="0" w:space="0" w:color="auto"/>
        <w:left w:val="none" w:sz="0" w:space="0" w:color="auto"/>
        <w:bottom w:val="none" w:sz="0" w:space="0" w:color="auto"/>
        <w:right w:val="none" w:sz="0" w:space="0" w:color="auto"/>
      </w:divBdr>
    </w:div>
    <w:div w:id="1212352300">
      <w:bodyDiv w:val="1"/>
      <w:marLeft w:val="0"/>
      <w:marRight w:val="0"/>
      <w:marTop w:val="0"/>
      <w:marBottom w:val="0"/>
      <w:divBdr>
        <w:top w:val="none" w:sz="0" w:space="0" w:color="auto"/>
        <w:left w:val="none" w:sz="0" w:space="0" w:color="auto"/>
        <w:bottom w:val="none" w:sz="0" w:space="0" w:color="auto"/>
        <w:right w:val="none" w:sz="0" w:space="0" w:color="auto"/>
      </w:divBdr>
    </w:div>
    <w:div w:id="1235049164">
      <w:bodyDiv w:val="1"/>
      <w:marLeft w:val="0"/>
      <w:marRight w:val="0"/>
      <w:marTop w:val="0"/>
      <w:marBottom w:val="0"/>
      <w:divBdr>
        <w:top w:val="none" w:sz="0" w:space="0" w:color="auto"/>
        <w:left w:val="none" w:sz="0" w:space="0" w:color="auto"/>
        <w:bottom w:val="none" w:sz="0" w:space="0" w:color="auto"/>
        <w:right w:val="none" w:sz="0" w:space="0" w:color="auto"/>
      </w:divBdr>
    </w:div>
    <w:div w:id="1265115921">
      <w:bodyDiv w:val="1"/>
      <w:marLeft w:val="0"/>
      <w:marRight w:val="0"/>
      <w:marTop w:val="0"/>
      <w:marBottom w:val="0"/>
      <w:divBdr>
        <w:top w:val="none" w:sz="0" w:space="0" w:color="auto"/>
        <w:left w:val="none" w:sz="0" w:space="0" w:color="auto"/>
        <w:bottom w:val="none" w:sz="0" w:space="0" w:color="auto"/>
        <w:right w:val="none" w:sz="0" w:space="0" w:color="auto"/>
      </w:divBdr>
    </w:div>
    <w:div w:id="1284192078">
      <w:bodyDiv w:val="1"/>
      <w:marLeft w:val="0"/>
      <w:marRight w:val="0"/>
      <w:marTop w:val="0"/>
      <w:marBottom w:val="0"/>
      <w:divBdr>
        <w:top w:val="none" w:sz="0" w:space="0" w:color="auto"/>
        <w:left w:val="none" w:sz="0" w:space="0" w:color="auto"/>
        <w:bottom w:val="none" w:sz="0" w:space="0" w:color="auto"/>
        <w:right w:val="none" w:sz="0" w:space="0" w:color="auto"/>
      </w:divBdr>
    </w:div>
    <w:div w:id="1293252159">
      <w:bodyDiv w:val="1"/>
      <w:marLeft w:val="0"/>
      <w:marRight w:val="0"/>
      <w:marTop w:val="0"/>
      <w:marBottom w:val="0"/>
      <w:divBdr>
        <w:top w:val="none" w:sz="0" w:space="0" w:color="auto"/>
        <w:left w:val="none" w:sz="0" w:space="0" w:color="auto"/>
        <w:bottom w:val="none" w:sz="0" w:space="0" w:color="auto"/>
        <w:right w:val="none" w:sz="0" w:space="0" w:color="auto"/>
      </w:divBdr>
    </w:div>
    <w:div w:id="1317105128">
      <w:bodyDiv w:val="1"/>
      <w:marLeft w:val="0"/>
      <w:marRight w:val="0"/>
      <w:marTop w:val="0"/>
      <w:marBottom w:val="0"/>
      <w:divBdr>
        <w:top w:val="none" w:sz="0" w:space="0" w:color="auto"/>
        <w:left w:val="none" w:sz="0" w:space="0" w:color="auto"/>
        <w:bottom w:val="none" w:sz="0" w:space="0" w:color="auto"/>
        <w:right w:val="none" w:sz="0" w:space="0" w:color="auto"/>
      </w:divBdr>
    </w:div>
    <w:div w:id="1318993752">
      <w:bodyDiv w:val="1"/>
      <w:marLeft w:val="0"/>
      <w:marRight w:val="0"/>
      <w:marTop w:val="0"/>
      <w:marBottom w:val="0"/>
      <w:divBdr>
        <w:top w:val="none" w:sz="0" w:space="0" w:color="auto"/>
        <w:left w:val="none" w:sz="0" w:space="0" w:color="auto"/>
        <w:bottom w:val="none" w:sz="0" w:space="0" w:color="auto"/>
        <w:right w:val="none" w:sz="0" w:space="0" w:color="auto"/>
      </w:divBdr>
    </w:div>
    <w:div w:id="1340618257">
      <w:bodyDiv w:val="1"/>
      <w:marLeft w:val="0"/>
      <w:marRight w:val="0"/>
      <w:marTop w:val="0"/>
      <w:marBottom w:val="0"/>
      <w:divBdr>
        <w:top w:val="none" w:sz="0" w:space="0" w:color="auto"/>
        <w:left w:val="none" w:sz="0" w:space="0" w:color="auto"/>
        <w:bottom w:val="none" w:sz="0" w:space="0" w:color="auto"/>
        <w:right w:val="none" w:sz="0" w:space="0" w:color="auto"/>
      </w:divBdr>
    </w:div>
    <w:div w:id="1348751581">
      <w:bodyDiv w:val="1"/>
      <w:marLeft w:val="0"/>
      <w:marRight w:val="0"/>
      <w:marTop w:val="0"/>
      <w:marBottom w:val="0"/>
      <w:divBdr>
        <w:top w:val="none" w:sz="0" w:space="0" w:color="auto"/>
        <w:left w:val="none" w:sz="0" w:space="0" w:color="auto"/>
        <w:bottom w:val="none" w:sz="0" w:space="0" w:color="auto"/>
        <w:right w:val="none" w:sz="0" w:space="0" w:color="auto"/>
      </w:divBdr>
    </w:div>
    <w:div w:id="1349209884">
      <w:bodyDiv w:val="1"/>
      <w:marLeft w:val="0"/>
      <w:marRight w:val="0"/>
      <w:marTop w:val="0"/>
      <w:marBottom w:val="0"/>
      <w:divBdr>
        <w:top w:val="none" w:sz="0" w:space="0" w:color="auto"/>
        <w:left w:val="none" w:sz="0" w:space="0" w:color="auto"/>
        <w:bottom w:val="none" w:sz="0" w:space="0" w:color="auto"/>
        <w:right w:val="none" w:sz="0" w:space="0" w:color="auto"/>
      </w:divBdr>
    </w:div>
    <w:div w:id="1366909099">
      <w:bodyDiv w:val="1"/>
      <w:marLeft w:val="0"/>
      <w:marRight w:val="0"/>
      <w:marTop w:val="0"/>
      <w:marBottom w:val="0"/>
      <w:divBdr>
        <w:top w:val="none" w:sz="0" w:space="0" w:color="auto"/>
        <w:left w:val="none" w:sz="0" w:space="0" w:color="auto"/>
        <w:bottom w:val="none" w:sz="0" w:space="0" w:color="auto"/>
        <w:right w:val="none" w:sz="0" w:space="0" w:color="auto"/>
      </w:divBdr>
    </w:div>
    <w:div w:id="1386220311">
      <w:bodyDiv w:val="1"/>
      <w:marLeft w:val="0"/>
      <w:marRight w:val="0"/>
      <w:marTop w:val="0"/>
      <w:marBottom w:val="0"/>
      <w:divBdr>
        <w:top w:val="none" w:sz="0" w:space="0" w:color="auto"/>
        <w:left w:val="none" w:sz="0" w:space="0" w:color="auto"/>
        <w:bottom w:val="none" w:sz="0" w:space="0" w:color="auto"/>
        <w:right w:val="none" w:sz="0" w:space="0" w:color="auto"/>
      </w:divBdr>
    </w:div>
    <w:div w:id="1464927715">
      <w:bodyDiv w:val="1"/>
      <w:marLeft w:val="0"/>
      <w:marRight w:val="0"/>
      <w:marTop w:val="0"/>
      <w:marBottom w:val="0"/>
      <w:divBdr>
        <w:top w:val="none" w:sz="0" w:space="0" w:color="auto"/>
        <w:left w:val="none" w:sz="0" w:space="0" w:color="auto"/>
        <w:bottom w:val="none" w:sz="0" w:space="0" w:color="auto"/>
        <w:right w:val="none" w:sz="0" w:space="0" w:color="auto"/>
      </w:divBdr>
    </w:div>
    <w:div w:id="1489904894">
      <w:bodyDiv w:val="1"/>
      <w:marLeft w:val="0"/>
      <w:marRight w:val="0"/>
      <w:marTop w:val="0"/>
      <w:marBottom w:val="0"/>
      <w:divBdr>
        <w:top w:val="none" w:sz="0" w:space="0" w:color="auto"/>
        <w:left w:val="none" w:sz="0" w:space="0" w:color="auto"/>
        <w:bottom w:val="none" w:sz="0" w:space="0" w:color="auto"/>
        <w:right w:val="none" w:sz="0" w:space="0" w:color="auto"/>
      </w:divBdr>
    </w:div>
    <w:div w:id="1513062056">
      <w:bodyDiv w:val="1"/>
      <w:marLeft w:val="0"/>
      <w:marRight w:val="0"/>
      <w:marTop w:val="0"/>
      <w:marBottom w:val="0"/>
      <w:divBdr>
        <w:top w:val="none" w:sz="0" w:space="0" w:color="auto"/>
        <w:left w:val="none" w:sz="0" w:space="0" w:color="auto"/>
        <w:bottom w:val="none" w:sz="0" w:space="0" w:color="auto"/>
        <w:right w:val="none" w:sz="0" w:space="0" w:color="auto"/>
      </w:divBdr>
    </w:div>
    <w:div w:id="1586260704">
      <w:bodyDiv w:val="1"/>
      <w:marLeft w:val="0"/>
      <w:marRight w:val="0"/>
      <w:marTop w:val="0"/>
      <w:marBottom w:val="0"/>
      <w:divBdr>
        <w:top w:val="none" w:sz="0" w:space="0" w:color="auto"/>
        <w:left w:val="none" w:sz="0" w:space="0" w:color="auto"/>
        <w:bottom w:val="none" w:sz="0" w:space="0" w:color="auto"/>
        <w:right w:val="none" w:sz="0" w:space="0" w:color="auto"/>
      </w:divBdr>
    </w:div>
    <w:div w:id="1623464953">
      <w:bodyDiv w:val="1"/>
      <w:marLeft w:val="0"/>
      <w:marRight w:val="0"/>
      <w:marTop w:val="0"/>
      <w:marBottom w:val="0"/>
      <w:divBdr>
        <w:top w:val="none" w:sz="0" w:space="0" w:color="auto"/>
        <w:left w:val="none" w:sz="0" w:space="0" w:color="auto"/>
        <w:bottom w:val="none" w:sz="0" w:space="0" w:color="auto"/>
        <w:right w:val="none" w:sz="0" w:space="0" w:color="auto"/>
      </w:divBdr>
    </w:div>
    <w:div w:id="1636989683">
      <w:bodyDiv w:val="1"/>
      <w:marLeft w:val="0"/>
      <w:marRight w:val="0"/>
      <w:marTop w:val="0"/>
      <w:marBottom w:val="0"/>
      <w:divBdr>
        <w:top w:val="none" w:sz="0" w:space="0" w:color="auto"/>
        <w:left w:val="none" w:sz="0" w:space="0" w:color="auto"/>
        <w:bottom w:val="none" w:sz="0" w:space="0" w:color="auto"/>
        <w:right w:val="none" w:sz="0" w:space="0" w:color="auto"/>
      </w:divBdr>
    </w:div>
    <w:div w:id="1644771886">
      <w:bodyDiv w:val="1"/>
      <w:marLeft w:val="0"/>
      <w:marRight w:val="0"/>
      <w:marTop w:val="0"/>
      <w:marBottom w:val="0"/>
      <w:divBdr>
        <w:top w:val="none" w:sz="0" w:space="0" w:color="auto"/>
        <w:left w:val="none" w:sz="0" w:space="0" w:color="auto"/>
        <w:bottom w:val="none" w:sz="0" w:space="0" w:color="auto"/>
        <w:right w:val="none" w:sz="0" w:space="0" w:color="auto"/>
      </w:divBdr>
    </w:div>
    <w:div w:id="1653362497">
      <w:bodyDiv w:val="1"/>
      <w:marLeft w:val="0"/>
      <w:marRight w:val="0"/>
      <w:marTop w:val="0"/>
      <w:marBottom w:val="0"/>
      <w:divBdr>
        <w:top w:val="none" w:sz="0" w:space="0" w:color="auto"/>
        <w:left w:val="none" w:sz="0" w:space="0" w:color="auto"/>
        <w:bottom w:val="none" w:sz="0" w:space="0" w:color="auto"/>
        <w:right w:val="none" w:sz="0" w:space="0" w:color="auto"/>
      </w:divBdr>
    </w:div>
    <w:div w:id="1669747881">
      <w:bodyDiv w:val="1"/>
      <w:marLeft w:val="0"/>
      <w:marRight w:val="0"/>
      <w:marTop w:val="0"/>
      <w:marBottom w:val="0"/>
      <w:divBdr>
        <w:top w:val="none" w:sz="0" w:space="0" w:color="auto"/>
        <w:left w:val="none" w:sz="0" w:space="0" w:color="auto"/>
        <w:bottom w:val="none" w:sz="0" w:space="0" w:color="auto"/>
        <w:right w:val="none" w:sz="0" w:space="0" w:color="auto"/>
      </w:divBdr>
    </w:div>
    <w:div w:id="1675263314">
      <w:bodyDiv w:val="1"/>
      <w:marLeft w:val="0"/>
      <w:marRight w:val="0"/>
      <w:marTop w:val="0"/>
      <w:marBottom w:val="0"/>
      <w:divBdr>
        <w:top w:val="none" w:sz="0" w:space="0" w:color="auto"/>
        <w:left w:val="none" w:sz="0" w:space="0" w:color="auto"/>
        <w:bottom w:val="none" w:sz="0" w:space="0" w:color="auto"/>
        <w:right w:val="none" w:sz="0" w:space="0" w:color="auto"/>
      </w:divBdr>
    </w:div>
    <w:div w:id="1676347547">
      <w:bodyDiv w:val="1"/>
      <w:marLeft w:val="0"/>
      <w:marRight w:val="0"/>
      <w:marTop w:val="0"/>
      <w:marBottom w:val="0"/>
      <w:divBdr>
        <w:top w:val="none" w:sz="0" w:space="0" w:color="auto"/>
        <w:left w:val="none" w:sz="0" w:space="0" w:color="auto"/>
        <w:bottom w:val="none" w:sz="0" w:space="0" w:color="auto"/>
        <w:right w:val="none" w:sz="0" w:space="0" w:color="auto"/>
      </w:divBdr>
    </w:div>
    <w:div w:id="1689408261">
      <w:bodyDiv w:val="1"/>
      <w:marLeft w:val="0"/>
      <w:marRight w:val="0"/>
      <w:marTop w:val="0"/>
      <w:marBottom w:val="0"/>
      <w:divBdr>
        <w:top w:val="none" w:sz="0" w:space="0" w:color="auto"/>
        <w:left w:val="none" w:sz="0" w:space="0" w:color="auto"/>
        <w:bottom w:val="none" w:sz="0" w:space="0" w:color="auto"/>
        <w:right w:val="none" w:sz="0" w:space="0" w:color="auto"/>
      </w:divBdr>
    </w:div>
    <w:div w:id="1734691673">
      <w:bodyDiv w:val="1"/>
      <w:marLeft w:val="0"/>
      <w:marRight w:val="0"/>
      <w:marTop w:val="0"/>
      <w:marBottom w:val="0"/>
      <w:divBdr>
        <w:top w:val="none" w:sz="0" w:space="0" w:color="auto"/>
        <w:left w:val="none" w:sz="0" w:space="0" w:color="auto"/>
        <w:bottom w:val="none" w:sz="0" w:space="0" w:color="auto"/>
        <w:right w:val="none" w:sz="0" w:space="0" w:color="auto"/>
      </w:divBdr>
    </w:div>
    <w:div w:id="1754742095">
      <w:bodyDiv w:val="1"/>
      <w:marLeft w:val="0"/>
      <w:marRight w:val="0"/>
      <w:marTop w:val="0"/>
      <w:marBottom w:val="0"/>
      <w:divBdr>
        <w:top w:val="none" w:sz="0" w:space="0" w:color="auto"/>
        <w:left w:val="none" w:sz="0" w:space="0" w:color="auto"/>
        <w:bottom w:val="none" w:sz="0" w:space="0" w:color="auto"/>
        <w:right w:val="none" w:sz="0" w:space="0" w:color="auto"/>
      </w:divBdr>
    </w:div>
    <w:div w:id="1788307126">
      <w:bodyDiv w:val="1"/>
      <w:marLeft w:val="0"/>
      <w:marRight w:val="0"/>
      <w:marTop w:val="0"/>
      <w:marBottom w:val="0"/>
      <w:divBdr>
        <w:top w:val="none" w:sz="0" w:space="0" w:color="auto"/>
        <w:left w:val="none" w:sz="0" w:space="0" w:color="auto"/>
        <w:bottom w:val="none" w:sz="0" w:space="0" w:color="auto"/>
        <w:right w:val="none" w:sz="0" w:space="0" w:color="auto"/>
      </w:divBdr>
    </w:div>
    <w:div w:id="1795250362">
      <w:bodyDiv w:val="1"/>
      <w:marLeft w:val="0"/>
      <w:marRight w:val="0"/>
      <w:marTop w:val="0"/>
      <w:marBottom w:val="0"/>
      <w:divBdr>
        <w:top w:val="none" w:sz="0" w:space="0" w:color="auto"/>
        <w:left w:val="none" w:sz="0" w:space="0" w:color="auto"/>
        <w:bottom w:val="none" w:sz="0" w:space="0" w:color="auto"/>
        <w:right w:val="none" w:sz="0" w:space="0" w:color="auto"/>
      </w:divBdr>
    </w:div>
    <w:div w:id="1836922253">
      <w:bodyDiv w:val="1"/>
      <w:marLeft w:val="0"/>
      <w:marRight w:val="0"/>
      <w:marTop w:val="0"/>
      <w:marBottom w:val="0"/>
      <w:divBdr>
        <w:top w:val="none" w:sz="0" w:space="0" w:color="auto"/>
        <w:left w:val="none" w:sz="0" w:space="0" w:color="auto"/>
        <w:bottom w:val="none" w:sz="0" w:space="0" w:color="auto"/>
        <w:right w:val="none" w:sz="0" w:space="0" w:color="auto"/>
      </w:divBdr>
    </w:div>
    <w:div w:id="1857189865">
      <w:bodyDiv w:val="1"/>
      <w:marLeft w:val="0"/>
      <w:marRight w:val="0"/>
      <w:marTop w:val="0"/>
      <w:marBottom w:val="0"/>
      <w:divBdr>
        <w:top w:val="none" w:sz="0" w:space="0" w:color="auto"/>
        <w:left w:val="none" w:sz="0" w:space="0" w:color="auto"/>
        <w:bottom w:val="none" w:sz="0" w:space="0" w:color="auto"/>
        <w:right w:val="none" w:sz="0" w:space="0" w:color="auto"/>
      </w:divBdr>
    </w:div>
    <w:div w:id="1870557724">
      <w:bodyDiv w:val="1"/>
      <w:marLeft w:val="0"/>
      <w:marRight w:val="0"/>
      <w:marTop w:val="0"/>
      <w:marBottom w:val="0"/>
      <w:divBdr>
        <w:top w:val="none" w:sz="0" w:space="0" w:color="auto"/>
        <w:left w:val="none" w:sz="0" w:space="0" w:color="auto"/>
        <w:bottom w:val="none" w:sz="0" w:space="0" w:color="auto"/>
        <w:right w:val="none" w:sz="0" w:space="0" w:color="auto"/>
      </w:divBdr>
    </w:div>
    <w:div w:id="1936935144">
      <w:bodyDiv w:val="1"/>
      <w:marLeft w:val="0"/>
      <w:marRight w:val="0"/>
      <w:marTop w:val="0"/>
      <w:marBottom w:val="0"/>
      <w:divBdr>
        <w:top w:val="none" w:sz="0" w:space="0" w:color="auto"/>
        <w:left w:val="none" w:sz="0" w:space="0" w:color="auto"/>
        <w:bottom w:val="none" w:sz="0" w:space="0" w:color="auto"/>
        <w:right w:val="none" w:sz="0" w:space="0" w:color="auto"/>
      </w:divBdr>
    </w:div>
    <w:div w:id="1949118291">
      <w:bodyDiv w:val="1"/>
      <w:marLeft w:val="0"/>
      <w:marRight w:val="0"/>
      <w:marTop w:val="0"/>
      <w:marBottom w:val="0"/>
      <w:divBdr>
        <w:top w:val="none" w:sz="0" w:space="0" w:color="auto"/>
        <w:left w:val="none" w:sz="0" w:space="0" w:color="auto"/>
        <w:bottom w:val="none" w:sz="0" w:space="0" w:color="auto"/>
        <w:right w:val="none" w:sz="0" w:space="0" w:color="auto"/>
      </w:divBdr>
    </w:div>
    <w:div w:id="1962614224">
      <w:bodyDiv w:val="1"/>
      <w:marLeft w:val="0"/>
      <w:marRight w:val="0"/>
      <w:marTop w:val="0"/>
      <w:marBottom w:val="0"/>
      <w:divBdr>
        <w:top w:val="none" w:sz="0" w:space="0" w:color="auto"/>
        <w:left w:val="none" w:sz="0" w:space="0" w:color="auto"/>
        <w:bottom w:val="none" w:sz="0" w:space="0" w:color="auto"/>
        <w:right w:val="none" w:sz="0" w:space="0" w:color="auto"/>
      </w:divBdr>
    </w:div>
    <w:div w:id="1985816999">
      <w:bodyDiv w:val="1"/>
      <w:marLeft w:val="0"/>
      <w:marRight w:val="0"/>
      <w:marTop w:val="0"/>
      <w:marBottom w:val="0"/>
      <w:divBdr>
        <w:top w:val="none" w:sz="0" w:space="0" w:color="auto"/>
        <w:left w:val="none" w:sz="0" w:space="0" w:color="auto"/>
        <w:bottom w:val="none" w:sz="0" w:space="0" w:color="auto"/>
        <w:right w:val="none" w:sz="0" w:space="0" w:color="auto"/>
      </w:divBdr>
    </w:div>
    <w:div w:id="1990552884">
      <w:bodyDiv w:val="1"/>
      <w:marLeft w:val="0"/>
      <w:marRight w:val="0"/>
      <w:marTop w:val="0"/>
      <w:marBottom w:val="0"/>
      <w:divBdr>
        <w:top w:val="none" w:sz="0" w:space="0" w:color="auto"/>
        <w:left w:val="none" w:sz="0" w:space="0" w:color="auto"/>
        <w:bottom w:val="none" w:sz="0" w:space="0" w:color="auto"/>
        <w:right w:val="none" w:sz="0" w:space="0" w:color="auto"/>
      </w:divBdr>
    </w:div>
    <w:div w:id="2005158117">
      <w:bodyDiv w:val="1"/>
      <w:marLeft w:val="0"/>
      <w:marRight w:val="0"/>
      <w:marTop w:val="0"/>
      <w:marBottom w:val="0"/>
      <w:divBdr>
        <w:top w:val="none" w:sz="0" w:space="0" w:color="auto"/>
        <w:left w:val="none" w:sz="0" w:space="0" w:color="auto"/>
        <w:bottom w:val="none" w:sz="0" w:space="0" w:color="auto"/>
        <w:right w:val="none" w:sz="0" w:space="0" w:color="auto"/>
      </w:divBdr>
    </w:div>
    <w:div w:id="2005470198">
      <w:bodyDiv w:val="1"/>
      <w:marLeft w:val="0"/>
      <w:marRight w:val="0"/>
      <w:marTop w:val="0"/>
      <w:marBottom w:val="0"/>
      <w:divBdr>
        <w:top w:val="none" w:sz="0" w:space="0" w:color="auto"/>
        <w:left w:val="none" w:sz="0" w:space="0" w:color="auto"/>
        <w:bottom w:val="none" w:sz="0" w:space="0" w:color="auto"/>
        <w:right w:val="none" w:sz="0" w:space="0" w:color="auto"/>
      </w:divBdr>
    </w:div>
    <w:div w:id="2010477748">
      <w:bodyDiv w:val="1"/>
      <w:marLeft w:val="0"/>
      <w:marRight w:val="0"/>
      <w:marTop w:val="0"/>
      <w:marBottom w:val="0"/>
      <w:divBdr>
        <w:top w:val="none" w:sz="0" w:space="0" w:color="auto"/>
        <w:left w:val="none" w:sz="0" w:space="0" w:color="auto"/>
        <w:bottom w:val="none" w:sz="0" w:space="0" w:color="auto"/>
        <w:right w:val="none" w:sz="0" w:space="0" w:color="auto"/>
      </w:divBdr>
    </w:div>
    <w:div w:id="2029939338">
      <w:bodyDiv w:val="1"/>
      <w:marLeft w:val="0"/>
      <w:marRight w:val="0"/>
      <w:marTop w:val="0"/>
      <w:marBottom w:val="0"/>
      <w:divBdr>
        <w:top w:val="none" w:sz="0" w:space="0" w:color="auto"/>
        <w:left w:val="none" w:sz="0" w:space="0" w:color="auto"/>
        <w:bottom w:val="none" w:sz="0" w:space="0" w:color="auto"/>
        <w:right w:val="none" w:sz="0" w:space="0" w:color="auto"/>
      </w:divBdr>
    </w:div>
    <w:div w:id="2101830394">
      <w:bodyDiv w:val="1"/>
      <w:marLeft w:val="0"/>
      <w:marRight w:val="0"/>
      <w:marTop w:val="0"/>
      <w:marBottom w:val="0"/>
      <w:divBdr>
        <w:top w:val="none" w:sz="0" w:space="0" w:color="auto"/>
        <w:left w:val="none" w:sz="0" w:space="0" w:color="auto"/>
        <w:bottom w:val="none" w:sz="0" w:space="0" w:color="auto"/>
        <w:right w:val="none" w:sz="0" w:space="0" w:color="auto"/>
      </w:divBdr>
    </w:div>
    <w:div w:id="2102602896">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 w:id="2131780030">
      <w:bodyDiv w:val="1"/>
      <w:marLeft w:val="0"/>
      <w:marRight w:val="0"/>
      <w:marTop w:val="0"/>
      <w:marBottom w:val="0"/>
      <w:divBdr>
        <w:top w:val="none" w:sz="0" w:space="0" w:color="auto"/>
        <w:left w:val="none" w:sz="0" w:space="0" w:color="auto"/>
        <w:bottom w:val="none" w:sz="0" w:space="0" w:color="auto"/>
        <w:right w:val="none" w:sz="0" w:space="0" w:color="auto"/>
      </w:divBdr>
    </w:div>
    <w:div w:id="2133745364">
      <w:bodyDiv w:val="1"/>
      <w:marLeft w:val="0"/>
      <w:marRight w:val="0"/>
      <w:marTop w:val="0"/>
      <w:marBottom w:val="0"/>
      <w:divBdr>
        <w:top w:val="none" w:sz="0" w:space="0" w:color="auto"/>
        <w:left w:val="none" w:sz="0" w:space="0" w:color="auto"/>
        <w:bottom w:val="none" w:sz="0" w:space="0" w:color="auto"/>
        <w:right w:val="none" w:sz="0" w:space="0" w:color="auto"/>
      </w:divBdr>
    </w:div>
    <w:div w:id="214161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SUS\Downloads\THESIS.docx" TargetMode="External"/><Relationship Id="rId21" Type="http://schemas.openxmlformats.org/officeDocument/2006/relationships/footer" Target="footer4.xml"/><Relationship Id="rId42" Type="http://schemas.openxmlformats.org/officeDocument/2006/relationships/footer" Target="footer10.xml"/><Relationship Id="rId47" Type="http://schemas.openxmlformats.org/officeDocument/2006/relationships/footer" Target="footer12.xml"/><Relationship Id="rId63" Type="http://schemas.openxmlformats.org/officeDocument/2006/relationships/header" Target="header8.xml"/><Relationship Id="rId68" Type="http://schemas.openxmlformats.org/officeDocument/2006/relationships/image" Target="media/image26.jpeg"/><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file:///C:\Users\ASUS\Downloads\THESIS.docx" TargetMode="External"/><Relationship Id="rId11" Type="http://schemas.openxmlformats.org/officeDocument/2006/relationships/header" Target="header2.xml"/><Relationship Id="rId24" Type="http://schemas.openxmlformats.org/officeDocument/2006/relationships/hyperlink" Target="file:///C:\Users\ASUS\Downloads\THESIS.docx" TargetMode="Externa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image" Target="media/image8.png"/><Relationship Id="rId45" Type="http://schemas.openxmlformats.org/officeDocument/2006/relationships/image" Target="media/image11.png"/><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footer" Target="footer16.xml"/><Relationship Id="rId74"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23.jpeg"/><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file:///C:\Users\ASUS\Downloads\THESIS.docx" TargetMode="External"/><Relationship Id="rId30" Type="http://schemas.openxmlformats.org/officeDocument/2006/relationships/hyperlink" Target="file:///C:\Users\ASUS\Downloads\THESIS.docx" TargetMode="External"/><Relationship Id="rId35"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footer" Target="footer13.xml"/><Relationship Id="rId56" Type="http://schemas.openxmlformats.org/officeDocument/2006/relationships/image" Target="media/image18.jpeg"/><Relationship Id="rId64" Type="http://schemas.openxmlformats.org/officeDocument/2006/relationships/footer" Target="footer15.xml"/><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file:///C:\Users\ASUS\Downloads\THESIS.docx" TargetMode="External"/><Relationship Id="rId33" Type="http://schemas.openxmlformats.org/officeDocument/2006/relationships/image" Target="media/image4.png"/><Relationship Id="rId38" Type="http://schemas.openxmlformats.org/officeDocument/2006/relationships/image" Target="media/image6.png"/><Relationship Id="rId46" Type="http://schemas.openxmlformats.org/officeDocument/2006/relationships/footer" Target="footer11.xml"/><Relationship Id="rId59" Type="http://schemas.openxmlformats.org/officeDocument/2006/relationships/image" Target="media/image21.jpeg"/><Relationship Id="rId67" Type="http://schemas.openxmlformats.org/officeDocument/2006/relationships/image" Target="media/image25.jpeg"/><Relationship Id="rId20" Type="http://schemas.openxmlformats.org/officeDocument/2006/relationships/header" Target="header5.xml"/><Relationship Id="rId41" Type="http://schemas.openxmlformats.org/officeDocument/2006/relationships/hyperlink" Target="https://www.idx.co.id/"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2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yperlink" Target="file:///C:\Users\ASUS\Downloads\THESIS.docx" TargetMode="External"/><Relationship Id="rId36" Type="http://schemas.openxmlformats.org/officeDocument/2006/relationships/footer" Target="footer8.xml"/><Relationship Id="rId49" Type="http://schemas.openxmlformats.org/officeDocument/2006/relationships/footer" Target="footer14.xml"/><Relationship Id="rId57" Type="http://schemas.openxmlformats.org/officeDocument/2006/relationships/image" Target="media/image19.jpeg"/><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image" Target="media/image10.pn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header" Target="header9.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7.png"/><Relationship Id="rId34" Type="http://schemas.openxmlformats.org/officeDocument/2006/relationships/image" Target="media/image5.pn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footnotes" Target="footnotes.xml"/><Relationship Id="rId71" Type="http://schemas.openxmlformats.org/officeDocument/2006/relationships/footer" Target="footer1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BDD9CFB-D043-4562-BAED-E81ABDEC38C8}"/>
      </w:docPartPr>
      <w:docPartBody>
        <w:p w:rsidR="00DE0511" w:rsidRDefault="00C76DB4">
          <w:r w:rsidRPr="00200CD2">
            <w:rPr>
              <w:rStyle w:val="PlaceholderText"/>
            </w:rPr>
            <w:t>Click or tap here to enter text.</w:t>
          </w:r>
        </w:p>
      </w:docPartBody>
    </w:docPart>
    <w:docPart>
      <w:docPartPr>
        <w:name w:val="FF3D22A343064149863648635EF6842F"/>
        <w:category>
          <w:name w:val="General"/>
          <w:gallery w:val="placeholder"/>
        </w:category>
        <w:types>
          <w:type w:val="bbPlcHdr"/>
        </w:types>
        <w:behaviors>
          <w:behavior w:val="content"/>
        </w:behaviors>
        <w:guid w:val="{B013777B-2C94-46B3-9103-4580357B218C}"/>
      </w:docPartPr>
      <w:docPartBody>
        <w:p w:rsidR="00DE0511" w:rsidRDefault="00C76DB4" w:rsidP="00C76DB4">
          <w:pPr>
            <w:pStyle w:val="FF3D22A343064149863648635EF6842F"/>
          </w:pPr>
          <w:r w:rsidRPr="00200C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DB4"/>
    <w:rsid w:val="00051F32"/>
    <w:rsid w:val="0010688D"/>
    <w:rsid w:val="002134DB"/>
    <w:rsid w:val="00257C53"/>
    <w:rsid w:val="00506F0B"/>
    <w:rsid w:val="007211A3"/>
    <w:rsid w:val="007E62C1"/>
    <w:rsid w:val="00865C25"/>
    <w:rsid w:val="008F673E"/>
    <w:rsid w:val="00A13C2D"/>
    <w:rsid w:val="00C76DB4"/>
    <w:rsid w:val="00CA6400"/>
    <w:rsid w:val="00D306D6"/>
    <w:rsid w:val="00DE0511"/>
    <w:rsid w:val="00E90D08"/>
    <w:rsid w:val="00F10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DB4"/>
    <w:rPr>
      <w:color w:val="808080"/>
    </w:rPr>
  </w:style>
  <w:style w:type="paragraph" w:customStyle="1" w:styleId="FF3D22A343064149863648635EF6842F">
    <w:name w:val="FF3D22A343064149863648635EF6842F"/>
    <w:rsid w:val="00C76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B41386-7816-48DE-985C-EBA97AB22911}">
  <we:reference id="wa104382081" version="1.55.1.0" store="en-US" storeType="OMEX"/>
  <we:alternateReferences>
    <we:reference id="wa104382081" version="1.55.1.0" store="en-US" storeType="OMEX"/>
  </we:alternateReferences>
  <we:properties>
    <we:property name="MENDELEY_CITATIONS" value="[{&quot;citationID&quot;:&quot;MENDELEY_CITATION_71a55daa-0dd7-475f-8f4e-ce31fa62916a&quot;,&quot;properties&quot;:{&quot;noteIndex&quot;:0},&quot;isEdited&quot;:false,&quot;manualOverride&quot;:{&quot;isManuallyOverridden&quot;:true,&quot;citeprocText&quot;:&quot;(&lt;i&gt;WMO Confirms 2024 as Warmest Year on Record at about 1.55°C above Pre-Industrial Level&lt;/i&gt;, n.d.)&quot;,&quot;manualOverrideText&quot;:&quot;(World Meteorological Organization, 2024&quot;},&quot;citationTag&quot;:&quot;MENDELEY_CITATION_v3_eyJjaXRhdGlvbklEIjoiTUVOREVMRVlfQ0lUQVRJT05fNzFhNTVkYWEtMGRkNy00NzVmLThmNGUtY2UzMWZhNjI5MTZhIiwicHJvcGVydGllcyI6eyJub3RlSW5kZXgiOjB9LCJpc0VkaXRlZCI6ZmFsc2UsIm1hbnVhbE92ZXJyaWRlIjp7ImlzTWFudWFsbHlPdmVycmlkZGVuIjp0cnVlLCJjaXRlcHJvY1RleHQiOiIoPGk+V01PIENvbmZpcm1zIDIwMjQgYXMgV2FybWVzdCBZZWFyIG9uIFJlY29yZCBhdCBhYm91dCAxLjU1wrBDIGFib3ZlIFByZS1JbmR1c3RyaWFsIExldmVsPC9pPiwgbi5kLikiLCJtYW51YWxPdmVycmlkZVRleHQiOiIoV29ybGQgTWV0ZW9yb2xvZ2ljYWwgT3JnYW5pemF0aW9uLCAyMDI0In0sImNpdGF0aW9uSXRlbXMiOlt7ImlkIjoiYmFmZDA2OGUtMzg0Yy0zMmE4LTg1ZjItZDE2MjJiNWIwOWZiIiwiaXRlbURhdGEiOnsidHlwZSI6IndlYnBhZ2UiLCJpZCI6ImJhZmQwNjhlLTM4NGMtMzJhOC04NWYyLWQxNjIyYjViMDlmYiIsInRpdGxlIjoiV01PIGNvbmZpcm1zIDIwMjQgYXMgd2FybWVzdCB5ZWFyIG9uIHJlY29yZCBhdCBhYm91dCAxLjU1wrBDIGFib3ZlIHByZS1pbmR1c3RyaWFsIGxldmVsIiwiYWNjZXNzZWQiOnsiZGF0ZS1wYXJ0cyI6W1syMDI1LDksMjRdXX0sIlVSTCI6Imh0dHBzOi8vd21vLmludC9uZXdzL21lZGlhLWNlbnRyZS93bW8tY29uZmlybXMtMjAyNC13YXJtZXN0LXllYXItcmVjb3JkLWFib3V0LTE1NWRlZ2MtYWJvdmUtcHJlLWluZHVzdHJpYWwtbGV2ZWw/dXRtX3NvdXJjZT1jaGF0Z3B0LmNvbSIsImNvbnRhaW5lci10aXRsZS1zaG9ydCI6IiJ9LCJpc1RlbXBvcmFyeSI6ZmFsc2UsInN1cHByZXNzLWF1dGhvciI6ZmFsc2UsImNvbXBvc2l0ZSI6ZmFsc2UsImF1dGhvci1vbmx5IjpmYWxzZX1dfQ==&quot;,&quot;citationItems&quot;:[{&quot;id&quot;:&quot;bafd068e-384c-32a8-85f2-d1622b5b09fb&quot;,&quot;itemData&quot;:{&quot;type&quot;:&quot;webpage&quot;,&quot;id&quot;:&quot;bafd068e-384c-32a8-85f2-d1622b5b09fb&quot;,&quot;title&quot;:&quot;WMO confirms 2024 as warmest year on record at about 1.55°C above pre-industrial level&quot;,&quot;accessed&quot;:{&quot;date-parts&quot;:[[2025,9,24]]},&quot;URL&quot;:&quot;https://wmo.int/news/media-centre/wmo-confirms-2024-warmest-year-record-about-155degc-above-pre-industrial-level?utm_source=chatgpt.com&quot;,&quot;container-title-short&quot;:&quot;&quot;},&quot;isTemporary&quot;:false,&quot;suppress-author&quot;:false,&quot;composite&quot;:false,&quot;author-only&quot;:false}]},{&quot;citationID&quot;:&quot;MENDELEY_CITATION_d5e239bd-95e0-4840-80be-799a74fdb725&quot;,&quot;properties&quot;:{&quot;noteIndex&quot;:0},&quot;isEdited&quot;:false,&quot;manualOverride&quot;:{&quot;isManuallyOverridden&quot;:true,&quot;citeprocText&quot;:&quot;(Calvin et al., 2023)&quot;,&quot;manualOverrideText&quot;:&quot;(IPCC, 2023)&quot;},&quot;citationItems&quot;:[{&quot;id&quot;:&quot;2b9d37b3-8bdc-30a3-ba4a-7988b1d35d0d&quot;,&quot;itemData&quot;:{&quot;type&quot;:&quot;report&quot;,&quot;id&quot;:&quot;2b9d37b3-8bdc-30a3-ba4a-7988b1d35d0d&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suppress-author&quot;:false,&quot;composite&quot;:false,&quot;author-only&quot;:false}],&quot;citationTag&quot;:&quot;MENDELEY_CITATION_v3_eyJjaXRhdGlvbklEIjoiTUVOREVMRVlfQ0lUQVRJT05fZDVlMjM5YmQtOTVlMC00ODQwLTgwYmUtNzk5YTc0ZmRiNzI1IiwicHJvcGVydGllcyI6eyJub3RlSW5kZXgiOjB9LCJpc0VkaXRlZCI6ZmFsc2UsIm1hbnVhbE92ZXJyaWRlIjp7ImlzTWFudWFsbHlPdmVycmlkZGVuIjp0cnVlLCJjaXRlcHJvY1RleHQiOiIoQ2FsdmluIGV0IGFsLiwgMjAyMykiLCJtYW51YWxPdmVycmlkZVRleHQiOiIoSVBDQywgMjAyMykifSwiY2l0YXRpb25JdGVtcyI6W3siaWQiOiIyYjlkMzdiMy04YmRjLTMwYTMtYmE0YS03OTg4YjFkMzVkMGQiLCJpdGVtRGF0YSI6eyJ0eXBlIjoicmVwb3J0IiwiaWQiOiIyYjlkMzdiMy04YmRjLTMwYTMtYmE0YS03OTg4YjFkMzVkMGQ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Q2FsdmluIiwiZ2l2ZW4iOiJLYXRoZXJpbmUiLCJwYXJzZS1uYW1lcyI6ZmFsc2UsImRyb3BwaW5nLXBhcnRpY2xlIjoiIiwibm9uLWRyb3BwaW5nLXBhcnRpY2xlIjoiIn0seyJmYW1pbHkiOiJEYXNndXB0YSIsImdpdmVuIjoiRGlwYWsiLCJwYXJzZS1uYW1lcyI6ZmFsc2UsImRyb3BwaW5nLXBhcnRpY2xlIjoiIiwibm9uLWRyb3BwaW5nLXBhcnRpY2xlIjoiIn0seyJmYW1pbHkiOiJLcmlubmVyIiwiZ2l2ZW4iOiJHZXJoYXJkIiwicGFyc2UtbmFtZXMiOmZhbHNlLCJkcm9wcGluZy1wYXJ0aWNsZSI6IiIsIm5vbi1kcm9wcGluZy1wYXJ0aWNsZSI6IiJ9LHsiZmFtaWx5IjoiTXVraGVyamkiLCJnaXZlbiI6IkFkaXRpIiwicGFyc2UtbmFtZXMiOmZhbHNlLCJkcm9wcGluZy1wYXJ0aWNsZSI6IiIsIm5vbi1kcm9wcGluZy1wYXJ0aWNsZSI6IiJ9LHsiZmFtaWx5IjoiVGhvcm5lIiwiZ2l2ZW4iOiJQZXRlciBXLiIsInBhcnNlLW5hbWVzIjpmYWxzZSwiZHJvcHBpbmctcGFydGljbGUiOiIiLCJub24tZHJvcHBpbmctcGFydGljbGUiOiIifSx7ImZhbWlseSI6IlRyaXNvcyIsImdpdmVuIjoiQ2hyaXN0b3BoZXIiLCJwYXJzZS1uYW1lcyI6ZmFsc2UsImRyb3BwaW5nLXBhcnRpY2xlIjoiIiwibm9uLWRyb3BwaW5nLXBhcnRpY2xlIjoiIn0seyJmYW1pbHkiOiJSb21lcm8iLCJnaXZlbiI6Ikpvc8OpIiwicGFyc2UtbmFtZXMiOmZhbHNlLCJkcm9wcGluZy1wYXJ0aWNsZSI6IiIsIm5vbi1kcm9wcGluZy1wYXJ0aWNsZSI6IiJ9LHsiZmFtaWx5IjoiQWxkdW5jZSIsImdpdmVuIjoiUGF1bGluYSIsInBhcnNlLW5hbWVzIjpmYWxzZSwiZHJvcHBpbmctcGFydGljbGUiOiIiLCJub24tZHJvcHBpbmctcGFydGljbGUiOiIifSx7ImZhbWlseSI6IkJhcnJldHQiLCJnaXZlbiI6IktvIiwicGFyc2UtbmFtZXMiOmZhbHNlLCJkcm9wcGluZy1wYXJ0aWNsZSI6IiIsIm5vbi1kcm9wcGluZy1wYXJ0aWNsZSI6IiJ9LHsiZmFtaWx5IjoiQmxhbmNvIiwiZ2l2ZW4iOiJHYWJyaWVsIiwicGFyc2UtbmFtZXMiOmZhbHNlLCJkcm9wcGluZy1wYXJ0aWNsZSI6IiIsIm5vbi1kcm9wcGluZy1wYXJ0aWNsZSI6IiJ9LHsiZmFtaWx5IjoiQ2hldW5nIiwiZ2l2ZW4iOiJXaWxsaWFtIFcuTC4iLCJwYXJzZS1uYW1lcyI6ZmFsc2UsImRyb3BwaW5nLXBhcnRpY2xlIjoiIiwibm9uLWRyb3BwaW5nLXBhcnRpY2xlIjoiIn0seyJmYW1pbHkiOiJDb25ub3JzIiwiZ2l2ZW4iOiJTYXJhaCIsInBhcnNlLW5hbWVzIjpmYWxzZSwiZHJvcHBpbmctcGFydGljbGUiOiIiLCJub24tZHJvcHBpbmctcGFydGljbGUiOiIifSx7ImZhbWlseSI6IkRlbnRvbiIsImdpdmVuIjoiRmF0aW1hIiwicGFyc2UtbmFtZXMiOmZhbHNlLCJkcm9wcGluZy1wYXJ0aWNsZSI6IiIsIm5vbi1kcm9wcGluZy1wYXJ0aWNsZSI6IiJ9LHsiZmFtaWx5IjoiRGlvbmd1ZS1OaWFuZyIsImdpdmVuIjoiQcOvZGEiLCJwYXJzZS1uYW1lcyI6ZmFsc2UsImRyb3BwaW5nLXBhcnRpY2xlIjoiIiwibm9uLWRyb3BwaW5nLXBhcnRpY2xlIjoiIn0seyJmYW1pbHkiOiJEb2RtYW4iLCJnaXZlbiI6IkRhdmlkIiwicGFyc2UtbmFtZXMiOmZhbHNlLCJkcm9wcGluZy1wYXJ0aWNsZSI6IiIsIm5vbi1kcm9wcGluZy1wYXJ0aWNsZSI6IiJ9LHsiZmFtaWx5IjoiR2Fyc2NoYWdlbiIsImdpdmVuIjoiTWF0dGhpYXMiLCJwYXJzZS1uYW1lcyI6ZmFsc2UsImRyb3BwaW5nLXBhcnRpY2xlIjoiIiwibm9uLWRyb3BwaW5nLXBhcnRpY2xlIjoiIn0seyJmYW1pbHkiOiJHZWRlbiIsImdpdmVuIjoiT2xpdmVyIiwicGFyc2UtbmFtZXMiOmZhbHNlLCJkcm9wcGluZy1wYXJ0aWNsZSI6IiIsIm5vbi1kcm9wcGluZy1wYXJ0aWNsZSI6IiJ9LHsiZmFtaWx5IjoiSGF5d2FyZCIsImdpdmVuIjoiQnJvbnd5biIsInBhcnNlLW5hbWVzIjpmYWxzZSwiZHJvcHBpbmctcGFydGljbGUiOiIiLCJub24tZHJvcHBpbmctcGFydGljbGUiOiIifSx7ImZhbWlseSI6IkpvbmVzIiwiZ2l2ZW4iOiJDaHJpc3RvcGhlciIsInBhcnNlLW5hbWVzIjpmYWxzZSwiZHJvcHBpbmctcGFydGljbGUiOiIiLCJub24tZHJvcHBpbmctcGFydGljbGUiOiIifSx7ImZhbWlseSI6IkpvdHpvIiwiZ2l2ZW4iOiJGcmFuayIsInBhcnNlLW5hbWVzIjpmYWxzZSwiZHJvcHBpbmctcGFydGljbGUiOiIiLCJub24tZHJvcHBpbmctcGFydGljbGUiOiIifSx7ImZhbWlseSI6IktydWciLCJnaXZlbiI6IlRoZWxtYSIsInBhcnNlLW5hbWVzIjpmYWxzZSwiZHJvcHBpbmctcGFydGljbGUiOiIiLCJub24tZHJvcHBpbmctcGFydGljbGUiOiIifSx7ImZhbWlseSI6Ikxhc2NvIiwiZ2l2ZW4iOiJSb2RlbCIsInBhcnNlLW5hbWVzIjpmYWxzZSwiZHJvcHBpbmctcGFydGljbGUiOiIiLCJub24tZHJvcHBpbmctcGFydGljbGUiOiIifSx7ImZhbWlseSI6IkxlZSIsImdpdmVuIjoiWXVuZS1ZaSIsInBhcnNlLW5hbWVzIjpmYWxzZSwiZHJvcHBpbmctcGFydGljbGUiOiIiLCJub24tZHJvcHBpbmctcGFydGljbGUiOiIifSx7ImZhbWlseSI6Ik1hc3Nvbi1EZWxtb3R0ZSIsImdpdmVuIjoiVmFsw6lyaWUiLCJwYXJzZS1uYW1lcyI6ZmFsc2UsImRyb3BwaW5nLXBhcnRpY2xlIjoiIiwibm9uLWRyb3BwaW5nLXBhcnRpY2xlIjoiIn0seyJmYW1pbHkiOiJNZWluc2hhdXNlbiIsImdpdmVuIjoiTWFsdGUiLCJwYXJzZS1uYW1lcyI6ZmFsc2UsImRyb3BwaW5nLXBhcnRpY2xlIjoiIiwibm9uLWRyb3BwaW5nLXBhcnRpY2xlIjoiIn0seyJmYW1pbHkiOiJNaW50ZW5iZWNrIiwiZ2l2ZW4iOiJLYXRqYSIsInBhcnNlLW5hbWVzIjpmYWxzZSwiZHJvcHBpbmctcGFydGljbGUiOiIiLCJub24tZHJvcHBpbmctcGFydGljbGUiOiIifSx7ImZhbWlseSI6Ik1va3NzaXQiLCJnaXZlbiI6IkFiZGFsYWgiLCJwYXJzZS1uYW1lcyI6ZmFsc2UsImRyb3BwaW5nLXBhcnRpY2xlIjoiIiwibm9uLWRyb3BwaW5nLXBhcnRpY2xlIjoiIn0seyJmYW1pbHkiOiJPdHRvIiwiZ2l2ZW4iOiJGcmllZGVyaWtlIEUuTC4iLCJwYXJzZS1uYW1lcyI6ZmFsc2UsImRyb3BwaW5nLXBhcnRpY2xlIjoiIiwibm9uLWRyb3BwaW5nLXBhcnRpY2xlIjoiIn0seyJmYW1pbHkiOiJQYXRoYWsiLCJnaXZlbiI6Ik1pbmFs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lDDtnJ0bmVyIiwiZ2l2ZW4iOiJIYW5zLU90dG8iLCJwYXJzZS1uYW1lcyI6ZmFsc2UsImRyb3BwaW5nLXBhcnRpY2xlIjoiIiwibm9uLWRyb3BwaW5nLXBhcnRpY2xlIjoiIn0seyJmYW1pbHkiOiJSZXZpIiwiZ2l2ZW4iOiJBcm9tYXIiLCJwYXJzZS1uYW1lcyI6ZmFsc2UsImRyb3BwaW5nLXBhcnRpY2xlIjoiIiwibm9uLWRyb3BwaW5nLXBhcnRpY2xlIjoiIn0seyJmYW1pbHkiOiJSb2JlcnRzIiwiZ2l2ZW4iOiJEZWJyYSBDLiIsInBhcnNlLW5hbWVzIjpmYWxzZSwiZHJvcHBpbmctcGFydGljbGUiOiIiLCJub24tZHJvcHBpbmctcGFydGljbGUiOiIifSx7ImZhbWlseSI6IlJveSIsImdpdmVuIjoiSm95YXNocmVlIiwicGFyc2UtbmFtZXMiOmZhbHNlLCJkcm9wcGluZy1wYXJ0aWNsZSI6IiIsIm5vbi1kcm9wcGluZy1wYXJ0aWNsZSI6IiJ9LHsiZmFtaWx5IjoiUnVhbmUiLCJnaXZlbiI6IkFsZXggQy4iLCJwYXJzZS1uYW1lcyI6ZmFsc2UsImRyb3BwaW5nLXBhcnRpY2xlIjoiIiwibm9uLWRyb3BwaW5nLXBhcnRpY2xlIjoiIn0seyJmYW1pbHkiOiJTa2VhIiwiZ2l2ZW4iOiJKaW0iLCJwYXJzZS1uYW1lcyI6ZmFsc2UsImRyb3BwaW5nLXBhcnRpY2xlIjoiIiwibm9uLWRyb3BwaW5nLXBhcnRpY2xlIjoiIn0seyJmYW1pbHkiOiJTaHVrbGEiLCJnaXZlbiI6IlByaXlhZGFyc2hpIFIuIiwicGFyc2UtbmFtZXMiOmZhbHNlLCJkcm9wcGluZy1wYXJ0aWNsZSI6IiIsIm5vbi1kcm9wcGluZy1wYXJ0aWNsZSI6IiJ9LHsiZmFtaWx5IjoiU2xhZGUiLCJnaXZlbiI6IlJhcGhhZWwiLCJwYXJzZS1uYW1lcyI6ZmFsc2UsImRyb3BwaW5nLXBhcnRpY2xlIjoiIiwibm9uLWRyb3BwaW5nLXBhcnRpY2xlIjoiIn0seyJmYW1pbHkiOiJTbGFuZ2VuIiwiZ2l2ZW4iOiJBaW3DqWUiLCJwYXJzZS1uYW1lcyI6ZmFsc2UsImRyb3BwaW5nLXBhcnRpY2xlIjoiIiwibm9uLWRyb3BwaW5nLXBhcnRpY2xlIjoiIn0seyJmYW1pbHkiOiJTb2tvbmEiLCJnaXZlbiI6IllvdWJhIiwicGFyc2UtbmFtZXMiOmZhbHNlLCJkcm9wcGluZy1wYXJ0aWNsZSI6IiIsIm5vbi1kcm9wcGluZy1wYXJ0aWNsZSI6IiJ9LHsiZmFtaWx5IjoiU8O2cmVuc3NvbiIsImdpdmVuIjoiQW5uYSBBLiIsInBhcnNlLW5hbWVzIjpmYWxzZSwiZHJvcHBpbmctcGFydGljbGUiOiIiLCJub24tZHJvcHBpbmctcGFydGljbGUiOiIifSx7ImZhbWlseSI6IlRpZ25vciIsImdpdmVuIjoiTWVsaW5kYSIsInBhcnNlLW5hbWVzIjpmYWxzZSwiZHJvcHBpbmctcGFydGljbGUiOiIiLCJub24tZHJvcHBpbmctcGFydGljbGUiOiIifSx7ImZhbWlseSI6IlZ1dXJlbiIsImdpdmVuIjoiRGV0bGVmIiwicGFyc2UtbmFtZXMiOmZhbHNlLCJkcm9wcGluZy1wYXJ0aWNsZSI6IiIsIm5vbi1kcm9wcGluZy1wYXJ0aWNsZSI6InZhbiJ9LHsiZmFtaWx5IjoiV2VpIiwiZ2l2ZW4iOiJZaS1NaW5nIiwicGFyc2UtbmFtZXMiOmZhbHNlLCJkcm9wcGluZy1wYXJ0aWNsZSI6IiIsIm5vbi1kcm9wcGluZy1wYXJ0aWNsZSI6IiJ9LHsiZmFtaWx5IjoiV2lua2xlciIsImdpdmVuIjoiSGFyYWxkIiwicGFyc2UtbmFtZXMiOmZhbHNlLCJkcm9wcGluZy1wYXJ0aWNsZSI6IiIsIm5vbi1kcm9wcGluZy1wYXJ0aWNsZSI6IiJ9LHsiZmFtaWx5IjoiWmhhaSIsImdpdmVuIjoiUGFubWFvIiwicGFyc2UtbmFtZXMiOmZhbHNlLCJkcm9wcGluZy1wYXJ0aWNsZSI6IiIsIm5vbi1kcm9wcGluZy1wYXJ0aWNsZSI6IiJ9LHsiZmFtaWx5IjoiWm9tbWVycyIsImdpdmVuIjoiWmludGEiLCJwYXJzZS1uYW1lcyI6ZmFsc2UsImRyb3BwaW5nLXBhcnRpY2xlIjoiIiwibm9uLWRyb3BwaW5nLXBhcnRpY2xlIjoiIn0seyJmYW1pbHkiOiJIb3VyY2FkZSIsImdpdmVuIjoiSmVhbi1DaGFybGVzIiwicGFyc2UtbmFtZXMiOmZhbHNlLCJkcm9wcGluZy1wYXJ0aWNsZSI6IiIsIm5vbi1kcm9wcGluZy1wYXJ0aWNsZSI6IiJ9LHsiZmFtaWx5IjoiSm9obnNvbiIsImdpdmVuIjoiRnJhbmNpcyBYLiIsInBhcnNlLW5hbWVzIjpmYWxzZSwiZHJvcHBpbmctcGFydGljbGUiOiIiLCJub24tZHJvcHBpbmctcGFydGljbGUiOiIifSx7ImZhbWlseSI6IlBhY2hhdXJpIiwiZ2l2ZW4iOiJTaG9uYWxpIiwicGFyc2UtbmFtZXMiOmZhbHNlLCJkcm9wcGluZy1wYXJ0aWNsZSI6IiIsIm5vbi1kcm9wcGluZy1wYXJ0aWNsZSI6IiJ9LHsiZmFtaWx5IjoiU2ltcHNvbiIsImdpdmVuIjoiTmljaG9sYXMgUC4iLCJwYXJzZS1uYW1lcyI6ZmFsc2UsImRyb3BwaW5nLXBhcnRpY2xlIjoiIiwibm9uLWRyb3BwaW5nLXBhcnRpY2xlIjoiIn0seyJmYW1pbHkiOiJTaW5naCIsImdpdmVuIjoiQ2hhbmRuaSIsInBhcnNlLW5hbWVzIjpmYWxzZSwiZHJvcHBpbmctcGFydGljbGUiOiIiLCJub24tZHJvcHBpbmctcGFydGljbGUiOiIifSx7ImZhbWlseSI6IlRob21hcyIsImdpdmVuIjoiQWRlbGxlIiwicGFyc2UtbmFtZXMiOmZhbHNlLCJkcm9wcGluZy1wYXJ0aWNsZSI6IiIsIm5vbi1kcm9wcGluZy1wYXJ0aWNsZSI6IiJ9LHsiZmFtaWx5IjoiVG90aW4iLCJnaXZlbiI6IkVkbW9uZCIsInBhcnNlLW5hbWVzIjpmYWxzZSwiZHJvcHBpbmctcGFydGljbGUiOiIiLCJub24tZHJvcHBpbmctcGFydGljbGUiOiIifSx7ImZhbWlseSI6IkFsZWdyw61hIiwiZ2l2ZW4iOiJBbmRyw6lzIiwicGFyc2UtbmFtZXMiOmZhbHNlLCJkcm9wcGluZy1wYXJ0aWNsZSI6IiIsIm5vbi1kcm9wcGluZy1wYXJ0aWNsZSI6IiJ9LHsiZmFtaWx5IjoiQXJtb3VyIiwiZ2l2ZW4iOiJLeWxlIiwicGFyc2UtbmFtZXMiOmZhbHNlLCJkcm9wcGluZy1wYXJ0aWNsZSI6IiIsIm5vbi1kcm9wcGluZy1wYXJ0aWNsZSI6IiJ9LHsiZmFtaWx5IjoiQmVkbmFyLUZyaWVkbCIsImdpdmVuIjoiQmlyZ2l0IiwicGFyc2UtbmFtZXMiOmZhbHNlLCJkcm9wcGluZy1wYXJ0aWNsZSI6IiIsIm5vbi1kcm9wcGluZy1wYXJ0aWNsZSI6IiJ9LHsiZmFtaWx5IjoiQmxvayIsImdpdmVuIjoiS29ybmVsaXMiLCJwYXJzZS1uYW1lcyI6ZmFsc2UsImRyb3BwaW5nLXBhcnRpY2xlIjoiIiwibm9uLWRyb3BwaW5nLXBhcnRpY2xlIjoiIn0seyJmYW1pbHkiOiJDaXNzw6kiLCJnaXZlbiI6Ikd1w6lsYWRpbyIsInBhcnNlLW5hbWVzIjpmYWxzZSwiZHJvcHBpbmctcGFydGljbGUiOiIiLCJub24tZHJvcHBpbmctcGFydGljbGUiOiIifSx7ImZhbWlseSI6IkRlbnRlbmVyIiwiZ2l2ZW4iOiJGcmFuayIsInBhcnNlLW5hbWVzIjpmYWxzZSwiZHJvcHBpbmctcGFydGljbGUiOiIiLCJub24tZHJvcHBpbmctcGFydGljbGUiOiIifSx7ImZhbWlseSI6IkVyaWtzZW4iLCJnaXZlbiI6IlNpcmkiLCJwYXJzZS1uYW1lcyI6ZmFsc2UsImRyb3BwaW5nLXBhcnRpY2xlIjoiIiwibm9uLWRyb3BwaW5nLXBhcnRpY2xlIjoiIn0seyJmYW1pbHkiOiJGaXNjaGVyIiwiZ2l2ZW4iOiJFcmljaCIsInBhcnNlLW5hbWVzIjpmYWxzZSwiZHJvcHBpbmctcGFydGljbGUiOiIiLCJub24tZHJvcHBpbmctcGFydGljbGUiOiIifSx7ImZhbWlseSI6Ikdhcm5lciIsImdpdmVuIjoiR3JlZ29yeSIsInBhcnNlLW5hbWVzIjpmYWxzZSwiZHJvcHBpbmctcGFydGljbGUiOiIiLCJub24tZHJvcHBpbmctcGFydGljbGUiOiIifSx7ImZhbWlseSI6Ikd1aXZhcmNoIiwiZ2l2ZW4iOiJDw6lsaW5lIiwicGFyc2UtbmFtZXMiOmZhbHNlLCJkcm9wcGluZy1wYXJ0aWNsZSI6IiIsIm5vbi1kcm9wcGluZy1wYXJ0aWNsZSI6IiJ9LHsiZmFtaWx5IjoiSGFhc25vb3QiLCJnaXZlbiI6Ik1hcmpvbGlqbiIsInBhcnNlLW5hbWVzIjpmYWxzZSwiZHJvcHBpbmctcGFydGljbGUiOiIiLCJub24tZHJvcHBpbmctcGFydGljbGUiOiIifSx7ImZhbWlseSI6IkhhbnNlbiIsImdpdmVuIjoiR2Vycml0IiwicGFyc2UtbmFtZXMiOmZhbHNlLCJkcm9wcGluZy1wYXJ0aWNsZSI6IiIsIm5vbi1kcm9wcGluZy1wYXJ0aWNsZSI6IiJ9LHsiZmFtaWx5IjoiSGF1c2VyIiwiZ2l2ZW4iOiJNYXRoaWFzIiwicGFyc2UtbmFtZXMiOmZhbHNlLCJkcm9wcGluZy1wYXJ0aWNsZSI6IiIsIm5vbi1kcm9wcGluZy1wYXJ0aWNsZSI6IiJ9LHsiZmFtaWx5IjoiSGF3a2lucyIsImdpdmVuIjoiRWQiLCJwYXJzZS1uYW1lcyI6ZmFsc2UsImRyb3BwaW5nLXBhcnRpY2xlIjoiIiwibm9uLWRyb3BwaW5nLXBhcnRpY2xlIjoiIn0seyJmYW1pbHkiOiJIZXJtYW5zIiwiZ2l2ZW4iOiJUaW0iLCJwYXJzZS1uYW1lcyI6ZmFsc2UsImRyb3BwaW5nLXBhcnRpY2xlIjoiIiwibm9uLWRyb3BwaW5nLXBhcnRpY2xlIjoiIn0seyJmYW1pbHkiOiJLb3BwIiwiZ2l2ZW4iOiJSb2JlcnQiLCJwYXJzZS1uYW1lcyI6ZmFsc2UsImRyb3BwaW5nLXBhcnRpY2xlIjoiIiwibm9uLWRyb3BwaW5nLXBhcnRpY2xlIjoiIn0seyJmYW1pbHkiOiJMZXByaW5jZS1SaW5ndWV0IiwiZ2l2ZW4iOiJOb8OrbWllIiwicGFyc2UtbmFtZXMiOmZhbHNlLCJkcm9wcGluZy1wYXJ0aWNsZSI6IiIsIm5vbi1kcm9wcGluZy1wYXJ0aWNsZSI6IiJ9LHsiZmFtaWx5IjoiTGV3aXMiLCJnaXZlbiI6IkphcmVkIiwicGFyc2UtbmFtZXMiOmZhbHNlLCJkcm9wcGluZy1wYXJ0aWNsZSI6IiIsIm5vbi1kcm9wcGluZy1wYXJ0aWNsZSI6IiJ9LHsiZmFtaWx5IjoiTGV5IiwiZ2l2ZW4iOiJEZWJvcmEiLCJwYXJzZS1uYW1lcyI6ZmFsc2UsImRyb3BwaW5nLXBhcnRpY2xlIjoiIiwibm9uLWRyb3BwaW5nLXBhcnRpY2xlIjoiIn0seyJmYW1pbHkiOiJMdWRkZW4iLCJnaXZlbiI6IkNobG/DqSIsInBhcnNlLW5hbWVzIjpmYWxzZSwiZHJvcHBpbmctcGFydGljbGUiOiIiLCJub24tZHJvcHBpbmctcGFydGljbGUiOiIifSx7ImZhbWlseSI6Ik5pYW1pciIsImdpdmVuIjoiTGVpbGEiLCJwYXJzZS1uYW1lcyI6ZmFsc2UsImRyb3BwaW5nLXBhcnRpY2xlIjoiIiwibm9uLWRyb3BwaW5nLXBhcnRpY2xlIjoiIn0seyJmYW1pbHkiOiJOaWNob2xscyIsImdpdmVuIjoiWmViZWRlZSIsInBhcnNlLW5hbWVzIjpmYWxzZSwiZHJvcHBpbmctcGFydGljbGUiOiIiLCJub24tZHJvcHBpbmctcGFydGljbGUiOiIifSx7ImZhbWlseSI6IlNvbWUiLCJnaXZlbiI6IlNocmV5YSIsInBhcnNlLW5hbWVzIjpmYWxzZSwiZHJvcHBpbmctcGFydGljbGUiOiIiLCJub24tZHJvcHBpbmctcGFydGljbGUiOiIifSx7ImZhbWlseSI6IlN6b3BhIiwiZ2l2ZW4iOiJTb3BoaWUiLCJwYXJzZS1uYW1lcyI6ZmFsc2UsImRyb3BwaW5nLXBhcnRpY2xlIjoiIiwibm9uLWRyb3BwaW5nLXBhcnRpY2xlIjoiIn0seyJmYW1pbHkiOiJUcmV3aW4iLCJnaXZlbiI6IkJsYWlyIiwicGFyc2UtbmFtZXMiOmZhbHNlLCJkcm9wcGluZy1wYXJ0aWNsZSI6IiIsIm5vbi1kcm9wcGluZy1wYXJ0aWNsZSI6IiJ9LHsiZmFtaWx5IjoiV2lqc3QiLCJnaXZlbiI6Ikthai1JdmFyIiwicGFyc2UtbmFtZXMiOmZhbHNlLCJkcm9wcGluZy1wYXJ0aWNsZSI6IiIsIm5vbi1kcm9wcGluZy1wYXJ0aWNsZSI6InZhbiBkZXIifSx7ImZhbWlseSI6IldpbnRlciIsImdpdmVuIjoiR3VuZHVsYSIsInBhcnNlLW5hbWVzIjpmYWxzZSwiZHJvcHBpbmctcGFydGljbGUiOiIiLCJub24tZHJvcHBpbmctcGFydGljbGUiOiIifSx7ImZhbWlseSI6IldpdHRpbmciLCJnaXZlbiI6Ik1heGltaWxpYW4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UsInN1cHByZXNzLWF1dGhvciI6ZmFsc2UsImNvbXBvc2l0ZSI6ZmFsc2UsImF1dGhvci1vbmx5IjpmYWxzZX1dfQ==&quot;},{&quot;citationID&quot;:&quot;MENDELEY_CITATION_e68290d0-42c6-45f0-9a3b-441150251e03&quot;,&quot;properties&quot;:{&quot;noteIndex&quot;:0},&quot;isEdited&quot;:false,&quot;manualOverride&quot;:{&quot;isManuallyOverridden&quot;:false,&quot;citeprocText&quot;:&quot;(Our World in Data, 2024)&quot;,&quot;manualOverrideText&quot;:&quot;&quot;},&quot;citationTag&quot;:&quot;MENDELEY_CITATION_v3_eyJjaXRhdGlvbklEIjoiTUVOREVMRVlfQ0lUQVRJT05fZTY4MjkwZDAtNDJjNi00NWYwLTlhM2ItNDQxMTUwMjUxZTAzIiwicHJvcGVydGllcyI6eyJub3RlSW5kZXgiOjB9LCJpc0VkaXRlZCI6ZmFsc2UsIm1hbnVhbE92ZXJyaWRlIjp7ImlzTWFudWFsbHlPdmVycmlkZGVuIjpmYWxzZSwiY2l0ZXByb2NUZXh0IjoiKE91ciBXb3JsZCBpbiBEYXRhLCAyMDI0KSIsIm1hbnVhbE92ZXJyaWRlVGV4dCI6IiJ9LCJjaXRhdGlvbkl0ZW1zIjpbeyJpZCI6IjFiMmUwODYwLWQ2Y2ItMzE5ZC1hMjIwLWIxNWUwMjA1MTc5ZiIsIml0ZW1EYXRhIjp7InR5cGUiOiJ3ZWJwYWdlIiwiaWQiOiIxYjJlMDg2MC1kNmNiLTMxOWQtYTIyMC1iMTVlMDIwNTE3OWYiLCJ0aXRsZSI6IkNP4oKCIGFuZCBHcmVlbmhvdXNlIEdhcyBFbWlzc2lvbnMiLCJhdXRob3IiOlt7ImZhbWlseSI6Ik91ciBXb3JsZCBpbiBEYXRhIiwiZ2l2ZW4iOiIiLCJwYXJzZS1uYW1lcyI6ZmFsc2UsImRyb3BwaW5nLXBhcnRpY2xlIjoiIiwibm9uLWRyb3BwaW5nLXBhcnRpY2xlIjoiIn1dLCJhY2Nlc3NlZCI6eyJkYXRlLXBhcnRzIjpbWzIwMjUsNiwxOV1dfSwiVVJMIjoiaHR0cHM6Ly9vdXJ3b3JsZGluZGF0YS5vcmcvY28yLWFuZC1ncmVlbmhvdXNlLWdhcy1lbWlzc2lvbnMiLCJpc3N1ZWQiOnsiZGF0ZS1wYXJ0cyI6W1syMDI0XV19LCJjb250YWluZXItdGl0bGUtc2hvcnQiOiIifSwiaXNUZW1wb3JhcnkiOmZhbHNlLCJzdXBwcmVzcy1hdXRob3IiOmZhbHNlLCJjb21wb3NpdGUiOmZhbHNlLCJhdXRob3Itb25seSI6ZmFsc2V9XX0=&quot;,&quot;citationItems&quot;:[{&quot;id&quot;:&quot;1b2e0860-d6cb-319d-a220-b15e0205179f&quot;,&quot;itemData&quot;:{&quot;type&quot;:&quot;webpage&quot;,&quot;id&quot;:&quot;1b2e0860-d6cb-319d-a220-b15e0205179f&quot;,&quot;title&quot;:&quot;CO₂ and Greenhouse Gas Emissions&quot;,&quot;author&quot;:[{&quot;family&quot;:&quot;Our World in Data&quot;,&quot;given&quot;:&quot;&quot;,&quot;parse-names&quot;:false,&quot;dropping-particle&quot;:&quot;&quot;,&quot;non-dropping-particle&quot;:&quot;&quot;}],&quot;accessed&quot;:{&quot;date-parts&quot;:[[2025,6,19]]},&quot;URL&quot;:&quot;https://ourworldindata.org/co2-and-greenhouse-gas-emissions&quot;,&quot;issued&quot;:{&quot;date-parts&quot;:[[2024]]},&quot;container-title-short&quot;:&quot;&quot;},&quot;isTemporary&quot;:false,&quot;suppress-author&quot;:false,&quot;composite&quot;:false,&quot;author-only&quot;:false}]},{&quot;citationID&quot;:&quot;MENDELEY_CITATION_a72bca24-6a11-4eec-9526-33366fbda2dd&quot;,&quot;properties&quot;:{&quot;noteIndex&quot;:0},&quot;isEdited&quot;:false,&quot;manualOverride&quot;:{&quot;isManuallyOverridden&quot;:false,&quot;citeprocText&quot;:&quot;(Yunus et al., 2020)&quot;,&quot;manualOverrideText&quot;:&quot;&quot;},&quot;citationTag&quot;:&quot;MENDELEY_CITATION_v3_eyJjaXRhdGlvbklEIjoiTUVOREVMRVlfQ0lUQVRJT05fYTcyYmNhMjQtNmExMS00ZWVjLTk1MjYtMzMzNjZmYmRhMmRkIiwicHJvcGVydGllcyI6eyJub3RlSW5kZXgiOjB9LCJpc0VkaXRlZCI6ZmFsc2UsIm1hbnVhbE92ZXJyaWRlIjp7ImlzTWFudWFsbHlPdmVycmlkZGVuIjpmYWxzZSwiY2l0ZXByb2NUZXh0IjoiKFl1bnVzIGV0IGFsLiwgMjAyMCkiLCJtYW51YWxPdmVycmlkZVRleHQiOiIifSwiY2l0YXRpb25JdGVtcyI6W3siaWQiOiI2M2Y2MTJiYS1mNTgyLTM3OTgtOTY5NS1kZjM0Mzc1NzA1OWIiLCJpdGVtRGF0YSI6eyJ0eXBlIjoiYXJ0aWNsZS1qb3VybmFsIiwiaWQiOiI2M2Y2MTJiYS1mNTgyLTM3OTgtOTY5NS1kZjM0Mzc1NzA1OWIiLCJ0aXRsZSI6IkltcGFjdCBvZiBzdGFrZWhvbGRlciBwcmVzc3VyZSBvbiB0aGUgYWRvcHRpb24gb2YgY2FyYm9uIG1hbmFnZW1lbnQgc3RyYXRlZ2llczogRXZpZGVuY2UgZnJvbSBBdXN0cmFsaWEiLCJhdXRob3IiOlt7ImZhbWlseSI6Ill1bnVzIiwiZ2l2ZW4iOiJTb21haXlhIiwicGFyc2UtbmFtZXMiOmZhbHNlLCJkcm9wcGluZy1wYXJ0aWNsZSI6IiIsIm5vbi1kcm9wcGluZy1wYXJ0aWNsZSI6IiJ9LHsiZmFtaWx5IjoiRWxpamlkby1UZW4iLCJnaXZlbiI6IkV2YW5nZWxpbmUgTy4iLCJwYXJzZS1uYW1lcyI6ZmFsc2UsImRyb3BwaW5nLXBhcnRpY2xlIjoiIiwibm9uLWRyb3BwaW5nLXBhcnRpY2xlIjoiIn0seyJmYW1pbHkiOiJBYmhheWF3YW5zYSIsImdpdmVuIjoiU3ViaGFzaCIsInBhcnNlLW5hbWVzIjpmYWxzZSwiZHJvcHBpbmctcGFydGljbGUiOiIiLCJub24tZHJvcHBpbmctcGFydGljbGUiOiIifV0sImNvbnRhaW5lci10aXRsZSI6IlN1c3RhaW5hYmlsaXR5IEFjY291bnRpbmcsIE1hbmFnZW1lbnQgYW5kIFBvbGljeSBKb3VybmFsIiwiRE9JIjoiMTAuMTEwOC9TQU1QSi0wNC0yMDE5LTAxMzUiLCJJU1NOIjoiMjA0MDgwM1giLCJpc3N1ZWQiOnsiZGF0ZS1wYXJ0cyI6W1syMDIwLDExLDVdXX0sInBhZ2UiOiIxMTg5LTEyMTIiLCJhYnN0cmFjdCI6IlB1cnBvc2U6IFRoaXMgcGFwZXIgYWltcyB0byBleGFtaW5lIHdoZXRoZXIgdGhlIHBlcmNlaXZlZCBwcmVzc3VyZXMgZnJvbSBzdGFrZWhvbGRlcnMgd2l0aCBoaWdoIHBvdGVudGlhbCB0byBjb29wZXJhdGUgYW5kL29yIHRocmVhdGVuIHRoZSBmaXJt4oCZcyBzdXJ2aXZhbCBhZmZlY3QgdGhlIGRlY2lzaW9uIHRvIGFkb3B0IGNhcmJvbiBtYW5hZ2VtZW50IHN0cmF0ZWdpZXMgKENNU3MpLiBEZXNpZ24vbWV0aG9kb2xvZ3kvYXBwcm9hY2g6IEEgbG9naXN0aWMgcGFuZWwgcmVncmVzc2lvbiBtb2RlbCBpcyBlc3RpbWF0ZWQgdXNpbmcgbG9uZ2l0dWRpbmFsIGRhdGEgZnJvbSBBdXN0cmFsaWHigJlzIFRvcC0yMDAgbGlzdGVkIGZpcm1zIG92ZXIgc2V2ZW4geWVhcnMgZnJvbSAyMDA5IHRvIDIwMTUuIFRoZSBhdXRob3JzIHRlc3QgdGhlIGZpcm3igJlzIHByb3BlbnNpdHkgdG8gYWRvcHQgQ01TcyBjb25kaXRpb25lZCBvbiB0aGUgaW5mbHVlbmNlIG9mIGZvdXIgZ3JvdXBzIG9mIHN0YWtlaG9sZGVyczogdGhlIHJlZ3VsYXRvcnMsIGluc3RpdHV0aW9uYWwgaW52ZXN0b3JzLCBtZWRpYSBhbmQgY3JlZGl0b3JzLiBEYXRhIG9uIENNU3MgYWRvcHRlZCBieSBmaXJtcyBhcmUgc291cmNlZCBmcm9tIFRob21zb24gUmV1dGVycyBBU1NFVDQgZGF0YWJhc2UsIHRoZSBDYXJib24gRGlzY2xvc3VyZSBQcm9qZWN0IHN1cnZleSwgYW5udWFsIHJlcG9ydHMsIGNvbXBhbnkgd2Vic2l0ZXMgYW5kIHN1c3RhaW5hYmlsaXR5IHJlcG9ydHMuIEZpbmRpbmdzOiBUaGUgYXV0aG9ycyBzaG93IHRoYXQgc3Rha2Vob2xkZXIgcHJlc3N1cmVzIGFyZSBhc3NvY2lhdGVkIG5vdCBvbmx5IHdpdGggdGhlIGFkb3B0aW9uIG9yIG5vbi1hZG9wdGlvbiBvZiBDTVNzIGJ1dCBhbHNvIHdpdGggdGhlIHR5cGUgb2YgQ01TcyBhZG9wdGVkLiBUaHJlZSB0eXBlcyBvZiBDTVNzIGFyZSBpZGVudGlmaWVkLCBuYW1lbHksIGNvbXBlbnNhdGlvbiwgcmVkdWN0aW9uIGFuZCBpbm5vdmF0aW9uIHN0cmF0ZWdpZXMuIFRoZSBmaW5kaW5ncyByZXZlYWwgdGhhdCBDTVMgYWRvcHRpb24gYW5kIHRoZSBmaXJtc+KAmSBwcm9wZW5zaXR5IHRvIGFkb3B0IGNvbXBlbnNhdGlvbiBhbmQgcmVkdWN0aW9uIHN0cmF0ZWdpZXMgYXJlIHNpZ25pZmljYW50bHkgcmVsYXRlZCB0byBwZXJjZWl2ZWQgcHJlc3N1cmVzIGZyb20gdGhlIHJlZ3VsYXRvcnMsIG1lZGlhIGFuZCBjcmVkaXRvcnMuIFdoaWxlIHByZXNzdXJlIGZyb20gdGhlIHJlZ3VsYXRvcnMgaXMgYWxzbyBhc3NvY2lhdGVkIHdpdGggdGhlIGZpcm1z4oCZIHByb3BlbnNpdHkgdG8gYWRvcHQgaW5ub3ZhdGlvbiBzdHJhdGVnaWVzLCBhIG1vcmUgYWR2YW5jZWQgdHlwZSBvZiBDTVNzLCB0aGUgcG90ZW50aWFsIHByZXNzdXJlIGZyb20gdGhlIG1lZGlhIGFuZCBjcmVkaXRvcnMgYXJlIG5vdCBzaWduaWZpY2FudGx5IHJlbGF0ZWQuIFByYWN0aWNhbCBpbXBsaWNhdGlvbnM6IFRoZSBmaW5kaW5ncyBpbXBseSB0aGF0IGEgZmlybeKAmXMgYWRvcHRpb24gb2YgQ01TcyBpcyBub3QgbWVyZWx5IGFib3V0IG1hbmFnaW5nIHN0YWtlaG9sZGVycyBpbiB0aGUgcmVndWxhdG9yeSBzcGhlcmUgYnV0IGFsc28gYWJvdXQgdGFraW5nIGludG8gYWNjb3VudCB0aGUgcGVyY2VpdmVkIHByZXNzdXJlcyBmcm9tIG5vbi1yZWd1bGF0b3J5IHN0YWtlaG9sZGVycyBhbmQgdGhlIGNvbnRleHQtZGVwZW5kZW50IG5hdHVyZSBvZiB0aGVpciBpbmZsdWVuY2VzLiBUaGUgYXV0aG9ycyBzaG93IHRoYXQgYnkgaW5mbHVlbmNpbmcgdGhlIHZvbHVudGFyeSBkaXNjbG9zdXJlIG9mIGNhcmJvbiBlbWlzc2lvbnMsIHRoZSBnb3Zlcm5tZW50IGNvbnRpbnVlcyB0byBiZSBlZmZlY3RpdmUgaW4gZW5jb3VyYWdpbmcgZmlybXMgdG8gdGFrZSBhY3Rpb24gb24gY2xpbWF0ZSBjaGFuZ2UgZGVzcGl0ZSB0aGUgYWJvbGl0aW9uIG9mIHRoZSBjYXJib24gdGF4IGluIEF1c3RyYWxpYS4gU29jaWFsIGltcGxpY2F0aW9uczogVGhpcyBzdHVkeSBoaWdobGlnaHRzIHRoYXQsIGFwYXJ0IGZyb20gYSBoZWF2eS1oYW5kZWQgYXBwcm9hY2gsIHJlZ3VsYXRvcnMgY2FuIGFkb3B0IHNvZnRlciBmb3JtcyBvZiByZWd1bGF0aW9uIHN1Y2ggYXMgdGhlIE5hdGlvbmFsIEdyZWVuaG91c2UgYW5kIEVuZXJneSBSZXBvcnRpbmcgKE5HRVIpIEFjdCBhbmQgYSBsZXNzIGludmFzaXZlLCBzdGFrZWhvbGRlci1kcml2ZW4gYXBwcm9hY2ggdG8gZW5jb3VyYWdlIGZpcm1zIHRvIGFkb3B0IENNU3MgYW5kIHRoZXJlYnkgd29yayB0b3dhcmRzIGNsaW1hdGUgY2hhbmdlIG1pdGlnYXRpb24uIE9yaWdpbmFsaXR5L3ZhbHVlOiBUaGlzIHN0dWR5IGV4dGVuZHMgdGhlIGxpdGVyYXR1cmUgYnkgc2hvd2luZyB0aGF0IHBlcmNlaXZlZCBwcmVzc3VyZSBmcm9tIHNvbWUgc3Rha2Vob2xkZXJzIGZvdW5kIHRvIGJlIGluZmx1ZW50aWFsIGluIHJlbGF0aW9uIHRvIHNvbWUgY29ycG9yYXRlIGRlY2lzaW9ucyAoc3VjaCBhcyBlbnZpcm9ubWVudGFsIHN0cmF0ZWd5IGFkb3B0aW9uIGFuZCBjbGltYXRlLWNoYW5nZS1yZWxhdGVkIGRpc2Nsb3N1cmUpIG1heSBub3QgbmVjZXNzYXJpbHkgYmUgaW5mbHVlbnRpYWwgaW4gcmVsYXRpb24gdG8gQ01TIGFkb3B0aW9uLiIsInB1Ymxpc2hlciI6IkVtZXJhbGQgR3JvdXAgSG9sZGluZ3MgTHRkLiIsImlzc3VlIjoiNyIsInZvbHVtZSI6IjExIiwiY29udGFpbmVyLXRpdGxlLXNob3J0IjoiIn0sImlzVGVtcG9yYXJ5IjpmYWxzZSwic3VwcHJlc3MtYXV0aG9yIjpmYWxzZSwiY29tcG9zaXRlIjpmYWxzZSwiYXV0aG9yLW9ubHkiOmZhbHNlfV19&quot;,&quot;citationItems&quot;:[{&quot;id&quot;:&quot;63f612ba-f582-3798-9695-df343757059b&quot;,&quot;itemData&quot;:{&quot;type&quot;:&quot;article-journal&quot;,&quot;id&quot;:&quot;63f612ba-f582-3798-9695-df343757059b&quot;,&quot;title&quot;:&quot;Impact of stakeholder pressure on the adoption of carbon management strategies: Evidence from Australia&quot;,&quot;author&quot;:[{&quot;family&quot;:&quot;Yunus&quot;,&quot;given&quot;:&quot;Somaiya&quot;,&quot;parse-names&quot;:false,&quot;dropping-particle&quot;:&quot;&quot;,&quot;non-dropping-particle&quot;:&quot;&quot;},{&quot;family&quot;:&quot;Elijido-Ten&quot;,&quot;given&quot;:&quot;Evangeline O.&quot;,&quot;parse-names&quot;:false,&quot;dropping-particle&quot;:&quot;&quot;,&quot;non-dropping-particle&quot;:&quot;&quot;},{&quot;family&quot;:&quot;Abhayawansa&quot;,&quot;given&quot;:&quot;Subhash&quot;,&quot;parse-names&quot;:false,&quot;dropping-particle&quot;:&quot;&quot;,&quot;non-dropping-particle&quot;:&quot;&quot;}],&quot;container-title&quot;:&quot;Sustainability Accounting, Management and Policy Journal&quot;,&quot;DOI&quot;:&quot;10.1108/SAMPJ-04-2019-0135&quot;,&quot;ISSN&quot;:&quot;2040803X&quot;,&quot;issued&quot;:{&quot;date-parts&quot;:[[2020,11,5]]},&quot;page&quot;:&quot;1189-1212&quot;,&quot;abstract&quot;:&quot;Purpose: This paper aims to examine whether the perceived pressures from stakeholders with high potential to cooperate and/or threaten the firm’s survival affect the decision to adopt carbon management strategies (CMSs). Design/methodology/approach: A logistic panel regression model is estimated using longitudinal data from Australia’s Top-200 listed firms over seven years from 2009 to 2015. The authors test the firm’s propensity to adopt CMSs conditioned on the influence of four groups of stakeholders: the regulators, institutional investors, media and creditors. Data on CMSs adopted by firms are sourced from Thomson Reuters ASSET4 database, the Carbon Disclosure Project survey, annual reports, company websites and sustainability reports. Findings: The authors show that stakeholder pressures are associated not only with the adoption or non-adoption of CMSs but also with the type of CMSs adopted. Three types of CMSs are identified, namely, compensation, reduction and innovation strategies. The findings reveal that CMS adoption and the firms’ propensity to adopt compensation and reduction strategies are significantly related to perceived pressures from the regulators, media and creditors. While pressure from the regulators is also associated with the firms’ propensity to adopt innovation strategies, a more advanced type of CMSs, the potential pressure from the media and creditors are not significantly related. Practical implications: The findings imply that a firm’s adoption of CMSs is not merely about managing stakeholders in the regulatory sphere but also about taking into account the perceived pressures from non-regulatory stakeholders and the context-dependent nature of their influences. The authors show that by influencing the voluntary disclosure of carbon emissions, the government continues to be effective in encouraging firms to take action on climate change despite the abolition of the carbon tax in Australia. Social implications: This study highlights that, apart from a heavy-handed approach, regulators can adopt softer forms of regulation such as the National Greenhouse and Energy Reporting (NGER) Act and a less invasive, stakeholder-driven approach to encourage firms to adopt CMSs and thereby work towards climate change mitigation. Originality/value: This study extends the literature by showing that perceived pressure from some stakeholders found to be influential in relation to some corporate decisions (such as environmental strategy adoption and climate-change-related disclosure) may not necessarily be influential in relation to CMS adoption.&quot;,&quot;publisher&quot;:&quot;Emerald Group Holdings Ltd.&quot;,&quot;issue&quot;:&quot;7&quot;,&quot;volume&quot;:&quot;11&quot;,&quot;container-title-short&quot;:&quot;&quot;},&quot;isTemporary&quot;:false,&quot;suppress-author&quot;:false,&quot;composite&quot;:false,&quot;author-only&quot;:false}]},{&quot;citationID&quot;:&quot;MENDELEY_CITATION_c59c1333-3228-4075-82e1-1d363ed50bb3&quot;,&quot;properties&quot;:{&quot;noteIndex&quot;:0},&quot;isEdited&quot;:false,&quot;manualOverride&quot;:{&quot;isManuallyOverridden&quot;:false,&quot;citeprocText&quot;:&quot;(Widagdo et al., 2023)&quot;,&quot;manualOverrideText&quot;:&quot;&quot;},&quot;citationTag&quot;:&quot;MENDELEY_CITATION_v3_eyJjaXRhdGlvbklEIjoiTUVOREVMRVlfQ0lUQVRJT05fYzU5YzEzMzMtMzIyOC00MDc1LTgyZTEtMWQzNjNlZDUwYmIzIiwicHJvcGVydGllcyI6eyJub3RlSW5kZXgiOjB9LCJpc0VkaXRlZCI6ZmFsc2UsIm1hbnVhbE92ZXJyaWRlIjp7ImlzTWFudWFsbHlPdmVycmlkZGVuIjpmYWxzZSwiY2l0ZXByb2NUZXh0IjoiKFdpZGFnZG8gZXQgYWwuLCAyMDIzKSIsIm1hbnVhbE92ZXJyaWRlVGV4dCI6IiJ9LCJjaXRhdGlvbkl0ZW1zIjpbeyJpZCI6IjU4OWExMzY0LTVmYjQtMzhkZC1iY2Y5LTU0ZTFhYjhkZGRhNCIsIml0ZW1EYXRhIjp7InR5cGUiOiJwYXBlci1jb25mZXJlbmNlIiwiaWQiOiI1ODlhMTM2NC01ZmI0LTM4ZGQtYmNmOS01NGUxYWI4ZGRkYTQiLCJ0aXRsZSI6IkRvZXMgY2FyYm9uIGVtaXNzaW9uIGRpc2Nsb3N1cmUgYW5kIGVudmlyb25tZW50YWwgcGVyZm9ybWFuY2UgaW5jcmVhc2UgZmlybSB2YWx1ZT8gRXZpZGVuY2UgZnJvbSBoaWdobHkgZW1pdHRlZCBpbmR1c3RyeSBpbiBJbmRvbmVzaWEiLCJhdXRob3IiOlt7ImZhbWlseSI6IldpZGFnZG8iLCJnaXZlbiI6IkFyaSBLdW5jYXJhIiwicGFyc2UtbmFtZXMiOmZhbHNlLCJkcm9wcGluZy1wYXJ0aWNsZSI6IiIsIm5vbi1kcm9wcGluZy1wYXJ0aWNsZSI6IiJ9LHsiZmFtaWx5IjoiSWthIiwiZ2l2ZW4iOiJTaXRpIFJvY2htYWgiLCJwYXJzZS1uYW1lcyI6ZmFsc2UsImRyb3BwaW5nLXBhcnRpY2xlIjoiIiwibm9uLWRyb3BwaW5nLXBhcnRpY2xlIjoiIn0seyJmYW1pbHkiOiJOZW5pIiwiZ2l2ZW4iOiJNYXJpYSBGZWJpYW5hIiwicGFyc2UtbmFtZXMiOmZhbHNlLCJkcm9wcGluZy1wYXJ0aWNsZSI6IiIsIm5vbi1kcm9wcGluZy1wYXJ0aWNsZSI6IiJ9LHsiZmFtaWx5IjoiSGFzdGhvcm8iLCJnaXZlbiI6IkhhbmRva28gQXJ3aSIsInBhcnNlLW5hbWVzIjpmYWxzZSwiZHJvcHBpbmctcGFydGljbGUiOiIiLCJub24tZHJvcHBpbmctcGFydGljbGUiOiIifSx7ImZhbWlseSI6IldpZGlhd2F0aSIsImdpdmVuIjoiIiwicGFyc2UtbmFtZXMiOmZhbHNlLCJkcm9wcGluZy1wYXJ0aWNsZSI6IiIsIm5vbi1kcm9wcGluZy1wYXJ0aWNsZSI6IiJ9XSwiY29udGFpbmVyLXRpdGxlIjoiRTNTIFdlYiBvZiBDb25mZXJlbmNlcyIsIkRPSSI6IjEwLjEwNTEvZTNzY29uZi8yMDIzNDY3MDQwMDIiLCJJU1NOIjoiMjI2NzEyNDIiLCJpc3N1ZWQiOnsiZGF0ZS1wYXJ0cyI6W1syMDIzLDEyLDIwXV19LCJhYnN0cmFjdCI6IldoZXRoZXIgaW52ZXN0b3JzIHRha2UgaW50byBhY2NvdW50IHRoZSBjb21wYW55J3MgaW5mb3JtYXRpb24gcmVsYXRlZCB0byBjYXJib24gZW1pc3Npb24gbWl0aWdhdGlvbiBhbmQgdGhlIGNvbXBhbnkncyBlbnZpcm9ubWVudGFsIHJhbmtpbmcgaW4gdGhlaXIgaW52ZXN0bWVudCBkZWNpc2lvbnMgaXMgYW4gaW50ZXJlc3RpbmcgcmVzZWFyY2ggYXZlbnVlLiBUaGUgb2JqZWN0aXZlIG9mIHRoaXMgc3R1ZHkgaXMgdHdvZm9sZC4gRmlyc3QsIGl0IHRlc3RzIHdoZXRoZXIgdGhlIGxldmVsIG9mIGNhcmJvbiBlbWlzc2lvbnMgZGlzY2xvc3VyZSBkaWZmZXJzIGJ5IGluZHVzdHJ5IHNlY3Rvci4gU2Vjb25kLCBpdCBleGFtaW5lcyB3aGV0aGVyIGNhcmJvbiBlbWlzc2lvbiBkaXNjbG9zdXJlcyBhcyByZXBvcnRlZCBieSBjb21wYW5pZXMgYW5kIHRoZWlyIGVudmlyb25tZW50YWwgcGVyZm9ybWFuY2UgYWZmZWN0IHRoZSB2YWx1ZSBvZiB0aGUgZmlybS4gVGhpcyBzdHVkeSB1dGlsaXplcyAxMDIgY29tcGFuaWVzIGluIDIwMjIgdGhhdCBhcmUgaW5jbHVkZWQgaW4gaGlnaGx5IHBvbGx1dGluZyBpbmR1c3RyaWVzIGFzIGEgc2FtcGxlLCB3aGljaCBpcyBkaXZpZGVkIGludG8gNCBkaWZmZXJlbnQgc2VjdG9yczogY29uc3VtZXIgZ29vZHMsIGVuZXJneSwgYmFzaWMgaW5kdXN0cnksIGFuZCBtaXNjZWxsYW5lb3VzIGluZHVzdHJ5LiBUaGUgcmVzdWx0cyBvZiB0aGUgYW5hbHlzaXMgb2YgdmFyaWFuY2UgKEFOT1ZBKSB0ZXN0IHJldmVhbCB0aGF0IHRoZSBleHRlbnQgb2YgY2FyYm9uIGVtaXNzaW9ucyByZXBvcnRpbmcgaXMgZGlmZmVyZW50IGFjcm9zcyBpbmR1c3RyeSBzZWN0b3JzLiBNZWFud2hpbGUsIHRoZSBtdWx0aXZhcmlhdGUgcmVncmVzc2lvbiByZXN1bHRzIHJldmVhbCB0aGF0IGNhcmJvbiBlbWlzc2lvbiBkaXNjbG9zdXJlcyBwb3NpdGl2ZWx5IGluZmx1ZW5jZSB0aGUgdmFsdWUgb2YgdGhlIGZpcm0uIEVudmlyb25tZW50YWwgcGVyZm9ybWFuY2UsIGhvd2V2ZXIsIGRvZXMgbm90IGltcGFjdCBmaXJtIHZhbHVlLiBUaGlzIHN0dWR5IGluZm9ybXMgdGhlIGNvbXBhbnkncyBtYW5hZ2VtZW50IHRoYXQgcHJvbW90aW5nIGhpZ2hlciBsZXZlbHMgb2YgY2FyYm9uIGVtaXNzaW9uIG1pdGlnYXRpb24gYW5kIHJlcG9ydGluZyB3b3VsZCBib29zdCB0aGUgY29tcGFueSdzIHJlcHV0YXRpb24sIHdoaWNoIHdvdWxkIGluIHR1cm4gaW5jcmVhc2UgaXRzIHZhbHVlLiIsInB1Ymxpc2hlciI6IkVEUCBTY2llbmNlcyIsInZvbHVtZSI6IjQ2NyIsImNvbnRhaW5lci10aXRsZS1zaG9ydCI6IiJ9LCJpc1RlbXBvcmFyeSI6ZmFsc2UsInN1cHByZXNzLWF1dGhvciI6ZmFsc2UsImNvbXBvc2l0ZSI6ZmFsc2UsImF1dGhvci1vbmx5IjpmYWxzZX1dfQ==&quot;,&quot;citationItems&quot;:[{&quot;id&quot;:&quot;589a1364-5fb4-38dd-bcf9-54e1ab8ddda4&quot;,&quot;itemData&quot;:{&quot;type&quot;:&quot;paper-conference&quot;,&quot;id&quot;:&quot;589a1364-5fb4-38dd-bcf9-54e1ab8ddda4&quot;,&quot;title&quot;:&quot;Does carbon emission disclosure and environmental performance increase firm value? Evidence from highly emitted industry in Indonesia&quot;,&quot;author&quot;:[{&quot;family&quot;:&quot;Widagdo&quot;,&quot;given&quot;:&quot;Ari Kuncara&quot;,&quot;parse-names&quot;:false,&quot;dropping-particle&quot;:&quot;&quot;,&quot;non-dropping-particle&quot;:&quot;&quot;},{&quot;family&quot;:&quot;Ika&quot;,&quot;given&quot;:&quot;Siti Rochmah&quot;,&quot;parse-names&quot;:false,&quot;dropping-particle&quot;:&quot;&quot;,&quot;non-dropping-particle&quot;:&quot;&quot;},{&quot;family&quot;:&quot;Neni&quot;,&quot;given&quot;:&quot;Maria Febiana&quot;,&quot;parse-names&quot;:false,&quot;dropping-particle&quot;:&quot;&quot;,&quot;non-dropping-particle&quot;:&quot;&quot;},{&quot;family&quot;:&quot;Hasthoro&quot;,&quot;given&quot;:&quot;Handoko Arwi&quot;,&quot;parse-names&quot;:false,&quot;dropping-particle&quot;:&quot;&quot;,&quot;non-dropping-particle&quot;:&quot;&quot;},{&quot;family&quot;:&quot;Widiawati&quot;,&quot;given&quot;:&quot;&quot;,&quot;parse-names&quot;:false,&quot;dropping-particle&quot;:&quot;&quot;,&quot;non-dropping-particle&quot;:&quot;&quot;}],&quot;container-title&quot;:&quot;E3S Web of Conferences&quot;,&quot;DOI&quot;:&quot;10.1051/e3sconf/202346704002&quot;,&quot;ISSN&quot;:&quot;22671242&quot;,&quot;issued&quot;:{&quot;date-parts&quot;:[[2023,12,20]]},&quot;abstract&quot;:&quot;Whether investors take into account the company's information related to carbon emission mitigation and the company's environmental ranking in their investment decisions is an interesting research avenue. The objective of this study is twofold. First, it tests whether the level of carbon emissions disclosure differs by industry sector. Second, it examines whether carbon emission disclosures as reported by companies and their environmental performance affect the value of the firm. This study utilizes 102 companies in 2022 that are included in highly polluting industries as a sample, which is divided into 4 different sectors: consumer goods, energy, basic industry, and miscellaneous industry. The results of the analysis of variance (ANOVA) test reveal that the extent of carbon emissions reporting is different across industry sectors. Meanwhile, the multivariate regression results reveal that carbon emission disclosures positively influence the value of the firm. Environmental performance, however, does not impact firm value. This study informs the company's management that promoting higher levels of carbon emission mitigation and reporting would boost the company's reputation, which would in turn increase its value.&quot;,&quot;publisher&quot;:&quot;EDP Sciences&quot;,&quot;volume&quot;:&quot;467&quot;,&quot;container-title-short&quot;:&quot;&quot;},&quot;isTemporary&quot;:false,&quot;suppress-author&quot;:false,&quot;composite&quot;:false,&quot;author-only&quot;:false}]},{&quot;citationID&quot;:&quot;MENDELEY_CITATION_6f6ee19b-b930-4b13-8676-374aeff08837&quot;,&quot;properties&quot;:{&quot;noteIndex&quot;:0},&quot;isEdited&quot;:false,&quot;manualOverride&quot;:{&quot;isManuallyOverridden&quot;:false,&quot;citeprocText&quot;:&quot;(Naseer et al., 2024)&quot;,&quot;manualOverrideText&quot;:&quot;&quot;},&quot;citationTag&quot;:&quot;MENDELEY_CITATION_v3_eyJjaXRhdGlvbklEIjoiTUVOREVMRVlfQ0lUQVRJT05fNmY2ZWUxOWItYjkzMC00YjEzLTg2NzYtMzc0YWVmZjA4ODM3IiwicHJvcGVydGllcyI6eyJub3RlSW5kZXgiOjB9LCJpc0VkaXRlZCI6ZmFsc2UsIm1hbnVhbE92ZXJyaWRlIjp7ImlzTWFudWFsbHlPdmVycmlkZGVuIjpmYWxzZSwiY2l0ZXByb2NUZXh0IjoiKE5hc2VlciBldCBhbC4sIDIwMjQpIiwibWFudWFsT3ZlcnJpZGVUZXh0IjoiIn0sImNpdGF0aW9uSXRlbXMiOlt7ImlkIjoiZTM1YTM2MWUtYWVhYS0zNjU5LWE4YzAtNDJhNmJhODljYWFjIiwiaXRlbURhdGEiOnsidHlwZSI6ImFydGljbGUtam91cm5hbCIsImlkIjoiZTM1YTM2MWUtYWVhYS0zNjU5LWE4YzAtNDJhNmJhODljYWFjIiwidGl0bGUiOiJGaXJtIGNsaW1hdGUgY2hhbmdlIHJpc2sgYW5kIGZpbmFuY2lhbCBmbGV4aWJpbGl0eTogRHJpdmVycyBvZiBFU0cgcGVyZm9ybWFuY2UgYW5kIGZpcm0gdmFsdWUiLCJhdXRob3IiOlt7ImZhbWlseSI6Ik5hc2VlciIsImdpdmVuIjoiTWlyemEgTXVoYW1tYWQiLCJwYXJzZS1uYW1lcyI6ZmFsc2UsImRyb3BwaW5nLXBhcnRpY2xlIjoiIiwibm9uLWRyb3BwaW5nLXBhcnRpY2xlIjoiIn0seyJmYW1pbHkiOiJLaGFuIiwiZ2l2ZW4iOiJNdWhhbW1hZCBBc2lmIiwicGFyc2UtbmFtZXMiOmZhbHNlLCJkcm9wcGluZy1wYXJ0aWNsZSI6IiIsIm5vbi1kcm9wcGluZy1wYXJ0aWNsZSI6IiJ9LHsiZmFtaWx5IjoiQmFnaCIsImdpdmVuIjoiVGFudmVlciIsInBhcnNlLW5hbWVzIjpmYWxzZSwiZHJvcHBpbmctcGFydGljbGUiOiIiLCJub24tZHJvcHBpbmctcGFydGljbGUiOiIifSx7ImZhbWlseSI6Ikd1byIsImdpdmVuIjoiWW9uZ3NoZW5nIiwicGFyc2UtbmFtZXMiOmZhbHNlLCJkcm9wcGluZy1wYXJ0aWNsZSI6IiIsIm5vbi1kcm9wcGluZy1wYXJ0aWNsZSI6IiJ9LHsiZmFtaWx5IjoiWmh1IiwiZ2l2ZW4iOiJYaWFveGlhbiIsInBhcnNlLW5hbWVzIjpmYWxzZSwiZHJvcHBpbmctcGFydGljbGUiOiIiLCJub24tZHJvcHBpbmctcGFydGljbGUiOiIifV0sImNvbnRhaW5lci10aXRsZSI6IkJvcnNhIElzdGFuYnVsIFJldmlldyIsIkRPSSI6IjEwLjEwMTYvai5iaXIuMjAyMy4xMS4wMDMiLCJJU1NOIjoiMjIxNDg0NjkiLCJpc3N1ZWQiOnsiZGF0ZS1wYXJ0cyI6W1syMDI0LDEsMV1dfSwicGFnZSI6IjEwNi0xMTciLCJhYnN0cmFjdCI6IlRoaXMgc3R1ZHkgaW52ZXN0aWdhdGVzIGhvdyBhIGZpcm0ncyBjbGltYXRlIGNoYW5nZSByaXNrIChGQ0NSKSBhbmQgZmluYW5jaWFsIGZsZXhpYmlsaXR5IChGSUZMKSBhZmZlY3QgaXRzIHZhbHVlIGFuZCBlbnZpcm9ubWVudGFsLCBzb2NpYWwsIGFuZCBnb3Zlcm5hbmNlIChFU0cpIHBlcmZvcm1hbmNlLiBXZSB1c2UgZGF0YSBmcm9tIHB1YmxpY2x5IGxpc3RlZCBVUyBmaXJtcyBmb3IgMjAxMuKAkzIwMjEuIFdlIGVtcGxveWVkIGZvdXIgZXN0aW1hdGlvbiBtZXRob2RzOiBib290c3RyYXAgcXVhbnRpbGUgcmVncmVzc2lvbiwgZmVhc2libGUgZ2VuZXJhbGlzZWQgbGVhc3Qgc3F1YXJlcywgYSBnZW5lcmFsaXNlZCBtZXRob2Qgb2YgbW9tZW50cywgYW5kIGZpeGVkIGVmZmVjdHMgd2l0aCBEcmlzY29sbC1LcmFheSBzdGFuZGFyZCBlcnJvcnMuIE91ciBtYWluIGZpbmRpbmdzIGluZGljYXRlIHRoYXQgY2xpbWF0ZSBjaGFuZ2UgcmlzayBoYXMgYSBuZWdhdGl2ZSBlZmZlY3Qgb24gZmlybSB2YWx1ZSBhbmQgYSBwb3NpdGl2ZSBlZmZlY3Qgb24gRVNHIHBlcmZvcm1hbmNlIGFuZCB0aGF0IGZpbmFuY2lhbCBmbGV4aWJpbGl0eSBtb2RlcmF0ZXMgdGhlc2UgZWZmZWN0cyBieSByZWR1Y2luZyByaXNrIGFuZCBlbmhhbmNpbmcgdmFsdWUuIFRoZXNlIHJlc3VsdHMgYXJlIHJvYnVzdCBhZ2FpbnN0IGFsdGVybmF0aXZlIG1lYXN1cmVzIGFuZCBlc3RpbWF0aW9uIHRlY2huaXF1ZXMuIE91ciBzdHVkeSBwcm92aWRlcyBub3ZlbCBpbnNpZ2h0cyBpbnRvIHRoZSBpbmZsdWVuY2Ugb2YgY2xpbWF0ZSByaXNrIGFuZCBmaW5hbmNpYWwgZmxleGliaWxpdHkgb24gZmlybSB2YWx1ZSBhbmQgRVNHIHBlcmZvcm1hbmNlLiBXZSBhbHNvIGRpc2N1c3MgdGhlIGltcGxpY2F0aW9ucyBvZiBvdXIgcmVzdWx0cyBmb3IgYWNhZGVtaWNzLCBwcmFjdGl0aW9uZXJzLCBhbmQgcG9saWN5bWFrZXJzLiIsInB1Ymxpc2hlciI6IkJvcnNhIElzdGFuYnVsIEFub25pbSBTaXJrZXRpIiwiaXNzdWUiOiIxIiwidm9sdW1lIjoiMjQiLCJjb250YWluZXItdGl0bGUtc2hvcnQiOiIifSwiaXNUZW1wb3JhcnkiOmZhbHNlLCJzdXBwcmVzcy1hdXRob3IiOmZhbHNlLCJjb21wb3NpdGUiOmZhbHNlLCJhdXRob3Itb25seSI6ZmFsc2V9XX0=&quot;,&quot;citationItems&quot;:[{&quot;id&quot;:&quot;e35a361e-aeaa-3659-a8c0-42a6ba89caac&quot;,&quot;itemData&quot;:{&quot;type&quot;:&quot;article-journal&quot;,&quot;id&quot;:&quot;e35a361e-aeaa-3659-a8c0-42a6ba89caac&quot;,&quot;title&quot;:&quot;Firm climate change risk and financial flexibility: Drivers of ESG performance and firm value&quot;,&quot;author&quot;:[{&quot;family&quot;:&quot;Naseer&quot;,&quot;given&quot;:&quot;Mirza Muhammad&quot;,&quot;parse-names&quot;:false,&quot;dropping-particle&quot;:&quot;&quot;,&quot;non-dropping-particle&quot;:&quot;&quot;},{&quot;family&quot;:&quot;Khan&quot;,&quot;given&quot;:&quot;Muhammad Asif&quot;,&quot;parse-names&quot;:false,&quot;dropping-particle&quot;:&quot;&quot;,&quot;non-dropping-particle&quot;:&quot;&quot;},{&quot;family&quot;:&quot;Bagh&quot;,&quot;given&quot;:&quot;Tanveer&quot;,&quot;parse-names&quot;:false,&quot;dropping-particle&quot;:&quot;&quot;,&quot;non-dropping-particle&quot;:&quot;&quot;},{&quot;family&quot;:&quot;Guo&quot;,&quot;given&quot;:&quot;Yongsheng&quot;,&quot;parse-names&quot;:false,&quot;dropping-particle&quot;:&quot;&quot;,&quot;non-dropping-particle&quot;:&quot;&quot;},{&quot;family&quot;:&quot;Zhu&quot;,&quot;given&quot;:&quot;Xiaoxian&quot;,&quot;parse-names&quot;:false,&quot;dropping-particle&quot;:&quot;&quot;,&quot;non-dropping-particle&quot;:&quot;&quot;}],&quot;container-title&quot;:&quot;Borsa Istanbul Review&quot;,&quot;DOI&quot;:&quot;10.1016/j.bir.2023.11.003&quot;,&quot;ISSN&quot;:&quot;22148469&quot;,&quot;issued&quot;:{&quot;date-parts&quot;:[[2024,1,1]]},&quot;page&quot;:&quot;106-117&quot;,&quot;abstract&quot;:&quot;This study investigates how a firm's climate change risk (FCCR) and financial flexibility (FIFL) affect its value and environmental, social, and governance (ESG) performance. We use data from publicly listed US firms for 2012–2021. We employed four estimation methods: bootstrap quantile regression, feasible generalised least squares, a generalised method of moments, and fixed effects with Driscoll-Kraay standard errors. Our main findings indicate that climate change risk has a negative effect on firm value and a positive effect on ESG performance and that financial flexibility moderates these effects by reducing risk and enhancing value. These results are robust against alternative measures and estimation techniques. Our study provides novel insights into the influence of climate risk and financial flexibility on firm value and ESG performance. We also discuss the implications of our results for academics, practitioners, and policymakers.&quot;,&quot;publisher&quot;:&quot;Borsa Istanbul Anonim Sirketi&quot;,&quot;issue&quot;:&quot;1&quot;,&quot;volume&quot;:&quot;24&quot;,&quot;container-title-short&quot;:&quot;&quot;},&quot;isTemporary&quot;:false,&quot;suppress-author&quot;:false,&quot;composite&quot;:false,&quot;author-only&quot;:false}]},{&quot;citationID&quot;:&quot;MENDELEY_CITATION_3e676d44-44cc-4df1-91e5-7b6f211e1b0b&quot;,&quot;properties&quot;:{&quot;noteIndex&quot;:0},&quot;isEdited&quot;:false,&quot;manualOverride&quot;:{&quot;isManuallyOverridden&quot;:false,&quot;citeprocText&quot;:&quot;(Albitar et al., 2020)&quot;,&quot;manualOverrideText&quot;:&quot;&quot;},&quot;citationTag&quot;:&quot;MENDELEY_CITATION_v3_eyJjaXRhdGlvbklEIjoiTUVOREVMRVlfQ0lUQVRJT05fM2U2NzZkNDQtNDRjYy00ZGYxLTkxZTUtN2I2ZjIxMWUxYjBi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quot;,&quot;citationItems&quot;:[{&quot;id&quot;:&quot;17665a4b-79f9-3859-b828-f7a1798fcb43&quot;,&quot;itemData&quot;:{&quot;type&quot;:&quot;article-journal&quot;,&quot;id&quot;:&quot;17665a4b-79f9-3859-b828-f7a1798fcb43&quot;,&quot;title&quot;:&quot;ESG disclosure and firm performance before and after IR: The moderating role of governance mechanisms&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0c561987-1ba7-4347-8015-5c950b6c2f61&quot;,&quot;properties&quot;:{&quot;noteIndex&quot;:0},&quot;isEdited&quot;:false,&quot;manualOverride&quot;:{&quot;isManuallyOverridden&quot;:false,&quot;citeprocText&quot;:&quot;(S. Khan &amp;#38; Gupta, 2023)&quot;,&quot;manualOverrideText&quot;:&quot;&quot;},&quot;citationTag&quot;:&quot;MENDELEY_CITATION_v3_eyJjaXRhdGlvbklEIjoiTUVOREVMRVlfQ0lUQVRJT05fMGM1NjE5ODctMWJhNy00MzQ3LTgwMTUtNWM5NTBiNmMyZjYxIiwicHJvcGVydGllcyI6eyJub3RlSW5kZXgiOjB9LCJpc0VkaXRlZCI6ZmFsc2UsIm1hbnVhbE92ZXJyaWRlIjp7ImlzTWFudWFsbHlPdmVycmlkZGVuIjpmYWxzZSwiY2l0ZXByb2NUZXh0IjoiKFMuIEtoYW4gJiMzODsgR3VwdGEsIDIwMjMpIiwibWFudWFsT3ZlcnJpZGVUZXh0IjoiIn0sImNpdGF0aW9uSXRlbXMiOlt7ImlkIjoiOTg5NDVjNTgtNzRkNy0zMjNjLWJhMGUtZTYyODJlMTFhNmRhIiwiaXRlbURhdGEiOnsidHlwZSI6ImFydGljbGUtam91cm5hbCIsImlkIjoiOTg5NDVjNTgtNzRkNy0zMjNjLWJhMGUtZTYyODJlMTFhNmRhIiwidGl0bGUiOiJUaGUgaW50ZXJwbGF5IG9mIHN1c3RhaW5hYmlsaXR5LCBjb3Jwb3JhdGUgZ3JlZW4gYWNjb3VudGluZyBhbmQgZmlybSBmaW5hbmNpYWwgcGVyZm9ybWFuY2U6IGEgbWV0YS1hbmFseXRpY2FsIGludmVzdGlnYXRpb24iLCJhdXRob3IiOlt7ImZhbWlseSI6IktoYW4iLCJnaXZlbiI6IlNoYWl6eSIsInBhcnNlLW5hbWVzIjpmYWxzZSwiZHJvcHBpbmctcGFydGljbGUiOiIiLCJub24tZHJvcHBpbmctcGFydGljbGUiOiIifSx7ImZhbWlseSI6Ikd1cHRhIiwiZ2l2ZW4iOiJTZWVtYSIsInBhcnNlLW5hbWVzIjpmYWxzZSwiZHJvcHBpbmctcGFydGljbGUiOiIiLCJub24tZHJvcHBpbmctcGFydGljbGUiOiIifV0sImNvbnRhaW5lci10aXRsZSI6IlN1c3RhaW5hYmlsaXR5IEFjY291bnRpbmcsIE1hbmFnZW1lbnQgYW5kIFBvbGljeSBKb3VybmFsIiwiYWNjZXNzZWQiOnsiZGF0ZS1wYXJ0cyI6W1syMDI1LDYsMTldXX0sIkRPSSI6IjEwLjExMDgvU0FNUEotMDEtMjAyMi0wMDE2L0ZVTEwvWE1MIiwiSVNTTiI6IjIwNDA4MDNYIiwiaXNzdWVkIjp7ImRhdGUtcGFydHMiOltbMjAyMywxMCwzMF1dfSwicGFnZSI6IjEwMzgtMTA2NiIsImFic3RyYWN0IjoiUHVycG9zZTogVGhpcyBzdHVkeSB1c2VzIGEgbWV0YS1hbmFseXNpcyBhcHByb2FjaCB0byBhbmFseXNlIHRoZSBpbXBhY3Qgb2YgYXBwbHlpbmcgY29ycG9yYXRlIGdyZWVuIGFjY291bnRpbmcgcHJhY3RpY2VzIGFzIHZpdGFsIHN1c3RhaW5hYmxlIGRldmVsb3BtZW50IHRvb2xzIG9uIGZpcm0gcGVyZm9ybWFuY2UuIFRoaXMgc3R1ZHkgYWltcyB0byBleGFtaW5lIHRoZSBtb2RlcmF0aW5nIGVmZmVjdHMgb2YgY291bnRyeS1zcGVjaWZpYyB2YXJpYWJsZXMgYW5kIGNoYXJhY3RlcmlzdGljcyBvbiB0aGUgYXNzb2NpYXRpb24gYmV0d2VlbiBjb3Jwb3JhdGUgZ3JlZW4gYWNjb3VudGluZyBhbmQgZmlybSBwZXJmb3JtYW5jZS4gRGVzaWduL21ldGhvZG9sb2d5L2FwcHJvYWNoOiBUaHJlZSBkYXRhYmFzZXMgd2VyZSB1c2VkIGZvciBhIG1ldGEtYW5hbHlzaXMgb2YgNjggaW5kZXBlbmRlbnQgc3R1ZGllcyBpbnZvbHZpbmcgMTksNjI1IHN1YmplY3RzIGNvbmR1Y3RlZCBvdmVyIDI1IHllYXJzIGZyb20gMTk5NiB0byAyMDIwLiBGaW5kaW5nczogVGhlIHJlc3VsdHMgc2hvdyB0aGF0IGNvcnBvcmF0ZSBncmVlbiBhY2NvdW50aW5nIHBvc2l0aXZlbHkgYWZmZWN0cyBmaXJtIHBlcmZvcm1hbmNlLCBidXQgY291bnRyeS1zcGVjaWZpYyB2YXJpYWJsZXMgZG8gbm90IG1vZGVyYXRlIHRoaXMgYXNzb2NpYXRpb24uIFRoZSBwb3NpdGl2ZSBhc3NvY2lhdGlvbiBiZXR3ZWVuIGNvcnBvcmF0ZSBncmVlbiBhY2NvdW50aW5nIGFuZCBmaXJtIHBlcmZvcm1hbmNlIHdhcyBlbmhhbmNlZCB3aGVuIGl0IHdhcyBtZWFzdXJlZCBpbiB0ZXJtcyBvZiBlbnZpcm9ubWVudGFsIGNvc3RzLiBTdWJncm91cCBhbmFseXNlcyByZXZlYWxlZCB0aGF0IHN0dWR5IGNoYXJhY3RlcmlzdGljcyBhcmUgc2lnbmlmaWNhbnQgc291cmNlIG9mIGhldGVyb2dlbmVpdHkgaW4gdGhlIGNvcnBvcmF0ZSBncmVlbiBhY2NvdW50aW5nIGluZGljYXRvcnMtZmlybSBwZXJmb3JtYW5jZSBhc3NvY2lhdGlvbi4gUHJhY3RpY2FsIGltcGxpY2F0aW9uczogVGhlIGZpbmRpbmdzIHN1Z2dlc3QgdGhhdCBmaXJtcyBzaG91bGQgc3RyYXRlZ2lzZSB0byBpbnRlZ3JhdGUgZW52aXJvbm1lbnRhbCBjb3N0cyBpbnRvIHRoZWlyIHJlc3BlY3RpdmUgZmluYW5jaWFsIGFjY291bnRpbmcgZnJhbWV3b3Jrcywgd2hpY2ggd291bGQgaGVscCBtYW5hZ2VycyBqdXN0aWZ5IHRoZSBjb250cmlidXRpb24gb2YgdGhlaXIgZmlybXMgdG93YXJkcyBlbnZpcm9ubWVudGFsIHByb3RlY3Rpb24uIFNvY2lhbCBpbXBsaWNhdGlvbnM6IEFjY2Vzc2luZyBhY2N1cmF0ZSBhbmQgdGltZWx5IGluZm9ybWF0aW9uIG9uIGNvcnBvcmF0ZSBlbnZpcm9ubWVudGFsIGZ1bmN0aW9uaW5nIGNhbiBhc3Npc3QgbmF0aW9uYWwgcG9saWN5bWFrZXJzIGluIGZyYW1pbmcgYXBwcm9wcmlhdGUgbGVnaXNsYXRpb24gb24gZW52aXJvbm1lbnRhbCBwcm90ZWN0aW9uIGFuZCBzdXN0YWluYWJsZSBkZXZlbG9wbWVudC4gT3JpZ2luYWxpdHkvdmFsdWU6IEFsdGhvdWdoIG1ldGEtYW5hbHlzaXMgaGFzIGJlZW4gdXNlZCBwcmV2aW91c2x5IGluIGFjY291bnRpbmcgcmVzZWFyY2ggKEd1dGhyaWUgYW5kIE11cnRoeSwgMjAwOTsgQWxjb3VmZmUgZXQgYWwuLCAyMDE5KSwgdG8gdGhlIGJlc3Qgb2YgdGhlIGF1dGhvcnPigJkga25vd2xlZGdlLCB0aGlzIGlzIHRoZSBmaXJzdCBzdHVkeSB0byB1c2UgYSBtZXRhLWFuYWx5dGljYWwgdGVjaG5pcXVlIHRvIGV4YW1pbmUgdGhlIGltcGFjdCBvZiBjb3Jwb3JhdGUgZ3JlZW4gYWNjb3VudGluZyBvbiBmaXJtIHBlcmZvcm1hbmNlLiIsInB1Ymxpc2hlciI6IkVtZXJhbGQgUHVibGlzaGluZyIsImlzc3VlIjoiNSIsInZvbHVtZSI6IjE1IiwiY29udGFpbmVyLXRpdGxlLXNob3J0IjoiIn0sImlzVGVtcG9yYXJ5IjpmYWxzZSwic3VwcHJlc3MtYXV0aG9yIjpmYWxzZSwiY29tcG9zaXRlIjpmYWxzZSwiYXV0aG9yLW9ubHkiOmZhbHNlfV19&quot;,&quot;citationItems&quot;:[{&quot;id&quot;:&quot;98945c58-74d7-323c-ba0e-e6282e11a6da&quot;,&quot;itemData&quot;:{&quot;type&quot;:&quot;article-journal&quot;,&quot;id&quot;:&quot;98945c58-74d7-323c-ba0e-e6282e11a6da&quot;,&quot;title&quot;:&quot;The interplay of sustainability, corporate green accounting and firm financial performance: a meta-analytical investigation&quot;,&quot;author&quot;:[{&quot;family&quot;:&quot;Khan&quot;,&quot;given&quot;:&quot;Shaizy&quot;,&quot;parse-names&quot;:false,&quot;dropping-particle&quot;:&quot;&quot;,&quot;non-dropping-particle&quot;:&quot;&quot;},{&quot;family&quot;:&quot;Gupta&quot;,&quot;given&quot;:&quot;Seema&quot;,&quot;parse-names&quot;:false,&quot;dropping-particle&quot;:&quot;&quot;,&quot;non-dropping-particle&quot;:&quot;&quot;}],&quot;container-title&quot;:&quot;Sustainability Accounting, Management and Policy Journal&quot;,&quot;accessed&quot;:{&quot;date-parts&quot;:[[2025,6,19]]},&quot;DOI&quot;:&quot;10.1108/SAMPJ-01-2022-0016/FULL/XML&quot;,&quot;ISSN&quot;:&quot;2040803X&quot;,&quot;issued&quot;:{&quot;date-parts&quot;:[[2023,10,30]]},&quot;page&quot;:&quot;1038-1066&quot;,&quot;abstract&quot;:&quot;Purpose: This study uses a meta-analysis approach to analyse the impact of applying corporate green accounting practices as vital sustainable development tools on firm performance. This study aims to examine the moderating effects of country-specific variables and characteristics on the association between corporate green accounting and firm performance. Design/methodology/approach: Three databases were used for a meta-analysis of 68 independent studies involving 19,625 subjects conducted over 25 years from 1996 to 2020. Findings: The results show that corporate green accounting positively affects firm performance, but country-specific variables do not moderate this association. The positive association between corporate green accounting and firm performance was enhanced when it was measured in terms of environmental costs. Subgroup analyses revealed that study characteristics are significant source of heterogeneity in the corporate green accounting indicators-firm performance association. Practical implications: The findings suggest that firms should strategise to integrate environmental costs into their respective financial accounting frameworks, which would help managers justify the contribution of their firms towards environmental protection. Social implications: Accessing accurate and timely information on corporate environmental functioning can assist national policymakers in framing appropriate legislation on environmental protection and sustainable development. Originality/value: Although meta-analysis has been used previously in accounting research (Guthrie and Murthy, 2009; Alcouffe et al., 2019), to the best of the authors’ knowledge, this is the first study to use a meta-analytical technique to examine the impact of corporate green accounting on firm performance.&quot;,&quot;publisher&quot;:&quot;Emerald Publishing&quot;,&quot;issue&quot;:&quot;5&quot;,&quot;volume&quot;:&quot;15&quot;,&quot;container-title-short&quot;:&quot;&quot;},&quot;isTemporary&quot;:false,&quot;suppress-author&quot;:false,&quot;composite&quot;:false,&quot;author-only&quot;:false}]},{&quot;citationID&quot;:&quot;MENDELEY_CITATION_05d6fd7a-69b2-4169-a570-6f027e6973b2&quot;,&quot;properties&quot;:{&quot;noteIndex&quot;:0},&quot;isEdited&quot;:false,&quot;manualOverride&quot;:{&quot;isManuallyOverridden&quot;:false,&quot;citeprocText&quot;:&quot;(Klaaßen et al., 2024)&quot;,&quot;manualOverrideText&quot;:&quot;&quot;},&quot;citationTag&quot;:&quot;MENDELEY_CITATION_v3_eyJjaXRhdGlvbklEIjoiTUVOREVMRVlfQ0lUQVRJT05fMDVkNmZkN2EtNjliMi00MTY5LWE1NzAtNmYwMjdlNjk3M2IyIiwicHJvcGVydGllcyI6eyJub3RlSW5kZXgiOjB9LCJpc0VkaXRlZCI6ZmFsc2UsIm1hbnVhbE92ZXJyaWRlIjp7ImlzTWFudWFsbHlPdmVycmlkZGVuIjpmYWxzZSwiY2l0ZXByb2NUZXh0IjoiKEtsYWHDn2VuIGV0IGFsLiwgMjAyNCkiLCJtYW51YWxPdmVycmlkZVRleHQiOiIifSwiY2l0YXRpb25JdGVtcyI6W3siaWQiOiI3NzFjZTI1Yy03OGFkLTNjMDQtYTUwNy1jYjQwYTkzMGZjZDYiLCJpdGVtRGF0YSI6eyJ0eXBlIjoiYXJ0aWNsZS1qb3VybmFsIiwiaWQiOiI3NzFjZTI1Yy03OGFkLTNjMDQtYTUwNy1jYjQwYTkzMGZjZDYiLCJ0aXRsZSI6IkFzc2Vzc2luZyBjb3Jwb3JhdGUgY2xpbWF0ZSBhY3Rpb246IENvcnBvcmF0ZSBjbGltYXRlIHBvbGljaWVzIGFuZCBjb21wYW55LWxldmVsIGVtaXNzaW9uIHJlZHVjdGlvbnMiLCJhdXRob3IiOlt7ImZhbWlseSI6IktsYWHDn2VuIiwiZ2l2ZW4iOiJMZW5hIiwicGFyc2UtbmFtZXMiOmZhbHNlLCJkcm9wcGluZy1wYXJ0aWNsZSI6IiIsIm5vbi1kcm9wcGluZy1wYXJ0aWNsZSI6IiJ9LHsiZmFtaWx5IjoiTG9obcO8bGxlciIsImdpdmVuIjoiQ2hyaXN0aWFuIiwicGFyc2UtbmFtZXMiOmZhbHNlLCJkcm9wcGluZy1wYXJ0aWNsZSI6IiIsIm5vbi1kcm9wcGluZy1wYXJ0aWNsZSI6IiJ9LHsiZmFtaWx5IjoiU3RlZmZlbiIsImdpdmVuIjoiQmphcm5lIiwicGFyc2UtbmFtZXMiOmZhbHNlLCJkcm9wcGluZy1wYXJ0aWNsZSI6IiIsIm5vbi1kcm9wcGluZy1wYXJ0aWNsZSI6IiJ9XSwiY29udGFpbmVyLXRpdGxlIjoiUExPUyBDbGltYXRlIiwiRE9JIjoiMTAuMTM3MS9qb3VybmFsLnBjbG0uMDAwMDQ1OCIsIklTU04iOiIyNzY3MzIwMCIsImlzc3VlZCI6eyJkYXRlLXBhcnRzIjpbWzIwMjQsMTEsMV1dfSwiYWJzdHJhY3QiOiJQcml2YXRlIGludmVzdG1lbnQgZGVjaXNpb25zIGFyZSBleHBlY3RlZCB0byBwbGF5IGEgZGVjaXNpdmUgcm9sZSBpbiByZWRpcmVjdGluZyBjYXBpdGFsIGZsb3dzIGluIGxpbmUgd2l0aCB0aGUgUGFyaXMgQWdyZWVtZW50LiBUaGUgZmluYW5jaWFsIHNlY3RvciBhbmQgcG9saWN5bWFrZXJzIGhhdmUgZW1waGFzaXplZCB0aGUgcm9sZSBvZiBjb3Jwb3JhdGUgY2xpbWF0ZSBhY3Rpb24gYW5kIGNsaW1hdGUtcmVsYXRlZCBkaXNjbG9zdXJlLCBpbmNsdWRpbmcgYmFja3dhcmQtbG9va2luZyBlbWlzc2lvbnMgZmlndXJlcyBhbmQgZm9yd2FyZC1sb29raW5nIGluZm9ybWF0aW9uIG9uIGNvcnBvcmF0ZSBjbGltYXRlIHBvbGljaWVzIHRvIGVuYWJsZSBpbnZlc3RvcnMgdG8gcmVhbGxvY2F0ZSBjYXBpdGFsIHRvIGZpcm1zIHdpdGggcHJvbWlzaW5nIGVtaXNzaW9uIHJlZHVjdGlvbiBwYXRod2F5cy4gSG93ZXZlciwgdGhlcmUgaXMgYXQgYmVzdCBpbmNvbmNsdXNpdmUgZXZpZGVuY2Ugb24gdGhlIHJlbGF0aW9uc2hpcCBiZXR3ZWVuIGNvcnBvcmF0ZSBjbGltYXRlIHBvbGljaWVzIGFuZCBzdWJzZXF1ZW50IGNvbXBhbnktbGV2ZWwgZW1pc3Npb24gcmVkdWN0aW9ucy4gUHJldmlvdXMgcmVzZWFyY2ggd2FzIGxpbWl0ZWQgYnkgc21hbGwgc2FtcGxlIHNpemVzIGFuZCBzaG9ydCBvYnNlcnZhdGlvbiBwZXJpb2RzLCBpbXBlZGluZyB0aGUgYW5hbHlzaXMgb2YgdGltZS1sYWdnZWQgZWZmZWN0cyBvciB0aGUgaW5jbHVzaW9uIG9mIGNvbXBhbnktbGV2ZWwgZml4ZWQgZWZmZWN0cy4gVG8gb3ZlcmNvbWUgdGhlc2Ugc2hvcnRjb21pbmdzLCB3ZSBkcmF3IG9uIGEgbmV3IGRhdGFzZXQgd2l0aCAxNywxOTggb2JzZXJ2YXRpb25zIGZyb20gMSw3NDkgY29tcGFuaWVzIHRoYXQgZGlzY2xvc2VkIHRoZWlyIGNvcnBvcmF0ZSBjbGltYXRlIHBvbGljaWVzIGJldHdlZW4gMjAxMCBhbmQgMjAyMi4gV2hpbGUgb3VyIHJlc3VsdHMgc2hvdyBvbmx5IGEgd2VhayBsaW5rIGJldHdlZW4gaW5kaXZpZHVhbCBwb2xpY2llcyBhbmQgY29tcGFueS1sZXZlbCBlbWlzc2lvbnMsIHdlIGZpbmQgc29tZSBldmlkZW5jZSBmb3IgYW4gaW1wcm92ZWQgY2xpbWF0ZSBwZXJmb3JtYW5jZSBmb3IgYWJzb2x1dGUgZW1pc3Npb25zIGZvciBjb21wYW5pZXMgdGhhdCBpbnRyb2R1Y2VkIGEgY29tcHJlaGVuc2l2ZSBjb3Jwb3JhdGUgY2xpbWF0ZSBwb2xpY3kgbWl4LiBUaGlzIGlzIGluIGxpbmUgd2l0aCBwdWJsaWMgcG9saWN5IHJlc2VhcmNoIHRoYXQgaGFzIGZvdW5kIGNvbXByZWhlbnNpdmVuZXNzIHRvIGJlIGFuIGltcG9ydGFudCBkaW1lbnNpb24gZm9yIHB1YmxpYyBwb2xpY3kgbWl4ZXMgYW5kIGVtcGhhc2l6ZXMgdGhlIHJvbGUgb2YgYSBtaXggb2YgY29ycG9yYXRlIGNsaW1hdGUgcG9saWNpZXMgcmF0aGVyIHRoYW4gcmVseWluZyBvbiBpbmRpdmlkdWFsIG1lYXN1cmVzLiIsInB1Ymxpc2hlciI6IlB1YmxpYyBMaWJyYXJ5IG9mIFNjaWVuY2UiLCJpc3N1ZSI6IjExIiwidm9sdW1lIjoiMyIsImNvbnRhaW5lci10aXRsZS1zaG9ydCI6IiJ9LCJpc1RlbXBvcmFyeSI6ZmFsc2UsInN1cHByZXNzLWF1dGhvciI6ZmFsc2UsImNvbXBvc2l0ZSI6ZmFsc2UsImF1dGhvci1vbmx5IjpmYWxzZX1dfQ==&quot;,&quot;citationItems&quot;:[{&quot;id&quot;:&quot;771ce25c-78ad-3c04-a507-cb40a930fcd6&quot;,&quot;itemData&quot;:{&quot;type&quot;:&quot;article-journal&quot;,&quot;id&quot;:&quot;771ce25c-78ad-3c04-a507-cb40a930fcd6&quot;,&quot;title&quot;:&quot;Assessing corporate climate action: Corporate climate policies and company-level emission reductions&quot;,&quot;author&quot;:[{&quot;family&quot;:&quot;Klaaßen&quot;,&quot;given&quot;:&quot;Lena&quot;,&quot;parse-names&quot;:false,&quot;dropping-particle&quot;:&quot;&quot;,&quot;non-dropping-particle&quot;:&quot;&quot;},{&quot;family&quot;:&quot;Lohmüller&quot;,&quot;given&quot;:&quot;Christian&quot;,&quot;parse-names&quot;:false,&quot;dropping-particle&quot;:&quot;&quot;,&quot;non-dropping-particle&quot;:&quot;&quot;},{&quot;family&quot;:&quot;Steffen&quot;,&quot;given&quot;:&quot;Bjarne&quot;,&quot;parse-names&quot;:false,&quot;dropping-particle&quot;:&quot;&quot;,&quot;non-dropping-particle&quot;:&quot;&quot;}],&quot;container-title&quot;:&quot;PLOS Climate&quot;,&quot;DOI&quot;:&quot;10.1371/journal.pclm.0000458&quot;,&quot;ISSN&quot;:&quot;27673200&quot;,&quot;issued&quot;:{&quot;date-parts&quot;:[[2024,11,1]]},&quot;abstract&quot;:&quot;Private investment decisions are expected to play a decisive role in redirecting capital flows in line with the Paris Agreement. The financial sector and policymakers have emphasized the role of corporate climate action and climate-related disclosure, including backward-looking emissions figures and forward-looking information on corporate climate policies to enable investors to reallocate capital to firms with promising emission reduction pathways. However, there is at best inconclusive evidence on the relationship between corporate climate policies and subsequent company-level emission reductions. Previous research was limited by small sample sizes and short observation periods, impeding the analysis of time-lagged effects or the inclusion of company-level fixed effects. To overcome these shortcomings, we draw on a new dataset with 17,198 observations from 1,749 companies that disclosed their corporate climate policies between 2010 and 2022. While our results show only a weak link between individual policies and company-level emissions, we find some evidence for an improved climate performance for absolute emissions for companies that introduced a comprehensive corporate climate policy mix. This is in line with public policy research that has found comprehensiveness to be an important dimension for public policy mixes and emphasizes the role of a mix of corporate climate policies rather than relying on individual measures.&quot;,&quot;publisher&quot;:&quot;Public Library of Science&quot;,&quot;issue&quot;:&quot;11&quot;,&quot;volume&quot;:&quot;3&quot;,&quot;container-title-short&quot;:&quot;&quot;},&quot;isTemporary&quot;:false,&quot;suppress-author&quot;:false,&quot;composite&quot;:false,&quot;author-only&quot;:false}]},{&quot;citationID&quot;:&quot;MENDELEY_CITATION_a1e17858-e2a3-44d2-af71-e0d1a38e17ab&quot;,&quot;properties&quot;:{&quot;noteIndex&quot;:0},&quot;isEdited&quot;:false,&quot;manualOverride&quot;:{&quot;isManuallyOverridden&quot;:false,&quot;citeprocText&quot;:&quot;(Alaika &amp;#38; Firmansyah, 2024)&quot;,&quot;manualOverrideText&quot;:&quot;&quot;},&quot;citationTag&quot;:&quot;MENDELEY_CITATION_v3_eyJjaXRhdGlvbklEIjoiTUVOREVMRVlfQ0lUQVRJT05fYTFlMTc4NTgtZTJhMy00NGQyLWFmNzEtZTBkMWEzOGUxN2FiIiwicHJvcGVydGllcyI6eyJub3RlSW5kZXgiOjB9LCJpc0VkaXRlZCI6ZmFsc2UsIm1hbnVhbE92ZXJyaWRlIjp7ImlzTWFudWFsbHlPdmVycmlkZGVuIjpmYWxzZSwiY2l0ZXByb2NUZXh0IjoiKEFsYWlrYSAmIzM4OyBGaXJtYW5zeWFoLCAyMDI0KSIsIm1hbnVhbE92ZXJyaWRlVGV4dCI6IiJ9LCJjaXRhdGlvbkl0ZW1zIjpbeyJpZCI6Ijc4MzRlMzBlLWQwNDYtMzg0Yi1hYmE1LTI4MDc4OGI0ZjVmZSIsIml0ZW1EYXRhIjp7InR5cGUiOiJhcnRpY2xlLWpvdXJuYWwiLCJpZCI6Ijc4MzRlMzBlLWQwNDYtMzg0Yi1hYmE1LTI4MDc4OGI0ZjVmZSIsInRpdGxlIjoiVW52ZWlsaW5nIFRoZSBJbXBhY3Qgb2YgR3JlZW4gQWNjb3VudGluZyBhbmQgU3VzdGFpbmFiaWxpdHkgRGlzY2xvc3VyZSBPbiBUaGUgRmlybSBWYWx1ZSIsImF1dGhvciI6W3siZmFtaWx5IjoiQWxhaWthIiwiZ2l2ZW4iOiJBYmR1bGxhaCBBeml6IiwicGFyc2UtbmFtZXMiOmZhbHNlLCJkcm9wcGluZy1wYXJ0aWNsZSI6IiIsIm5vbi1kcm9wcGluZy1wYXJ0aWNsZSI6IiJ9LHsiZmFtaWx5IjoiRmlybWFuc3lhaCIsImdpdmVuIjoiQW1yaWUiLCJwYXJzZS1uYW1lcyI6ZmFsc2UsImRyb3BwaW5nLXBhcnRpY2xlIjoiIiwibm9uLWRyb3BwaW5nLXBhcnRpY2xlIjoiIn1dLCJjb250YWluZXItdGl0bGUiOiJKb3VybmFsIG9mIEdvdmVybmFuY2UgUmlzayBNYW5hZ2VtZW50IENvbXBsaWFuY2UgYW5kIFN1c3RhaW5hYmlsaXR5IiwiRE9JIjoiMTAuMzEwOTgvamdyY3MudjRpMi4yNDM2IiwiSVNTTiI6IjI3NzYtOTY1OCIsIlVSTCI6Imh0dHBzOi8vam91cm5hbHMucmVzZWFyY2hzeW5lcmd5cHJlc3MuY29tL2luZGV4LnBocC9qZ3Jjcy9hcnRpY2xlL3ZpZXcvMjQzNiIsImlzc3VlZCI6eyJkYXRlLXBhcnRzIjpbWzIwMjQsMTAsMzFdXX0sInBhZ2UiOiI2NC03OCIsImFic3RyYWN0IjoiPHA+VGhpcyBzdHVkeSBleGFtaW5lZCB0aGUgaW1wYWN0IG9mIGdyZWVuIGFjY291bnRpbmcgYW5kIHN1c3RhaW5hYmlsaXR5IGRpc2Nsb3N1cmUgb24gZmlybSB2YWx1ZSBpbiB0aGUgSW5kb25lc2lhbiBwYWxtIG9pbCBpbmR1c3RyeS4gVGhlIG9iamVjdGl2ZSB3YXMgdG8gZW1waXJpY2FsbHkgYXNzZXNzIGhvdyBlbnZpcm9ubWVudGFsIHBlcmZvcm1hbmNlIG1lYXN1cmVkIGJ5IFBST1BFUiBhbmQgc3VzdGFpbmFiaWxpdHkgcmVwb3J0cyBhZmZlY3RzIGZpcm0gdmFsdWUuIFVzaW5nIHF1YW50aXRhdGl2ZSByZXNlYXJjaCBtZXRob2RzLCB0aGUgc3R1ZHkgYW5hbHl6ZWQgZGF0YSBmcm9tIDEyNCBwYWxtIG9pbCBjb21wYW55IG9ic2VydmF0aW9ucyBsaXN0ZWQgb24gdGhlIEluZG9uZXNpYSBTdG9jayBFeGNoYW5nZSBmcm9tIDIwMTggdG8gMjAyMi4gVGhlIHJlc2VhcmNoIHZhcmlhYmxlcyBpbmNsdWRlZCBmaXJtIHZhbHVlIHByb3hpZWQgYnkgVG9iaW7igJlzIFEsIGdyZWVuIGFjY291bnRpbmcgcHJveGllZCBieSBQUk9QRVIgc2NvcmVzLCBhbmQgc3VzdGFpbmFiaWxpdHkgZGlzY2xvc3VyZSBpbmRleGVkIGZyb20gdGhlIGNvbXBhbmllc+KAmSBzdXN0YWluYWJpbGl0eSByZXBvcnRzLiBUaGUgc3R1ZHkgYWxzbyBpbmNsdWRlZCBwcm9maXRhYmlsaXR5LCBmaXJtIHNpemUsIGFuZCBsZXZlcmFnZSBhcyBjb250cm9sIHZhcmlhYmxlcy4gVGhlIHJlc3VsdHMgaW5kaWNhdGVkIHRoYXQgZ3JlZW4gYWNjb3VudGluZyBoYWQgYSBuZWdhdGl2ZSBpbXBhY3Qgb24gZmlybSB2YWx1ZSwgc3VnZ2VzdGluZyB0aGF0IGVudmlyb25tZW50YWwgY29tcGxpYW5jZSBpbXBvc2VzIHNob3J0LXRlcm0gZmluYW5jaWFsIGJ1cmRlbnMgb24gY29tcGFuaWVzLiBIb3dldmVyLCBzdXN0YWluYWJpbGl0eSBkaXNjbG9zdXJlIGRpZCBub3Qgc2lnbmlmaWNhbnRseSBpbmZsdWVuY2UgZmlybSB2YWx1ZSwgaW5kaWNhdGluZyB0aGF0IGludmVzdG9ycyBpbiB0aGUgcGFsbSBvaWwgaW5kdXN0cnkgbWF5IHByaW9yaXRpemUgc2hvcnQtdGVybSBmaW5hbmNpYWwgcGVyZm9ybWFuY2Ugb3ZlciBsb25nLXRlcm0gc3VzdGFpbmFiaWxpdHkgY29uc2lkZXJhdGlvbnMuIFRoZXNlIGZpbmRpbmdzIGNvbnRyaWJ1dGUgdG8gdGhlIGxpdGVyYXR1cmUgb24gY29ycG9yYXRlIGdvdmVybmFuY2UgYW5kIHN1c3RhaW5hYmlsaXR5LCBwYXJ0aWN1bGFybHkgaW4gaW5kdXN0cmllcyB3aXRoIGhpZ2ggZW52aXJvbm1lbnRhbCBpbXBhY3QsIGxpa2UgcGFsbSBvaWwuPC9wPiIsImlzc3VlIjoiMiIsInZvbHVtZSI6IjQiLCJjb250YWluZXItdGl0bGUtc2hvcnQiOiIifSwiaXNUZW1wb3JhcnkiOmZhbHNlLCJzdXBwcmVzcy1hdXRob3IiOmZhbHNlLCJjb21wb3NpdGUiOmZhbHNlLCJhdXRob3Itb25seSI6ZmFsc2V9XX0=&quot;,&quot;citationItems&quot;:[{&quot;id&quot;:&quot;7834e30e-d046-384b-aba5-280788b4f5fe&quot;,&quot;itemData&quot;:{&quot;type&quot;:&quot;article-journal&quot;,&quot;id&quot;:&quot;7834e30e-d046-384b-aba5-280788b4f5fe&quot;,&quot;title&quot;:&quot;Unveiling The Impact of Green Accounting and Sustainability Disclosure On The Firm Value&quot;,&quot;author&quot;:[{&quot;family&quot;:&quot;Alaika&quot;,&quot;given&quot;:&quot;Abdullah Aziz&quot;,&quot;parse-names&quot;:false,&quot;dropping-particle&quot;:&quot;&quot;,&quot;non-dropping-particle&quot;:&quot;&quot;},{&quot;family&quot;:&quot;Firmansyah&quot;,&quot;given&quot;:&quot;Amrie&quot;,&quot;parse-names&quot;:false,&quot;dropping-particle&quot;:&quot;&quot;,&quot;non-dropping-particle&quot;:&quot;&quot;}],&quot;container-title&quot;:&quot;Journal of Governance Risk Management Compliance and Sustainability&quot;,&quot;DOI&quot;:&quot;10.31098/jgrcs.v4i2.2436&quot;,&quot;ISSN&quot;:&quot;2776-9658&quot;,&quot;URL&quot;:&quot;https://journals.researchsynergypress.com/index.php/jgrcs/article/view/2436&quot;,&quot;issued&quot;:{&quot;date-parts&quot;:[[2024,10,31]]},&quot;page&quot;:&quot;64-78&quot;,&quot;abstract&quot;:&quot;&lt;p&gt;This study examined the impact of green accounting and sustainability disclosure on firm value in the Indonesian palm oil industry. The objective was to empirically assess how environmental performance measured by PROPER and sustainability reports affects firm value. Using quantitative research methods, the study analyzed data from 124 palm oil company observations listed on the Indonesia Stock Exchange from 2018 to 2022. The research variables included firm value proxied by Tobin’s Q, green accounting proxied by PROPER scores, and sustainability disclosure indexed from the companies’ sustainability reports. The study also included profitability, firm size, and leverage as control variables. The results indicated that green accounting had a negative impact on firm value, suggesting that environmental compliance imposes short-term financial burdens on companies. However, sustainability disclosure did not significantly influence firm value, indicating that investors in the palm oil industry may prioritize short-term financial performance over long-term sustainability considerations. These findings contribute to the literature on corporate governance and sustainability, particularly in industries with high environmental impact, like palm oil.&lt;/p&gt;&quot;,&quot;issue&quot;:&quot;2&quot;,&quot;volume&quot;:&quot;4&quot;,&quot;container-title-short&quot;:&quot;&quot;},&quot;isTemporary&quot;:false,&quot;suppress-author&quot;:false,&quot;composite&quot;:false,&quot;author-only&quot;:false}]},{&quot;citationID&quot;:&quot;MENDELEY_CITATION_9090f094-45d6-4f35-b7e8-e6044028bbca&quot;,&quot;properties&quot;:{&quot;noteIndex&quot;:0},&quot;isEdited&quot;:false,&quot;manualOverride&quot;:{&quot;isManuallyOverridden&quot;:false,&quot;citeprocText&quot;:&quot;(Jiang et al., 2021)&quot;,&quot;manualOverrideText&quot;:&quot;&quot;},&quot;citationTag&quot;:&quot;MENDELEY_CITATION_v3_eyJjaXRhdGlvbklEIjoiTUVOREVMRVlfQ0lUQVRJT05fOTA5MGYwOTQtNDVkNi00ZjM1LWI3ZTgtZTYwNDQwMjhiYmNhIiwicHJvcGVydGllcyI6eyJub3RlSW5kZXgiOjB9LCJpc0VkaXRlZCI6ZmFsc2UsIm1hbnVhbE92ZXJyaWRlIjp7ImlzTWFudWFsbHlPdmVycmlkZGVuIjpmYWxzZSwiY2l0ZXByb2NUZXh0IjoiKEppYW5nIGV0IGFsLiwgMjAyMSkiLCJtYW51YWxPdmVycmlkZVRleHQiOiIifSwiY2l0YXRpb25JdGVtcyI6W3siaWQiOiIwZDQ0YjU3NC1kNTUwLTNiYzQtYjZlOS05NzM4YWMyMWZiNzMiLCJpdGVtRGF0YSI6eyJ0eXBlIjoiYXJ0aWNsZS1qb3VybmFsIiwiaWQiOiIwZDQ0YjU3NC1kNTUwLTNiYzQtYjZlOS05NzM4YWMyMWZiNzMiLCJ0aXRsZSI6IlRoZSB2YWx1ZSByZWxldmFuY2Ugb2YgY29ycG9yYXRlIHZvbHVudGFyeSBjYXJib24gZGlzY2xvc3VyZTogRXZpZGVuY2UgZnJvbSB0aGUgVW5pdGVkIFN0YXRlcyBhbmQgQlJJQyBjb3VudHJpZXMiLCJhdXRob3IiOlt7ImZhbWlseSI6IkppYW5nIiwiZ2l2ZW4iOiJZYW4iLCJwYXJzZS1uYW1lcyI6ZmFsc2UsImRyb3BwaW5nLXBhcnRpY2xlIjoiIiwibm9uLWRyb3BwaW5nLXBhcnRpY2xlIjoiIn0seyJmYW1pbHkiOiJMdW8iLCJnaXZlbiI6IkxlIiwicGFyc2UtbmFtZXMiOmZhbHNlLCJkcm9wcGluZy1wYXJ0aWNsZSI6IiIsIm5vbi1kcm9wcGluZy1wYXJ0aWNsZSI6IiJ9LHsiZmFtaWx5IjoiWHUiLCJnaXZlbiI6IkppYW4gRmVuZyIsInBhcnNlLW5hbWVzIjpmYWxzZSwiZHJvcHBpbmctcGFydGljbGUiOiIiLCJub24tZHJvcHBpbmctcGFydGljbGUiOiIifSx7ImZhbWlseSI6IlNoYW8iLCJnaXZlbiI6IlhpYW8gUnVpIiwicGFyc2UtbmFtZXMiOmZhbHNlLCJkcm9wcGluZy1wYXJ0aWNsZSI6IiIsIm5vbi1kcm9wcGluZy1wYXJ0aWNsZSI6IiJ9XSwiY29udGFpbmVyLXRpdGxlIjoiSm91cm5hbCBvZiBDb250ZW1wb3JhcnkgQWNjb3VudGluZyBhbmQgRWNvbm9taWNzIiwiRE9JIjoiMTAuMTAxNi9qLmpjYWUuMjAyMS4xMDAyNzkiLCJJU1NOIjoiMTgxNTU2NjkiLCJpc3N1ZWQiOnsiZGF0ZS1wYXJ0cyI6W1syMDIxLDEyLDFdXX0sImFic3RyYWN0IjoiT3VyIHN0dWR5IGZvY3VzZXMgb24gdGhlIHZhbHVlIHJlbGV2YW5jZSBvZiBjb3Jwb3JhdGUgdm9sdW50YXJ5IGNhcmJvbiBkaXNjbG9zdXJlLiBPdXIgc2FtcGxlIGluY2x1ZGVzIGZpcm1zIGZyb20gdGhlIFVuaXRlZCBTdGF0ZXMgKGxpc3RlZCBpbiB0aGUgUyZQIDUwMCkgYW5kIGZpcm1zIGZyb20gQnJhemlsLCBSdXNzaWEsIEluZGlhLCBhbmQgQ2hpbmEgdGhhdCBhcmUgdGFyZ2V0ZWQgYnkgdGhlIENEUC4gV2UgZXhhbWluZSB3aGV0aGVyIHRoZSBjYXBpdGFsIG1hcmtldCByZXdhcmRzIGZpcm1z4oCZIHZvbHVudGFyeSBjYXJib24gZGlzY2xvc3VyZS4gVm9sdW50YXJ5IGNhcmJvbiBkaXNjbG9zdXJlIGlzIG1lYXN1cmVkIGFzIGZpcm1z4oCZIHByb3BlbnNpdHkgdG8gdm9sdW50YXJpbHkgZGlzY2xvc2UgY2FyYm9uIGluZm9ybWF0aW9uIGFuZCB0aGUgY29tcHJlaGVuc2l2ZW5lc3MgYW5kIHF1YWxpdHkgb2YgdGhlaXIgZGlzY2xvc3VyZS4gV2UgZmluZCB0aGF0IGZpcm1zIHdpdGggZ3JlYXRlciBjYXJib24gZGlzY2xvc3VyZSBoYXZlIGhpZ2hlciBmaXJtIHZhbHVlLiBGdXJ0aGVybW9yZSwgdGhlIHBvc2l0aXZlIGFzc29jaWF0aW9uIGJldHdlZW4gZmlybSB2YWx1ZSBhbmQgdm9sdW50YXJ5IGNhcmJvbiBkaXNjbG9zdXJlIGlzIHN0cm9uZ2VyIGluIGRldmVsb3BpbmcgY291bnRyaWVzLiBXZSBhbHNvIGZpbmQgdGhhdCBsYXJnZSBlbWl0dGVycyB3aXRoIHN1ZmZpY2llbnQgY2FyYm9uIGRpc2Nsb3N1cmUgZXhwZXJpZW5jZSBhIGxlc3MgbmVnYXRpdmUgdmFsdWF0aW9uIHRoYW4gZmlybXMgd2l0aCBpbmFkZXF1YXRlIGNhcmJvbiBkaXNjbG9zdXJlLiBGdXJ0aGVybW9yZSwgYSBzdWJjb21wb25lbnQgYW5hbHlzaXMgc3VnZ2VzdHMgdGhhdCB0aGUgZGlzY2xvc3VyZSBvZiBzcGVjaWZpYyB0eXBlcyBvZiBjbGltYXRlIHJpc2sgYW5kIG9wcG9ydHVuaXR5IGlzIHJld2FyZGVkIGJ5IGludmVzdG9ycyBhbmQgY2FuIG1pdGlnYXRlIHRoZSB2YWx1YXRpb24gcGVuYWx0eSBvZiBjYXJib24gZW1pc3Npb25zLiBUaGVzZSByZXN1bHRzIGhhdmUgaW1wb3J0YW50IGltcGxpY2F0aW9ucyBmb3IgY29tcGFuaWVzLCBpbnZlc3RvcnMsIGFuZCByZWd1bGF0b3JzLiBPdXIgYW5hbHlzZXMgZW5oYW5jZSB1bmRlcnN0YW5kaW5nIG9mIHRoZSBjb25zZXF1ZW5jZXMgb2Ygdm9sdW50YXJ5IGNhcmJvbiByZXBvcnRpbmcsIHdoaWNoIGVucmljaGVzIHRoZSByZXBvcnRpbmcgb2YgY3VycmVudCBmaW5hbmNpYWwgaW5mb3JtYXRpb24uIiwicHVibGlzaGVyIjoiRWxzZXZpZXIgTHRkIiwiaXNzdWUiOiIzIiwidm9sdW1lIjoiMTciLCJjb250YWluZXItdGl0bGUtc2hvcnQiOiIifSwiaXNUZW1wb3JhcnkiOmZhbHNlLCJzdXBwcmVzcy1hdXRob3IiOmZhbHNlLCJjb21wb3NpdGUiOmZhbHNlLCJhdXRob3Itb25seSI6ZmFsc2V9XX0=&quot;,&quot;citationItems&quot;:[{&quot;id&quot;:&quot;0d44b574-d550-3bc4-b6e9-9738ac21fb73&quot;,&quot;itemData&quot;:{&quot;type&quot;:&quot;article-journal&quot;,&quot;id&quot;:&quot;0d44b574-d550-3bc4-b6e9-9738ac21fb73&quot;,&quot;title&quot;:&quot;The value relevance of corporate voluntary carbon disclosure: Evidence from the United States and BRIC countries&quot;,&quot;author&quot;:[{&quot;family&quot;:&quot;Jiang&quot;,&quot;given&quot;:&quot;Yan&quot;,&quot;parse-names&quot;:false,&quot;dropping-particle&quot;:&quot;&quot;,&quot;non-dropping-particle&quot;:&quot;&quot;},{&quot;family&quot;:&quot;Luo&quot;,&quot;given&quot;:&quot;Le&quot;,&quot;parse-names&quot;:false,&quot;dropping-particle&quot;:&quot;&quot;,&quot;non-dropping-particle&quot;:&quot;&quot;},{&quot;family&quot;:&quot;Xu&quot;,&quot;given&quot;:&quot;Jian Feng&quot;,&quot;parse-names&quot;:false,&quot;dropping-particle&quot;:&quot;&quot;,&quot;non-dropping-particle&quot;:&quot;&quot;},{&quot;family&quot;:&quot;Shao&quot;,&quot;given&quot;:&quot;Xiao Rui&quot;,&quot;parse-names&quot;:false,&quot;dropping-particle&quot;:&quot;&quot;,&quot;non-dropping-particle&quot;:&quot;&quot;}],&quot;container-title&quot;:&quot;Journal of Contemporary Accounting and Economics&quot;,&quot;DOI&quot;:&quot;10.1016/j.jcae.2021.100279&quot;,&quot;ISSN&quot;:&quot;18155669&quot;,&quot;issued&quot;:{&quot;date-parts&quot;:[[2021,12,1]]},&quot;abstract&quot;:&quot;Our study focuses on the value relevance of corporate voluntary carbon disclosure. Our sample includes firms from the United States (listed in the S&amp;P 500) and firms from Brazil, Russia, India, and China that are targeted by the CDP. We examine whether the capital market rewards firms’ voluntary carbon disclosure. Voluntary carbon disclosure is measured as firms’ propensity to voluntarily disclose carbon information and the comprehensiveness and quality of their disclosure. We find that firms with greater carbon disclosure have higher firm value. Furthermore, the positive association between firm value and voluntary carbon disclosure is stronger in developing countries. We also find that large emitters with sufficient carbon disclosure experience a less negative valuation than firms with inadequate carbon disclosure. Furthermore, a subcomponent analysis suggests that the disclosure of specific types of climate risk and opportunity is rewarded by investors and can mitigate the valuation penalty of carbon emissions. These results have important implications for companies, investors, and regulators. Our analyses enhance understanding of the consequences of voluntary carbon reporting, which enriches the reporting of current financial information.&quot;,&quot;publisher&quot;:&quot;Elsevier Ltd&quot;,&quot;issue&quot;:&quot;3&quot;,&quot;volume&quot;:&quot;17&quot;,&quot;container-title-short&quot;:&quot;&quot;},&quot;isTemporary&quot;:false,&quot;suppress-author&quot;:false,&quot;composite&quot;:false,&quot;author-only&quot;:false}]},{&quot;citationID&quot;:&quot;MENDELEY_CITATION_2659c0de-7d71-4085-af99-410b268ebf59&quot;,&quot;properties&quot;:{&quot;noteIndex&quot;:0},&quot;isEdited&quot;:false,&quot;manualOverride&quot;:{&quot;isManuallyOverridden&quot;:false,&quot;citeprocText&quot;:&quot;(Kurnia et al., 2021)&quot;,&quot;manualOverrideText&quot;:&quot;&quot;},&quot;citationTag&quot;:&quot;MENDELEY_CITATION_v3_eyJjaXRhdGlvbklEIjoiTUVOREVMRVlfQ0lUQVRJT05fMjY1OWMwZGUtN2Q3MS00MDg1LWFmOTktNDEwYjI2OGViZjU5IiwicHJvcGVydGllcyI6eyJub3RlSW5kZXgiOjB9LCJpc0VkaXRlZCI6ZmFsc2UsIm1hbnVhbE92ZXJyaWRlIjp7ImlzTWFudWFsbHlPdmVycmlkZGVuIjpmYWxzZSwiY2l0ZXByb2NUZXh0IjoiKEt1cm5pYSBldCBhbC4sIDIwMjEpIiwibWFudWFsT3ZlcnJpZGVUZXh0IjoiIn0sImNpdGF0aW9uSXRlbXMiOlt7ImlkIjoiNTgyZDFjODYtMzZiYS0zNDE0LWEwNTctZDIxMWY4NzczMGU0IiwiaXRlbURhdGEiOnsidHlwZSI6ImFydGljbGUtam91cm5hbCIsImlkIjoiNTgyZDFjODYtMzZiYS0zNDE0LWEwNTctZDIxMWY4NzczMGU0IiwidGl0bGUiOiJDYXJib24gZW1pc3Npb24gZGlzY2xvc3VyZSBhbmQgZmlybSB2YWx1ZTogQSBzdHVkeSBvZiBtYW51ZmFjdHVyaW5nIGZpcm1zIGluIEluZG9uZXNpYSBhbmQgQXVzdHJhbGlhIiwiYXV0aG9yIjpbeyJmYW1pbHkiOiJLdXJuaWEiLCJnaXZlbiI6IlBpcGluIiwicGFyc2UtbmFtZXMiOmZhbHNlLCJkcm9wcGluZy1wYXJ0aWNsZSI6IiIsIm5vbi1kcm9wcGluZy1wYXJ0aWNsZSI6IiJ9LHsiZmFtaWx5IjoiRW1yaW5hbGRpIE51ciIsImdpdmVuIjoiRC4gUC4iLCJwYXJzZS1uYW1lcyI6ZmFsc2UsImRyb3BwaW5nLXBhcnRpY2xlIjoiIiwibm9uLWRyb3BwaW5nLXBhcnRpY2xlIjoiIn0seyJmYW1pbHkiOiJQdXRyYSIsImdpdmVuIjoiQWRoaXR5YSBBZ3JpIiwicGFyc2UtbmFtZXMiOmZhbHNlLCJkcm9wcGluZy1wYXJ0aWNsZSI6IiIsIm5vbi1kcm9wcGluZy1wYXJ0aWNsZSI6IiJ9XSwiY29udGFpbmVyLXRpdGxlIjoiSW50ZXJuYXRpb25hbCBKb3VybmFsIG9mIEVuZXJneSBFY29ub21pY3MgYW5kIFBvbGljeSIsIkRPSSI6IjEwLjMyNDc5L2lqZWVwLjEwNzMwIiwiSVNTTiI6IjIxNDY0NTUzIiwiaXNzdWVkIjp7ImRhdGUtcGFydHMiOltbMjAyMV1dfSwicGFnZSI6IjgzLTg3IiwiYWJzdHJhY3QiOiJUaGlzIHJlc2VhcmNoIGFpbXMgdG8gZXhhbWluZSB0aGUgZWZmZWN0IG9mIGNhcmJvbiBlbWlzc2lvbiBkaXNjbG9zdXJlIG9uIGZpcm0gdmFsdWUgaW4gSW5kb25lc2lhIGFuZCBBdXN0cmFsaWEuIFJlc2VhcmNoIHNhbXBsZXMgYXJlIDM5IEluZG9uZXNpYW4gbWFudWZhY3R1cmluZyBmaXJtcyBhbmQgMjUgQXVzdHJhbGlhbiBtYW51ZmFjdHVyaW5nIGZpcm1zLiBGaXJtIHZhbHVlIGlzIG1lYXN1cmVkIGJ5IFRvYmlu4oCZcyBRIHdoaWxlIGNhcmJvbiBlbWlzc2lvbiBkaXNjbG9zdXJlIGlzIG1lYXN1cmVkIGJ5IHRoZSBjYXJib24gZW1pc3Npb24gZGlzY2xvc3VyZSBpbmRleC4gQmFzZWQgb24gYW5hbHlzaXMgZGF0YSwgY2FyYm9uIGVtaXNzaW9uIGRpc2Nsb3N1cmUgaW4gSW5kb25lc2lhIGluY3JlYXNlcyBmaXJtIHZhbHVlLiBJdCBpbmRpY2F0ZXMgY2FyYm9uIGVtaXNzaW9uIGRpc2Nsb3N1cmUgYnJpbmdzIGEgY29tcGV0aXRpdmUgYWR2YW50YWdlIGZvciBmaXJtcyB0byBjcmVhdGUgdmFsdWUuIE9uIHRoZSBvdGhlciBoYW5kLCB0aGVyZSBpcyBubyBlZmZlY3Qgb2YgY2FyYm9uIGVtaXNzaW9uIGRpc2Nsb3N1cmUgaW4gQXVzdHJhbGlhIG9uIGZpcm0gdmFsdWUuIENhcmJvbiBlbWlzc2lvbiBkaXNjbG9zdXJlIGltcGxlbWVudGF0aW9uIGlzIGNvc3RseSBhbmQgbGVhZHMgdG8gaGlnaGVyIGV4cGVuc2VzIGFuZCBsb3dlciBjYXNoIGZsb3cuIiwicHVibGlzaGVyIjoiRWNvbmpvdXJuYWxzIiwiaXNzdWUiOiIyIiwidm9sdW1lIjoiMTEiLCJjb250YWluZXItdGl0bGUtc2hvcnQiOiIifSwiaXNUZW1wb3JhcnkiOmZhbHNlLCJzdXBwcmVzcy1hdXRob3IiOmZhbHNlLCJjb21wb3NpdGUiOmZhbHNlLCJhdXRob3Itb25seSI6ZmFsc2V9XX0=&quot;,&quot;citationItems&quot;:[{&quot;id&quot;:&quot;582d1c86-36ba-3414-a057-d211f87730e4&quot;,&quot;itemData&quot;:{&quot;type&quot;:&quot;article-journal&quot;,&quot;id&quot;:&quot;582d1c86-36ba-3414-a057-d211f87730e4&quot;,&quot;title&quot;:&quot;Carbon emission disclosure and firm value: A study of manufacturing firms in Indonesia and Australia&quot;,&quot;author&quot;:[{&quot;family&quot;:&quot;Kurnia&quot;,&quot;given&quot;:&quot;Pipin&quot;,&quot;parse-names&quot;:false,&quot;dropping-particle&quot;:&quot;&quot;,&quot;non-dropping-particle&quot;:&quot;&quot;},{&quot;family&quot;:&quot;Emrinaldi Nur&quot;,&quot;given&quot;:&quot;D. P.&quot;,&quot;parse-names&quot;:false,&quot;dropping-particle&quot;:&quot;&quot;,&quot;non-dropping-particle&quot;:&quot;&quot;},{&quot;family&quot;:&quot;Putra&quot;,&quot;given&quot;:&quot;Adhitya Agri&quot;,&quot;parse-names&quot;:false,&quot;dropping-particle&quot;:&quot;&quot;,&quot;non-dropping-particle&quot;:&quot;&quot;}],&quot;container-title&quot;:&quot;International Journal of Energy Economics and Policy&quot;,&quot;DOI&quot;:&quot;10.32479/ijeep.10730&quot;,&quot;ISSN&quot;:&quot;21464553&quot;,&quot;issued&quot;:{&quot;date-parts&quot;:[[2021]]},&quot;page&quot;:&quot;83-87&quot;,&quot;abstract&quot;:&quot;This research aims to examine the effect of carbon emission disclosure on firm value in Indonesia and Australia. Research samples are 39 Indonesian manufacturing firms and 25 Australian manufacturing firms. Firm value is measured by Tobin’s Q while carbon emission disclosure is measured by the carbon emission disclosure index. Based on analysis data, carbon emission disclosure in Indonesia increases firm value. It indicates carbon emission disclosure brings a competitive advantage for firms to create value. On the other hand, there is no effect of carbon emission disclosure in Australia on firm value. Carbon emission disclosure implementation is costly and leads to higher expenses and lower cash flow.&quot;,&quot;publisher&quot;:&quot;Econjournals&quot;,&quot;issue&quot;:&quot;2&quot;,&quot;volume&quot;:&quot;11&quot;,&quot;container-title-short&quot;:&quot;&quot;},&quot;isTemporary&quot;:false,&quot;suppress-author&quot;:false,&quot;composite&quot;:false,&quot;author-only&quot;:false}]},{&quot;citationID&quot;:&quot;MENDELEY_CITATION_ddf5669c-768a-4811-996d-a5e14567e9e1&quot;,&quot;properties&quot;:{&quot;noteIndex&quot;:0},&quot;isEdited&quot;:false,&quot;manualOverride&quot;:{&quot;isManuallyOverridden&quot;:false,&quot;citeprocText&quot;:&quot;(Myers &amp;#38; Majiuf, 1981)&quot;,&quot;manualOverrideText&quot;:&quot;&quot;},&quot;citationTag&quot;:&quot;MENDELEY_CITATION_v3_eyJjaXRhdGlvbklEIjoiTUVOREVMRVlfQ0lUQVRJT05fZGRmNTY2OWMtNzY4YS00ODExLTk5NmQtYTVlMTQ1NjdlOWUxIiwicHJvcGVydGllcyI6eyJub3RlSW5kZXgiOjB9LCJpc0VkaXRlZCI6ZmFsc2UsIm1hbnVhbE92ZXJyaWRlIjp7ImlzTWFudWFsbHlPdmVycmlkZGVuIjpmYWxzZSwiY2l0ZXByb2NUZXh0IjoiKE15ZXJzICYjMzg7IE1haml1ZiwgMTk4MSkiLCJtYW51YWxPdmVycmlkZVRleHQiOiIifSwiY2l0YXRpb25JdGVtcyI6W3siaWQiOiJjMjQ2ZTc5ZS1mZDkyLTNhMzUtOTZhNy0wNjYyMGEwYTVlZjMiLCJpdGVtRGF0YSI6eyJ0eXBlIjoicmVwb3J0IiwiaWQiOiJjMjQ2ZTc5ZS1mZDkyLTNhMzUtOTZhNy0wNjYyMGEwYTVlZjMiLCJ0aXRsZSI6IkNPUlBPUkFURSBGSU5BTkNJTkcgQU5EIElOVkVTVE1FTlQgREVDSVNJT05TIFdIRU4gRklSTVMgSEFWRSBJTkZPUk1BVElPTiBUSEUgSU5WRVNUT1JTIERPIE5PVCBIQVZFIiwiYXV0aG9yIjpbeyJmYW1pbHkiOiJNeWVycyIsImdpdmVuIjoiU3Rld2FydCBDIiwicGFyc2UtbmFtZXMiOmZhbHNlLCJkcm9wcGluZy1wYXJ0aWNsZSI6IiIsIm5vbi1kcm9wcGluZy1wYXJ0aWNsZSI6IiJ9LHsiZmFtaWx5IjoiTWFqaXVmIiwiZ2l2ZW4iOiJOaWNob2xhcyBTIiwicGFyc2UtbmFtZXMiOmZhbHNlLCJkcm9wcGluZy1wYXJ0aWNsZSI6IiIsIm5vbi1kcm9wcGluZy1wYXJ0aWNsZSI6IiJ9XSwiaXNzdWVkIjp7ImRhdGUtcGFydHMiOltbMTk4MV1dfSwiY29udGFpbmVyLXRpdGxlLXNob3J0IjoiIn0sImlzVGVtcG9yYXJ5IjpmYWxzZSwic3VwcHJlc3MtYXV0aG9yIjpmYWxzZSwiY29tcG9zaXRlIjpmYWxzZSwiYXV0aG9yLW9ubHkiOmZhbHNlfV19&quot;,&quot;citationItems&quot;:[{&quot;id&quot;:&quot;c246e79e-fd92-3a35-96a7-06620a0a5ef3&quot;,&quot;itemData&quot;:{&quot;type&quot;:&quot;report&quot;,&quot;id&quot;:&quot;c246e79e-fd92-3a35-96a7-06620a0a5ef3&quot;,&quot;title&quot;:&quot;CORPORATE FINANCING AND INVESTMENT DECISIONS WHEN FIRMS HAVE INFORMATION THE INVESTORS DO NOT HAVE&quot;,&quot;author&quot;:[{&quot;family&quot;:&quot;Myers&quot;,&quot;given&quot;:&quot;Stewart C&quot;,&quot;parse-names&quot;:false,&quot;dropping-particle&quot;:&quot;&quot;,&quot;non-dropping-particle&quot;:&quot;&quot;},{&quot;family&quot;:&quot;Majiuf&quot;,&quot;given&quot;:&quot;Nicholas S&quot;,&quot;parse-names&quot;:false,&quot;dropping-particle&quot;:&quot;&quot;,&quot;non-dropping-particle&quot;:&quot;&quot;}],&quot;issued&quot;:{&quot;date-parts&quot;:[[1981]]},&quot;container-title-short&quot;:&quot;&quot;},&quot;isTemporary&quot;:false,&quot;suppress-author&quot;:false,&quot;composite&quot;:false,&quot;author-only&quot;:false}]},{&quot;citationID&quot;:&quot;MENDELEY_CITATION_16a04963-1483-43f1-9a8d-f54f690629f9&quot;,&quot;properties&quot;:{&quot;noteIndex&quot;:0},&quot;isEdited&quot;:false,&quot;manualOverride&quot;:{&quot;isManuallyOverridden&quot;:false,&quot;citeprocText&quot;:&quot;(Bui et al., 2023)&quot;,&quot;manualOverrideText&quot;:&quot;&quot;},&quot;citationTag&quot;:&quot;MENDELEY_CITATION_v3_eyJjaXRhdGlvbklEIjoiTUVOREVMRVlfQ0lUQVRJT05fMTZhMDQ5NjMtMTQ4My00M2YxLTlhOGQtZjU0ZjY5MDYyOWY5IiwicHJvcGVydGllcyI6eyJub3RlSW5kZXgiOjB9LCJpc0VkaXRlZCI6ZmFsc2UsIm1hbnVhbE92ZXJyaWRlIjp7ImlzTWFudWFsbHlPdmVycmlkZGVuIjpmYWxzZSwiY2l0ZXByb2NUZXh0IjoiKEJ1aSBldCBhbC4sIDIwMjMpIiwibWFudWFsT3ZlcnJpZGVUZXh0IjoiIn0sImNpdGF0aW9uSXRlbXMiOlt7ImlkIjoiZWU4N2IwZjMtYTIzZS0zMWYyLTlmNWItNjQ5Yzg0YzAxNzBmIiwiaXRlbURhdGEiOnsidHlwZSI6ImFydGljbGUtam91cm5hbCIsImlkIjoiZWU4N2IwZjMtYTIzZS0zMWYyLTlmNWItNjQ5Yzg0YzAxNzBmIiwidGl0bGUiOiJUaGUgRWZmZWN0IG9mIENhcGl0YWwgU3RydWN0dXJlIG9uIEZpcm0gVmFsdWU6IEEgU3R1ZHkgb2YgQ29tcGFuaWVzIExpc3RlZCBvbiB0aGUgVmlldG5hbWVzZSBTdG9jayBNYXJrZXQiLCJhdXRob3IiOlt7ImZhbWlseSI6IkJ1aSIsImdpdmVuIjoiVGhpIE5nb2MiLCJwYXJzZS1uYW1lcyI6ZmFsc2UsImRyb3BwaW5nLXBhcnRpY2xlIjoiIiwibm9uLWRyb3BwaW5nLXBhcnRpY2xlIjoiIn0seyJmYW1pbHkiOiJOZ3V5ZW4iLCJnaXZlbiI6Ilh1YW4gSHVuZyIsInBhcnNlLW5hbWVzIjpmYWxzZSwiZHJvcHBpbmctcGFydGljbGUiOiIiLCJub24tZHJvcHBpbmctcGFydGljbGUiOiIifSx7ImZhbWlseSI6IlBoYW0iLCJnaXZlbiI6IktpZXUgVHJhbmciLCJwYXJzZS1uYW1lcyI6ZmFsc2UsImRyb3BwaW5nLXBhcnRpY2xlIjoiIiwibm9uLWRyb3BwaW5nLXBhcnRpY2xlIjoiIn1dLCJjb250YWluZXItdGl0bGUiOiJJbnRlcm5hdGlvbmFsIEpvdXJuYWwgb2YgRmluYW5jaWFsIFN0dWRpZXMiLCJET0kiOiIxMC4zMzkwL2lqZnMxMTAzMDEwMCIsIklTU04iOiIyMjI3NzA3MiIsImlzc3VlZCI6eyJkYXRlLXBhcnRzIjpbWzIwMjMsOSwxXV19LCJhYnN0cmFjdCI6IlRoaXMgcmVzZWFyY2ggaW52ZXN0aWdhdGVzIHRoZSByZWxhdGlvbnNoaXAgYmV0d2VlbiBjYXBpdGFsIHN0cnVjdHVyZSBhbmQgZmlybSB2YWx1ZSBmb3IgY29tcGFuaWVzIGxpc3RlZCBvbiB0aGUgVmlldG5hbWVzZSBzdG9jayBtYXJrZXQuIFRoZSBzdHVkeSB1dGlsaXplcyBkYXRhIGZyb20gYXVkaXRlZCBmaW5hbmNpYWwgc3RhdGVtZW50cyBvZiA3NjkgY29tcGFuaWVzIHNwYW5uaW5nIGZyb20gMjAxMiB0byAyMDIyLCBhbW91bnRpbmcgdG8gODQ1OSBvYnNlcnZhdGlvbnMuIEVtcGxveWluZyB2YXJpb3VzIGVzdGltYXRpb24gbWV0aG9kcywgc3VjaCBhcyBvcmRpbmFyeSBsZWFzdCBzcXVhcmVzIChPTFMpLCBmaXhlZCBlZmZlY3RzIG1vZGVsIChGRU0pLCByYW5kb20gZWZmZWN0cyBtb2RlbCAoUkVNKSwgYW5kIGdlbmVyYWxpemVkIGxlYXN0IHNxdWFyZXMgKEdMUyksIHRoZSBpbXBhY3Qgb2YgY2FwaXRhbCBzdHJ1Y3R1cmUgb24ga2V5IGZpbmFuY2lhbCBpbmRpY2F0b3JzLCBuYW1lbHksIHJldHVybiBvbiBhc3NldHMgKFJPQSksIHJldHVybiBvbiBlcXVpdHkgKFJPRSksIGFuZCBUb2JpbuKAmXMgUSwgaXMgYXNzZXNzZWQuIFRoZSBmaW5kaW5ncyBpbmRpY2F0ZSB0aGF0IHRoZSBkZWJ0IHJhdGlvIGV4aGliaXRzIGEgcG9zaXRpdmUgaW5mbHVlbmNlIG9uIFJPQSwgUk9FLCBhbmQgVG9iaW7igJlzIFEsIHdpdGggVG9iaW7igJlzIFEgZGlzcGxheWluZyB0aGUgbW9zdCBwcm9ub3VuY2VkIGltcGFjdCAoMC40NTApIGFuZCBST0Egc2hvd2luZyB0aGUgd2Vha2VzdCBpbXBhY3QgKDAuMDExKS4gSG93ZXZlciwgdGhlIGxvbmctdGVybSBkZWJ0IHJhdGlvIGRvZXMgbm90IHNpZ25pZmljYW50bHkgYWZmZWN0IGZpcm0gdmFsdWUuIEludGVyZXN0aW5nbHksIGJvdGggc2hvcnQtdGVybSBhbmQgbG9uZy10ZXJtIGRlYnQgcmF0aW9zIGhhdmUgbmVnYXRpdmUgZWZmZWN0cyBvbiBST0EsIFJPRSwgYW5kIFRvYmlu4oCZcyBRLCB3aXRoIHRoZSBtb3N0IHN1YnN0YW50aWFsIGltcGFjdCBvbiBUb2JpbuKAmXMgUSByZWR1Y3Rpb24gKDAuNTYyKS4gQmFzZWQgb24gdGhlc2UgcmVzZWFyY2ggb3V0Y29tZXMsIHRoZSBhdXRob3JzIG9mZmVyIHZhbHVhYmxlIHJlY29tbWVuZGF0aW9ucyB0byBjb21wYW5pZXMsIGludmVzdG9ycywgYnVzaW5lc3MgbGVhZGVycywgYW5kIHBvbGljeW1ha2VycyB0byBtYWtlIGluZm9ybWVkIGRlY2lzaW9ucyBpbiBzZWxlY3RpbmcgYW4gb3B0aW1hbCBhbmQgc2Vuc2libGUgY2FwaXRhbCBzdHJ1Y3R1cmUuIiwicHVibGlzaGVyIjoiTXVsdGlkaXNjaXBsaW5hcnkgRGlnaXRhbCBQdWJsaXNoaW5nIEluc3RpdHV0ZSAoTURQSSkiLCJpc3N1ZSI6IjMiLCJ2b2x1bWUiOiIxMSIsImNvbnRhaW5lci10aXRsZS1zaG9ydCI6IiJ9LCJpc1RlbXBvcmFyeSI6ZmFsc2UsInN1cHByZXNzLWF1dGhvciI6ZmFsc2UsImNvbXBvc2l0ZSI6ZmFsc2UsImF1dGhvci1vbmx5IjpmYWxzZX1dfQ==&quot;,&quot;citationItems&quot;:[{&quot;id&quot;:&quot;ee87b0f3-a23e-31f2-9f5b-649c84c0170f&quot;,&quot;itemData&quot;:{&quot;type&quot;:&quot;article-journal&quot;,&quot;id&quot;:&quot;ee87b0f3-a23e-31f2-9f5b-649c84c0170f&quot;,&quot;title&quot;:&quot;The Effect of Capital Structure on Firm Value: A Study of Companies Listed on the Vietnamese Stock Market&quot;,&quot;author&quot;:[{&quot;family&quot;:&quot;Bui&quot;,&quot;given&quot;:&quot;Thi Ngoc&quot;,&quot;parse-names&quot;:false,&quot;dropping-particle&quot;:&quot;&quot;,&quot;non-dropping-particle&quot;:&quot;&quot;},{&quot;family&quot;:&quot;Nguyen&quot;,&quot;given&quot;:&quot;Xuan Hung&quot;,&quot;parse-names&quot;:false,&quot;dropping-particle&quot;:&quot;&quot;,&quot;non-dropping-particle&quot;:&quot;&quot;},{&quot;family&quot;:&quot;Pham&quot;,&quot;given&quot;:&quot;Kieu Trang&quot;,&quot;parse-names&quot;:false,&quot;dropping-particle&quot;:&quot;&quot;,&quot;non-dropping-particle&quot;:&quot;&quot;}],&quot;container-title&quot;:&quot;International Journal of Financial Studies&quot;,&quot;DOI&quot;:&quot;10.3390/ijfs11030100&quot;,&quot;ISSN&quot;:&quot;22277072&quot;,&quot;issued&quot;:{&quot;date-parts&quot;:[[2023,9,1]]},&quot;abstract&quot;:&quot;This research investigates the relationship between capital structure and firm value for companies listed on the Vietnamese stock market. The study utilizes data from audited financial statements of 769 companies spanning from 2012 to 2022, amounting to 8459 observations. Employing various estimation methods, such as ordinary least squares (OLS), fixed effects model (FEM), random effects model (REM), and generalized least squares (GLS), the impact of capital structure on key financial indicators, namely, return on assets (ROA), return on equity (ROE), and Tobin’s Q, is assessed. The findings indicate that the debt ratio exhibits a positive influence on ROA, ROE, and Tobin’s Q, with Tobin’s Q displaying the most pronounced impact (0.450) and ROA showing the weakest impact (0.011). However, the long-term debt ratio does not significantly affect firm value. Interestingly, both short-term and long-term debt ratios have negative effects on ROA, ROE, and Tobin’s Q, with the most substantial impact on Tobin’s Q reduction (0.562). Based on these research outcomes, the authors offer valuable recommendations to companies, investors, business leaders, and policymakers to make informed decisions in selecting an optimal and sensible capital structure.&quot;,&quot;publisher&quot;:&quot;Multidisciplinary Digital Publishing Institute (MDPI)&quot;,&quot;issue&quot;:&quot;3&quot;,&quot;volume&quot;:&quot;11&quot;,&quot;container-title-short&quot;:&quot;&quot;},&quot;isTemporary&quot;:false,&quot;suppress-author&quot;:false,&quot;composite&quot;:false,&quot;author-only&quot;:false}]},{&quot;citationID&quot;:&quot;MENDELEY_CITATION_d75ccf33-1565-4327-b22d-34b2519eb514&quot;,&quot;properties&quot;:{&quot;noteIndex&quot;:0},&quot;isEdited&quot;:false,&quot;manualOverride&quot;:{&quot;isManuallyOverridden&quot;:false,&quot;citeprocText&quot;:&quot;(Febrianti et al., 2024)&quot;,&quot;manualOverrideText&quot;:&quot;&quot;},&quot;citationTag&quot;:&quot;MENDELEY_CITATION_v3_eyJjaXRhdGlvbklEIjoiTUVOREVMRVlfQ0lUQVRJT05fZDc1Y2NmMzMtMTU2NS00MzI3LWIyMmQtMzRiMjUxOWViNTE0IiwicHJvcGVydGllcyI6eyJub3RlSW5kZXgiOjB9LCJpc0VkaXRlZCI6ZmFsc2UsIm1hbnVhbE92ZXJyaWRlIjp7ImlzTWFudWFsbHlPdmVycmlkZGVuIjpmYWxzZSwiY2l0ZXByb2NUZXh0IjoiKEZlYnJpYW50aSBldCBhbC4sIDIwMjQpIiwibWFudWFsT3ZlcnJpZGVUZXh0IjoiIn0sImNpdGF0aW9uSXRlbXMiOlt7ImlkIjoiMzUxOWRiYzktMTg0ZC0zYzQzLTk1YjAtM2M2MDA4MDIyMTE2IiwiaXRlbURhdGEiOnsidHlwZSI6ImFydGljbGUtam91cm5hbCIsImlkIjoiMzUxOWRiYzktMTg0ZC0zYzQzLTk1YjAtM2M2MDA4MDIyMTE2IiwidGl0bGUiOiJEZXRlcm1pbmFudHMgb2YgQ2FwaXRhbCBTdHJ1Y3R1cmUgYW5kIHRoZSBFZmZlY3Qgb24gRmlybSBWYWx1ZTogRXZpZGVuY2UgZnJvbSBJbmRvbmVzaWEiLCJhdXRob3IiOlt7ImZhbWlseSI6IkZlYnJpYW50aSIsImdpdmVuIjoiU3VrbWEiLCJwYXJzZS1uYW1lcyI6ZmFsc2UsImRyb3BwaW5nLXBhcnRpY2xlIjoiIiwibm9uLWRyb3BwaW5nLXBhcnRpY2xlIjoiIn0seyJmYW1pbHkiOiJHaXJpYXRpIiwiZ2l2ZW4iOiIiLCJwYXJzZS1uYW1lcyI6ZmFsc2UsImRyb3BwaW5nLXBhcnRpY2xlIjoiIiwibm9uLWRyb3BwaW5nLXBhcnRpY2xlIjoiIn0seyJmYW1pbHkiOiJNYWxpbmkiLCJnaXZlbiI6IkhlbG1hIiwicGFyc2UtbmFtZXMiOmZhbHNlLCJkcm9wcGluZy1wYXJ0aWNsZSI6IiIsIm5vbi1kcm9wcGluZy1wYXJ0aWNsZSI6IiJ9LHsiZmFtaWx5IjoiV2VuZHkiLCJnaXZlbiI6IiIsInBhcnNlLW5hbWVzIjpmYWxzZSwiZHJvcHBpbmctcGFydGljbGUiOiIiLCJub24tZHJvcHBpbmctcGFydGljbGUiOiIifV0sImNvbnRhaW5lci10aXRsZSI6IkFzaWFuIEpvdXJuYWwgb2YgRWNvbm9taWNzLCBCdXNpbmVzcyBhbmQgQWNjb3VudGluZyIsIkRPSSI6IjEwLjk3MzQvYWplYmEvMjAyNC92MjRpNjEzNzAiLCJpc3N1ZWQiOnsiZGF0ZS1wYXJ0cyI6W1syMDI0LDYsMl1dfSwicGFnZSI6IjQwNy00MjEiLCJhYnN0cmFjdCI6IkFpbXM6IFRvIGFuYWx5emUgdGhlIGluZmx1ZW5jZSBvZiBtYWNyb2Vjb25vbWljIGZhY3RvcnMgKEdEUCBHcm93dGgpIGFuZCBtaWNyb2Vjb25vbWljIGZhY3RvcnMgKFRhbmdpYmlsaXR5IGFuZCBQcm9maXRhYmlsaXR5KSBvbiBjb21wYW55IHZhbHVlIChUb2JpbidzIFEpLCBhcyB3ZWxsIGFzIGV4YW1pbmUgdGhlIG1lZGlhdGluZyByb2xlIG9mIGNhcGl0YWwgc3RydWN0dXJlIChJbnRlcmVzdC1iZWFyaW5nIGRlYnQpLiBTdHVkeSBEZXNpZ246IFRoZSBkZXNpZ24gb2YgdGhlIHN0dWR5IGlzIHF1YW50aXRhdGl2ZSByZXNlYXJjaCB3aXRoIGEgcGFuZWwgZGF0YSByZWdyZXNzaW9uIGFwcHJvYWNoIGFuZCBwYXRoIGFuYWx5c2lzIHRvIGV4YW1pbmUgdGhlIHJlbGF0aW9uc2hpcCBiZXR3ZWVuIG1hY3JvIGFuZCBtaWNybyBlY29ub21pYyB2YXJpYWJsZXMgb24gZmlybSB2YWx1ZSwgYXMgd2VsbCBhcyB0aGUgbWVkaWF0aW5nIHJvbGUgb2YgY2FwaXRhbCBzdHJ1Y3R1cmUgaW4gdGhlIHJlbGF0aW9uc2hpcC4uIFBsYWNlIGFuZCBEdXJhdGlvbiBvZiBTdHVkeTogQ29tcGFuaWVzIGluY2x1ZGVkIGluIHRoZSBLb21wYXMgMTAwIGluZGV4IGxpc3RlZCBvbiB0aGUgSW5kb25lc2lhIFN0b2NrIEV4Y2hhbmdlIGZvciB0aGUgcGVyaW9kIDIwMTgtMjAyMi4gTWV0aG9kb2xvZ3k6IFRoaXMgc3R1ZHkgdXNlcyBhIHBvcHVsYXRpb24gb2YgY29tcGFuaWVzIGxpc3RlZCBpbiB0aGUgS29tcGFzIDEwMCBpbmRleCBvbiB0aGUgSW5kb25lc2lhIFN0b2NrIEV4Y2hhbmdlIGZvciB0aGUgcGVyaW9kIDIwMTgtMjAyMiBhbmQgdGFrZXMgYSBzYW1wbGUgb2YgNzAgY29tcGFuaWVzIHRoYXQgbWVldCB0aGUgY3JpdGVyaWEgd2l0aCBwdXJwb3NpdmUgc2FtcGxpbmcgbWV0aG9kLiBBIHF1YW50aXRhdGl2ZSBhcHByb2FjaCBpcyB1c2VkIGJ5IGFuYWx5emluZyBwYW5lbCBkYXRhIHRocm91Z2ggcGFuZWwgZGF0YSByZWdyZXNzaW9uIHRvIHRlc3QgdGhlIGVmZmVjdCBvZiBpbmRlcGVuZGVudCB2YXJpYWJsZXMgKEdEUCBHcm93dGgsIFRhbmdpYmlsaXR5LCBhbmQgUHJvZml0YWJpbGl0eSkgb24gdGhlIGRlcGVuZGVudCB2YXJpYWJsZSAoRmlybSBWYWx1ZSkgYW5kIHRoZSBtZWRpYXRpbmcgdmFyaWFibGUgKENhcGl0YWwgU3RydWN0dXJlKSwgYXMgd2VsbCBhcyBwYXRoIGFuYWx5c2lzIHdpdGggdGhlIFNvYmVsIHRlc3QgdG8gdGVzdCB0aGUgbWVkaWF0aW5nIHJvbGUgb2YgQ2FwaXRhbCBTdHJ1Y3R1cmUgaW4gdGhlIHJlbGF0aW9uc2hpcCBiZXR3ZWVuIHRoZSBpbmRlcGVuZGVudCB2YXJpYWJsZSBhbmQgdGhlIGRlcGVuZGVudCB2YXJpYWJsZS4gUmVzdWx0czogVGhlIHJlZ3Jlc3Npb24gYW5hbHlzaXMgc2hvd2VkIHRoYXQgR0RQIGhhZCBubyBzaWduaWZpY2FudCBpbXBhY3Qgb24gZWl0aGVyIGNhcGl0YWwgc3RydWN0dXJlIG9yIGZpcm0gdmFsdWUuIEhvd2V2ZXIsIGNvbXBhbnktc3BlY2lmaWMgZmFjdG9ycyBsaWtlIHRhbmdpYmlsaXR5IGFuZCBwcm9maXRhYmlsaXR5IHdlcmUgdGhlIG1haW4gZGV0ZXJtaW5hbnRzLiBUYW5naWJpbGl0eSBwb3NpdGl2ZWx5IGluZmx1ZW5jZWQgY2FwaXRhbCBzdHJ1Y3R1cmUsIHdoaWxlIHByb2ZpdGFiaWxpdHkgaGFkIGEgbmVnYXRpdmUgZWZmZWN0LiBUYW5naWJpbGl0eSBuZWdhdGl2ZWx5IGFmZmVjdGVkIGZpcm0gdmFsdWUsIGFuZCBjYXBpdGFsIHN0cnVjdHVyZSBpdHNlbGYgY29ycmVsYXRlZCBuZWdhdGl2ZWx5IHdpdGggZmlybSB2YWx1ZS4gQ2FwaXRhbCBzdHJ1Y3R1cmUgd2FzIG9ubHkgc2lnbmlmaWNhbnQgYXMgYSBtZWRpYXRpbmcgdmFyaWFibGUgaW4gdGhlIHJlbGF0aW9uc2hpcCBiZXR3ZWVuIHByb2ZpdGFiaWxpdHkgYW5kIGZpcm0gdmFsdWUuIENvbmNsdXNpb246IE1hY3JvZWNvbm9taWMgaW5kaWNhdG9ycyBzdWNoIGFzIEdEUCBoYXZlIGxpbWl0ZWQgZXhwbGFuYXRvcnkgcG93ZXIgb24gY2FwaXRhbCBzdHJ1Y3R1cmUgYW5kIGZpcm0gdmFsdWUsIHdoZXJlYXMgZmlybS1zcGVjaWZpYyBmYWN0b3JzIGxpa2UgYXNzZXQgdGFuZ2liaWxpdHkgYW5kIHByb2ZpdGFiaWxpdHkgYXJlIGNydWNpYWwgZGV0ZXJtaW5hbnRzIG9mIG9wdGltYWwgY2FwaXRhbCBzdHJ1Y3R1cmUgYW5kIHZhbHVlIG1heGltaXphdGlvbi4gRnVydGhlciBzdHVkaWVzIHNob3VsZCB1dGlsaXplIGFsdGVybmF0aXZlIG1hY3JvZWNvbm9taWMgcHJveGllcyB3aXRoIGhpZ2hlciBzZW5zaXRpdml0eSwgbGlrZSBpbnRlcmVzdCByYXRlcyBhbmQgaW5mbGF0aW9uLCBicm9hZGVuIHRoZSBzYW1wbGUgc2NvcGUgdG8gaW5jb3Jwb3JhdGUgU01FcyBhbG9uZ3NpZGUgbGFyZ2UgY29ycG9yYXRpb25zLCBjb250cm9sIGZvciByZWxldmFudCBmaXJtLWxldmVsIGNoYXJhY3RlcmlzdGljcywgZXh0ZW5kIHRoZSB0aW1lIGhvcml6b24sIGFuZCBsZXZlcmFnZSBzb3BoaXN0aWNhdGVkIGFuYWx5dGljYWwgdGVjaG5pcXVlcyBzdWNoIGFzIHN0cnVjdHVyYWwgZXF1YXRpb24gbW9kZWxpbmcuIiwicHVibGlzaGVyIjoiU2NpZW5jZWRvbWFpbiBJbnRlcm5hdGlvbmFsIiwiaXNzdWUiOiI2Iiwidm9sdW1lIjoiMjQiLCJjb250YWluZXItdGl0bGUtc2hvcnQiOiIifSwiaXNUZW1wb3JhcnkiOmZhbHNlLCJzdXBwcmVzcy1hdXRob3IiOmZhbHNlLCJjb21wb3NpdGUiOmZhbHNlLCJhdXRob3Itb25seSI6ZmFsc2V9XX0=&quot;,&quot;citationItems&quot;:[{&quot;id&quot;:&quot;3519dbc9-184d-3c43-95b0-3c6008022116&quot;,&quot;itemData&quot;:{&quot;type&quot;:&quot;article-journal&quot;,&quot;id&quot;:&quot;3519dbc9-184d-3c43-95b0-3c6008022116&quot;,&quot;title&quot;:&quot;Determinants of Capital Structure and the Effect on Firm Value: Evidence from Indonesia&quot;,&quot;author&quot;:[{&quot;family&quot;:&quot;Febrianti&quot;,&quot;given&quot;:&quot;Sukma&quot;,&quot;parse-names&quot;:false,&quot;dropping-particle&quot;:&quot;&quot;,&quot;non-dropping-particle&quot;:&quot;&quot;},{&quot;family&quot;:&quot;Giriati&quot;,&quot;given&quot;:&quot;&quot;,&quot;parse-names&quot;:false,&quot;dropping-particle&quot;:&quot;&quot;,&quot;non-dropping-particle&quot;:&quot;&quot;},{&quot;family&quot;:&quot;Malini&quot;,&quot;given&quot;:&quot;Helma&quot;,&quot;parse-names&quot;:false,&quot;dropping-particle&quot;:&quot;&quot;,&quot;non-dropping-particle&quot;:&quot;&quot;},{&quot;family&quot;:&quot;Wendy&quot;,&quot;given&quot;:&quot;&quot;,&quot;parse-names&quot;:false,&quot;dropping-particle&quot;:&quot;&quot;,&quot;non-dropping-particle&quot;:&quot;&quot;}],&quot;container-title&quot;:&quot;Asian Journal of Economics, Business and Accounting&quot;,&quot;DOI&quot;:&quot;10.9734/ajeba/2024/v24i61370&quot;,&quot;issued&quot;:{&quot;date-parts&quot;:[[2024,6,2]]},&quot;page&quot;:&quot;407-421&quot;,&quot;abstract&quot;:&quot;Aims: To analyze the influence of macroeconomic factors (GDP Growth) and microeconomic factors (Tangibility and Profitability) on company value (Tobin's Q), as well as examine the mediating role of capital structure (Interest-bearing debt). Study Design: The design of the study is quantitative research with a panel data regression approach and path analysis to examine the relationship between macro and micro economic variables on firm value, as well as the mediating role of capital structure in the relationship.. Place and Duration of Study: Companies included in the Kompas 100 index listed on the Indonesia Stock Exchange for the period 2018-2022. Methodology: This study uses a population of companies listed in the Kompas 100 index on the Indonesia Stock Exchange for the period 2018-2022 and takes a sample of 70 companies that meet the criteria with purposive sampling method. A quantitative approach is used by analyzing panel data through panel data regression to test the effect of independent variables (GDP Growth, Tangibility, and Profitability) on the dependent variable (Firm Value) and the mediating variable (Capital Structure), as well as path analysis with the Sobel test to test the mediating role of Capital Structure in the relationship between the independent variable and the dependent variable. Results: The regression analysis showed that GDP had no significant impact on either capital structure or firm value. However, company-specific factors like tangibility and profitability were the main determinants. Tangibility positively influenced capital structure, while profitability had a negative effect. Tangibility negatively affected firm value, and capital structure itself correlated negatively with firm value. Capital structure was only significant as a mediating variable in the relationship between profitability and firm value. Conclusion: Macroeconomic indicators such as GDP have limited explanatory power on capital structure and firm value, whereas firm-specific factors like asset tangibility and profitability are crucial determinants of optimal capital structure and value maximization. Further studies should utilize alternative macroeconomic proxies with higher sensitivity, like interest rates and inflation, broaden the sample scope to incorporate SMEs alongside large corporations, control for relevant firm-level characteristics, extend the time horizon, and leverage sophisticated analytical techniques such as structural equation modeling.&quot;,&quot;publisher&quot;:&quot;Sciencedomain International&quot;,&quot;issue&quot;:&quot;6&quot;,&quot;volume&quot;:&quot;24&quot;,&quot;container-title-short&quot;:&quot;&quot;},&quot;isTemporary&quot;:false,&quot;suppress-author&quot;:false,&quot;composite&quot;:false,&quot;author-only&quot;:false}]},{&quot;citationID&quot;:&quot;MENDELEY_CITATION_3963f54c-8ee7-4e14-86fd-81e1d59a6a0b&quot;,&quot;properties&quot;:{&quot;noteIndex&quot;:0},&quot;isEdited&quot;:false,&quot;manualOverride&quot;:{&quot;isManuallyOverridden&quot;:false,&quot;citeprocText&quot;:&quot;(Morningstar, 2024)&quot;,&quot;manualOverrideText&quot;:&quot;&quot;},&quot;citationTag&quot;:&quot;MENDELEY_CITATION_v3_eyJjaXRhdGlvbklEIjoiTUVOREVMRVlfQ0lUQVRJT05fMzk2M2Y1NGMtOGVlNy00ZTE0LTg2ZmQtODFlMWQ1OWE2YTBiIiwicHJvcGVydGllcyI6eyJub3RlSW5kZXgiOjB9LCJpc0VkaXRlZCI6ZmFsc2UsIm1hbnVhbE92ZXJyaWRlIjp7ImlzTWFudWFsbHlPdmVycmlkZGVuIjpmYWxzZSwiY2l0ZXByb2NUZXh0IjoiKE1vcm5pbmdzdGFyLCAyMDI0KSIsIm1hbnVhbE92ZXJyaWRlVGV4dCI6IiJ9LCJjaXRhdGlvbkl0ZW1zIjpbeyJpZCI6IjU4NTllZDQwLTA2NGYtMzdmYi1hNjgyLWM5YzhhZjg3Y2QxOCIsIml0ZW1EYXRhIjp7InR5cGUiOiJ3ZWJwYWdlIiwiaWQiOiI1ODU5ZWQ0MC0wNjRmLTM3ZmItYTY4Mi1jOWM4YWY4N2NkMTgiLCJ0aXRsZSI6IkVTRyBJbnZlc3RpbmcgVHJlbmRzOiBBIFF1YWxpdGF0aXZlIExvb2sgSW50byBJbnZlc3RvciBQZXJjZXB0aW9uIiwiYXV0aG9yIjpbeyJmYW1pbHkiOiJNb3JuaW5nc3RhciIsImdpdmVuIjoiIiwicGFyc2UtbmFtZXMiOmZhbHNlLCJkcm9wcGluZy1wYXJ0aWNsZSI6IiIsIm5vbi1kcm9wcGluZy1wYXJ0aWNsZSI6IiJ9XSwiYWNjZXNzZWQiOnsiZGF0ZS1wYXJ0cyI6W1syMDI1LDYsMTldXX0sIlVSTCI6Imh0dHBzOi8vd3d3Lm1vcm5pbmdzdGFyLmNvbS92aWV3cy9lc2ctaW52ZXN0aW5nLXRyZW5kcyIsImlzc3VlZCI6eyJkYXRlLXBhcnRzIjpbWzIwMjRdXX0sImNvbnRhaW5lci10aXRsZS1zaG9ydCI6IiJ9LCJpc1RlbXBvcmFyeSI6ZmFsc2UsInN1cHByZXNzLWF1dGhvciI6ZmFsc2UsImNvbXBvc2l0ZSI6ZmFsc2UsImF1dGhvci1vbmx5IjpmYWxzZX1dfQ==&quot;,&quot;citationItems&quot;:[{&quot;id&quot;:&quot;5859ed40-064f-37fb-a682-c9c8af87cd18&quot;,&quot;itemData&quot;:{&quot;type&quot;:&quot;webpage&quot;,&quot;id&quot;:&quot;5859ed40-064f-37fb-a682-c9c8af87cd18&quot;,&quot;title&quot;:&quot;ESG Investing Trends: A Qualitative Look Into Investor Perception&quot;,&quot;author&quot;:[{&quot;family&quot;:&quot;Morningstar&quot;,&quot;given&quot;:&quot;&quot;,&quot;parse-names&quot;:false,&quot;dropping-particle&quot;:&quot;&quot;,&quot;non-dropping-particle&quot;:&quot;&quot;}],&quot;accessed&quot;:{&quot;date-parts&quot;:[[2025,6,19]]},&quot;URL&quot;:&quot;https://www.morningstar.com/views/esg-investing-trends&quot;,&quot;issued&quot;:{&quot;date-parts&quot;:[[2024]]},&quot;container-title-short&quot;:&quot;&quot;},&quot;isTemporary&quot;:false,&quot;suppress-author&quot;:false,&quot;composite&quot;:false,&quot;author-only&quot;:false}]},{&quot;citationID&quot;:&quot;MENDELEY_CITATION_5eefc6e5-e87c-4baa-9853-c053938da555&quot;,&quot;properties&quot;:{&quot;noteIndex&quot;:0},&quot;isEdited&quot;:false,&quot;manualOverride&quot;:{&quot;isManuallyOverridden&quot;:false,&quot;citeprocText&quot;:&quot;(Alnaim &amp;#38; Metwally, 2024)&quot;,&quot;manualOverrideText&quot;:&quot;&quot;},&quot;citationTag&quot;:&quot;MENDELEY_CITATION_v3_eyJjaXRhdGlvbklEIjoiTUVOREVMRVlfQ0lUQVRJT05fNWVlZmM2ZTUtZTg3Yy00YmFhLTk4NTMtYzA1MzkzOGRhNTU1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quot;,&quot;citationItems&quot;:[{&quot;id&quot;:&quot;46b2ec96-8cfb-3ca8-9dcf-ec64e4d8d08b&quot;,&quot;itemData&quot;:{&quot;type&quot;:&quot;article-journal&quot;,&quot;id&quot;:&quot;46b2ec96-8cfb-3ca8-9dcf-ec64e4d8d08b&quot;,&quot;title&quot;:&quot;Green Intellectual Capital and Corporate Environmental Performance: Does Environmental Management Accounting Matter?&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container-title-short&quot;:&quot;Adm Sci&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isTemporary&quot;:false,&quot;suppress-author&quot;:false,&quot;composite&quot;:false,&quot;author-only&quot;:false}]},{&quot;citationID&quot;:&quot;MENDELEY_CITATION_65d0ff89-7b9d-4ac1-94f7-ef65fda3f7e7&quot;,&quot;properties&quot;:{&quot;noteIndex&quot;:0},&quot;isEdited&quot;:false,&quot;manualOverride&quot;:{&quot;isManuallyOverridden&quot;:false,&quot;citeprocText&quot;:&quot;(Liu et al., 2022)&quot;,&quot;manualOverrideText&quot;:&quot;&quot;},&quot;citationTag&quot;:&quot;MENDELEY_CITATION_v3_eyJjaXRhdGlvbklEIjoiTUVOREVMRVlfQ0lUQVRJT05fNjVkMGZmODktN2I5ZC00YWMxLTk0ZjctZWY2NWZkYTNmN2U3IiwicHJvcGVydGllcyI6eyJub3RlSW5kZXgiOjB9LCJpc0VkaXRlZCI6ZmFsc2UsIm1hbnVhbE92ZXJyaWRlIjp7ImlzTWFudWFsbHlPdmVycmlkZGVuIjpmYWxzZSwiY2l0ZXByb2NUZXh0IjoiKExpdSBldCBhbC4sIDIwMjIpIiwibWFudWFsT3ZlcnJpZGVUZXh0IjoiIn0sImNpdGF0aW9uSXRlbXMiOlt7ImlkIjoiMmU4MjM3NGYtOWRiYi0zNjgyLWE5NmItOGQyYWU4YzcwOGFlIiwiaXRlbURhdGEiOnsidHlwZSI6ImFydGljbGUtam91cm5hbCIsImlkIjoiMmU4MjM3NGYtOWRiYi0zNjgyLWE5NmItOGQyYWU4YzcwOGFlIiwidGl0bGUiOiJUaGUgRWZmZWN0cyBvZiBHcmVlbiBJbnRlbGxlY3R1YWwgQ2FwaXRhbCBvbiBHcmVlbiBJbm5vdmF0aW9uOiBBIEdyZWVuIFN1cHBseSBDaGFpbiBJbnRlZ3JhdGlvbiBQZXJzcGVjdGl2ZSIsImF1dGhvciI6W3siZmFtaWx5IjoiTGl1IiwiZ2l2ZW4iOiJEYW5waW5nIiwicGFyc2UtbmFtZXMiOmZhbHNlLCJkcm9wcGluZy1wYXJ0aWNsZSI6IiIsIm5vbi1kcm9wcGluZy1wYXJ0aWNsZSI6IiJ9LHsiZmFtaWx5IjoiWXUiLCJnaXZlbiI6IlhpYW8iLCJwYXJzZS1uYW1lcyI6ZmFsc2UsImRyb3BwaW5nLXBhcnRpY2xlIjoiIiwibm9uLWRyb3BwaW5nLXBhcnRpY2xlIjoiIn0seyJmYW1pbHkiOiJIdWFuZyIsImdpdmVuIjoiTWVpIiwicGFyc2UtbmFtZXMiOmZhbHNlLCJkcm9wcGluZy1wYXJ0aWNsZSI6IiIsIm5vbi1kcm9wcGluZy1wYXJ0aWNsZSI6IiJ9LHsiZmFtaWx5IjoiWWFuZyIsImdpdmVuIjoiU2hhb2h1YSIsInBhcnNlLW5hbWVzIjpmYWxzZSwiZHJvcHBpbmctcGFydGljbGUiOiIiLCJub24tZHJvcHBpbmctcGFydGljbGUiOiIifSx7ImZhbWlseSI6IklzYSIsImdpdmVuIjoiU2FsbWkgTW9oZCIsInBhcnNlLW5hbWVzIjpmYWxzZSwiZHJvcHBpbmctcGFydGljbGUiOiIiLCJub24tZHJvcHBpbmctcGFydGljbGUiOiIifSx7ImZhbWlseSI6Ikh1IiwiZ2l2ZW4iOiJNYW8iLCJwYXJzZS1uYW1lcyI6ZmFsc2UsImRyb3BwaW5nLXBhcnRpY2xlIjoiIiwibm9uLWRyb3BwaW5nLXBhcnRpY2xlIjoiIn1dLCJjb250YWluZXItdGl0bGUiOiJGcm9udGllcnMgaW4gUHN5Y2hvbG9neSIsImNvbnRhaW5lci10aXRsZS1zaG9ydCI6IkZyb250IFBzeWNob2wiLCJET0kiOiIxMC4zMzg5L2Zwc3lnLjIwMjIuODMwNzE2IiwiSVNTTiI6IjE2NjQxMDc4IiwiaXNzdWVkIjp7ImRhdGUtcGFydHMiOltbMjAyMiw2LDI4XV19LCJhYnN0cmFjdCI6IlRvIGRlbW9uc3RyYXRlIGhvdyBncmVlbiBpbm5vdmF0aW9uIChHSSkgZWZmZWN0aXZlbHkgb2NjdXJzLCB0aGlzIHN0dWR5IGV4YW1pbmVzIHRoZSBlZmZlY3RzIG9mIGdyZWVuIGludGVsbGVjdHVhbCBjYXBpdGFsIChHSUMpIG9uIEdJIGZyb20gdGhlIHBlcnNwZWN0aXZlIG9mIGdyZWVuIHN1cHBseSBjaGFpbiBpbnRlZ3JhdGlvbiAoR1NDSSkuIEJhc2VkIG9uIGEgbmF0dXJhbC1yZXNvdXJjZS1iYXNlZCB2aWV3IGFuZCBrbm93bGVkZ2UtYmFzZWQgdmlldywgdGhlIGF1dGhvcnMgY29uc3RydWN0ZWQgYW4gaW50ZXJtZWRpYXJ5IG1vZGVsIG9mIEdJQy1HU0NJLUdJLCBhbmQgYW5hbHl6ZWQgdGhlIGVmZmVjdHMgb2YgZ3JlZW4gYWJzb3JwdGl2ZSBhYmlsaXR5IChHQUEpIGFuZCByZWxhdGlvbnNoaXAgbGVhcm5pbmcgYWJpbGl0eSAoUkxBKSBhcyBtb2RlcmF0b3JzLiBBbiBlbXBpcmljYWwgc3VydmV5IG9mIDMyOCBDaGluZXNlIG1hbnVmYWN0dXJpbmcgY29tcGFuaWVzIHdhcyBjb25kdWN0ZWQuIE91ciByZXN1bHRzIGluZGljYXRlIHRoYXQgdGhyZWUgZGltZW5zaW9ucyBvZiBHSUMgcG9zaXRpdmVseSBpbXBhY3QgR0kuIFRoZSBtZWRpYXRpbmcgZWZmZWN0cyBvZiBpbnRlcm5hbCBhbmQgZXh0ZXJuYWwgR1NDSSBleGlzdCBpbiB0aGUgcmVsYXRpb25zaGlwIGJldHdlZW4gR0lDIGFuZCBHSS4gVGhlIG1vZGVyYXRpbmcgZWZmZWN0cyBvZiBHQUEgYW5kIFJMQSBpbiB0aGVzZSBlZmZlY3RzIHdlcmUgYWxzbyB2ZXJpZmllZC4gT3VyIHN0dWR5IHByb3ZpZGVzIGZ1cnRoZXIgZW1waXJpY2FsIGV2aWRlbmNlIGZvciB0aGUgcmVsYXRpb25zaGlwIGJldHdlZW4gR0lDIGFuZCBHSSwgaGlnaGxpZ2h0cyB0aGUgZWZmZWN0cyBvZiBjb21wYW5pZXPigJkgaW50ZXJuYWwgYW5kIGV4dGVybmFsIGFiaWxpdGllcyBvbiBHSSwgYW5kIHN1Z2dlc3RzIG5ldyB3YXlzIGFuZCBpbXBsZW1lbnRhdGlvbiBjb250ZXh0cyBmb3IgR0kuIiwicHVibGlzaGVyIjoiRnJvbnRpZXJzIE1lZGlhIFMuQS4iLCJ2b2x1bWUiOiIxMyJ9LCJpc1RlbXBvcmFyeSI6ZmFsc2UsInN1cHByZXNzLWF1dGhvciI6ZmFsc2UsImNvbXBvc2l0ZSI6ZmFsc2UsImF1dGhvci1vbmx5IjpmYWxzZX1dfQ==&quot;,&quot;citationItems&quot;:[{&quot;id&quot;:&quot;2e82374f-9dbb-3682-a96b-8d2ae8c708ae&quot;,&quot;itemData&quot;:{&quot;type&quot;:&quot;article-journal&quot;,&quot;id&quot;:&quot;2e82374f-9dbb-3682-a96b-8d2ae8c708ae&quot;,&quot;title&quot;:&quot;The Effects of Green Intellectual Capital on Green Innovation: A Green Supply Chain Integration Perspective&quot;,&quot;author&quot;:[{&quot;family&quot;:&quot;Liu&quot;,&quot;given&quot;:&quot;Danping&quot;,&quot;parse-names&quot;:false,&quot;dropping-particle&quot;:&quot;&quot;,&quot;non-dropping-particle&quot;:&quot;&quot;},{&quot;family&quot;:&quot;Yu&quot;,&quot;given&quot;:&quot;Xiao&quot;,&quot;parse-names&quot;:false,&quot;dropping-particle&quot;:&quot;&quot;,&quot;non-dropping-particle&quot;:&quot;&quot;},{&quot;family&quot;:&quot;Huang&quot;,&quot;given&quot;:&quot;Mei&quot;,&quot;parse-names&quot;:false,&quot;dropping-particle&quot;:&quot;&quot;,&quot;non-dropping-particle&quot;:&quot;&quot;},{&quot;family&quot;:&quot;Yang&quot;,&quot;given&quot;:&quot;Shaohua&quot;,&quot;parse-names&quot;:false,&quot;dropping-particle&quot;:&quot;&quot;,&quot;non-dropping-particle&quot;:&quot;&quot;},{&quot;family&quot;:&quot;Isa&quot;,&quot;given&quot;:&quot;Salmi Mohd&quot;,&quot;parse-names&quot;:false,&quot;dropping-particle&quot;:&quot;&quot;,&quot;non-dropping-particle&quot;:&quot;&quot;},{&quot;family&quot;:&quot;Hu&quot;,&quot;given&quot;:&quot;Mao&quot;,&quot;parse-names&quot;:false,&quot;dropping-particle&quot;:&quot;&quot;,&quot;non-dropping-particle&quot;:&quot;&quot;}],&quot;container-title&quot;:&quot;Frontiers in Psychology&quot;,&quot;container-title-short&quot;:&quot;Front Psychol&quot;,&quot;DOI&quot;:&quot;10.3389/fpsyg.2022.830716&quot;,&quot;ISSN&quot;:&quot;16641078&quot;,&quot;issued&quot;:{&quot;date-parts&quot;:[[2022,6,28]]},&quot;abstract&quot;:&quot;To demonstrate how green innovation (GI) effectively occurs, this study examines the effects of green intellectual capital (GIC) on GI from the perspective of green supply chain integration (GSCI). Based on a natural-resource-based view and knowledge-based view, the authors constructed an intermediary model of GIC-GSCI-GI, and analyzed the effects of green absorptive ability (GAA) and relationship learning ability (RLA) as moderators. An empirical survey of 328 Chinese manufacturing companies was conducted. Our results indicate that three dimensions of GIC positively impact GI. The mediating effects of internal and external GSCI exist in the relationship between GIC and GI. The moderating effects of GAA and RLA in these effects were also verified. Our study provides further empirical evidence for the relationship between GIC and GI, highlights the effects of companies’ internal and external abilities on GI, and suggests new ways and implementation contexts for GI.&quot;,&quot;publisher&quot;:&quot;Frontiers Media S.A.&quot;,&quot;volume&quot;:&quot;13&quot;},&quot;isTemporary&quot;:false,&quot;suppress-author&quot;:false,&quot;composite&quot;:false,&quot;author-only&quot;:false}]},{&quot;citationID&quot;:&quot;MENDELEY_CITATION_e0cebd49-cf64-47dc-bc5b-f8990595b6d8&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ZTBjZWJkNDktY2Y2NC00N2RjLWJjNWItZjg5OTA1OTViNmQ4IiwicHJvcGVydGllcyI6eyJub3RlSW5kZXgiOjB9LCJpc0VkaXRlZCI6ZmFsc2UsIm1hbnVhbE92ZXJyaWRlIjp7ImlzTWFudWFsbHlPdmVycmlkZGVuIjpmYWxzZSwiY2l0ZXByb2NUZXh0IjoiKEt1bWFyIGV0IGFsLiwgMjAyNSkiLCJtYW51YWxPdmVycmlkZVRleHQiOiIifSwiY2l0YXRpb25JdGVtcyI6W3siaWQiOiIyNTY5ZDI4Mi0zMjcyLTNjMTUtYTJiYi1lMzNmZTgyYWFiMmEiLCJpdGVtRGF0YSI6eyJ0eXBlIjoiYXJ0aWNsZS1qb3VybmFsIiwiaWQiOiIyNTY5ZDI4Mi0zMjcyLTNjMTUtYTJiYi1lMzNmZTgyYWFiMmEiLCJ0aXRsZSI6IkxpbmtpbmcgZ3JlZW4gaW50ZWxsZWN0dWFsIGNhcGl0YWwgYW5kIGZpcm0gcGVyZm9ybWFuY2UgdGhyb3VnaCBncmVlbiBpbm5vdmF0aW9uIGFuZCBlbnZpcm9ubWVudGFsIHBlcmZvcm1hbmNlIGluIHNtYWxsIGFuZCBtZWRpdW0tc2l6ZWQgZW50ZXJwcmlzZXMiLCJhdXRob3IiOlt7ImZhbWlseSI6Ikt1bWFyIiwiZ2l2ZW4iOiJKaXRlbmRlciIsInBhcnNlLW5hbWVzIjpmYWxzZSwiZHJvcHBpbmctcGFydGljbGUiOiIiLCJub24tZHJvcHBpbmctcGFydGljbGUiOiIifSx7ImZhbWlseSI6IlJhbmkiLCJnaXZlbiI6IlZpbmtpIiwicGFyc2UtbmFtZXMiOmZhbHNlLCJkcm9wcGluZy1wYXJ0aWNsZSI6IiIsIm5vbi1kcm9wcGluZy1wYXJ0aWNsZSI6IiJ9LHsiZmFtaWx5IjoiUmFuaSIsImdpdmVuIjoiTWFuanUiLCJwYXJzZS1uYW1lcyI6ZmFsc2UsImRyb3BwaW5nLXBhcnRpY2xlIjoiIiwibm9uLWRyb3BwaW5nLXBhcnRpY2xlIjoiIn0seyJmYW1pbHkiOiJSYW5pIiwiZ2l2ZW4iOiJHYXJpbWEiLCJwYXJzZS1uYW1lcyI6ZmFsc2UsImRyb3BwaW5nLXBhcnRpY2xlIjoiIiwibm9uLWRyb3BwaW5nLXBhcnRpY2xlIjoiIn1dLCJjb250YWluZXItdGl0bGUiOiJKb3VybmFsIG9mIEludGVsbGVjdHVhbCBDYXBpdGFsIiwiYWNjZXNzZWQiOnsiZGF0ZS1wYXJ0cyI6W1syMDI1LDYsMTldXX0sIkRPSSI6IjEwLjExMDgvSklDLTEwLTIwMjQtMDM0NS9GVUxML1hNTCIsIklTU04iOiIxNzU4NzQ2OCIsImlzc3VlZCI6eyJkYXRlLXBhcnRzIjpbWzIwMjVdXX0sInBhZ2UiOiI2NzAtNjkwIiwiYWJzdHJhY3QiOiJQdXJwb3NlOiBHcmVlbiBpbnRlbGxlY3R1YWwgY2FwaXRhbCBpcyBicm9hZGx5IGFja25vd2xlZGdlZCBhcyBhbiBpbnZhbHVhYmxlIHJlc291cmNlIGZvciBhdHRhaW5pbmcgYSBzdHJhdGVnaWMgYWR2YW50YWdlIGZvciBlbnRlcnByaXNlcy4gVGhpcyBhcnRpY2xlIGRldmVsb3BzIGEgbm92ZWwgdGhlb3JldGljYWwgZnJhbWV3b3JrIHRvIGFzc2VzcyB0aGUgaW1wYWN0IG9mIGdyZWVuIGludGVsbGVjdHVhbCBjYXBpdGFsIG9uIGZpcm1z4oCZIHBlcmZvcm1hbmNlIHRocm91Z2ggZ3JlZW4gaW5ub3ZhdGlvbiBhbmQgZW52aXJvbm1lbnRhbCBwZXJmb3JtYW5jZSwgY29uc2lkZXJpbmcgdGhlIOKAnG5hdHVyYWwgcmVzb3VyY2UtYmFzZWQgdmlldyAoTlJCVinigJ0gdGhlb3J5LiBEZXNpZ24vbWV0aG9kb2xvZ3kvYXBwcm9hY2g6IFRoaXMgcGFwZXIgYXBwbGllZCBhIOKAnHF1YW50aXRhdGl2ZSByZXNlYXJjaCBkZXNpZ27igJ0gd2l0aCBhIHNhbXBsZSBvZiA0MDUgbWFuYWdlcnMgYW5kIG93bmVycyBvZiDigJxzbWFsbCBhbmQgbWVkaXVtIGVudGVycHJpc2Vz4oCdIChTTUVzKSBmcm9tIE5DUiAoSW5kaWEpLiBUaGUgZGF0YSB3ZXJlIGFuYWx5emVkIHRocm91Z2ggdGhlIOKAnGNvdmFyaWFuY2UtYmFzZWQgc3RydWN0dXJhbCBlcXVhdGlvbiBtb2RlbGluZyAoUExTLVNFTSnigJ0gdGVjaG5pcXVlLiBGaW5kaW5nczogVGhlIG91dGNvbWVzIHNob3dlZCB0aGF0IGdyZWVuIGh1bWFuIGNhcGl0YWwgYW5kIGdyZWVuIHN0cnVjdHVyYWwgY2FwaXRhbCBzdWJzdGFudGlhbGx5IGltcGFjdCBncmVlbiBpbm5vdmF0aW9uIGFuZCBlbnZpcm9ubWVudGFsIHBlcmZvcm1hbmNlLiBOZXZlcnRoZWxlc3MsIGdyZWVuIHJlbGF0aW9uYWwgY2FwaXRhbCBuZWdhdGl2ZWx5IGFmZmVjdHMgZ3JlZW4gaW5ub3ZhdGlvbiBhbmQgZW52aXJvbm1lbnRhbCBwZXJmb3JtYW5jZS4gQWRkaXRpb25hbGx5LCBncmVlbiBpbm5vdmF0aW9uIGFuZCBlbnZpcm9ubWVudGFsIHBlcmZvcm1hbmNlIHNpZ25pZmljYW50bHkgaW5mbHVlbmNlIGZpcm0gKG1hcmtldCBhbmQgZmluYW5jaWFsKSBwZXJmb3JtYW5jZS4gUHJhY3RpY2FsIGltcGxpY2F0aW9uczogVGhpcyBhcnRpY2xlIGRlbGl2ZXJzIGZydWl0ZnVsIGFuZCBhY3Rpb25hYmxlIGluc2lnaHRzIGZvciBTTUUgbWFuYWdlcnMsIG93bmVycywgYWNhZGVtaWNpYW5zIGFuZCBwb2xpY3ltYWtlcnMgaW4gbWVhc3VyaW5nIGEgZmlybeKAmXMgY2FwYWJpbGl0eSB0byB0cmFuc2xhdGUgcmVzb3VyY2VzIGludG8gZ3JlZW4gaW50ZWxsZWN0dWFsIGNhcGl0YWwgZnJvbSB0aGUg4oCcSW5kdXN0cmlhbCBSZXZvbHV0aW9uIDQuMOKAnSB2aWV3cG9pbnQgdG8gZW1wb3dlciBpdHMgaW5ub3ZhdGlvbiwgZW52aXJvbm1lbnRhbCBhbmQgZmlybSBwZXJmb3JtYW5jZS4gT3JpZ2luYWxpdHkvdmFsdWU6IFRoZSBzdHVkeSBwaW9uZWVyZWQgdGhlIGV4cGxvcmF0aW9uIG9mIHRoZSBkaWZmZXJlbnQgcm9sZXMgb2YgZ3JlZW4gaW50ZWxsZWN0dWFsIGNhcGl0YWwgYW5kIGdyZWVuIGlubm92YXRpb24gaW4gaW1wcm92aW5nIGVudmlyb25tZW50YWwgYW5kIGZpcm0gKOKAnG1hcmtldCBhbmQgZmluYW5jaWFs4oCdKSBwZXJmb3JtYW5jZS4gQWRkaXRpb25hbGx5LCB0byB0aGUgcmVzZWFyY2hlcnPigJkgYmVzdCBrbm93bGVkZ2UsIG5vIGZvcm1lciByZXNlYXJjaCBoYXMgZWFybGllciBjYXRlZ29yaXplZCB0aGUgZmlybSBwZXJmb3JtYW5jZSBpbnRvIOKAnG1hcmtldCBhbmQgZmluYW5jaWFsIHBlcmZvcm1hbmNlLOKAnSBhcyBvdXRsaW5lZCBpbiB0aGlzIHJlc2VhcmNoLCB0aGVyZWJ5IGNvbnRyaWJ1dGluZyBub3ZlbCBpbnNpZ2h0cyB0byB0aGUgZmllbGQgb2YgaW50ZWxsZWN0dWFsIGNhcGl0YWwuIiwicHVibGlzaGVyIjoiRW1lcmFsZCBQdWJsaXNoaW5nIiwiaXNzdWUiOiIzIiwidm9sdW1lIjoiMjYiLCJjb250YWluZXItdGl0bGUtc2hvcnQiOiIifSwiaXNUZW1wb3JhcnkiOmZhbHNlLCJzdXBwcmVzcy1hdXRob3IiOmZhbHNlLCJjb21wb3NpdGUiOmZhbHNlLCJhdXRob3Itb25seSI6ZmFsc2V9XX0=&quot;,&quot;citationItems&quot;:[{&quot;id&quot;:&quot;2569d282-3272-3c15-a2bb-e33fe82aab2a&quot;,&quot;itemData&quot;:{&quot;type&quot;:&quot;article-journal&quot;,&quot;id&quot;:&quot;2569d282-3272-3c15-a2bb-e33fe82aab2a&quot;,&quot;title&quot;:&quot;Linking green intellectual capital and firm performance through green innovation and environmental performance in small and medium-sized enterprises&quot;,&quot;author&quot;:[{&quot;family&quot;:&quot;Kumar&quot;,&quot;given&quot;:&quot;Jitender&quot;,&quot;parse-names&quot;:false,&quot;dropping-particle&quot;:&quot;&quot;,&quot;non-dropping-particle&quot;:&quot;&quot;},{&quot;family&quot;:&quot;Rani&quot;,&quot;given&quot;:&quot;Vinki&quot;,&quot;parse-names&quot;:false,&quot;dropping-particle&quot;:&quot;&quot;,&quot;non-dropping-particle&quot;:&quot;&quot;},{&quot;family&quot;:&quot;Rani&quot;,&quot;given&quot;:&quot;Manju&quot;,&quot;parse-names&quot;:false,&quot;dropping-particle&quot;:&quot;&quot;,&quot;non-dropping-particle&quot;:&quot;&quot;},{&quot;family&quot;:&quot;Rani&quot;,&quot;given&quot;:&quot;Garima&quot;,&quot;parse-names&quot;:false,&quot;dropping-particle&quot;:&quot;&quot;,&quot;non-dropping-particle&quot;:&quot;&quot;}],&quot;container-title&quot;:&quot;Journal of Intellectual Capital&quot;,&quot;accessed&quot;:{&quot;date-parts&quot;:[[2025,6,19]]},&quot;DOI&quot;:&quot;10.1108/JIC-10-2024-0345/FULL/XML&quot;,&quot;ISSN&quot;:&quot;17587468&quot;,&quot;issued&quot;:{&quot;date-parts&quot;:[[2025]]},&quot;page&quot;:&quot;670-690&quot;,&quot;abstract&quot;:&quot;Purpose: Green intellectual capital is broadly acknowledged as an invaluable resource for attaining a strategic advantage for enterprises. This article develops a novel theoretical framework to assess the impact of green intellectual capital on firms’ performance through green innovation and environmental performance, considering the “natural resource-based view (NRBV)” theory. Design/methodology/approach: This paper applied a “quantitative research design” with a sample of 405 managers and owners of “small and medium enterprises” (SMEs) from NCR (India). The data were analyzed through the “covariance-based structural equation modeling (PLS-SEM)” technique. Findings: The outcomes showed that green human capital and green structural capital substantially impact green innovation and environmental performance. Nevertheless, green relational capital negatively affects green innovation and environmental performance. Additionally, green innovation and environmental performance significantly influence firm (market and financial) performance. Practical implications: This article delivers fruitful and actionable insights for SME managers, owners, academicians and policymakers in measuring a firm’s capability to translate resources into green intellectual capital from the “Industrial Revolution 4.0” viewpoint to empower its innovation, environmental and firm performance. Originality/value: The study pioneered the exploration of the different roles of green intellectual capital and green innovation in improving environmental and firm (“market and financial”) performance. Additionally, to the researchers’ best knowledge, no former research has earlier categorized the firm performance into “market and financial performance,” as outlined in this research, thereby contributing novel insights to the field of intellectual capital.&quot;,&quot;publisher&quot;:&quot;Emerald Publishing&quot;,&quot;issue&quot;:&quot;3&quot;,&quot;volume&quot;:&quot;26&quot;,&quot;container-title-short&quot;:&quot;&quot;},&quot;isTemporary&quot;:false,&quot;suppress-author&quot;:false,&quot;composite&quot;:false,&quot;author-only&quot;:false}]},{&quot;citationID&quot;:&quot;MENDELEY_CITATION_fe9e4a7b-2302-4d79-b670-56d882998596&quot;,&quot;properties&quot;:{&quot;noteIndex&quot;:0},&quot;isEdited&quot;:false,&quot;manualOverride&quot;:{&quot;isManuallyOverridden&quot;:false,&quot;citeprocText&quot;:&quot;(Lee’ et al., 2020)&quot;,&quot;manualOverrideText&quot;:&quot;&quot;},&quot;citationTag&quot;:&quot;MENDELEY_CITATION_v3_eyJjaXRhdGlvbklEIjoiTUVOREVMRVlfQ0lUQVRJT05fZmU5ZTRhN2ItMjMwMi00ZDc5LWI2NzAtNTZkODgyOTk4NTk2IiwicHJvcGVydGllcyI6eyJub3RlSW5kZXgiOjB9LCJpc0VkaXRlZCI6ZmFsc2UsIm1hbnVhbE92ZXJyaWRlIjp7ImlzTWFudWFsbHlPdmVycmlkZGVuIjpmYWxzZSwiY2l0ZXByb2NUZXh0IjoiKExlZeKAmSBldCBhbC4sIDIwMjApIiwibWFudWFsT3ZlcnJpZGVUZXh0IjoiIn0sImNpdGF0aW9uSXRlbXMiOlt7ImlkIjoiYWJmYzA1YTktZTVkMS0zYTk3LTgzNGItOTMzMzY2MGJhOTg3IiwiaXRlbURhdGEiOnsidHlwZSI6ImFydGljbGUtam91cm5hbCIsImlkIjoiYWJmYzA1YTktZTVkMS0zYTk3LTgzNGItOTMzMzY2MGJhOTg3IiwidGl0bGUiOiJJbnRlbGxlY3R1YWwgY2FwaXRhbCBmb3IgZ3JlZW4gYWNjb3VudGluZyBpbiBhZ3JpYnVzaW5lc3MiLCJhdXRob3IiOlt7ImZhbWlseSI6IkxlZeKAmSIsImdpdmVuIjoiSHNpdSBZdSIsInBhcnNlLW5hbWVzIjpmYWxzZSwiZHJvcHBpbmctcGFydGljbGUiOiIiLCJub24tZHJvcHBpbmctcGFydGljbGUiOiIifSx7ImZhbWlseSI6IkxpdSIsImdpdmVuIjoiQ2hpIEZhbmciLCJwYXJzZS1uYW1lcyI6ZmFsc2UsImRyb3BwaW5nLXBhcnRpY2xlIjoiIiwibm9uLWRyb3BwaW5nLXBhcnRpY2xlIjoiIn0seyJmYW1pbHkiOiJZYWluIiwiZ2l2ZW4iOiJZdSBTaGVuZyIsInBhcnNlLW5hbWVzIjpmYWxzZSwiZHJvcHBpbmctcGFydGljbGUiOiIiLCJub24tZHJvcHBpbmctcGFydGljbGUiOiIifSx7ImZhbWlseSI6IkxpbiIsImdpdmVuIjoiQ2hpZW4gSG8iLCJwYXJzZS1uYW1lcyI6ZmFsc2UsImRyb3BwaW5nLXBhcnRpY2xlIjoiIiwibm9uLWRyb3BwaW5nLXBhcnRpY2xlIjoiIn1dLCJjb250YWluZXItdGl0bGUiOiJJbnRlcm5hdGlvbmFsIEZvb2QgYW5kIEFncmlidXNpbmVzcyBNYW5hZ2VtZW50IFJldmlldyIsIkRPSSI6IjEwLjIyNDM0L0lGQU1SMjAyMC4wMDI4IiwiSVNTTiI6IjE1NTkyNDQ4IiwiaXNzdWVkIjp7ImRhdGUtcGFydHMiOltbMjAyMF1dfSwicGFnZSI6Ijc1OS03NjUiLCJhYnN0cmFjdCI6IkFncmlidXNpbmVzcyBvcmdhbml6YXRpb25zIGhhdmUgZ2FpbmVkIGFuIHVuZGVyc3RhbmRpbmcgb2YgdGhlIG5lZWQgdG8gcHJvbW90ZSBlbnZpcm9ubWVudGFsbHkgZnJpZW5kbHkgYWN0aW9ucyBmb3IgdGhlIHByZXNlbnQgYW5kIHRoZSBmdXR1cmUuIEdyZWVuIGFjY291bnRpbmcgKEdBKSBvciBlbnZpcm9ubWVudGFsIGFjY291bnRpbmcgaXMgYSBuZXcgYnJhbmNoIG9mIGFjY291bnRpbmcgdGhhdCBhdHRlbXB0cyB0byBmYWN0b3IgY29zdHMgcmVsYXRlZCB0byB0aGUgZW52aXJvbm1lbnQgaW50byB0aGUgZmluYW5jaWFsIHJlc3VsdHMgb2YgdmFyaW91cyBvcGVyYXRpb25zLiBUaGUgY29uY2VwdCBvZiBpbnRlbGxlY3R1YWwgY2FwaXRhbCAoSUMpIGRlc2NyaWJlcyBhbGwgdGhlIHJlc291cmNlcyBvciBjYXBpdGFsIHRoYXQgZGV0ZXJtaW5lcyBhbiBvcmdhbml6YXRpb27igJlzIHZhbHVlIGFuZCBjb21wZXRpdGl2ZW5lc3MuIFRoZSBpbXBsZW1lbnRhdGlvbiBvZiBHQSBwcmluY2lwbGVzIGluIGFuIGFncmlidXNpbmVzcyBvcmdhbml6YXRpb24gaXMgYSBjcm9zcy1kaXNjaXBsaW5hcnkgd29yayB0aGF0IGVudGFpbHMgc3VzdGFpbmFiaWxpdHksIGFjY291bnRpbmcsIGFuZCBvdGhlciBmaWVsZHMgb2YgcmVzZWFyY2guIFRodXMsIGNvbXBldGVudCBmYXJtZXJzIChodW1hbiBjYXBpdGFsKSwgZ29vZCByZWxhdGlvbnNoaXBzIHdpdGggc3Rha2Vob2xkZXJzIChyZWxhdGlvbmFsIGNhcGl0YWwpLCBzdHJ1Y3R1cmFsIGNoYW5nZXMgKG9yZ2FuaXphdGlvbmFsIGNhcGl0YWwpLCBhbmQgaW5ub3ZhdGl2ZW5lc3MgKGlubm92YXRpb24gY2FwaXRhbCkgYWxsIG9mIHdoaWNoIGFyZSBjb25jZXB0cyBvZiBJQyBhcmUgbmVlZGVkIGZvciB0aGUgaW1wbGVtZW50YXRpb24gb2YgZW52aXJvbm1lbnRhbCBzdXN0YWluYWJpbGl0eSBwb2xpY2llcyBhbmQgcHJvY2VkdXJlcyB3aXRoaW4gYW4gb3JnYW5pemF0aW9uLiBUaGlzIGNvbmNlcHR1YWwgcGFwZXIgZXhwbG9yZXMga2V5IHN1Y2Nlc3MgZmFjdG9ycyBmb3IgdGhlIEdBIGZyb20gdGhlIElDIHBlcnNwZWN0aXZlLiBXZSBwcm9wb3NlZCB0aGF0LCBmb3IgZGlmZmVyZW50IHJlYXNvbnMgYW5kIGxvZ2ljLCB0aGUgaHVtYW4sIGN1c3RvbWVyLCBvcmdhbml6YXRpb25hbCwgaW5ub3ZhdGlvbiwgYW5kIHByb2Nlc3MgY2FwaXRhbHMgYWxsIHBsYXkgcm9sZXMgYXMga2V5IHN1Y2Nlc3MgZmFjdG9ycyBmb3IgZ29vZCBpbXBsZW1lbnRhdGlvbiBvZiBHQSBpbiBhZ3JpYnVzaW5lc3MuIiwicHVibGlzaGVyIjoiV2FnZW5pbmdlbiBBY2FkZW1pYyBQdWJsaXNoZXJzIiwiaXNzdWUiOiI0Iiwidm9sdW1lIjoiMjMiLCJjb250YWluZXItdGl0bGUtc2hvcnQiOiIifSwiaXNUZW1wb3JhcnkiOmZhbHNlLCJzdXBwcmVzcy1hdXRob3IiOmZhbHNlLCJjb21wb3NpdGUiOmZhbHNlLCJhdXRob3Itb25seSI6ZmFsc2V9XX0=&quot;,&quot;citationItems&quot;:[{&quot;id&quot;:&quot;abfc05a9-e5d1-3a97-834b-9333660ba987&quot;,&quot;itemData&quot;:{&quot;type&quot;:&quot;article-journal&quot;,&quot;id&quot;:&quot;abfc05a9-e5d1-3a97-834b-9333660ba987&quot;,&quot;title&quot;:&quot;Intellectual capital for green accounting in agribusiness&quot;,&quot;author&quot;:[{&quot;family&quot;:&quot;Lee’&quot;,&quot;given&quot;:&quot;Hsiu Yu&quot;,&quot;parse-names&quot;:false,&quot;dropping-particle&quot;:&quot;&quot;,&quot;non-dropping-particle&quot;:&quot;&quot;},{&quot;family&quot;:&quot;Liu&quot;,&quot;given&quot;:&quot;Chi Fang&quot;,&quot;parse-names&quot;:false,&quot;dropping-particle&quot;:&quot;&quot;,&quot;non-dropping-particle&quot;:&quot;&quot;},{&quot;family&quot;:&quot;Yain&quot;,&quot;given&quot;:&quot;Yu Sheng&quot;,&quot;parse-names&quot;:false,&quot;dropping-particle&quot;:&quot;&quot;,&quot;non-dropping-particle&quot;:&quot;&quot;},{&quot;family&quot;:&quot;Lin&quot;,&quot;given&quot;:&quot;Chien Ho&quot;,&quot;parse-names&quot;:false,&quot;dropping-particle&quot;:&quot;&quot;,&quot;non-dropping-particle&quot;:&quot;&quot;}],&quot;container-title&quot;:&quot;International Food and Agribusiness Management Review&quot;,&quot;DOI&quot;:&quot;10.22434/IFAMR2020.0028&quot;,&quot;ISSN&quot;:&quot;15592448&quot;,&quot;issued&quot;:{&quot;date-parts&quot;:[[2020]]},&quot;page&quot;:&quot;759-765&quot;,&quot;abstract&quot;:&quot;Agribusiness organizations have gained an understanding of the need to promote environmentally friendly actions for the present and the future. Green accounting (GA) or environmental accounting is a new branch of accounting that attempts to factor costs related to the environment into the financial results of various operations. The concept of intellectual capital (IC) describes all the resources or capital that determines an organization’s value and competitiveness. The implementation of GA principles in an agribusiness organization is a cross-disciplinary work that entails sustainability, accounting, and other fields of research. Thus, competent farmers (human capital), good relationships with stakeholders (relational capital), structural changes (organizational capital), and innovativeness (innovation capital) all of which are concepts of IC are needed for the implementation of environmental sustainability policies and procedures within an organization. This conceptual paper explores key success factors for the GA from the IC perspective. We proposed that, for different reasons and logic, the human, customer, organizational, innovation, and process capitals all play roles as key success factors for good implementation of GA in agribusiness.&quot;,&quot;publisher&quot;:&quot;Wageningen Academic Publishers&quot;,&quot;issue&quot;:&quot;4&quot;,&quot;volume&quot;:&quot;23&quot;,&quot;container-title-short&quot;:&quot;&quot;},&quot;isTemporary&quot;:false,&quot;suppress-author&quot;:false,&quot;composite&quot;:false,&quot;author-only&quot;:false}]},{&quot;citationID&quot;:&quot;MENDELEY_CITATION_311fd558-8b0c-4de5-bc35-3a99a3e35123&quot;,&quot;properties&quot;:{&quot;noteIndex&quot;:0},&quot;isEdited&quot;:false,&quot;manualOverride&quot;:{&quot;isManuallyOverridden&quot;:false,&quot;citeprocText&quot;:&quot;(Setiana &amp;#38; Arieftiara, 2023)&quot;,&quot;manualOverrideText&quot;:&quot;&quot;},&quot;citationTag&quot;:&quot;MENDELEY_CITATION_v3_eyJjaXRhdGlvbklEIjoiTUVOREVMRVlfQ0lUQVRJT05fMzExZmQ1NTgtOGIwYy00ZGU1LWJjMzUtM2E5OWEzZTM1MTIzIiwicHJvcGVydGllcyI6eyJub3RlSW5kZXgiOjB9LCJpc0VkaXRlZCI6ZmFsc2UsIm1hbnVhbE92ZXJyaWRlIjp7ImlzTWFudWFsbHlPdmVycmlkZGVuIjpmYWxzZSwiY2l0ZXByb2NUZXh0IjoiKFNldGlhbmEgJiMzODsgQXJpZWZ0aWFyYSwgMjAyMykiLCJtYW51YWxPdmVycmlkZVRleHQiOiIifSwiY2l0YXRpb25JdGVtcyI6W3siaWQiOiIxNzVjODc2My1lNGJjLTMwMjUtODJiOS1iYzI3N2M2NTU2NzciLCJpdGVtRGF0YSI6eyJ0eXBlIjoicmVwb3J0IiwiaWQiOiIxNzVjODc2My1lNGJjLTMwMjUtODJiOS1iYzI3N2M2NTU2NzciLCJ0aXRsZSI6IkNBUkJPTiBFTUlTU0lPTiBESVNDTE9TVVJFIEFORCBHUkVFTiBJTlRFTExFQ1RVQUwgQ0FQSVRBTDogVEhFIEVGRkVDVCBPTiBGSVJNIFZBTFVFIiwiYXV0aG9yIjpbeyJmYW1pbHkiOiJTZXRpYW5hIiwiZ2l2ZW4iOiJBbmFuZGl0YSIsInBhcnNlLW5hbWVzIjpmYWxzZSwiZHJvcHBpbmctcGFydGljbGUiOiIiLCJub24tZHJvcHBpbmctcGFydGljbGUiOiIifSx7ImZhbWlseSI6IkFyaWVmdGlhcmEiLCJnaXZlbiI6IkRpYW53aWNha3NpaCIsInBhcnNlLW5hbWVzIjpmYWxzZSwiZHJvcHBpbmctcGFydGljbGUiOiIiLCJub24tZHJvcHBpbmctcGFydGljbGUiOiIifV0sImlzc3VlZCI6eyJkYXRlLXBhcnRzIjpbWzIwMjNdXX0sImNvbnRhaW5lci10aXRsZS1zaG9ydCI6IiJ9LCJpc1RlbXBvcmFyeSI6ZmFsc2UsInN1cHByZXNzLWF1dGhvciI6ZmFsc2UsImNvbXBvc2l0ZSI6ZmFsc2UsImF1dGhvci1vbmx5IjpmYWxzZX1dfQ==&quot;,&quot;citationItems&quot;:[{&quot;id&quot;:&quot;175c8763-e4bc-3025-82b9-bc277c655677&quot;,&quot;itemData&quot;:{&quot;type&quot;:&quot;report&quot;,&quot;id&quot;:&quot;175c8763-e4bc-3025-82b9-bc277c655677&quot;,&quot;title&quot;:&quot;CARBON EMISSION DISCLOSURE AND GREEN INTELLECTUAL CAPITAL: THE EFFECT ON FIRM VALUE&quot;,&quot;author&quot;:[{&quot;family&quot;:&quot;Setiana&quot;,&quot;given&quot;:&quot;Anandita&quot;,&quot;parse-names&quot;:false,&quot;dropping-particle&quot;:&quot;&quot;,&quot;non-dropping-particle&quot;:&quot;&quot;},{&quot;family&quot;:&quot;Arieftiara&quot;,&quot;given&quot;:&quot;Dianwicaksih&quot;,&quot;parse-names&quot;:false,&quot;dropping-particle&quot;:&quot;&quot;,&quot;non-dropping-particle&quot;:&quot;&quot;}],&quot;issued&quot;:{&quot;date-parts&quot;:[[2023]]},&quot;container-title-short&quot;:&quot;&quot;},&quot;isTemporary&quot;:false,&quot;suppress-author&quot;:false,&quot;composite&quot;:false,&quot;author-only&quot;:false}]},{&quot;citationID&quot;:&quot;MENDELEY_CITATION_c035d4be-5539-45a8-8c82-7f456d220983&quot;,&quot;properties&quot;:{&quot;noteIndex&quot;:0},&quot;isEdited&quot;:false,&quot;manualOverride&quot;:{&quot;isManuallyOverridden&quot;:false,&quot;citeprocText&quot;:&quot;(Jirakraisiri et al., 2021)&quot;,&quot;manualOverrideText&quot;:&quot;&quot;},&quot;citationTag&quot;:&quot;MENDELEY_CITATION_v3_eyJjaXRhdGlvbklEIjoiTUVOREVMRVlfQ0lUQVRJT05fYzAzNWQ0YmUtNTUzOS00NWE4LThjODItN2Y0NTZkMjIwOTgzIiwicHJvcGVydGllcyI6eyJub3RlSW5kZXgiOjB9LCJpc0VkaXRlZCI6ZmFsc2UsIm1hbnVhbE92ZXJyaWRlIjp7ImlzTWFudWFsbHlPdmVycmlkZGVuIjpmYWxzZSwiY2l0ZXByb2NUZXh0IjoiKEppcmFrcmFpc2lyaSBldCBhbC4sIDIwMjEpIiwibWFudWFsT3ZlcnJpZGVUZXh0IjoiIn0sImNpdGF0aW9uSXRlbXMiOlt7ImlkIjoiZGFhNGE1MTktNWE5NC0zYzYxLWE0MGUtNWY0OTE2NGI2OWI2IiwiaXRlbURhdGEiOnsidHlwZSI6ImFydGljbGUtam91cm5hbCIsImlkIjoiZGFhNGE1MTktNWE5NC0zYzYxLWE0MGUtNWY0OTE2NGI2OWI2IiwidGl0bGUiOiJUcmFuc2xhdGluZyBncmVlbiBzdHJhdGVnaWMgaW50ZW50IGludG8gZ3JlZW4gcHJvY2VzcyBpbm5vdmF0aW9uIHBlcmZvcm1hbmNlOiB0aGUgcm9sZSBvZiBncmVlbiBpbnRlbGxlY3R1YWwgY2FwaXRhbCIsImF1dGhvciI6W3siZmFtaWx5IjoiSmlyYWtyYWlzaXJpIiwiZ2l2ZW4iOiJKaXJhcG9sIiwicGFyc2UtbmFtZXMiOmZhbHNlLCJkcm9wcGluZy1wYXJ0aWNsZSI6IiIsIm5vbi1kcm9wcGluZy1wYXJ0aWNsZSI6IiJ9LHsiZmFtaWx5IjoiQmFkaXIiLCJnaXZlbiI6Ill1b3NyZSBGLiIsInBhcnNlLW5hbWVzIjpmYWxzZSwiZHJvcHBpbmctcGFydGljbGUiOiIiLCJub24tZHJvcHBpbmctcGFydGljbGUiOiIifSx7ImZhbWlseSI6IkZyYW5rIiwiZ2l2ZW4iOiJCasO2cm4iLCJwYXJzZS1uYW1lcyI6ZmFsc2UsImRyb3BwaW5nLXBhcnRpY2xlIjoiIiwibm9uLWRyb3BwaW5nLXBhcnRpY2xlIjoiIn1dLCJjb250YWluZXItdGl0bGUiOiJKb3VybmFsIG9mIEludGVsbGVjdHVhbCBDYXBpdGFsIiwiRE9JIjoiMTAuMTEwOC9KSUMtMDgtMjAyMC0wMjc3IiwiSVNTTiI6IjE3NTg3NDY4IiwiaXNzdWVkIjp7ImRhdGUtcGFydHMiOltbMjAyMV1dfSwicGFnZSI6IjQzLTY3IiwiYWJzdHJhY3QiOiJQdXJwb3NlOiBNYW55IGZpcm1zIHN0cnVnZ2xlIHRvIGltcGxlbWVudCBzdHJhdGVnaWVzIHRoYXQgY2FuIHN1Y2Nlc3NmdWxseSBlbmhhbmNlIHRoZSBlbnZpcm9ubWVudGFsIHN1c3RhaW5hYmlsaXR5IG9mIHRoZWlyIHByb2Nlc3Nlcy4gRHJhd2luZyBvbiB0aGUgdGhlb3JpZXMgb2YgZ3JlZW4gaW50ZWxsZWN0dWFsIGNhcGl0YWwgYW5kIGNvbXBsZW1lbnRhcnkgYXNzZXRzLCB0aGlzIHN0dWR5IGRldmVsb3BzIGEgbW9kZWwgZGVzY3JpYmluZyB0aGUgbWVjaGFuaXNtIHdoZXJlYnkgZmlybXMgY2FuIHRyYW5zbGF0ZSBhIGdyZWVuIChpLmUuLCBlbnZpcm9ubWVudGFsKSBzdHJhdGVneSBpbnRvIGEgc3VwZXJpb3IgZ3JlZW4gcHJvY2VzcyBpbm5vdmF0aW9uIHBlcmZvcm1hbmNlIChHUElQKS4gRGVzaWduL21ldGhvZG9sb2d5L2FwcHJvYWNoOiBSZWdyZXNzaW9uIGFuYWx5c2lzIG9mIG11bHRpLXNvdXJjZSBzdXJ2ZXkgZGF0YSBjb2xsZWN0ZWQgZnJvbSA1MTQgbWFuYWdlcnMgYXQgMjU3IGZpcm1zICgyNTcgdG9wIG1hbmFnZW1lbnQgbWVtYmVycyBhbmQgMjU3IHNhZmV0eSBvciBlbnZpcm9ubWVudGFsIG1hbmFnZXJzKSB3YXMgdXNlZCB0byB0ZXN0IHRoZSBoeXBvdGhlc2VzLiBGaW5kaW5nczogQSBmaXJtJ3MgZ3JlZW4gc3RyYXRlZ2ljIGludGVudCBoYXMgcG9zaXRpdmUgZWZmZWN0cyBvbiB0aGUgdGhyZWUgYXNwZWN0cyBvZiBncmVlbiBpbnRlbGxlY3R1YWwgY2FwaXRhbCAoaS5lLiwgaHVtYW4sIG9yZ2FuaXphdGlvbmFsIGFuZCByZWxhdGlvbmFsIGNhcGl0YWwpLiBJbiB0dXJuLCB0aGVzZSB0aHJlZSBhc3BlY3RzIGhhdmUgcG9zaXRpdmUgZWZmZWN0cyBvbiBHUElQLiBNb3Jlb3ZlciwgZ3JlZW4gb3JnYW5pemF0aW9uYWwgY2FwaXRhbCBwb3NpdGl2ZWx5IG1vZGVyYXRlcyB0aGUgZWZmZWN0IG9mIGdyZWVuIHJlbGF0aW9uYWwgY2FwaXRhbCBvbiBHUElQLCB3aGVyZWFzIGl0IG5lZ2F0aXZlbHkgbW9kZXJhdGVzIHRoZSBlZmZlY3Qgb2YgaHVtYW4gY2FwaXRhbCBvbiBHUElQLiBSZXNlYXJjaCBsaW1pdGF0aW9ucy9pbXBsaWNhdGlvbnM6IEluIG9yZGVyIHRvIGltcGxlbWVudCBhIGdyZWVuIHN0cmF0ZWd5IHN1Y2Nlc3NmdWxseSwgZXNwZWNpYWxseSBpbiBwb2xsdXRlZCBpbmR1c3RyaWVzIHN1Y2ggYXMgdGhlIGNoZW1pY2FsIGluZHVzdHJ5LCBtYW5hZ2VycyBuZWVkIHRvIGRldmVsb3Agbm90IG9ubHkgdGhlIGZpcm0ncyB0YW5naWJsZSByZXNvdXJjZXMgYnV0IGFsc28gaXRzIGludGFuZ2libGUgcmVzb3VyY2VzLiBUaGUgbW9yZSB0aGV5IGludmVzdCBpbiBncmVlbiBvcmdhbml6YXRpb25hbCBjYXBpdGFsLCB0aGUgaGlnaGVyIHRoZSBsZXZlbCBvZiBHUElQIHRoYXQgY2FuIGJlIGFjaGlldmVkLiBPbiBhdmVyYWdlLCBhIGZpcm0ncyBncmVlbiBodW1hbiBjYXBpdGFsIGlzIG1vcmUgaW1wb3J0YW50IHRoYW4gaXRzIG9yZ2FuaXphdGlvbmFsIGFuZCByZWxhdGlvbmFsIGNhcGl0YWwuIE1vcmVvdmVyLCBpdHMgb3JnYW5pemF0aW9uYWwgY2FwaXRhbCBoZWxwcyBjYXB0dXJlIHRoZSBiZW5lZml0cyBvZiBpdHMgcmVsYXRpb25hbCBjYXBpdGFsLCBidXQgaXQgaW1wYWlycyB0aGUgY3JlYXRpdml0eSBvZiBpdHMgaHVtYW4gY2FwaXRhbC4gT3JpZ2luYWxpdHkvdmFsdWU6IFRoZSBhdXRob3JzIGNvbnRyaWJ1dGUgdG8gdGhlIGxpdGVyYXR1cmUgb24gZ3JlZW4gc3RyYXRlZ3kgaW1wbGVtZW50YXRpb24gYnkgc3VnZ2VzdGluZyB0aGF0IGdyZWVuIGludGVsbGVjdHVhbCBjYXBpdGFsIHBsYXlzIGEgbWVkaWF0aW5nIHJvbGUgaW4gdGhlIHJlbGF0aW9uc2hpcCBiZXR3ZWVuIGEgZmlybSdzIGdyZWVuIHN0cmF0ZWdpYyBpbnRlbnQgYW5kIEdQSVAuIiwicHVibGlzaGVyIjoiRW1lcmFsZCBHcm91cCBIb2xkaW5ncyBMdGQuIiwiaXNzdWUiOiI3Iiwidm9sdW1lIjoiMjIiLCJjb250YWluZXItdGl0bGUtc2hvcnQiOiIifSwiaXNUZW1wb3JhcnkiOmZhbHNlLCJzdXBwcmVzcy1hdXRob3IiOmZhbHNlLCJjb21wb3NpdGUiOmZhbHNlLCJhdXRob3Itb25seSI6ZmFsc2V9XX0=&quot;,&quot;citationItems&quot;:[{&quot;id&quot;:&quot;daa4a519-5a94-3c61-a40e-5f49164b69b6&quot;,&quot;itemData&quot;:{&quot;type&quot;:&quot;article-journal&quot;,&quot;id&quot;:&quot;daa4a519-5a94-3c61-a40e-5f49164b69b6&quot;,&quot;title&quot;:&quot;Translating green strategic intent into green process innovation performance: the role of green intellectual capital&quot;,&quot;author&quot;:[{&quot;family&quot;:&quot;Jirakraisiri&quot;,&quot;given&quot;:&quot;Jirapol&quot;,&quot;parse-names&quot;:false,&quot;dropping-particle&quot;:&quot;&quot;,&quot;non-dropping-particle&quot;:&quot;&quot;},{&quot;family&quot;:&quot;Badir&quot;,&quot;given&quot;:&quot;Yuosre F.&quot;,&quot;parse-names&quot;:false,&quot;dropping-particle&quot;:&quot;&quot;,&quot;non-dropping-particle&quot;:&quot;&quot;},{&quot;family&quot;:&quot;Frank&quot;,&quot;given&quot;:&quot;Björn&quot;,&quot;parse-names&quot;:false,&quot;dropping-particle&quot;:&quot;&quot;,&quot;non-dropping-particle&quot;:&quot;&quot;}],&quot;container-title&quot;:&quot;Journal of Intellectual Capital&quot;,&quot;DOI&quot;:&quot;10.1108/JIC-08-2020-0277&quot;,&quot;ISSN&quot;:&quot;17587468&quot;,&quot;issued&quot;:{&quot;date-parts&quot;:[[2021]]},&quot;page&quot;:&quot;43-67&quot;,&quot;abstract&quot;:&quot;Purpose: Many firms struggle to implement strategies that can successfully enhance the environmental sustainability of their processes. Drawing on the theories of green intellectual capital and complementary assets, this study develops a model describing the mechanism whereby firms can translate a green (i.e., environmental) strategy into a superior green process innovation performance (GPIP). Design/methodology/approach: Regression analysis of multi-source survey data collected from 514 managers at 257 firms (257 top management members and 257 safety or environmental managers) was used to test the hypotheses. Findings: A firm's green strategic intent has positive effects on the three aspects of green intellectual capital (i.e., human, organizational and relational capital). In turn, these three aspects have positive effects on GPIP. Moreover, green organizational capital positively moderates the effect of green relational capital on GPIP, whereas it negatively moderates the effect of human capital on GPIP. Research limitations/implications: In order to implement a green strategy successfully, especially in polluted industries such as the chemical industry, managers need to develop not only the firm's tangible resources but also its intangible resources. The more they invest in green organizational capital, the higher the level of GPIP that can be achieved. On average, a firm's green human capital is more important than its organizational and relational capital. Moreover, its organizational capital helps capture the benefits of its relational capital, but it impairs the creativity of its human capital. Originality/value: The authors contribute to the literature on green strategy implementation by suggesting that green intellectual capital plays a mediating role in the relationship between a firm's green strategic intent and GPIP.&quot;,&quot;publisher&quot;:&quot;Emerald Group Holdings Ltd.&quot;,&quot;issue&quot;:&quot;7&quot;,&quot;volume&quot;:&quot;22&quot;,&quot;container-title-short&quot;:&quot;&quot;},&quot;isTemporary&quot;:false,&quot;suppress-author&quot;:false,&quot;composite&quot;:false,&quot;author-only&quot;:false}]},{&quot;citationID&quot;:&quot;MENDELEY_CITATION_04ab5475-3dd5-41eb-abff-38008e3f595e&quot;,&quot;properties&quot;:{&quot;noteIndex&quot;:0},&quot;isEdited&quot;:false,&quot;manualOverride&quot;:{&quot;isManuallyOverridden&quot;:false,&quot;citeprocText&quot;:&quot;(Riyanti &amp;#38; Murwaningsari, 2023)&quot;,&quot;manualOverrideText&quot;:&quot;&quot;},&quot;citationTag&quot;:&quot;MENDELEY_CITATION_v3_eyJjaXRhdGlvbklEIjoiTUVOREVMRVlfQ0lUQVRJT05fMDRhYjU0NzUtM2RkNS00MWViLWFiZmYtMzgwMDhlM2Y1OTVlIiwicHJvcGVydGllcyI6eyJub3RlSW5kZXgiOjB9LCJpc0VkaXRlZCI6ZmFsc2UsIm1hbnVhbE92ZXJyaWRlIjp7ImlzTWFudWFsbHlPdmVycmlkZGVuIjpmYWxzZSwiY2l0ZXByb2NUZXh0IjoiKFJpeWFudGkgJiMzODsgTXVyd2FuaW5nc2FyaSwgMjAyMykiLCJtYW51YWxPdmVycmlkZVRleHQiOiIifSwiY2l0YXRpb25JdGVtcyI6W3siaWQiOiJlMjE0MDBmYS1hZGU4LTNmODMtYTkzNi04MmNmYjg3MjNlY2QiLCJpdGVtRGF0YSI6eyJ0eXBlIjoiYXJ0aWNsZS1qb3VybmFsIiwiaWQiOiJlMjE0MDBmYS1hZGU4LTNmODMtYTkzNi04MmNmYjg3MjNlY2QiLCJ0aXRsZSI6IkNPUlBPUkFURSBHT1ZFUk5BTkNFIFJPTEUgQVMgTU9ERVJBVElORyBHUkVFTiBJTlRFTExFQ1RVQUwgQ0FQSVRBTCBBTkQgR1JFRU4gQUNDT1VOVElORyBJTkZMVUVOQ0UgT04gU1VTVEFJTkFCTEUgRklOQU5DRSBJTVBMRU1FTlRBVElPTiIsImF1dGhvciI6W3siZmFtaWx5IjoiUml5YW50aSIsImdpdmVuIjoiWXVsaWEgRWthIiwicGFyc2UtbmFtZXMiOmZhbHNlLCJkcm9wcGluZy1wYXJ0aWNsZSI6IiIsIm5vbi1kcm9wcGluZy1wYXJ0aWNsZSI6IiJ9LHsiZmFtaWx5IjoiTXVyd2FuaW5nc2FyaSIsImdpdmVuIjoiRXR0eSIsInBhcnNlLW5hbWVzIjpmYWxzZSwiZHJvcHBpbmctcGFydGljbGUiOiIiLCJub24tZHJvcHBpbmctcGFydGljbGUiOiIifV0sIlVSTCI6Imh0dHA6Ly9kZXZvdGlvbi5ncmVlbnZlc3QuY28uaWQiLCJpc3N1ZWQiOnsiZGF0ZS1wYXJ0cyI6W1syMDIzXV19LCJjb250YWluZXItdGl0bGUtc2hvcnQiOiIifSwiaXNUZW1wb3JhcnkiOmZhbHNlLCJzdXBwcmVzcy1hdXRob3IiOmZhbHNlLCJjb21wb3NpdGUiOmZhbHNlLCJhdXRob3Itb25seSI6ZmFsc2V9XX0=&quot;,&quot;citationItems&quot;:[{&quot;id&quot;:&quot;e21400fa-ade8-3f83-a936-82cfb8723ecd&quot;,&quot;itemData&quot;:{&quot;type&quot;:&quot;article-journal&quot;,&quot;id&quot;:&quot;e21400fa-ade8-3f83-a936-82cfb8723ecd&quot;,&quot;title&quot;:&quot;CORPORATE GOVERNANCE ROLE AS MODERATING GREEN INTELLECTUAL CAPITAL AND GREEN ACCOUNTING INFLUENCE ON SUSTAINABLE FINANCE IMPLEMENTATION&quot;,&quot;author&quot;:[{&quot;family&quot;:&quot;Riyanti&quot;,&quot;given&quot;:&quot;Yulia Eka&quot;,&quot;parse-names&quot;:false,&quot;dropping-particle&quot;:&quot;&quot;,&quot;non-dropping-particle&quot;:&quot;&quot;},{&quot;family&quot;:&quot;Murwaningsari&quot;,&quot;given&quot;:&quot;Etty&quot;,&quot;parse-names&quot;:false,&quot;dropping-particle&quot;:&quot;&quot;,&quot;non-dropping-particle&quot;:&quot;&quot;}],&quot;URL&quot;:&quot;http://devotion.greenvest.co.id&quot;,&quot;issued&quot;:{&quot;date-parts&quot;:[[2023]]},&quot;container-title-short&quot;:&quot;&quot;},&quot;isTemporary&quot;:false,&quot;suppress-author&quot;:false,&quot;composite&quot;:false,&quot;author-only&quot;:false}]},{&quot;citationID&quot;:&quot;MENDELEY_CITATION_95c686ac-bf85-4269-9bd5-2a3a61c60013&quot;,&quot;properties&quot;:{&quot;noteIndex&quot;:0},&quot;isEdited&quot;:false,&quot;manualOverride&quot;:{&quot;isManuallyOverridden&quot;:true,&quot;citeprocText&quot;:&quot;(World Resources institude, 2024)&quot;,&quot;manualOverrideText&quot;:&quot;(World Resources institute, 2024)&quot;},&quot;citationTag&quot;:&quot;MENDELEY_CITATION_v3_eyJjaXRhdGlvbklEIjoiTUVOREVMRVlfQ0lUQVRJT05fOTVjNjg2YWMtYmY4NS00MjY5LTliZDUtMmEzYTYxYzYwMDEzIiwicHJvcGVydGllcyI6eyJub3RlSW5kZXgiOjB9LCJpc0VkaXRlZCI6ZmFsc2UsIm1hbnVhbE92ZXJyaWRlIjp7ImlzTWFudWFsbHlPdmVycmlkZGVuIjp0cnVlLCJjaXRlcHJvY1RleHQiOiIoV29ybGQgUmVzb3VyY2VzIGluc3RpdHVkZSwgMjAyNCkiLCJtYW51YWxPdmVycmlkZVRleHQiOiIoV29ybGQgUmVzb3VyY2VzIGluc3RpdHV0ZSwgMjAyNCkifSwiY2l0YXRpb25JdGVtcyI6W3siaWQiOiI2ZGQ5M2RhZS1mODUwLTM3MGQtOTVmMy1iMGEzNWFjOWUyOWYiLCJpdGVtRGF0YSI6eyJ0eXBlIjoid2VicGFnZSIsImlkIjoiNmRkOTNkYWUtZjg1MC0zNzBkLTk1ZjMtYjBhMzVhYzllMjlmIiwidGl0bGUiOiJXb3JsZCBHcmVlbmhvdXNlIEdhcyBFbWlzc2lvbnMgYnkgU2VjdG9yIiwiYXV0aG9yIjpbeyJmYW1pbHkiOiJXb3JsZCBSZXNvdXJjZXMgaW5zdGl0dWRlIiwiZ2l2ZW4iOiIiLCJwYXJzZS1uYW1lcyI6ZmFsc2UsImRyb3BwaW5nLXBhcnRpY2xlIjoiIiwibm9uLWRyb3BwaW5nLXBhcnRpY2xlIjoiIn1dLCJhY2Nlc3NlZCI6eyJkYXRlLXBhcnRzIjpbWzIwMjUsNiwxOV1dfSwiVVJMIjoiaHR0cHM6Ly93d3cud3JpLm9yZy9kYXRhL3dvcmxkLWdyZWVuaG91c2UtZ2FzLWVtaXNzaW9ucy1zZWN0b3ItMjAyMS1zdW5idXJzdC1jaGFydCIsImlzc3VlZCI6eyJkYXRlLXBhcnRzIjpbWzIwMjRdXX0sImNvbnRhaW5lci10aXRsZS1zaG9ydCI6IiJ9LCJpc1RlbXBvcmFyeSI6ZmFsc2UsInN1cHByZXNzLWF1dGhvciI6ZmFsc2UsImNvbXBvc2l0ZSI6ZmFsc2UsImF1dGhvci1vbmx5IjpmYWxzZX1dfQ==&quot;,&quot;citationItems&quot;:[{&quot;id&quot;:&quot;6dd93dae-f850-370d-95f3-b0a35ac9e29f&quot;,&quot;itemData&quot;:{&quot;type&quot;:&quot;webpage&quot;,&quot;id&quot;:&quot;6dd93dae-f850-370d-95f3-b0a35ac9e29f&quot;,&quot;title&quot;:&quot;World Greenhouse Gas Emissions by Sector&quot;,&quot;author&quot;:[{&quot;family&quot;:&quot;World Resources institude&quot;,&quot;given&quot;:&quot;&quot;,&quot;parse-names&quot;:false,&quot;dropping-particle&quot;:&quot;&quot;,&quot;non-dropping-particle&quot;:&quot;&quot;}],&quot;accessed&quot;:{&quot;date-parts&quot;:[[2025,6,19]]},&quot;URL&quot;:&quot;https://www.wri.org/data/world-greenhouse-gas-emissions-sector-2021-sunburst-chart&quot;,&quot;issued&quot;:{&quot;date-parts&quot;:[[2024]]},&quot;container-title-short&quot;:&quot;&quot;},&quot;isTemporary&quot;:false,&quot;suppress-author&quot;:false,&quot;composite&quot;:false,&quot;author-only&quot;:false}]},{&quot;citationID&quot;:&quot;MENDELEY_CITATION_b9c89d7e-91f3-4286-8fd5-800c933b785d&quot;,&quot;properties&quot;:{&quot;noteIndex&quot;:0},&quot;isEdited&quot;:false,&quot;manualOverride&quot;:{&quot;isManuallyOverridden&quot;:false,&quot;citeprocText&quot;:&quot;(Dowling &amp;#38; Pfeffer, 1975)&quot;,&quot;manualOverrideText&quot;:&quot;&quot;},&quot;citationTag&quot;:&quot;MENDELEY_CITATION_v3_eyJjaXRhdGlvbklEIjoiTUVOREVMRVlfQ0lUQVRJT05fYjljODlkN2UtOTFmMy00Mjg2LThmZDUtODAwYzkzM2I3ODVkIiwicHJvcGVydGllcyI6eyJub3RlSW5kZXgiOjB9LCJpc0VkaXRlZCI6ZmFsc2UsIm1hbnVhbE92ZXJyaWRlIjp7ImlzTWFudWFsbHlPdmVycmlkZGVuIjpmYWxzZSwiY2l0ZXByb2NUZXh0IjoiKERvd2xpbmcgJiMzODsgUGZlZmZlciwgMTk3NSkiLCJtYW51YWxPdmVycmlkZVRleHQiOiIifSwiY2l0YXRpb25JdGVtcyI6W3siaWQiOiIxOTAwMjVjZi1lMGQxLTNlMzMtODk0NS00MTgxYWVmM2U2OTEiLCJpdGVtRGF0YSI6eyJ0eXBlIjoicmVwb3J0IiwiaWQiOiIxOTAwMjVjZi1lMGQxLTNlMzMtODk0NS00MTgxYWVmM2U2OTEiLCJ0aXRsZSI6IlBhY2lmaWMgU29jaW9sb2dpY2FsIEFzc29jaWF0aW9uIE9yZ2FuaXphdGlvbmFsIExlZ2l0aW1hY3k6IFNvY2lhbCBWYWx1ZXMgYW5kIE9yZ2FuaXphdGlvbmFsIEJlaGF2aW9yIiwiYXV0aG9yIjpbeyJmYW1pbHkiOiJEb3dsaW5nIiwiZ2l2ZW4iOiJKb2huIiwicGFyc2UtbmFtZXMiOmZhbHNlLCJkcm9wcGluZy1wYXJ0aWNsZSI6IiIsIm5vbi1kcm9wcGluZy1wYXJ0aWNsZSI6IiJ9LHsiZmFtaWx5IjoiUGZlZmZlciIsImdpdmVuIjoiSmVmZnJleSIsInBhcnNlLW5hbWVzIjpmYWxzZSwiZHJvcHBpbmctcGFydGljbGUiOiIiLCJub24tZHJvcHBpbmctcGFydGljbGUiOiIifV0sImNvbnRhaW5lci10aXRsZSI6IlNvdXJjZTogVGhlIFBhY2lmaWMgU29jaW9sb2dpY2FsIFJldmlldyIsImlzc3VlZCI6eyJkYXRlLXBhcnRzIjpbWzE5NzVdXX0sIm51bWJlci1vZi1wYWdlcyI6IjEyMi0xMzY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iwiaXNzdWUiOiIxIiwidm9sdW1lIjoiMTgiLCJjb250YWluZXItdGl0bGUtc2hvcnQiOiIifSwiaXNUZW1wb3JhcnkiOmZhbHNlLCJzdXBwcmVzcy1hdXRob3IiOmZhbHNlLCJjb21wb3NpdGUiOmZhbHNlLCJhdXRob3Itb25seSI6ZmFsc2V9XX0=&quot;,&quot;citationItems&quot;:[{&quot;id&quot;:&quot;190025cf-e0d1-3e33-8945-4181aef3e691&quot;,&quot;itemData&quot;:{&quot;type&quot;:&quot;report&quot;,&quot;id&quot;:&quot;190025cf-e0d1-3e33-8945-4181aef3e691&quot;,&quot;title&quot;:&quot;Pacific Sociological Association Organizational Legitimacy: Social Values and Organizational Behavior&quot;,&quot;author&quot;:[{&quot;family&quot;:&quot;Dowling&quot;,&quot;given&quot;:&quot;John&quot;,&quot;parse-names&quot;:false,&quot;dropping-particle&quot;:&quot;&quot;,&quot;non-dropping-particle&quot;:&quot;&quot;},{&quot;family&quot;:&quot;Pfeffer&quot;,&quot;given&quot;:&quot;Jeffrey&quot;,&quot;parse-names&quot;:false,&quot;dropping-particle&quot;:&quot;&quot;,&quot;non-dropping-particle&quot;:&quot;&quot;}],&quot;container-title&quot;:&quot;Source: The Pacific Sociological Review&quot;,&quot;issued&quot;:{&quot;date-parts&quot;:[[1975]]},&quot;number-of-pages&quot;:&quot;122-13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quot;,&quot;issue&quot;:&quot;1&quot;,&quot;volume&quot;:&quot;18&quot;,&quot;container-title-short&quot;:&quot;&quot;},&quot;isTemporary&quot;:false,&quot;suppress-author&quot;:false,&quot;composite&quot;:false,&quot;author-only&quot;:false}]},{&quot;citationID&quot;:&quot;MENDELEY_CITATION_c270f191-e3f1-421a-8e21-9d2d2224a9a6&quot;,&quot;properties&quot;:{&quot;noteIndex&quot;:0},&quot;isEdited&quot;:false,&quot;manualOverride&quot;:{&quot;isManuallyOverridden&quot;:false,&quot;citeprocText&quot;:&quot;(Suchman, 1995)&quot;,&quot;manualOverrideText&quot;:&quot;&quot;},&quot;citationTag&quot;:&quot;MENDELEY_CITATION_v3_eyJjaXRhdGlvbklEIjoiTUVOREVMRVlfQ0lUQVRJT05fYzI3MGYxOTEtZTNmMS00MjFhLThlMjEtOWQyZDIyMjRhOWE2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a4e00efc-4d09-4cb4-856c-2ff79578de2a&quot;,&quot;properties&quot;:{&quot;noteIndex&quot;:0},&quot;isEdited&quot;:false,&quot;manualOverride&quot;:{&quot;isManuallyOverridden&quot;:false,&quot;citeprocText&quot;:&quot;(Albitar et al., 2020)&quot;,&quot;manualOverrideText&quot;:&quot;&quot;},&quot;citationTag&quot;:&quot;MENDELEY_CITATION_v3_eyJjaXRhdGlvbklEIjoiTUVOREVMRVlfQ0lUQVRJT05fYTRlMDBlZmMtNGQwOS00Y2I0LTg1NmMtMmZmNzk1NzhkZTJh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quot;,&quot;citationItems&quot;:[{&quot;id&quot;:&quot;17665a4b-79f9-3859-b828-f7a1798fcb43&quot;,&quot;itemData&quot;:{&quot;type&quot;:&quot;article-journal&quot;,&quot;id&quot;:&quot;17665a4b-79f9-3859-b828-f7a1798fcb43&quot;,&quot;title&quot;:&quot;ESG disclosure and firm performance before and after IR: The moderating role of governance mechanisms&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ba347ad2-ecf4-4a69-bfb9-b9f87c829c76&quot;,&quot;properties&quot;:{&quot;noteIndex&quot;:0},&quot;isEdited&quot;:false,&quot;manualOverride&quot;:{&quot;isManuallyOverridden&quot;:false,&quot;citeprocText&quot;:&quot;(H. Z. Khan et al., 2021)&quot;,&quot;manualOverrideText&quot;:&quot;&quot;},&quot;citationTag&quot;:&quot;MENDELEY_CITATION_v3_eyJjaXRhdGlvbklEIjoiTUVOREVMRVlfQ0lUQVRJT05fYmEzNDdhZDItZWNmNC00YTY5LWJmYjktYjlmODdjODI5Yzc2IiwicHJvcGVydGllcyI6eyJub3RlSW5kZXgiOjB9LCJpc0VkaXRlZCI6ZmFsc2UsIm1hbnVhbE92ZXJyaWRlIjp7ImlzTWFudWFsbHlPdmVycmlkZGVuIjpmYWxzZSwiY2l0ZXByb2NUZXh0IjoiKEguIFouIEtoYW4gZXQgYWwuLCAyMDIxKSIsIm1hbnVhbE92ZXJyaWRlVGV4dCI6IiJ9LCJjaXRhdGlvbkl0ZW1zIjpbeyJpZCI6ImQ5NzVkNjZlLTk2ZmYtMzQzNy04N2M3LWQ3MDc4MzVmODMyNiIsIml0ZW1EYXRhIjp7InR5cGUiOiJhcnRpY2xlLWpvdXJuYWwiLCJpZCI6ImQ5NzVkNjZlLTk2ZmYtMzQzNy04N2M3LWQ3MDc4MzVmODMyNiIsInRpdGxlIjoiR3JlZW4gYmFua2luZyBkaXNjbG9zdXJlLCBmaXJtIHZhbHVlIGFuZCB0aGUgbW9kZXJhdGluZyByb2xlIG9mIGEgY29udGV4dHVhbCBmYWN0b3I6IEV2aWRlbmNlIGZyb20gYSBkaXN0aW5jdGl2ZSByZWd1bGF0b3J5IHNldHRpbmciLCJhdXRob3IiOlt7ImZhbWlseSI6IktoYW4iLCJnaXZlbiI6IkhhYmliIFphbWFuIiwicGFyc2UtbmFtZXMiOmZhbHNlLCJkcm9wcGluZy1wYXJ0aWNsZSI6IiIsIm5vbi1kcm9wcGluZy1wYXJ0aWNsZSI6IiJ9LHsiZmFtaWx5IjoiQm9zZSIsImdpdmVuIjoiU3VkaXB0YSIsInBhcnNlLW5hbWVzIjpmYWxzZSwiZHJvcHBpbmctcGFydGljbGUiOiIiLCJub24tZHJvcHBpbmctcGFydGljbGUiOiIifSx7ImZhbWlseSI6IlNoZWVoeSIsImdpdmVuIjoiQmVuZWRpY3QiLCJwYXJzZS1uYW1lcyI6ZmFsc2UsImRyb3BwaW5nLXBhcnRpY2xlIjoiIiwibm9uLWRyb3BwaW5nLXBhcnRpY2xlIjoiIn0seyJmYW1pbHkiOiJRdWF6aSIsImdpdmVuIjoiQWxpIiwicGFyc2UtbmFtZXMiOmZhbHNlLCJkcm9wcGluZy1wYXJ0aWNsZSI6IiIsIm5vbi1kcm9wcGluZy1wYXJ0aWNsZSI6IiJ9XSwiY29udGFpbmVyLXRpdGxlIjoiQnVzaW5lc3MgU3RyYXRlZ3kgYW5kIHRoZSBFbnZpcm9ubWVudCIsImNvbnRhaW5lci10aXRsZS1zaG9ydCI6IkJ1cyBTdHJhdGVneSBFbnZpcm9uIiwiRE9JIjoiMTAuMTAwMi9ic2UuMjgzMiIsIklTU04iOiIxMDk5MDgzNiIsImlzc3VlZCI6eyJkYXRlLXBhcnRzIjpbWzIwMjEsMTIsMV1dfSwicGFnZSI6IjM2NTEtMzY3MCIsImFic3RyYWN0IjoiVGhlIGlkZWEgdGhhdCBncmVlbiBiYW5raW5nIGRpc2Nsb3N1cmUgbGVhZHMgdG8gaW5jcmVhc2VkIGZpcm0gdmFsdWUgaGFzIGJlZW4gcmlnaHRseSBjb25zaWRlcmVkIGFzIG92ZXItc2ltcGxpc3RpYy4gVGhpcyBwYXBlciBidWlsZHMgb24ga2V5IHByaW9yIGluc2lnaHRzIGJ5IGludmVzdGlnYXRpbmcgd2hldGhlciBjb21iaW5pbmcgZ3JlZW4gZGlzY2xvc3VyZSB3aXRoIG90aGVyIGNvbnRleHR1YWwgZmFjdG9yLCBzdWNoIGFzIG5vbi1wZXJmb3JtaW5nIGxvYW5zLCBwcm92aWRlcyBhZGRpdGlvbmFsIGluc2lnaHQgaW50byB0aGUgY29tcGxleCBncmVlbiBkaXNjbG9zdXJl4oCTZmlybSB2YWx1ZSByZWxhdGlvbnNoaXAgaW4gYSByZWd1bGF0b3J5IHNldHRpbmcgd2hlcmUgZ3JlZW4gbGF3IGhhcyByZWNlbnRseSBiZWVuIGVuYWN0ZWQgZm9yIHRoZSBiYW5raW5nIGluZHVzdHJ5LiBXZSBwcmVzZW50IGFuIGFuYWx5c2lzIG9mIHNldmVuIHllYXJzIG9mIGRhdGEgc291cmNlZCBmcm9tIGxpc3RlZCBiYW5rcyBpbiBCYW5nbGFkZXNoICgyMDA44oCTMjAxNCksIHdpdGggZGF0YSBhbmFseXNlZCB1c2luZyBtdWx0aXBsZSByZWdyZXNzaW9uLiBPdXIgZmluZGluZ3MgaW5kaWNhdGUgdGhhdCwgd2hpbGUgZ3JlZW4gZGlzY2xvc3VyZSBoYXMgYSBwb3NpdGl2ZSBlZmZlY3Qgb24gdGhlIG92ZXJhbGwgZmlybSB2YWx1ZSBvZiBiYW5rcywgdGhpcyBwb3NpdGl2ZSBlZmZlY3QgaXMgbmVnYXRpdmVseSBtb2RlcmF0ZWQgYnkgYmFua3MnIG5vbi1wZXJmb3JtaW5nIGxvYW5zLiBUaGlzIHJlc2VhcmNoIGNvbnRyaWJ1dGVzIHRvIHRoZSBrbm93bGVkZ2UgYnkgc2hvd2luZyB0aGF0IGdyZWVuIGRpc2Nsb3N1cmUgYWxvbmUgaXMgaW5zdWZmaWNpZW50IGZvciBjcmVhdGluZyBtYXJrZXQgdmFsdWUgZm9yIGJhbmtzLiBBZGRpdGlvbmFsIGNvbnRleHR1YWwgbWF0dGVycyBuZWVkIGF0dGVudGlvbiB0byB1bmRlcnN0YW5kIHRoZSBpbXBhY3Qgb2YgZ3JlZW4gZGlzY2xvc3VyZSBpbiBjb250cmlidXRpbmcgdG8gaW5jcmVhc2VkIG1hcmtldCB2YWx1ZSBmb3IgYmFua3MuIiwicHVibGlzaGVyIjoiSm9obiBXaWxleSBhbmQgU29ucyBMdGQiLCJpc3N1ZSI6IjgiLCJ2b2x1bWUiOiIzMCJ9LCJpc1RlbXBvcmFyeSI6ZmFsc2UsInN1cHByZXNzLWF1dGhvciI6ZmFsc2UsImNvbXBvc2l0ZSI6ZmFsc2UsImF1dGhvci1vbmx5IjpmYWxzZX1dfQ==&quot;,&quot;citationItems&quot;:[{&quot;id&quot;:&quot;d975d66e-96ff-3437-87c7-d707835f8326&quot;,&quot;itemData&quot;:{&quot;type&quot;:&quot;article-journal&quot;,&quot;id&quot;:&quot;d975d66e-96ff-3437-87c7-d707835f8326&quot;,&quot;title&quot;:&quot;Green banking disclosure, firm value and the moderating role of a contextual factor: Evidence from a distinctive regulatory setting&quot;,&quot;author&quot;:[{&quot;family&quot;:&quot;Khan&quot;,&quot;given&quot;:&quot;Habib Zaman&quot;,&quot;parse-names&quot;:false,&quot;dropping-particle&quot;:&quot;&quot;,&quot;non-dropping-particle&quot;:&quot;&quot;},{&quot;family&quot;:&quot;Bose&quot;,&quot;given&quot;:&quot;Sudipta&quot;,&quot;parse-names&quot;:false,&quot;dropping-particle&quot;:&quot;&quot;,&quot;non-dropping-particle&quot;:&quot;&quot;},{&quot;family&quot;:&quot;Sheehy&quot;,&quot;given&quot;:&quot;Benedict&quot;,&quot;parse-names&quot;:false,&quot;dropping-particle&quot;:&quot;&quot;,&quot;non-dropping-particle&quot;:&quot;&quot;},{&quot;family&quot;:&quot;Quazi&quot;,&quot;given&quot;:&quot;Ali&quot;,&quot;parse-names&quot;:false,&quot;dropping-particle&quot;:&quot;&quot;,&quot;non-dropping-particle&quot;:&quot;&quot;}],&quot;container-title&quot;:&quot;Business Strategy and the Environment&quot;,&quot;container-title-short&quot;:&quot;Bus Strategy Environ&quot;,&quot;DOI&quot;:&quot;10.1002/bse.2832&quot;,&quot;ISSN&quot;:&quot;10990836&quot;,&quot;issued&quot;:{&quot;date-parts&quot;:[[2021,12,1]]},&quot;page&quot;:&quot;3651-3670&quot;,&quot;abstract&quot;:&quot;The idea that green banking disclosure leads to increased firm value has been rightly considered as over-simplistic. This paper builds on key prior insights by investigating whether combining green disclosure with other contextual factor, such as non-performing loans, provides additional insight into the complex green disclosure–firm value relationship in a regulatory setting where green law has recently been enacted for the banking industry. We present an analysis of seven years of data sourced from listed banks in Bangladesh (2008–2014), with data analysed using multiple regression. Our findings indicate that, while green disclosure has a positive effect on the overall firm value of banks, this positive effect is negatively moderated by banks' non-performing loans. This research contributes to the knowledge by showing that green disclosure alone is insufficient for creating market value for banks. Additional contextual matters need attention to understand the impact of green disclosure in contributing to increased market value for banks.&quot;,&quot;publisher&quot;:&quot;John Wiley and Sons Ltd&quot;,&quot;issue&quot;:&quot;8&quot;,&quot;volume&quot;:&quot;30&quot;},&quot;isTemporary&quot;:false,&quot;suppress-author&quot;:false,&quot;composite&quot;:false,&quot;author-only&quot;:false}]},{&quot;citationID&quot;:&quot;MENDELEY_CITATION_ab9f6f96-d967-4c08-9d17-3d82b0c6ed93&quot;,&quot;properties&quot;:{&quot;noteIndex&quot;:0},&quot;isEdited&quot;:false,&quot;manualOverride&quot;:{&quot;isManuallyOverridden&quot;:false,&quot;citeprocText&quot;:&quot;(Brigham &amp;#38; Houston, 2019)&quot;,&quot;manualOverrideText&quot;:&quot;&quot;},&quot;citationTag&quot;:&quot;MENDELEY_CITATION_v3_eyJjaXRhdGlvbklEIjoiTUVOREVMRVlfQ0lUQVRJT05fYWI5ZjZmOTYtZDk2Ny00YzA4LTlkMTctM2Q4MmIwYzZlZDkzIiwicHJvcGVydGllcyI6eyJub3RlSW5kZXgiOjB9LCJpc0VkaXRlZCI6ZmFsc2UsIm1hbnVhbE92ZXJyaWRlIjp7ImlzTWFudWFsbHlPdmVycmlkZGVuIjpmYWxzZSwiY2l0ZXByb2NUZXh0IjoiKEJyaWdoYW0gJiMzODsgSG91c3RvbiwgMjAxOSkiLCJtYW51YWxPdmVycmlkZVRleHQiOiIifSwiY2l0YXRpb25JdGVtcyI6W3siaWQiOiI3MWIxMTJhYS0zNDEyLTNjM2ItYTllYS1mMGEwYjgzYmIzNzkiLCJpdGVtRGF0YSI6eyJ0eXBlIjoiYm9vayIsImlkIjoiNzFiMTEyYWEtMzQxMi0zYzNiLWE5ZWEtZjBhMGI4M2JiMzc5IiwidGl0bGUiOiJGdW5kYW1lbnRhbHMgb2YgZmluYW5jaWFsIG1hbmFnZW1lbnQiLCJhdXRob3IiOlt7ImZhbWlseSI6IkJyaWdoYW0iLCJnaXZlbiI6IkV1Z2VuZSBGLi4iLCJwYXJzZS1uYW1lcyI6ZmFsc2UsImRyb3BwaW5nLXBhcnRpY2xlIjoiIiwibm9uLWRyb3BwaW5nLXBhcnRpY2xlIjoiIn0seyJmYW1pbHkiOiJIb3VzdG9uIiwiZ2l2ZW4iOiJKb2VsIEYuLiIsInBhcnNlLW5hbWVzIjpmYWxzZSwiZHJvcHBpbmctcGFydGljbGUiOiIiLCJub24tZHJvcHBpbmctcGFydGljbGUiOiIifV0sIklTQk4iOiI5NzgxMzM3Mzk1MjUwIiwiaXNzdWVkIjp7ImRhdGUtcGFydHMiOltbMjAxOV1dfSwibnVtYmVyLW9mLXBhZ2VzIjoiNzYxIiwiYWJzdHJhY3QiOiJGaWZ0ZWVudGggZWRpdGlvbi4gSW5jbHVkZXMgaW5kZXguICIsInB1Ymxpc2hlciI6IkNlbmdhZ2UiLCJjb250YWluZXItdGl0bGUtc2hvcnQiOiIifSwiaXNUZW1wb3JhcnkiOmZhbHNlLCJzdXBwcmVzcy1hdXRob3IiOmZhbHNlLCJjb21wb3NpdGUiOmZhbHNlLCJhdXRob3Itb25seSI6ZmFsc2V9XX0=&quot;,&quot;citationItems&quot;:[{&quot;id&quot;:&quot;71b112aa-3412-3c3b-a9ea-f0a0b83bb379&quot;,&quot;itemData&quot;:{&quot;type&quot;:&quot;book&quot;,&quot;id&quot;:&quot;71b112aa-3412-3c3b-a9ea-f0a0b83bb379&quot;,&quot;title&quot;:&quot;Fundamentals of financial management&quot;,&quot;author&quot;:[{&quot;family&quot;:&quot;Brigham&quot;,&quot;given&quot;:&quot;Eugene F..&quot;,&quot;parse-names&quot;:false,&quot;dropping-particle&quot;:&quot;&quot;,&quot;non-dropping-particle&quot;:&quot;&quot;},{&quot;family&quot;:&quot;Houston&quot;,&quot;given&quot;:&quot;Joel F..&quot;,&quot;parse-names&quot;:false,&quot;dropping-particle&quot;:&quot;&quot;,&quot;non-dropping-particle&quot;:&quot;&quot;}],&quot;ISBN&quot;:&quot;9781337395250&quot;,&quot;issued&quot;:{&quot;date-parts&quot;:[[2019]]},&quot;number-of-pages&quot;:&quot;761&quot;,&quot;abstract&quot;:&quot;Fifteenth edition. Includes index. &quot;,&quot;publisher&quot;:&quot;Cengage&quot;,&quot;container-title-short&quot;:&quot;&quot;},&quot;isTemporary&quot;:false,&quot;suppress-author&quot;:false,&quot;composite&quot;:false,&quot;author-only&quot;:false}]},{&quot;citationID&quot;:&quot;MENDELEY_CITATION_fd119ad5-ecee-45e3-b150-aaf9ec7e9574&quot;,&quot;properties&quot;:{&quot;noteIndex&quot;:0},&quot;isEdited&quot;:false,&quot;manualOverride&quot;:{&quot;isManuallyOverridden&quot;:false,&quot;citeprocText&quot;:&quot;(Dincer et al., 2023)&quot;,&quot;manualOverrideText&quot;:&quot;&quot;},&quot;citationTag&quot;:&quot;MENDELEY_CITATION_v3_eyJjaXRhdGlvbklEIjoiTUVOREVMRVlfQ0lUQVRJT05fZmQxMTlhZDUtZWNlZS00NWUzLWIxNTAtYWFmOWVjN2U5NTc0IiwicHJvcGVydGllcyI6eyJub3RlSW5kZXgiOjB9LCJpc0VkaXRlZCI6ZmFsc2UsIm1hbnVhbE92ZXJyaWRlIjp7ImlzTWFudWFsbHlPdmVycmlkZGVuIjpmYWxzZSwiY2l0ZXByb2NUZXh0IjoiKERpbmNlciBldCBhbC4sIDIwMjMpIiwibWFudWFsT3ZlcnJpZGVUZXh0IjoiIn0sImNpdGF0aW9uSXRlbXMiOlt7ImlkIjoiYTIzOGRjYjktYTdmOS0zNDAyLWEyNmMtNWNjMjE0NjJkNzdlIiwiaXRlbURhdGEiOnsidHlwZSI6ImFydGljbGUtam91cm5hbCIsImlkIjoiYTIzOGRjYjktYTdmOS0zNDAyLWEyNmMtNWNjMjE0NjJkNzdlIiwidGl0bGUiOiJOZXh1cyBiZXR3ZWVuIFN1c3RhaW5hYmlsaXR5IFJlcG9ydGluZyBhbmQgRmlybSBQZXJmb3JtYW5jZTogQ29uc2lkZXJpbmcgSW5kdXN0cnkgR3JvdXBzLCBBY2NvdW50aW5nLCBhbmQgTWFya2V0IE1lYXN1cmVzIiwiYXV0aG9yIjpbeyJmYW1pbHkiOiJEaW5jZXIiLCJnaXZlbiI6IkJhbnUiLCJwYXJzZS1uYW1lcyI6ZmFsc2UsImRyb3BwaW5nLXBhcnRpY2xlIjoiIiwibm9uLWRyb3BwaW5nLXBhcnRpY2xlIjoiIn0seyJmYW1pbHkiOiJLZXNraW4iLCJnaXZlbiI6IkF5xZ9lIMSwcmVtIiwicGFyc2UtbmFtZXMiOmZhbHNlLCJkcm9wcGluZy1wYXJ0aWNsZSI6IiIsIm5vbi1kcm9wcGluZy1wYXJ0aWNsZSI6IiJ9LHsiZmFtaWx5IjoiRGluY2VyIiwiZ2l2ZW4iOiJDYW5lciIsInBhcnNlLW5hbWVzIjpmYWxzZSwiZHJvcHBpbmctcGFydGljbGUiOiIiLCJub24tZHJvcHBpbmctcGFydGljbGUiOiIifV0sImNvbnRhaW5lci10aXRsZSI6IlN1c3RhaW5hYmlsaXR5IChTd2l0emVybGFuZCkiLCJET0kiOiIxMC4zMzkwL3N1MTUwNzU4NDkiLCJJU1NOIjoiMjA3MTEwNTAiLCJpc3N1ZWQiOnsiZGF0ZS1wYXJ0cyI6W1syMDIzLDQsMV1dfSwiYWJzdHJhY3QiOiJUaGUgcmVsYXRpb25zaGlwIGJldHdlZW4gU3VzdGFpbmFiaWxpdHkgUmVwb3J0aW5nIGFuZCBjb3Jwb3JhdGUgZmluYW5jaWFsIHBlcmZvcm1hbmNlIGlzIG92ZXJsYXBwaW5nIGFuZCBtdWx0aWZhY2V0ZWQgYW5kIGl0IGhhcyBiZWVuIGFuIGludGVyZXN0aW5nIGlzc3VlIGZvciBib3RoIGFjYWRlbWljcyBhbmQgcHJvZmVzc2lvbmFscyBzaW5jZSB0aGUgYmVnaW5uaW5nIG9mIHRoZSBtaWxsZW5uaXVtLiBTdHVkaWVzIGhhdmUgZm91bmQgZGl2ZXJnZW50IHJlc3VsdHMgb24gdGhpcyByZWxhdGlvbiBhbmQgdGhlIGluZHVzdHJpYWwgZGlmZmVyZW5jZXMgYXJlIG9taXR0ZWQgaW4gbWFueSBwYXBlcnMuIE1vcmVvdmVyLCBzdHVkaWVzIGNvbnNpZGVyaW5nIGRldmVsb3BpbmcgY291bnRyaWVzIGFyZSBzY2FyY2UuIFRoZSBwdXJwb3NlIG9mIHRoaXMgc3R1ZHkgaXMgdG8gc2hlZCBsaWdodCBvbiB0aGUgcmVsYXRpb25zaGlwIGJldHdlZW4gc3VzdGFpbmFiaWxpdHkgcmVwb3J0aW5nIGFuZCBmaXJtIHBlcmZvcm1hbmNlIGluIGEgZGV2ZWxvcGluZyBjb3VudHJ5IGNvbnRleHQuIFRoZSBpbXBhY3Qgb2Ygc3VzdGFpbmFiaWxpdHkgcmVwb3J0aW5nIGlzIGludmVzdGlnYXRlZCB1c2luZyBwb29sZWQgb3JkaW5hcnkgbGVhc3Qgc3F1YXJlIChPTFMpIG1ldGhvZCBmb3IgcGFuZWwgZGF0YSByZWdyZXNzaW9uIHRocm91Z2ggdHdvIG1vZGVscyBiYXNlZCBvbiBUb2JpbuKAmXMgUSBhbmQgUk9BLiBBIHRvdGFsIG9mIDkyMCBvYnNlcnZhdGlvbnMgZm9yIDQ2IGNvbXBhbmllcyB3aXRoIDMgZGlmZmVyZW50IGltcGFjdCBsZXZlbHMgYmFzZWQgb24gdGhlaXIgZW52aXJvbm1lbnRhbCBlZmZlY3QgYW5kIDUteWVhciBxdWFydGVybHkgcGFuZWwgZGF0YSBiZXR3ZWVuIDIwMTbigJMyMDIwLiBUaGUgcmVzZWFyY2ggdXNlZCBkYXRhIGZyb20gQm9yc2EgSXN0YW5idWwgKElzdGFuYnVsIFN0b2NrIEV4Y2hhbmdlKSBhbmQgYWxzbyBpbmRlcGVuZGVudCB2YXJpYWJsZXMgc3VjaCBhcyBsZXZlcmFnZSwgcmlzaywgc2l6ZSwgY3VycmVudCByYXRpbywgZ3Jvd3RoLCBzdXN0YWluYWJpbGl0eSByZXBvcnRpbmcsIGFuZCB0aGUgZW52aXJvbm1lbnRhbCBpbXBhY3QgbGV2ZWwgb2YgY29tcGFuaWVzLiBUaGUgcmVzdWx0cyBzaG93ZWQgdGhhdCBzdXN0YWluYWJpbGl0eSByZXBvcnRpbmcgaGFzIGEgc2lnbmlmaWNhbnQgcG9zaXRpdmUgaW1wYWN0IG9uIGZpbmFuY2lhbCBwZXJmb3JtYW5jZSBhY2NvcmRpbmcgdG8gdGhlIFJPQSBtb2RlbCwgYW5kIGEgc2lnbmlmaWNhbnQgbmVnYXRpdmUgY29ycmVsYXRpb24gYmV0d2VlbiByaXNrIGFuZCBmaW5hbmNpYWwgcGVyZm9ybWFuY2UgYWNjb3JkaW5nIHRvIGJvdGggUk9BIGFuZCBUb2JpbuKAmXMgUSBtb2RlbHMuIENvbnNpZGVyaW5nIHRoZSBlbnZpcm9ubWVudGFsIGltcGFjdCBvZiBjb21wYW5pZXMsIHRoZSByZXN1bHRzIGFsc28gcmV2ZWFsIGEgcG9zaXRpdmUgcmVsYXRpb25zaGlwIGJldHdlZW4gaGlnaCBpbXBhY3QgY29tcGFuaWVz4oCZIHN1c3RhaW5hYmlsaXR5IHJlcG9ydGluZyBhbmQgc2hvcnQtdGVybSBmaW5hbmNpYWwgcGVyZm9ybWFuY2UgYXMgUk9BIGlzIGFuIGFjY291bnRpbmctb3JpZW50ZWQgbWVhc3VyZSB0aGF0IHJldmVhbHMgdGhlIGNvbXBhbnnigJlzIHNob3J0LXRlcm0gZmluYW5jaWFsIHBlcmZvcm1hbmNlLiBGdXJ0aGVyIHJlc2VhcmNoIHNob3VsZCBpbnZlc3RpZ2F0ZSB0aGUgaW1wYWN0IG9mIHN1c3RhaW5hYmlsaXR5IHJlcG9ydGluZyBpbiBkaWZmZXJlbnQgbWFya2V0cyBiYXNlZCBvbiB0aGUgaW1wYWN0IGxldmVsIG9mIGNvbXBhbmllcyBhbmQgdGhlIGRldmVsb3BtZW50IGRlZ3JlZSBvZiBjb3VudHJpZXMuIiwicHVibGlzaGVyIjoiTURQSSIsImlzc3VlIjoiNyIsInZvbHVtZSI6IjE1IiwiY29udGFpbmVyLXRpdGxlLXNob3J0IjoiIn0sImlzVGVtcG9yYXJ5IjpmYWxzZSwic3VwcHJlc3MtYXV0aG9yIjpmYWxzZSwiY29tcG9zaXRlIjpmYWxzZSwiYXV0aG9yLW9ubHkiOmZhbHNlfV19&quot;,&quot;citationItems&quot;:[{&quot;id&quot;:&quot;a238dcb9-a7f9-3402-a26c-5cc21462d77e&quot;,&quot;itemData&quot;:{&quot;type&quot;:&quot;article-journal&quot;,&quot;id&quot;:&quot;a238dcb9-a7f9-3402-a26c-5cc21462d77e&quot;,&quot;title&quot;:&quot;Nexus between Sustainability Reporting and Firm Performance: Considering Industry Groups, Accounting, and Market Measures&quot;,&quot;author&quot;:[{&quot;family&quot;:&quot;Dincer&quot;,&quot;given&quot;:&quot;Banu&quot;,&quot;parse-names&quot;:false,&quot;dropping-particle&quot;:&quot;&quot;,&quot;non-dropping-particle&quot;:&quot;&quot;},{&quot;family&quot;:&quot;Keskin&quot;,&quot;given&quot;:&quot;Ayşe İrem&quot;,&quot;parse-names&quot;:false,&quot;dropping-particle&quot;:&quot;&quot;,&quot;non-dropping-particle&quot;:&quot;&quot;},{&quot;family&quot;:&quot;Dincer&quot;,&quot;given&quot;:&quot;Caner&quot;,&quot;parse-names&quot;:false,&quot;dropping-particle&quot;:&quot;&quot;,&quot;non-dropping-particle&quot;:&quot;&quot;}],&quot;container-title&quot;:&quot;Sustainability (Switzerland)&quot;,&quot;DOI&quot;:&quot;10.3390/su15075849&quot;,&quot;ISSN&quot;:&quot;20711050&quot;,&quot;issued&quot;:{&quot;date-parts&quot;:[[2023,4,1]]},&quot;abstract&quot;:&quot;The relationship between Sustainability Reporting and corporate financial performance is overlapping and multifaceted and it has been an interesting issue for both academics and professionals since the beginning of the millennium. Studies have found divergent results on this relation and the industrial differences are omitted in many papers. Moreover, studies considering developing countries are scarce. The purpose of this study is to shed light on the relationship between sustainability reporting and firm performance in a developing country context. The impact of sustainability reporting is investigated using pooled ordinary least square (OLS) method for panel data regression through two models based on Tobin’s Q and ROA. A total of 920 observations for 46 companies with 3 different impact levels based on their environmental effect and 5-year quarterly panel data between 2016–2020. The research used data from Borsa Istanbul (Istanbul Stock Exchange) and also independent variables such as leverage, risk, size, current ratio, growth, sustainability reporting, and the environmental impact level of companies. The results showed that sustainability reporting has a significant positive impact on financial performance according to the ROA model, and a significant negative correlation between risk and financial performance according to both ROA and Tobin’s Q models. Considering the environmental impact of companies, the results also reveal a positive relationship between high impact companies’ sustainability reporting and short-term financial performance as ROA is an accounting-oriented measure that reveals the company’s short-term financial performance. Further research should investigate the impact of sustainability reporting in different markets based on the impact level of companies and the development degree of countries.&quot;,&quot;publisher&quot;:&quot;MDPI&quot;,&quot;issue&quot;:&quot;7&quot;,&quot;volume&quot;:&quot;15&quot;,&quot;container-title-short&quot;:&quot;&quot;},&quot;isTemporary&quot;:false,&quot;suppress-author&quot;:false,&quot;composite&quot;:false,&quot;author-only&quot;:false}]},{&quot;citationID&quot;:&quot;MENDELEY_CITATION_2267fadf-39a0-46ca-a649-dcb2e3e94b6a&quot;,&quot;properties&quot;:{&quot;noteIndex&quot;:0},&quot;isEdited&quot;:false,&quot;manualOverride&quot;:{&quot;isManuallyOverridden&quot;:false,&quot;citeprocText&quot;:&quot;(Suchman, 1995)&quot;,&quot;manualOverrideText&quot;:&quot;&quot;},&quot;citationTag&quot;:&quot;MENDELEY_CITATION_v3_eyJjaXRhdGlvbklEIjoiTUVOREVMRVlfQ0lUQVRJT05fMjI2N2ZhZGYtMzlhMC00NmNhLWE2NDktZGNiMmUzZTk0YjZh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17d1a3a5-62db-45fb-b320-7ff39c8e3407&quot;,&quot;properties&quot;:{&quot;noteIndex&quot;:0},&quot;isEdited&quot;:false,&quot;manualOverride&quot;:{&quot;isManuallyOverridden&quot;:true,&quot;citeprocText&quot;:&quot;(Fernando et al., 2009)&quot;,&quot;manualOverrideText&quot;:&quot;(Fernando et al., 2022)&quot;},&quot;citationTag&quot;:&quot;MENDELEY_CITATION_v3_eyJjaXRhdGlvbklEIjoiTUVOREVMRVlfQ0lUQVRJT05fMTdkMWEzYTUtNjJkYi00NWZiLWIzMjAtN2ZmMzljOGUzNDA3IiwicHJvcGVydGllcyI6eyJub3RlSW5kZXgiOjB9LCJpc0VkaXRlZCI6ZmFsc2UsIm1hbnVhbE92ZXJyaWRlIjp7ImlzTWFudWFsbHlPdmVycmlkZGVuIjp0cnVlLCJjaXRlcHJvY1RleHQiOiIoRmVybmFuZG8gZXQgYWwuLCAyMDA5KSIsIm1hbnVhbE92ZXJyaWRlVGV4dCI6IihGZXJuYW5kbyBldCBhbC4sIDIwMjIpIn0sImNpdGF0aW9uSXRlbXMiOlt7ImlkIjoiNWNlNTE4NjgtNDgxOS0zNWY1LWI2NDYtMTA2ZTc1YjhjMDA2IiwiaXRlbURhdGEiOnsidHlwZSI6InJlcG9ydCIsImlkIjoiNWNlNTE4NjgtNDgxOS0zNWY1LWI2NDYtMTA2ZTc1YjhjMDA2IiwidGl0bGUiOiJDb3Jwb3JhdGUgRW52aXJvbm1lbnRhbCBQb2xpY3kgYW5kIFNoYXJlaG9sZGVyIFZhbHVlOiBGb2xsb3dpbmcgdGhlIFNtYXJ0IE1vbmV5IiwiYXV0aG9yIjpbeyJmYW1pbHkiOiJGZXJuYW5kbyIsImdpdmVuIjoiQ2hpdHJ1IFMiLCJwYXJzZS1uYW1lcyI6ZmFsc2UsImRyb3BwaW5nLXBhcnRpY2xlIjoiIiwibm9uLWRyb3BwaW5nLXBhcnRpY2xlIjoiIn0seyJmYW1pbHkiOiJTaGFyZm1hbiIsImdpdmVuIjoiTWFyayBQIiwicGFyc2UtbmFtZXMiOmZhbHNlLCJkcm9wcGluZy1wYXJ0aWNsZSI6IiIsIm5vbi1kcm9wcGluZy1wYXJ0aWNsZSI6IiJ9LHsiZmFtaWx5IjoiVXlzYWwiLCJnaXZlbiI6IlZhaGFwIEIiLCJwYXJzZS1uYW1lcyI6ZmFsc2UsImRyb3BwaW5nLXBhcnRpY2xlIjoiIiwibm9uLWRyb3BwaW5nLXBhcnRpY2xlIjoiIn0seyJmYW1pbHkiOiJIYXJwZXIiLCJnaXZlbiI6IkpvZWwiLCJwYXJzZS1uYW1lcyI6ZmFsc2UsImRyb3BwaW5nLXBhcnRpY2xlIjoiIiwibm9uLWRyb3BwaW5nLXBhcnRpY2xlIjoiIn0seyJmYW1pbHkiOiJKYW5kaWsiLCJnaXZlbiI6IlRvbWFzIiwicGFyc2UtbmFtZXMiOmZhbHNlLCJkcm9wcGluZy1wYXJ0aWNsZSI6IiIsIm5vbi1kcm9wcGluZy1wYXJ0aWNsZSI6IiJ9LHsiZmFtaWx5IjoiS2FjcGVyY3p5ayIsImdpdmVuIjoiTWFyY2luIiwicGFyc2UtbmFtZXMiOmZhbHNlLCJkcm9wcGluZy1wYXJ0aWNsZSI6IiIsIm5vbi1kcm9wcGluZy1wYXJ0aWNsZSI6IiJ9LHsiZmFtaWx5IjoiS2FuZyIsImdpdmVuIjoiQnlvdW5nIiwicGFyc2UtbmFtZXMiOmZhbHNlLCJkcm9wcGluZy1wYXJ0aWNsZSI6IiIsIm5vbi1kcm9wcGluZy1wYXJ0aWNsZSI6IiJ9LHsiZmFtaWx5IjoiS3LDvGdlciIsImdpdmVuIjoiUGhpbGlwcCIsInBhcnNlLW5hbWVzIjpmYWxzZSwiZHJvcHBpbmctcGFydGljbGUiOiIiLCJub24tZHJvcHBpbmctcGFydGljbGUiOiIifSx7ImZhbWlseSI6Ik5lamFkbWFsYXllcmkiLCJnaXZlbiI6IkFsaSIsInBhcnNlLW5hbWVzIjpmYWxzZSwiZHJvcHBpbmctcGFydGljbGUiOiIiLCJub24tZHJvcHBpbmctcGFydGljbGUiOiIifSx7ImZhbWlseSI6IlBldGVyc2VuIiwiZ2l2ZW4iOiJNaXRjaGVsbCIsInBhcnNlLW5hbWVzIjpmYWxzZSwiZHJvcHBpbmctcGFydGljbGUiOiIiLCJub24tZHJvcHBpbmctcGFydGljbGUiOiIifSx7ImZhbWlseSI6IlJhbyIsImdpdmVuIjoiUmFtZXNoIiwicGFyc2UtbmFtZXMiOmZhbHNlLCJkcm9wcGluZy1wYXJ0aWNsZSI6IiIsIm5vbi1kcm9wcGluZy1wYXJ0aWNsZSI6IiJ9LHsiZmFtaWx5IjoiU21pdGgiLCJnaXZlbiI6IkNsaWZmb3JkIiwicGFyc2UtbmFtZXMiOmZhbHNlLCJkcm9wcGluZy1wYXJ0aWNsZSI6IiIsIm5vbi1kcm9wcGluZy1wYXJ0aWNsZSI6IiJ9LHsiZmFtaWx5IjoiU3VsYWVtYW4iLCJnaXZlbiI6IkpvaGFuIiwicGFyc2UtbmFtZXMiOmZhbHNlLCJkcm9wcGluZy1wYXJ0aWNsZSI6IiIsIm5vbi1kcm9wcGluZy1wYXJ0aWNsZSI6IiJ9LHsiZmFtaWx5IjoiWmhvdSIsImdpdmVuIjoiWWkiLCJwYXJzZS1uYW1lcyI6ZmFsc2UsImRyb3BwaW5nLXBhcnRpY2xlIjoiIiwibm9uLWRyb3BwaW5nLXBhcnRpY2xlIjoiIn0seyJmYW1pbHkiOiJab3UiLCJnaXZlbiI6IkhvbmciLCJwYXJzZS1uYW1lcyI6ZmFsc2UsImRyb3BwaW5nLXBhcnRpY2xlIjoiIiwibm9uLWRyb3BwaW5nLXBhcnRpY2xlIjoiIn1dLCJpc3N1ZWQiOnsiZGF0ZS1wYXJ0cyI6W1syMDA5XV19LCJhYnN0cmFjdCI6IldlIGV4YW1pbmUgdGhlIHZhbHVlIGNvbnNlcXVlbmNlcyBvZiBjb3Jwb3JhdGUgc29jaWFsIHJlc3BvbnNpYmlsaXR5IHRocm91Z2ggdGhlIGxlbnMgb2YgaW5zdGl0dXRpb25hbCBzaGFyZWhvbGRlcnMuIFdlIGZpbmQgYSBzaGFycCBhc3ltbWV0cnkgYmV0d2VlbiBjb3Jwb3JhdGUgcG9saWNpZXMgdGhhdCBtaXRpZ2F0ZSB0aGUgZmlybSdzIGV4cG9zdXJlIHRvIGVudmlyb25tZW50YWwgcmlzayBhbmQgdGhvc2UgdGhhdCBlbmhhbmNlIGl0cyBwZXJjZWl2ZWQgZW52aXJvbm1lbnRhbCBmcmllbmRsaW5lc3MgKFwiZ3JlZW5uZXNzXCIpLiBJbnN0aXR1dGlvbmFsIGludmVzdG9ycyBzaHVuIHN0b2NrcyB3aXRoIGhpZ2ggZW52aXJvbm1lbnRhbCByaXNrIGV4cG9zdXJlLCB3aGljaCB3ZSBzaG93IGhhdmUgbG93ZXIgdmFsdWF0aW9ucyBhcyBwcmVkaWN0ZWQgYnkgcmlzayBtYW5hZ2VtZW50IHRoZW9yeS4gVGhlc2UgZmluZGluZ3Mgc3VnZ2VzdCB0aGF0IGNvcnBvcmF0ZSBlbnZpcm9ubWVudGFsIHBvbGljaWVzIHRoYXQgbWl0aWdhdGUgZW52aXJvbm1lbnRhbCByaXNrIGV4cG9zdXJlIGNyZWF0ZSBzaGFyZWhvbGRlciB2YWx1ZS4gSW4gY29udHJhc3QsIGZpcm1zIHRoYXQgaW5jcmVhc2UgZ3JlZW5uZXNzIGRvIG5vdCBjcmVhdGUgc2hhcmVob2xkZXIgdmFsdWUgYW5kIGFyZSBhbHNvIHNodW5uZWQgYnkgaW5zdGl0dXRpb25hbCBpbnZlc3RvcnMuIiwiY29udGFpbmVyLXRpdGxlLXNob3J0IjoiIn0sImlzVGVtcG9yYXJ5IjpmYWxzZSwic3VwcHJlc3MtYXV0aG9yIjpmYWxzZSwiY29tcG9zaXRlIjpmYWxzZSwiYXV0aG9yLW9ubHkiOmZhbHNlfV19&quot;,&quot;citationItems&quot;:[{&quot;id&quot;:&quot;5ce51868-4819-35f5-b646-106e75b8c006&quot;,&quot;itemData&quot;:{&quot;type&quot;:&quot;report&quot;,&quot;id&quot;:&quot;5ce51868-4819-35f5-b646-106e75b8c006&quot;,&quot;title&quot;:&quot;Corporate Environmental Policy and Shareholder Value: Following the Smart Money&quot;,&quot;author&quot;:[{&quot;family&quot;:&quot;Fernando&quot;,&quot;given&quot;:&quot;Chitru S&quot;,&quot;parse-names&quot;:false,&quot;dropping-particle&quot;:&quot;&quot;,&quot;non-dropping-particle&quot;:&quot;&quot;},{&quot;family&quot;:&quot;Sharfman&quot;,&quot;given&quot;:&quot;Mark P&quot;,&quot;parse-names&quot;:false,&quot;dropping-particle&quot;:&quot;&quot;,&quot;non-dropping-particle&quot;:&quot;&quot;},{&quot;family&quot;:&quot;Uysal&quot;,&quot;given&quot;:&quot;Vahap B&quot;,&quot;parse-names&quot;:false,&quot;dropping-particle&quot;:&quot;&quot;,&quot;non-dropping-particle&quot;:&quot;&quot;},{&quot;family&quot;:&quot;Harper&quot;,&quot;given&quot;:&quot;Joel&quot;,&quot;parse-names&quot;:false,&quot;dropping-particle&quot;:&quot;&quot;,&quot;non-dropping-particle&quot;:&quot;&quot;},{&quot;family&quot;:&quot;Jandik&quot;,&quot;given&quot;:&quot;Tomas&quot;,&quot;parse-names&quot;:false,&quot;dropping-particle&quot;:&quot;&quot;,&quot;non-dropping-particle&quot;:&quot;&quot;},{&quot;family&quot;:&quot;Kacperczyk&quot;,&quot;given&quot;:&quot;Marcin&quot;,&quot;parse-names&quot;:false,&quot;dropping-particle&quot;:&quot;&quot;,&quot;non-dropping-particle&quot;:&quot;&quot;},{&quot;family&quot;:&quot;Kang&quot;,&quot;given&quot;:&quot;Byoung&quot;,&quot;parse-names&quot;:false,&quot;dropping-particle&quot;:&quot;&quot;,&quot;non-dropping-particle&quot;:&quot;&quot;},{&quot;family&quot;:&quot;Krüger&quot;,&quot;given&quot;:&quot;Philipp&quot;,&quot;parse-names&quot;:false,&quot;dropping-particle&quot;:&quot;&quot;,&quot;non-dropping-particle&quot;:&quot;&quot;},{&quot;family&quot;:&quot;Nejadmalayeri&quot;,&quot;given&quot;:&quot;Ali&quot;,&quot;parse-names&quot;:false,&quot;dropping-particle&quot;:&quot;&quot;,&quot;non-dropping-particle&quot;:&quot;&quot;},{&quot;family&quot;:&quot;Petersen&quot;,&quot;given&quot;:&quot;Mitchell&quot;,&quot;parse-names&quot;:false,&quot;dropping-particle&quot;:&quot;&quot;,&quot;non-dropping-particle&quot;:&quot;&quot;},{&quot;family&quot;:&quot;Rao&quot;,&quot;given&quot;:&quot;Ramesh&quot;,&quot;parse-names&quot;:false,&quot;dropping-particle&quot;:&quot;&quot;,&quot;non-dropping-particle&quot;:&quot;&quot;},{&quot;family&quot;:&quot;Smith&quot;,&quot;given&quot;:&quot;Clifford&quot;,&quot;parse-names&quot;:false,&quot;dropping-particle&quot;:&quot;&quot;,&quot;non-dropping-particle&quot;:&quot;&quot;},{&quot;family&quot;:&quot;Sulaeman&quot;,&quot;given&quot;:&quot;Johan&quot;,&quot;parse-names&quot;:false,&quot;dropping-particle&quot;:&quot;&quot;,&quot;non-dropping-particle&quot;:&quot;&quot;},{&quot;family&quot;:&quot;Zhou&quot;,&quot;given&quot;:&quot;Yi&quot;,&quot;parse-names&quot;:false,&quot;dropping-particle&quot;:&quot;&quot;,&quot;non-dropping-particle&quot;:&quot;&quot;},{&quot;family&quot;:&quot;Zou&quot;,&quot;given&quot;:&quot;Hong&quot;,&quot;parse-names&quot;:false,&quot;dropping-particle&quot;:&quot;&quot;,&quot;non-dropping-particle&quot;:&quot;&quot;}],&quot;issued&quot;:{&quot;date-parts&quot;:[[2009]]},&quot;abstract&quot;:&quot;We examine the value consequences of corporate social responsibility through the lens of institutional shareholders. We find a sharp asymmetry between corporate policies that mitigate the firm's exposure to environmental risk and those that enhance its perceived environmental friendliness (\&quot;greenness\&quot;). Institutional investors shun stocks with high environmental risk exposure, which we show have lower valuations as predicted by risk management theory. These findings suggest that corporate environmental policies that mitigate environmental risk exposure create shareholder value. In contrast, firms that increase greenness do not create shareholder value and are also shunned by institutional investors.&quot;,&quot;container-title-short&quot;:&quot;&quot;},&quot;isTemporary&quot;:false,&quot;suppress-author&quot;:false,&quot;composite&quot;:false,&quot;author-only&quot;:false}]},{&quot;citationID&quot;:&quot;MENDELEY_CITATION_60d9d5f6-d1be-415e-ac59-ca299a1a3415&quot;,&quot;properties&quot;:{&quot;noteIndex&quot;:0},&quot;isEdited&quot;:false,&quot;manualOverride&quot;:{&quot;isManuallyOverridden&quot;:false,&quot;citeprocText&quot;:&quot;(Chen, 2008)&quot;,&quot;manualOverrideText&quot;:&quot;&quot;},&quot;citationTag&quot;:&quot;MENDELEY_CITATION_v3_eyJjaXRhdGlvbklEIjoiTUVOREVMRVlfQ0lUQVRJT05fNjBkOWQ1ZjYtZDFiZS00MTVlLWFjNTktY2EyOTlhMWEzNDE1IiwicHJvcGVydGllcyI6eyJub3RlSW5kZXgiOjB9LCJpc0VkaXRlZCI6ZmFsc2UsIm1hbnVhbE92ZXJyaWRlIjp7ImlzTWFudWFsbHlPdmVycmlkZGVuIjpmYWxzZSwiY2l0ZXByb2NUZXh0IjoiKENoZW4sIDIwMDgpIiwibWFudWFsT3ZlcnJpZGVUZXh0IjoiIn0sImNpdGF0aW9uSXRlbXMiOlt7ImlkIjoiMzQ1MWFjY2MtMGRlYy0zMTVjLWE1ODUtODdjYzEwOTA2YWQzIiwiaXRlbURhdGEiOnsidHlwZSI6ImFydGljbGUtam91cm5hbCIsImlkIjoiMzQ1MWFjY2MtMGRlYy0zMTVjLWE1ODUtODdjYzEwOTA2YWQzIiwidGl0bGUiOiJUaGUgcG9zaXRpdmUgZWZmZWN0IG9mIGdyZWVuIGludGVsbGVjdHVhbCBjYXBpdGFsIG9uIGNvbXBldGl0aXZlIGFkdmFudGFnZXMgb2YgZmlybXMiLCJhdXRob3IiOlt7ImZhbWlseSI6IkNoZW4iLCJnaXZlbiI6Ill1IFNoYW4iLCJwYXJzZS1uYW1lcyI6ZmFsc2UsImRyb3BwaW5nLXBhcnRpY2xlIjoiIiwibm9uLWRyb3BwaW5nLXBhcnRpY2xlIjoiIn1dLCJjb250YWluZXItdGl0bGUiOiJKb3VybmFsIG9mIEJ1c2luZXNzIEV0aGljcyIsIkRPSSI6IjEwLjEwMDcvczEwNTUxLTAwNi05MzQ5LTEiLCJJU1NOIjoiMDE2NzQ1NDQiLCJpc3N1ZWQiOnsiZGF0ZS1wYXJ0cyI6W1syMDA4LDJdXX0sInBhZ2UiOiIyNzEtMjg2IiwiYWJzdHJhY3QiOiJObyByZXNlYXJjaCBleHBsb3JlZCBpbnRlbGxlY3R1YWwgY2FwaXRhbCBhYm91dCBncmVlbiBpbm5vdmF0aW9uIG9yIGVudmlyb25tZW50YWwgbWFuYWdlbWVudC4gVGhpcyBzdHVkeSB3YW50ZWQgdG8gZmlsbCB0aGlzIHJlc2VhcmNoIGdhcCwgYW5kIHByb3Bvc2VkIGEgbm92ZWwgY29uc3RydWN0IC0gZ3JlZW4gaW50ZWxsZWN0dWFsIGNhcGl0YWwgLSB0byBleHBsb3JlIHRoZSBwb3NpdGl2ZSByZWxhdGlvbnNoaXAgYmV0d2VlbiBncmVlbiBpbnRlbGxlY3R1YWwgY2FwaXRhbCBhbmQgY29tcGV0aXRpdmUgYWR2YW50YWdlcyBvZiBmaXJtcy4gVGhlIGVtcGlyaWNhbCByZXN1bHRzIG9mIHRoaXMgc3R1ZHkgc2hvd2VkIHRoYXQgdGhlIHRocmVlIHR5cGVzIG9mIGdyZWVuIGludGVsbGVjdHVhbCBjYXBpdGFsIC0gZ3JlZW4gaHVtYW4gY2FwaXRhbCwgZ3JlZW4gc3RydWN0dXJhbCBjYXBpdGFsLCBhbmQgZ3JlZW4gcmVsYXRpb25hbCBjYXBpdGFsIC0gaGFkIHBvc2l0aXZlIGVmZmVjdHMgb24gY29tcGV0aXRpdmUgYWR2YW50YWdlcyBvZiBmaXJtcy4gTW9yZW92ZXIsIHRoaXMgc3R1ZHkgZm91bmQgdGhhdCBncmVlbiByZWxhdGlvbmFsIGNhcGl0YWwgd2FzIHRoZSBtb3N0IGNvbW1vbiBhbW9uZyB0aGVzZSB0aHJlZSB0eXBlcyBvZiBncmVlbiBpbnRlbGxlY3R1YWwgY2FwaXRhbCwgYW5kIHRoZSB0aHJlZSB0eXBlcyBvZiBncmVlbiBpbnRlbGxlY3R1YWwgY2FwaXRhbCBvZiBNZWRpdW0gJiBTbWFsbCBFbnRlcnByaXNlcyAoU01Fcykgd2VyZSBhbGwgc2lnbmlmaWNhbnRseSBsZXNzIHRoYW4gdGhvc2Ugb2YgbGFyZ2UgZW50ZXJwcmlzZXMgaW4gdGhlIGluZm9ybWF0aW9uIGFuZCBlbGVjdHJvbmljcyBpbmR1c3RyeSBpbiBUYWl3YW4uIEluIHN1bSwgY29tcGFuaWVzIGludmVzdGluZyBtYW55IHJlc291cmNlcyBhbmQgZWZmb3J0cyBpbiBncmVlbiBpbnRlbGxlY3R1YWwgY2FwaXRhbCBjb3VsZCBub3Qgb25seSBtZWV0IHRoZSB0cmVuZHMgb2Ygc3RyaWN0IGludGVybmF0aW9uYWwgZW52aXJvbm1lbnRhbCByZWd1bGF0aW9ucyBhbmQgcG9wdWxhciBlbnZpcm9ubWVudGFsIGNvbnNjaW91c25lc3Mgb2YgY29uc3VtZXJzLCBidXQgYWxzbyBldmVudHVhbGx5IG9idGFpbiBjb3Jwb3JhdGUgY29tcGV0aXRpdmUgYWR2YW50YWdlcy4gwqkgMjAwNyBTcHJpbmdlciBTY2llbmNlK0J1c2luZXNzIE1lZGlhIEIuVi4iLCJpc3N1ZSI6IjMiLCJ2b2x1bWUiOiI3NyIsImNvbnRhaW5lci10aXRsZS1zaG9ydCI6IiJ9LCJpc1RlbXBvcmFyeSI6ZmFsc2UsInN1cHByZXNzLWF1dGhvciI6ZmFsc2UsImNvbXBvc2l0ZSI6ZmFsc2UsImF1dGhvci1vbmx5IjpmYWxzZX1dfQ==&quot;,&quot;citationItems&quot;:[{&quot;id&quot;:&quot;3451accc-0dec-315c-a585-87cc10906ad3&quot;,&quot;itemData&quot;:{&quot;type&quot;:&quot;article-journal&quot;,&quot;id&quot;:&quot;3451accc-0dec-315c-a585-87cc10906ad3&quot;,&quot;title&quot;:&quot;The positive effect of green intellectual capital on competitive advantages of firms&quot;,&quot;author&quot;:[{&quot;family&quot;:&quot;Chen&quot;,&quot;given&quot;:&quot;Yu Shan&quot;,&quot;parse-names&quot;:false,&quot;dropping-particle&quot;:&quot;&quot;,&quot;non-dropping-particle&quot;:&quot;&quot;}],&quot;container-title&quot;:&quot;Journal of Business Ethics&quot;,&quot;DOI&quot;:&quot;10.1007/s10551-006-9349-1&quot;,&quot;ISSN&quot;:&quot;01674544&quot;,&quot;issued&quot;:{&quot;date-parts&quot;:[[2008,2]]},&quot;page&quot;:&quot;271-286&quot;,&quot;abstract&quot;:&quot;No research explored intellectual capital about green innovation or environmental management. This study wanted to fill this research gap, and proposed a novel construct - green intellectual capital - to explore the positive relationship between green intellectual capital and competitive advantages of firms. The empirical results of this study showed that the three types of green intellectual capital - green human capital, green structural capital, and green relational capital - had positive effects on competitive advantages of firms. Moreover, this study found that green relational capital was the most common among these three types of green intellectual capital, and the three types of green intellectual capital of Medium &amp; Small Enterprises (SMEs) were all significantly less than those of large enterprises in the information and electronics industry in Taiwan. In sum, companies investing many resources and efforts in green intellectual capital could not only meet the trends of strict international environmental regulations and popular environmental consciousness of consumers, but also eventually obtain corporate competitive advantages. © 2007 Springer Science+Business Media B.V.&quot;,&quot;issue&quot;:&quot;3&quot;,&quot;volume&quot;:&quot;77&quot;,&quot;container-title-short&quot;:&quot;&quot;},&quot;isTemporary&quot;:false,&quot;suppress-author&quot;:false,&quot;composite&quot;:false,&quot;author-only&quot;:false}]},{&quot;citationID&quot;:&quot;MENDELEY_CITATION_6d531867-1b55-4a3d-b666-064d77b56c46&quot;,&quot;properties&quot;:{&quot;noteIndex&quot;:0},&quot;isEdited&quot;:false,&quot;manualOverride&quot;:{&quot;isManuallyOverridden&quot;:false,&quot;citeprocText&quot;:&quot;(Yusliza et al., 2020)&quot;,&quot;manualOverrideText&quot;:&quot;&quot;},&quot;citationTag&quot;:&quot;MENDELEY_CITATION_v3_eyJjaXRhdGlvbklEIjoiTUVOREVMRVlfQ0lUQVRJT05fNmQ1MzE4NjctMWI1NS00YTNkLWI2NjYtMDY0ZDc3YjU2YzQ2IiwicHJvcGVydGllcyI6eyJub3RlSW5kZXgiOjB9LCJpc0VkaXRlZCI6ZmFsc2UsIm1hbnVhbE92ZXJyaWRlIjp7ImlzTWFudWFsbHlPdmVycmlkZGVuIjpmYWxzZSwiY2l0ZXByb2NUZXh0IjoiKFl1c2xpemEgZXQgYWwuLCAyMDIwKSIsIm1hbnVhbE92ZXJyaWRlVGV4dCI6IiJ9LCJjaXRhdGlvbkl0ZW1zIjpbeyJpZCI6Ijc5MGIxYTU0LTcxYWQtMzNmZi1iMTkwLTQzOGY0MGFhOGZhNiIsIml0ZW1EYXRhIjp7InR5cGUiOiJhcnRpY2xlLWpvdXJuYWwiLCJpZCI6Ijc5MGIxYTU0LTcxYWQtMzNmZi1iMTkwLTQzOGY0MGFhOGZhNiIsInRpdGxlIjoiQSBzdHJ1Y3R1cmFsIG1vZGVsIG9mIHRoZSBpbXBhY3Qgb2YgZ3JlZW4gaW50ZWxsZWN0dWFsIGNhcGl0YWwgb24gc3VzdGFpbmFibGUgcGVyZm9ybWFuY2UiLCJhdXRob3IiOlt7ImZhbWlseSI6Ill1c2xpemEiLCJnaXZlbiI6Ik0uIFkuIiwicGFyc2UtbmFtZXMiOmZhbHNlLCJkcm9wcGluZy1wYXJ0aWNsZSI6IiIsIm5vbi1kcm9wcGluZy1wYXJ0aWNsZSI6IiJ9LHsiZmFtaWx5IjoiWW9uZyIsImdpdmVuIjoiSmluZyBZaSIsInBhcnNlLW5hbWVzIjpmYWxzZSwiZHJvcHBpbmctcGFydGljbGUiOiIiLCJub24tZHJvcHBpbmctcGFydGljbGUiOiIifSx7ImZhbWlseSI6IlRhbnZlZXIiLCJnaXZlbiI6Ik0uIEltcmFuIiwicGFyc2UtbmFtZXMiOmZhbHNlLCJkcm9wcGluZy1wYXJ0aWNsZSI6IiIsIm5vbi1kcm9wcGluZy1wYXJ0aWNsZSI6IiJ9LHsiZmFtaWx5IjoiUmFtYXlhaCIsImdpdmVuIjoiVC4iLCJwYXJzZS1uYW1lcyI6ZmFsc2UsImRyb3BwaW5nLXBhcnRpY2xlIjoiIiwibm9uLWRyb3BwaW5nLXBhcnRpY2xlIjoiIn0seyJmYW1pbHkiOiJOb29yIEZhZXphaCIsImdpdmVuIjoiSnVoYXJpIiwicGFyc2UtbmFtZXMiOmZhbHNlLCJkcm9wcGluZy1wYXJ0aWNsZSI6IiIsIm5vbi1kcm9wcGluZy1wYXJ0aWNsZSI6IiJ9LHsiZmFtaWx5IjoiTXVoYW1tYWQiLCJnaXZlbiI6Ilppa3JpIiwicGFyc2UtbmFtZXMiOmZhbHNlLCJkcm9wcGluZy1wYXJ0aWNsZSI6IiIsIm5vbi1kcm9wcGluZy1wYXJ0aWNsZSI6IiJ9XSwiY29udGFpbmVyLXRpdGxlIjoiSm91cm5hbCBvZiBDbGVhbmVyIFByb2R1Y3Rpb24iLCJjb250YWluZXItdGl0bGUtc2hvcnQiOiJKIENsZWFuIFByb2QiLCJET0kiOiIxMC4xMDE2L2ouamNsZXByby4yMDE5LjExOTMzNCIsIklTU04iOiIwOTU5NjUyNiIsImlzc3VlZCI6eyJkYXRlLXBhcnRzIjpbWzIwMjAsMywxMF1dfSwiYWJzdHJhY3QiOiJUaGlzIHN0dWR5IGV4YW1pbmVkIHRoZSByZWxhdGlvbnNoaXAgYmV0d2VlbiBncmVlbiBpbnRlbGxlY3R1YWwgY2FwaXRhbCBhbmQgc3VzdGFpbmFibGUgcGVyZm9ybWFuY2UuIFdoaWxlIG1hbnkgc3R1ZGllcyBoYXZlIGZvY3VzZWQgb24gc3VzdGFpbmFiaWxpdHksIHRoaXMgc3R1ZHkgaXMgb25lIG9mIHRoZSBmaXJzdCB0aGF0IGZvY3VzZXMgZXhjbHVzaXZlbHkgb24gZ3JlZW4gaW50ZWxsZWN0dWFsIGNhcGl0YWwuIFRoaXMgcmVzZWFyY2ggdXNlZCBzdXJ2ZXkgZGF0YSBmcm9tIDExMiBtYW51ZmFjdHVyaW5nIGZpcm1zIGluIE1hbGF5c2lhLiBBcyBhbnRpY2lwYXRlZCwgdGhlIHJlc3VsdHMgZm91bmQgdGhhdCBncmVlbiBpbnRlbGxlY3R1YWwgY2FwaXRhbCBwb3NpdGl2ZWx5IGluZmx1ZW5jZWQgZWNvbm9taWMsIGVudmlyb25tZW50YWwsIGFuZCBzb2NpYWwgcGVyZm9ybWFuY2UuIFRoZSBmaW5kaW5ncyBvZiB0aGlzIHN0dWR5IGhhdmUgdmFyaW91cyBpbXBsaWNhdGlvbnMgZm9yIGdyZWVuIGNvbXBhbmllcyBhbmQgb3JnYW5pemF0aW9ucyBpbiBnZW5lcmFsIGFuZCBncmVlbiBtYW51ZmFjdHVyaW5nIGZpcm1zIGluIHBhcnRpY3VsYXIuIFRoZSBub3ZlbHR5IG9mIHRoaXMgc3R1ZHkgaXMgdW5mb2xkaW5nIHRoZSBjb250cmlidXRpb24gb2YgZ3JlZW4gaW50ZWxsZWN0dWFsIGNhcGl0YWwgYXMgYW4gaW50YW5naWJsZSByZXNvdXJjZSBmb3Igb3JnYW5pemF0aW9ucyBpbiBhY2hpZXZpbmcgc3VzdGFpbmFibGUgcGVyZm9ybWFuY2UgYW5kIGEgY29tcGV0aXRpdmUgYWR2YW50YWdlIGZvciBmdXR1cmUgcmVzZWFyY2hlcnMuIE1hbnVmYWN0dXJpbmcgaW5kdXN0cmllcyBvZiBkZXZlbG9waW5nIG9yIGRldmVsb3BlZCBjb3VudHJpZXMgY2FuIGVuaGFuY2UgdGhlaXIgY2xlYW5lciBwcm9kdWN0aW9uIGNhcGFiaWxpdGllcyBieSBpbmNvcnBvcmF0aW5nIHRoaXMgbW9kZWwgYXMgYSBzdHJhdGVneS4iLCJwdWJsaXNoZXIiOiJFbHNldmllciBMdGQiLCJ2b2x1bWUiOiIyNDkifSwiaXNUZW1wb3JhcnkiOmZhbHNlLCJzdXBwcmVzcy1hdXRob3IiOmZhbHNlLCJjb21wb3NpdGUiOmZhbHNlLCJhdXRob3Itb25seSI6ZmFsc2V9XX0=&quot;,&quot;citationItems&quot;:[{&quot;id&quot;:&quot;790b1a54-71ad-33ff-b190-438f40aa8fa6&quot;,&quot;itemData&quot;:{&quot;type&quot;:&quot;article-journal&quot;,&quot;id&quot;:&quot;790b1a54-71ad-33ff-b190-438f40aa8fa6&quot;,&quot;title&quot;:&quot;A structural model of the impact of green intellectual capital on sustainable performance&quot;,&quot;author&quot;:[{&quot;family&quot;:&quot;Yusliza&quot;,&quot;given&quot;:&quot;M. Y.&quot;,&quot;parse-names&quot;:false,&quot;dropping-particle&quot;:&quot;&quot;,&quot;non-dropping-particle&quot;:&quot;&quot;},{&quot;family&quot;:&quot;Yong&quot;,&quot;given&quot;:&quot;Jing Yi&quot;,&quot;parse-names&quot;:false,&quot;dropping-particle&quot;:&quot;&quot;,&quot;non-dropping-particle&quot;:&quot;&quot;},{&quot;family&quot;:&quot;Tanveer&quot;,&quot;given&quot;:&quot;M. Imran&quot;,&quot;parse-names&quot;:false,&quot;dropping-particle&quot;:&quot;&quot;,&quot;non-dropping-particle&quot;:&quot;&quot;},{&quot;family&quot;:&quot;Ramayah&quot;,&quot;given&quot;:&quot;T.&quot;,&quot;parse-names&quot;:false,&quot;dropping-particle&quot;:&quot;&quot;,&quot;non-dropping-particle&quot;:&quot;&quot;},{&quot;family&quot;:&quot;Noor Faezah&quot;,&quot;given&quot;:&quot;Juhari&quot;,&quot;parse-names&quot;:false,&quot;dropping-particle&quot;:&quot;&quot;,&quot;non-dropping-particle&quot;:&quot;&quot;},{&quot;family&quot;:&quot;Muhammad&quot;,&quot;given&quot;:&quot;Zikri&quot;,&quot;parse-names&quot;:false,&quot;dropping-particle&quot;:&quot;&quot;,&quot;non-dropping-particle&quot;:&quot;&quot;}],&quot;container-title&quot;:&quot;Journal of Cleaner Production&quot;,&quot;container-title-short&quot;:&quot;J Clean Prod&quot;,&quot;DOI&quot;:&quot;10.1016/j.jclepro.2019.119334&quot;,&quot;ISSN&quot;:&quot;09596526&quot;,&quot;issued&quot;:{&quot;date-parts&quot;:[[2020,3,10]]},&quot;abstract&quot;:&quot;This study examined the relationship between green intellectual capital and sustainable performance. While many studies have focused on sustainability, this study is one of the first that focuses exclusively on green intellectual capital. This research used survey data from 112 manufacturing firms in Malaysia. As anticipated, the results found that green intellectual capital positively influenced economic, environmental, and social performance. The findings of this study have various implications for green companies and organizations in general and green manufacturing firms in particular. The novelty of this study is unfolding the contribution of green intellectual capital as an intangible resource for organizations in achieving sustainable performance and a competitive advantage for future researchers. Manufacturing industries of developing or developed countries can enhance their cleaner production capabilities by incorporating this model as a strategy.&quot;,&quot;publisher&quot;:&quot;Elsevier Ltd&quot;,&quot;volume&quot;:&quot;249&quot;},&quot;isTemporary&quot;:false,&quot;suppress-author&quot;:false,&quot;composite&quot;:false,&quot;author-only&quot;:false}]},{&quot;citationID&quot;:&quot;MENDELEY_CITATION_a0c70b69-43ab-4324-abdd-51887556eb36&quot;,&quot;properties&quot;:{&quot;noteIndex&quot;:0},&quot;isEdited&quot;:false,&quot;manualOverride&quot;:{&quot;isManuallyOverridden&quot;:false,&quot;citeprocText&quot;:&quot;(Benevene et al., 2021)&quot;,&quot;manualOverrideText&quot;:&quot;&quot;},&quot;citationTag&quot;:&quot;MENDELEY_CITATION_v3_eyJjaXRhdGlvbklEIjoiTUVOREVMRVlfQ0lUQVRJT05fYTBjNzBiNjktNDNhYi00MzI0LWFiZGQtNTE4ODc1NTZlYjM2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quot;,&quot;citationItems&quot;:[{&quot;id&quot;:&quot;4c18b996-3c39-3c0d-a57b-6284605ca4c7&quot;,&quot;itemData&quot;:{&quot;type&quot;:&quot;article&quot;,&quot;id&quot;:&quot;4c18b996-3c39-3c0d-a57b-6284605ca4c7&quot;,&quot;title&quot;:&quot;Management of green intellectual capital: Evidence-based literature review and future directions&quot;,&quot;author&quot;:[{&quot;family&quot;:&quot;Benevene&quot;,&quot;given&quot;:&quot;Paula&quot;,&quot;parse-names&quot;:false,&quot;dropping-particle&quot;:&quot;&quot;,&quot;non-dropping-particle&quot;:&quot;&quot;},{&quot;family&quot;:&quot;Buonomo&quot;,&quot;given&quot;:&quot;Ilaria&quot;,&quot;parse-names&quot;:false,&quot;dropping-particle&quot;:&quot;&quot;,&quot;non-dropping-particle&quot;:&quot;&quot;},{&quot;family&quot;:&quot;Kong&quot;,&quot;given&quot;:&quot;Eric&quot;,&quot;parse-names&quot;:false,&quot;dropping-particle&quot;:&quot;&quot;,&quot;non-dropping-particle&quot;:&quot;&quot;},{&quot;family&quot;:&quot;Pansini&quot;,&quot;given&quot;:&quot;Martina&quot;,&quot;parse-names&quot;:false,&quot;dropping-particle&quot;:&quot;&quot;,&quot;non-dropping-particle&quot;:&quot;&quot;},{&quot;family&quot;:&quot;Farnese&quot;,&quot;given&quot;:&quot;Maria Luisa&quot;,&quot;parse-names&quot;:false,&quot;dropping-particle&quot;:&quot;&quot;,&quot;non-dropping-particle&quot;:&quot;&quot;}],&quot;container-title&quot;:&quot;Sustainability (Switzerland)&quot;,&quot;DOI&quot;:&quot;10.3390/su13158349&quot;,&quot;ISSN&quot;:&quot;20711050&quot;,&quot;issued&quot;:{&quot;date-parts&quot;:[[2021,8,1]]},&quot;abstract&quot;:&quot;This paper presents a systematic, evidence-based review of Green Intellectual Capital (GIC) management, a construct first introduced in 2008 and increasingly recognized as a management concept in recent years. This review covers the literature on GIC from 2008 to 2020 and addresses the role played by intellectual capital as a framework to promote sustainability in organizations. With the aim of clarifying our knowledge on the application of the GIC paradigm, this paper reviews the findings on the outcomes achieved by organizations that adopt the GIC paradigm, the antecedents and possible mediation-moderation factors that enhance this process, and the contexts in which such outcomes emerge. Findings show that GIC offers a significant framework for promoting sustainability in organizations. However, even though this study underlines the increasing trend of GIC, there remains very little reliable data on the subject, particularly addressing the role played by GIC as a framework to promote sustainability in organizations. This literature review is valuable for both researchers and practitioners. From a theoretical point of view, it allows one to synthesize the outcomes of GIC to better delineate how it affects organizations and the environment. From a practical point of view, opening a debate about the actual outcomes of GIC allows one to overcome the theory–practice divide, making the value of GIC more accessible to practitioners and managers and pushing them to opt for a green shift in their organizations.&quot;,&quot;publisher&quot;:&quot;MDPI AG&quot;,&quot;issue&quot;:&quot;15&quot;,&quot;volume&quot;:&quot;13&quot;,&quot;container-title-short&quot;:&quot;&quot;},&quot;isTemporary&quot;:false,&quot;suppress-author&quot;:false,&quot;composite&quot;:false,&quot;author-only&quot;:false}]},{&quot;citationID&quot;:&quot;MENDELEY_CITATION_8e2a16b8-62cb-47bd-aec0-7aee82dc7169&quot;,&quot;properties&quot;:{&quot;noteIndex&quot;:0},&quot;isEdited&quot;:false,&quot;manualOverride&quot;:{&quot;isManuallyOverridden&quot;:false,&quot;citeprocText&quot;:&quot;(Alnaim &amp;#38; Metwally, 2024)&quot;,&quot;manualOverrideText&quot;:&quot;&quot;},&quot;citationTag&quot;:&quot;MENDELEY_CITATION_v3_eyJjaXRhdGlvbklEIjoiTUVOREVMRVlfQ0lUQVRJT05fOGUyYTE2YjgtNjJjYi00N2JkLWFlYzAtN2FlZTgyZGM3MTY5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quot;,&quot;citationItems&quot;:[{&quot;id&quot;:&quot;46b2ec96-8cfb-3ca8-9dcf-ec64e4d8d08b&quot;,&quot;itemData&quot;:{&quot;type&quot;:&quot;article-journal&quot;,&quot;id&quot;:&quot;46b2ec96-8cfb-3ca8-9dcf-ec64e4d8d08b&quot;,&quot;title&quot;:&quot;Green Intellectual Capital and Corporate Environmental Performance: Does Environmental Management Accounting Matter?&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container-title-short&quot;:&quot;Adm Sci&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isTemporary&quot;:false,&quot;suppress-author&quot;:false,&quot;composite&quot;:false,&quot;author-only&quot;:false}]},{&quot;citationID&quot;:&quot;MENDELEY_CITATION_d06d9d05-2210-4854-8e87-8f0d9ab4da85&quot;,&quot;properties&quot;:{&quot;noteIndex&quot;:0},&quot;isEdited&quot;:false,&quot;manualOverride&quot;:{&quot;isManuallyOverridden&quot;:false,&quot;citeprocText&quot;:&quot;(Suchman, 1995)&quot;,&quot;manualOverrideText&quot;:&quot;&quot;},&quot;citationTag&quot;:&quot;MENDELEY_CITATION_v3_eyJjaXRhdGlvbklEIjoiTUVOREVMRVlfQ0lUQVRJT05fZDA2ZDlkMDUtMjIxMC00ODU0LThlODctOGYwZDlhYjRkYTg1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1aa8f2b7-6751-4546-8b87-9eb25887a2d7&quot;,&quot;properties&quot;:{&quot;noteIndex&quot;:0},&quot;isEdited&quot;:false,&quot;manualOverride&quot;:{&quot;isManuallyOverridden&quot;:false,&quot;citeprocText&quot;:&quot;(Albitar et al., 2020)&quot;,&quot;manualOverrideText&quot;:&quot;&quot;},&quot;citationTag&quot;:&quot;MENDELEY_CITATION_v3_eyJjaXRhdGlvbklEIjoiTUVOREVMRVlfQ0lUQVRJT05fMWFhOGYyYjctNjc1MS00NTQ2LThiODctOWViMjU4ODdhMmQ3IiwicHJvcGVydGllcyI6eyJub3RlSW5kZXgiOjB9LCJpc0VkaXRlZCI6ZmFsc2UsIm1hbnVhbE92ZXJyaWRlIjp7ImlzTWFudWFsbHlPdmVycmlkZGVuIjpmYWxzZSwiY2l0ZXByb2NUZXh0IjoiKEFsYml0YXIgZXQgYWwuLCAyMDIwKSIsIm1hbnVhbE92ZXJyaWRlVGV4dCI6IiJ9LCJjaXRhdGlvbkl0ZW1zIjpbeyJpZCI6IjE3NjY1YTRiLTc5ZjktMzg1OS1iODI4LWY3YTE3OThmY2I0MyIsIml0ZW1EYXRhIjp7InR5cGUiOiJhcnRpY2xlLWpvdXJuYWwiLCJpZCI6IjE3NjY1YTRiLTc5ZjktMzg1OS1iODI4LWY3YTE3OThmY2I0MyIsInRpdGxlIjoiRVNHIGRpc2Nsb3N1cmUgYW5kIGZpcm0gcGVyZm9ybWFuY2UgYmVmb3JlIGFuZCBhZnRlciBJUjogVGhlIG1vZGVyYXRpbmcgcm9sZSBvZiBnb3Zlcm5hbmNlIG1lY2hhbmlzbXMiLCJhdXRob3IiOlt7ImZhbWlseSI6IkFsYml0YXIiLCJnaXZlbiI6IktoYWxkb29uIiwicGFyc2UtbmFtZXMiOmZhbHNlLCJkcm9wcGluZy1wYXJ0aWNsZSI6IiIsIm5vbi1kcm9wcGluZy1wYXJ0aWNsZSI6IiJ9LHsiZmFtaWx5IjoiSHVzc2FpbmV5IiwiZ2l2ZW4iOiJLaGFsZWQiLCJwYXJzZS1uYW1lcyI6ZmFsc2UsImRyb3BwaW5nLXBhcnRpY2xlIjoiIiwibm9uLWRyb3BwaW5nLXBhcnRpY2xlIjoiIn0seyJmYW1pbHkiOiJLb2xhZGUiLCJnaXZlbiI6Ik5hc2lyIiwicGFyc2UtbmFtZXMiOmZhbHNlLCJkcm9wcGluZy1wYXJ0aWNsZSI6IiIsIm5vbi1kcm9wcGluZy1wYXJ0aWNsZSI6IiJ9LHsiZmFtaWx5IjoiR2VyZ2VkIiwiZ2l2ZW4iOiJBbGkgTWVmdGFoIiwicGFyc2UtbmFtZXMiOmZhbHNlLCJkcm9wcGluZy1wYXJ0aWNsZSI6IiIsIm5vbi1kcm9wcGluZy1wYXJ0aWNsZSI6IiJ9XSwiY29udGFpbmVyLXRpdGxlIjoiSW50ZXJuYXRpb25hbCBKb3VybmFsIG9mIEFjY291bnRpbmcgYW5kIEluZm9ybWF0aW9uIE1hbmFnZW1lbnQiLCJET0kiOiIxMC4xMTA4L0lKQUlNLTA5LTIwMTktMDEwOCIsIklTU04iOiIxNzU4OTAzNyIsImlzc3VlZCI6eyJkYXRlLXBhcnRzIjpbWzIwMjAsNiwxOF1dfSwicGFnZSI6IjQyOS00NDQiLCJhYnN0cmFjdCI6IlB1cnBvc2U6IFRoaXMgcGFwZXIgYWltcyB0byBpbnZlc3RpZ2F0ZSB0aGUgZWZmZWN0IG9mIGVudmlyb25tZW50YWwsIHNvY2lhbCBhbmQgZ292ZXJuYW5jZSBkaXNjbG9zdXJlIChFU0dEKSBvbiBmaXJtIHBlcmZvcm1hbmNlIChGUCkgYmVmb3JlIGFuZCBhZnRlciB0aGUgaW50cm9kdWN0aW9uIG9mIGludGVncmF0ZWQgcmVwb3J0aW5nIChJUikgZnVydGhlciB0byBleHBsb3JpbmcgYSBwb3RlbnRpYWwgbW9kZXJhdGlvbiBlZmZlY3Qgb2YgY29ycG9yYXRlIGdvdmVybmFuY2UgbWVjaGFuaXNtcyBvbiB0aGlzIHJlbGF0aW9uc2hpcC4gRGVzaWduL21ldGhvZG9sb2d5L2FwcHJvYWNoOiBPcmRpbmFyeSBsZWFzdCBzcXVhcmVzIGFuZCBmaXJtLWZpeGVkIGVmZmVjdHMgbW9kZWxzIHdlcmUgZXN0aW1hdGVkIGJhc2VkIG9uIGRhdGEgcmVsYXRlZCB0byBGVFNFIDM1MCBiZXR3ZWVuIDIwMDkgYW5kIDIwMTguIFRoZSBkYXRhIGhhcyBiZWVuIG1haW5seSBjb2xsZWN0ZWQgZnJvbSBCbG9vbWJlcmcgYW5kIENhcGl0YWwgSVEuIFRoaXMgYW5hbHlzaXMgd2FzIHN1cHBsZW1lbnRlZCB3aXRoIGFwcGx5aW5nIGEgdHdvLXN0YWdlIGxlYXN0IHNxdWFyZXMgKDIgU0xTKSBtb2RlbCB0byBhZGRyZXNzIGFueSBjb25jZXJucyByZWdhcmRpbmcgdGhlIGV4cGVjdGVkIG9jY3VycmVuY2Ugb2YgZW5kb2dlbmVpdHkgcHJvYmxlbXMuIEZpbmRpbmdzOiBUaGUgcmVzdWx0cyBzaG93IGEgcG9zaXRpdmUgYW5kIHNpZ25pZmljYW50IHJlbGF0aW9uc2hpcCBiZXR3ZWVuIEVTR0Qgc2NvcmUgYW5kIEZQIGJlZm9yZSBhbmQgYWZ0ZXIgMjAxMywgYW1vbmcgYSBzYW1wbGUgb2YgRlRTRSAzNTAuIEZ1cnRoZXJtb3JlLCB0aGUgc3R1ZHkgaXMgc3VnZ2VzdGl2ZSBvZiBhIG1vZGVyYXRpb24gZWZmZWN0IG9mIGNvcnBvcmF0ZSBnb3Zlcm5hbmNlIG1lY2hhbmlzbXMgKGkuZS4gb3duZXJzaGlwIGNvbmNlbnRyYXRpb24sIGdlbmRlciBkaXZlcnNpdHkgYW5kIGJvYXJkIHNpemUpIG9uIHRoZSBFU0dELUZQIG5leHVzLiBBZGRpdGlvbmFsbHksIHRoaXMgcGFwZXIgZmluZHMgdGhhdCBmaXJtcyB2b2x1bnRhcmlseSBhc3NvY2lhdGVkIHdpdGggSVIgaGF2ZSBhIHRlbmRlbmN5IHRvIGFjaGlldmUgYmV0dGVyIGZpcm0gZmluYW5jaWFsIHBlcmZvcm1hbmNlLiBQcmFjdGljYWwgaW1wbGljYXRpb25zOiBUaGUgZmluZGluZ3Mgb2YgdGhlIHByZXNlbnQgc3R1ZHkgaGF2ZSBzZXZlcmFsIHBvbGljeSBhbmQgcHJhY3RpdGlvbmVyIGltcGxpY2F0aW9ucy4gRm9yIGV4YW1wbGUsIG1hbmFnZXJzIG1heSBlbmdhZ2UgaW4gRVNHRCB0byBlbmhhbmNlIHRoZWlyIGZpcm1z4oCZIGZpbmFuY2lhbCBwZXJmb3JtYW5jZSBieSB0aGUgdm9sdW50YXJ5IGludm9sdmVtZW50IGluIElSLCB3aGljaCBiZWxpZXZlZCB0byBoZWxwIGludmVzdG9ycyB0byByYXRpb25hbGlzZSB0aGVpciBpbnZlc3RtZW50IGRlY2lzaW9ucy4gTGlrZXdpc2UsIHRoZSByZXN1bHRzIHJlaXRlcmF0ZSB0aGUgY3J1Y2lhbCBuZWVkIHRvIGludGVncmF0ZSBtb3JlIHNvY2lhbCwgZW52aXJvbm1lbnRhbCBhbmQgZWNvbm9taWMgcmVndWxhdGlvbnMgdG8gcHJvbW90ZSBzdXN0YWluYWJpbGl0eSBpbiB0aGUgVUsuIFRoZSBwYXBlciBhbHNvIG9mZmVycyBhIHN5c3RlbWF0aWMgcGljdHVyZSBmb3IgcG9saWN5bWFrZXJzIGluIHRoZSBVSyBhcyB3ZWxsIGFzIGZ1dHVyZSByZXNlYXJjaGVycy4gU29jaWFsIGltcGxpY2F0aW9uczogVGhlIGZpbmRpbmdzIG9mIHRoaXMgcGFwZXIgaW5kaWNhdGUgdGhhdCBJUiBwbGF5cyBhIHNpZ25pZmljYW50IHJvbGUgaW4gdGhlIHJlbGF0aW9uc2hpcCBiZXR3ZWVuIEVTR0QgYW5kIEZQLCB3aGVyZSBJUiBmaXJtcyBzZWVtZWQgdG8gYmUgYWNoaWV2aW5nIGJldHRlciBGUCBhcyBjb21wYXJlZCB3aXRoIHRoZWlyIG5vbi1JUiBjb3VudGVycGFydHMuIFRoaXMgaW1wbGllcyB0aGF0IHN0YWtlaG9sZGVycyBtYXkgaGF2ZSBwbGF5ZWQgYSBtYWduaWZpY2VudCBlZmZvcnQgdG8gZW5jb3VyYWdlIGZpcm1z4oCZIHZvbHVudGFyeSBlbmdhZ2VtZW50IGluIElSIGluIHRoZSBVSy4gT3JpZ2luYWxpdHkvdmFsdWU6IFRvIHRoZSBiZXN0IG9mIHRoZSBhdXRob3Jz4oCZIGtub3dsZWRnZSwgdGhpcyBpcyB0aGUgZmlyc3Qgc3R1ZHkgdG8gZXhwbG9yZSB0aGUgcG90ZW50aWFsIG1vZGVyYXRpbmcgZWZmZWN0IG9mIG93bmVyc2hpcCBjb25jZW50cmF0aW9uLCBnZW5kZXIgZGl2ZXJzaXR5IGFuZCBib2FyZCBzaXplIG9uIHRoZSByZWxhdGlvbnNoaXAgYmV0d2VlbiBFU0dEIGFuZCBGUCBhbmQgdG8gZXhhbWluZSB3aGV0aGVyIGZpcm1z4oCZIHZvbHVudGFyeSBpbnZvbHZlbWVudCBpbiBJUiBjYW4gbGVhZCB0byBiZXR0ZXIgRlAgYWZ0ZXIgdGhlIGludHJvZHVjdGlvbiBvZiBJUiBpbiAyMDEzIGluIHRoZSBVSy4iLCJwdWJsaXNoZXIiOiJFbWVyYWxkIEdyb3VwIEhvbGRpbmdzIEx0ZC4iLCJpc3N1ZSI6IjMiLCJ2b2x1bWUiOiIyOCIsImNvbnRhaW5lci10aXRsZS1zaG9ydCI6IiJ9LCJpc1RlbXBvcmFyeSI6ZmFsc2UsInN1cHByZXNzLWF1dGhvciI6ZmFsc2UsImNvbXBvc2l0ZSI6ZmFsc2UsImF1dGhvci1vbmx5IjpmYWxzZX1dfQ==&quot;,&quot;citationItems&quot;:[{&quot;id&quot;:&quot;17665a4b-79f9-3859-b828-f7a1798fcb43&quot;,&quot;itemData&quot;:{&quot;type&quot;:&quot;article-journal&quot;,&quot;id&quot;:&quot;17665a4b-79f9-3859-b828-f7a1798fcb43&quot;,&quot;title&quot;:&quot;ESG disclosure and firm performance before and after IR: The moderating role of governance mechanisms&quot;,&quot;author&quot;:[{&quot;family&quot;:&quot;Albitar&quot;,&quot;given&quot;:&quot;Khaldoon&quot;,&quot;parse-names&quot;:false,&quot;dropping-particle&quot;:&quot;&quot;,&quot;non-dropping-particle&quot;:&quot;&quot;},{&quot;family&quot;:&quot;Hussainey&quot;,&quot;given&quot;:&quot;Khaled&quot;,&quot;parse-names&quot;:false,&quot;dropping-particle&quot;:&quot;&quot;,&quot;non-dropping-particle&quot;:&quot;&quot;},{&quot;family&quot;:&quot;Kolade&quot;,&quot;given&quot;:&quot;Nasir&quot;,&quot;parse-names&quot;:false,&quot;dropping-particle&quot;:&quot;&quot;,&quot;non-dropping-particle&quot;:&quot;&quot;},{&quot;family&quot;:&quot;Gerged&quot;,&quot;given&quot;:&quot;Ali Meftah&quot;,&quot;parse-names&quot;:false,&quot;dropping-particle&quot;:&quot;&quot;,&quot;non-dropping-particle&quot;:&quot;&quot;}],&quot;container-title&quot;:&quot;International Journal of Accounting and Information Management&quot;,&quot;DOI&quot;:&quot;10.1108/IJAIM-09-2019-0108&quot;,&quot;ISSN&quot;:&quot;17589037&quot;,&quot;issued&quot;:{&quot;date-parts&quot;:[[2020,6,18]]},&quot;page&quot;:&quot;429-444&quot;,&quot;abstract&quot;:&quot;Purpose: This paper aims to investigate the effect of environmental, social and governance disclosure (ESGD) on firm performance (FP) before and after the introduction of integrated reporting (IR) further to exploring a potential moderation effect of corporate governance mechanisms on this relationship. Design/methodology/approach: Ordinary least squares and firm-fixed effects models were estimated based on data related to FTSE 350 between 2009 and 2018. The data has been mainly collected from Bloomberg and Capital IQ. This analysis was supplemented with applying a two-stage least squares (2 SLS) model to address any concerns regarding the expected occurrence of endogeneity problems. Findings: The results show a positive and significant relationship between ESGD score and FP before and after 2013, among a sample of FTSE 350. Furthermore, the study is suggestive of a moderation effect of corporate governance mechanisms (i.e. ownership concentration, gender diversity and board size) on the ESGD-FP nexus. Additionally, this paper finds that firms voluntarily associated with IR have a tendency to achieve better firm financial performance. Practical implications: The findings of the present study have several policy and practitioner implications. For example, managers may engage in ESGD to enhance their firms’ financial performance by the voluntary involvement in IR, which believed to help investors to rationalise their investment decisions. Likewise, the results reiterate the crucial need to integrate more social, environmental and economic regulations to promote sustainability in the UK. The paper also offers a systematic picture for policymakers in the UK as well as future researchers. Social implications: The findings of this paper indicate that IR plays a significant role in the relationship between ESGD and FP, where IR firms seemed to be achieving better FP as compared with their non-IR counterparts. This implies that stakeholders may have played a magnificent effort to encourage firms’ voluntary engagement in IR in the UK. Originality/value: To the best of the authors’ knowledge, this is the first study to explore the potential moderating effect of ownership concentration, gender diversity and board size on the relationship between ESGD and FP and to examine whether firms’ voluntary involvement in IR can lead to better FP after the introduction of IR in 2013 in the UK.&quot;,&quot;publisher&quot;:&quot;Emerald Group Holdings Ltd.&quot;,&quot;issue&quot;:&quot;3&quot;,&quot;volume&quot;:&quot;28&quot;,&quot;container-title-short&quot;:&quot;&quot;},&quot;isTemporary&quot;:false,&quot;suppress-author&quot;:false,&quot;composite&quot;:false,&quot;author-only&quot;:false}]},{&quot;citationID&quot;:&quot;MENDELEY_CITATION_6cd7a51b-81af-45bf-a834-4f724a177dfa&quot;,&quot;properties&quot;:{&quot;noteIndex&quot;:0},&quot;isEdited&quot;:false,&quot;manualOverride&quot;:{&quot;isManuallyOverridden&quot;:false,&quot;citeprocText&quot;:&quot;(Sundarasen et al., 2024)&quot;,&quot;manualOverrideText&quot;:&quot;&quot;},&quot;citationTag&quot;:&quot;MENDELEY_CITATION_v3_eyJjaXRhdGlvbklEIjoiTUVOREVMRVlfQ0lUQVRJT05fNmNkN2E1MWItODFhZi00NWJmLWE4MzQtNGY3MjRhMTc3ZGZhIiwicHJvcGVydGllcyI6eyJub3RlSW5kZXgiOjB9LCJpc0VkaXRlZCI6ZmFsc2UsIm1hbnVhbE92ZXJyaWRlIjp7ImlzTWFudWFsbHlPdmVycmlkZGVuIjpmYWxzZSwiY2l0ZXByb2NUZXh0IjoiKFN1bmRhcmFzZW4gZXQgYWwuLCAyMDI0KSIsIm1hbnVhbE92ZXJyaWRlVGV4dCI6IiJ9LCJjaXRhdGlvbkl0ZW1zIjpbeyJpZCI6ImQ4OWI0MWQwLTMxNDItMzc1Yi04NDc4LTlkOGRmODQ0NTA0YiIsIml0ZW1EYXRhIjp7InR5cGUiOiJhcnRpY2xlIiwiaWQiOiJkODliNDFkMC0zMTQyLTM3NWItODQ3OC05ZDhkZjg0NDUwNGIiLCJ0aXRsZSI6IkVudmlyb25tZW50YWwgQWNjb3VudGluZyBhbmQgU3VzdGFpbmFiaWxpdHk6IEEgTWV0YS1TeW50aGVzaXMiLCJhdXRob3IiOlt7ImZhbWlseSI6IlN1bmRhcmFzZW4iLCJnaXZlbiI6IlNoZWVsYSIsInBhcnNlLW5hbWVzIjpmYWxzZSwiZHJvcHBpbmctcGFydGljbGUiOiIiLCJub24tZHJvcHBpbmctcGFydGljbGUiOiIifSx7ImZhbWlseSI6IlJhamFnb3BhbGFuIiwiZ2l2ZW4iOiJVc2hhIiwicGFyc2UtbmFtZXMiOmZhbHNlLCJkcm9wcGluZy1wYXJ0aWNsZSI6IiIsIm5vbi1kcm9wcGluZy1wYXJ0aWNsZSI6IiJ9LHsiZmFtaWx5IjoiQWxzbWFkeSIsImdpdmVuIjoiQWhuYWYgQWxpIiwicGFyc2UtbmFtZXMiOmZhbHNlLCJkcm9wcGluZy1wYXJ0aWNsZSI6IiIsIm5vbi1kcm9wcGluZy1wYXJ0aWNsZSI6IiJ9XSwiY29udGFpbmVyLXRpdGxlIjoiU3VzdGFpbmFiaWxpdHkgKFN3aXR6ZXJsYW5kKSIsIkRPSSI6IjEwLjMzOTAvc3UxNjIxOTM0MSIsIklTU04iOiIyMDcxMTA1MCIsImlzc3VlZCI6eyJkYXRlLXBhcnRzIjpbWzIwMjQsMTEsMV1dfSwiYWJzdHJhY3QiOiJUaGlzIHN0dWR5IGNvbmR1Y3RzIGEgY29tcHJlaGVuc2l2ZSBtZXRhLXN5bnRoZXNpcyBvZiByZXZpZXctYmFzZWQgcmVzZWFyY2ggb24gZW52aXJvbm1lbnRhbCBhY2NvdW50aW5nLCBzcGFubmluZyBmcm9tIDE5OTUgdG8gMjAyNC4gRW52aXJvbm1lbnRhbCBhY2NvdW50aW5nLCBhbHNvIGtub3duIGFzIGdyZWVuIGFjY291bnRpbmcsIGhhcyBldm9sdmVkIGFzIGEgY3JpdGljYWwgdG9vbCBmb3IgaW50ZWdyYXRpbmcgc3VzdGFpbmFiaWxpdHkgaW50byBjb3Jwb3JhdGUgZmluYW5jaWFsIHByYWN0aWNlcy4gVXNpbmcgYmlibGlvbWV0cmljIG1ldGhvZHMgdmlhIEJpYmxpb21ldHJpeCBSLXBhY2thZ2UgKEJpYmxpb3NoaW554oCUVmVyc2lvbiA0LjIuMCkgYW5kIFZPU3ZpZXdlciAoVmVyc2lvbiAxLjYuMjApLCB0aGUgcmVzZWFyY2ggbWFpbmx5IGV4YW1pbmVzIHNjaG9sYXJseSBkaXNjdXNzaW9uIGluIHJldmlldy1iYXNlZCBzdHVkaWVzIGFuZCBpZGVudGlmaWVzIGRvbWluYW50IHRoZW1lcy4gVGhlIG1haW4gY2x1c3RlcnMgaWRlbnRpZmllZCBhcmUgKDEpIGVudmlyb25tZW50YWwgYXVkaXRzIGFuZCBtYW5hZ2VtZW50LCAoMikgZ3JlZW4gYWNjb3VudGluZywgZmluYW5jaWFsIHJlcG9ydGluZyBhbmQgc3VzdGFpbmFibGUgZGV2ZWxvcG1lbnQsICgzKSBDU1IsIHN0YWtlaG9sZGVyIGVuZ2FnZW1lbnQsIGFuZCBhY2NvdW50YWJpbGl0eSwgYW5kICg0KSBlbnZpcm9ubWVudGFsIGFjY291bnRpbmcgYW5kIHByb3RlY3Rpb24uIE9uIHRoZSBkZXNjcmlwdGl2ZSBlbmQsIHB1YmxpY2F0aW9uIHRyZW5kcywgcHJvbWluZW50IGF1dGhvcnMsIGFydGljbGVzLCBhbmQgc291cmNlcyBhcmUgaWRlbnRpZmllZC4gVGhlIGZpbmRpbmdzIGhpZ2hsaWdodCBhIHNpZ25pZmljYW50IGluY3JlYXNlIGluIHJldmlldy1iYXNlZCBzdHVkaWVzIHNpbmNlIDIwMjIsIGNvaW5jaWRpbmcgd2l0aCB0aGUgZ3Jvd2luZyBnbG9iYWwgYXdhcmVuZXNzIGFuZCBpbXBvcnRhbmNlIG9mIHN1c3RhaW5hYmlsaXR5LiBUaGlzIHN0dWR5IGNvbnRyaWJ1dGVzIHRvIHRoZSBmaWVsZCBieSBjb25zb2xpZGF0aW5nIGZyYWdtZW50ZWQgcmVzZWFyY2ggb24gZW52aXJvbm1lbnRhbCBhY2NvdW50aW5nLCBvZmZlcmluZyBhIGZyYW1ld29yayBmb3IgZnV0dXJlIGFjYWRlbWljIGV4cGxvcmF0aW9uLiBQcmFjdGljYWxseSwgaXQgaW5mb3JtcyBwb2xpY3ltYWtlcnMgYW5kIGJ1c2luZXNzIGxlYWRlcnMgb24gdGhlIGltcG9ydGFuY2Ugb2YgdW5pZmllZCByZXBvcnRpbmcgc3RhbmRhcmRzIGFjcm9zcyByZWdpb25zOyBpbnRlZ3JhdGluZyBlbnZpcm9ubWVudGFsIGNvbnNpZGVyYXRpb25zIGludG8gZmluYW5jaWFsIGRlY2lzaW9uLW1ha2luZzsgcHJvbW90aW5nIHRyYW5zcGFyZW5jeSwgYWNjb3VudGFiaWxpdHksIGFuZCBzdXN0YWluYWJpbGl0eSBhY2NvdW50aW5nOyBhbmQgZGlzY2xvc3VyZSBhY3Jvc3MgaW5kdXN0cmllcyBhbmQgcmVnaW9ucy4iLCJwdWJsaXNoZXIiOiJNdWx0aWRpc2NpcGxpbmFyeSBEaWdpdGFsIFB1Ymxpc2hpbmcgSW5zdGl0dXRlIChNRFBJKSIsImlzc3VlIjoiMjEiLCJ2b2x1bWUiOiIxNiIsImNvbnRhaW5lci10aXRsZS1zaG9ydCI6IiJ9LCJpc1RlbXBvcmFyeSI6ZmFsc2UsInN1cHByZXNzLWF1dGhvciI6ZmFsc2UsImNvbXBvc2l0ZSI6ZmFsc2UsImF1dGhvci1vbmx5IjpmYWxzZX1dfQ==&quot;,&quot;citationItems&quot;:[{&quot;id&quot;:&quot;d89b41d0-3142-375b-8478-9d8df844504b&quot;,&quot;itemData&quot;:{&quot;type&quot;:&quot;article&quot;,&quot;id&quot;:&quot;d89b41d0-3142-375b-8478-9d8df844504b&quot;,&quot;title&quot;:&quot;Environmental Accounting and Sustainability: A Meta-Synthesis&quot;,&quot;author&quot;:[{&quot;family&quot;:&quot;Sundarasen&quot;,&quot;given&quot;:&quot;Sheela&quot;,&quot;parse-names&quot;:false,&quot;dropping-particle&quot;:&quot;&quot;,&quot;non-dropping-particle&quot;:&quot;&quot;},{&quot;family&quot;:&quot;Rajagopalan&quot;,&quot;given&quot;:&quot;Usha&quot;,&quot;parse-names&quot;:false,&quot;dropping-particle&quot;:&quot;&quot;,&quot;non-dropping-particle&quot;:&quot;&quot;},{&quot;family&quot;:&quot;Alsmady&quot;,&quot;given&quot;:&quot;Ahnaf Ali&quot;,&quot;parse-names&quot;:false,&quot;dropping-particle&quot;:&quot;&quot;,&quot;non-dropping-particle&quot;:&quot;&quot;}],&quot;container-title&quot;:&quot;Sustainability (Switzerland)&quot;,&quot;DOI&quot;:&quot;10.3390/su16219341&quot;,&quot;ISSN&quot;:&quot;20711050&quot;,&quot;issued&quot;:{&quot;date-parts&quot;:[[2024,11,1]]},&quot;abstract&quot;:&quot;This study conducts a comprehensive meta-synthesis of review-based research on environmental accounting, spanning from 1995 to 2024. Environmental accounting, also known as green accounting, has evolved as a critical tool for integrating sustainability into corporate financial practices. Using bibliometric methods via Bibliometrix R-package (Biblioshiny—Version 4.2.0) and VOSviewer (Version 1.6.20), the research mainly examines scholarly discussion in review-based studies and identifies dominant themes. The main clusters identified are (1) environmental audits and management, (2) green accounting, financial reporting and sustainable development, (3) CSR, stakeholder engagement, and accountability, and (4) environmental accounting and protection. On the descriptive end, publication trends, prominent authors, articles, and sources are identified. The findings highlight a significant increase in review-based studies since 2022, coinciding with the growing global awareness and importance of sustainability. This study contributes to the field by consolidating fragmented research on environmental accounting, offering a framework for future academic exploration. Practically, it informs policymakers and business leaders on the importance of unified reporting standards across regions; integrating environmental considerations into financial decision-making; promoting transparency, accountability, and sustainability accounting; and disclosure across industries and regions.&quot;,&quot;publisher&quot;:&quot;Multidisciplinary Digital Publishing Institute (MDPI)&quot;,&quot;issue&quot;:&quot;21&quot;,&quot;volume&quot;:&quot;16&quot;,&quot;container-title-short&quot;:&quot;&quot;},&quot;isTemporary&quot;:false,&quot;suppress-author&quot;:false,&quot;composite&quot;:false,&quot;author-only&quot;:false}]},{&quot;citationID&quot;:&quot;MENDELEY_CITATION_6ec69988-521c-4697-ba01-9ca552da47bd&quot;,&quot;properties&quot;:{&quot;noteIndex&quot;:0},&quot;isEdited&quot;:false,&quot;manualOverride&quot;:{&quot;isManuallyOverridden&quot;:false,&quot;citeprocText&quot;:&quot;(Suchman, 1995)&quot;,&quot;manualOverrideText&quot;:&quot;&quot;},&quot;citationTag&quot;:&quot;MENDELEY_CITATION_v3_eyJjaXRhdGlvbklEIjoiTUVOREVMRVlfQ0lUQVRJT05fNmVjNjk5ODgtNTIxYy00Njk3LWJhMDEtOWNhNTUyZGE0N2Jk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2d7cb53e-6b54-4747-8e8d-c404d04e4227&quot;,&quot;properties&quot;:{&quot;noteIndex&quot;:0},&quot;isEdited&quot;:false,&quot;manualOverride&quot;:{&quot;isManuallyOverridden&quot;:true,&quot;citeprocText&quot;:&quot;(Calvin et al., 2023)&quot;,&quot;manualOverrideText&quot;:&quot;(IPCC, 2023)&quot;},&quot;citationTag&quot;:&quot;MENDELEY_CITATION_v3_eyJjaXRhdGlvbklEIjoiTUVOREVMRVlfQ0lUQVRJT05fMmQ3Y2I1M2UtNmI1NC00NzQ3LThlOGQtYzQwNGQwNGU0MjI3IiwicHJvcGVydGllcyI6eyJub3RlSW5kZXgiOjB9LCJpc0VkaXRlZCI6ZmFsc2UsIm1hbnVhbE92ZXJyaWRlIjp7ImlzTWFudWFsbHlPdmVycmlkZGVuIjp0cnVlLCJjaXRlcHJvY1RleHQiOiIoQ2FsdmluIGV0IGFsLiwgMjAyMykiLCJtYW51YWxPdmVycmlkZVRleHQiOiIoSVBDQywgMjAyMykifSwiY2l0YXRpb25JdGVtcyI6W3siaWQiOiIyYjlkMzdiMy04YmRjLTMwYTMtYmE0YS03OTg4YjFkMzVkMGQiLCJpdGVtRGF0YSI6eyJ0eXBlIjoicmVwb3J0IiwiaWQiOiIyYjlkMzdiMy04YmRjLTMwYTMtYmE0YS03OTg4YjFkMzVkMGQiLCJ0aXRsZSI6IklQQ0MsIDIwMjM6IENsaW1hdGUgQ2hhbmdlIDIwMjM6IFN5bnRoZXNpcyBSZXBvcnQuIENvbnRyaWJ1dGlvbiBvZiBXb3JraW5nIEdyb3VwcyBJLCBJSSBhbmQgSUlJIHRvIHRoZSBTaXh0aCBBc3Nlc3NtZW50IFJlcG9ydCBvZiB0aGUgSW50ZXJnb3Zlcm5tZW50YWwgUGFuZWwgb24gQ2xpbWF0ZSBDaGFuZ2UgW0NvcmUgV3JpdGluZyBUZWFtLCBILiBMZWUgYW5kIEouIFJvbWVybyAoZWRzLildLiBJUENDLCBHZW5ldmEsIFN3aXR6ZXJsYW5kLiIsImF1dGhvciI6W3siZmFtaWx5IjoiQ2FsdmluIiwiZ2l2ZW4iOiJLYXRoZXJpbmUiLCJwYXJzZS1uYW1lcyI6ZmFsc2UsImRyb3BwaW5nLXBhcnRpY2xlIjoiIiwibm9uLWRyb3BwaW5nLXBhcnRpY2xlIjoiIn0seyJmYW1pbHkiOiJEYXNndXB0YSIsImdpdmVuIjoiRGlwYWsiLCJwYXJzZS1uYW1lcyI6ZmFsc2UsImRyb3BwaW5nLXBhcnRpY2xlIjoiIiwibm9uLWRyb3BwaW5nLXBhcnRpY2xlIjoiIn0seyJmYW1pbHkiOiJLcmlubmVyIiwiZ2l2ZW4iOiJHZXJoYXJkIiwicGFyc2UtbmFtZXMiOmZhbHNlLCJkcm9wcGluZy1wYXJ0aWNsZSI6IiIsIm5vbi1kcm9wcGluZy1wYXJ0aWNsZSI6IiJ9LHsiZmFtaWx5IjoiTXVraGVyamkiLCJnaXZlbiI6IkFkaXRpIiwicGFyc2UtbmFtZXMiOmZhbHNlLCJkcm9wcGluZy1wYXJ0aWNsZSI6IiIsIm5vbi1kcm9wcGluZy1wYXJ0aWNsZSI6IiJ9LHsiZmFtaWx5IjoiVGhvcm5lIiwiZ2l2ZW4iOiJQZXRlciBXLiIsInBhcnNlLW5hbWVzIjpmYWxzZSwiZHJvcHBpbmctcGFydGljbGUiOiIiLCJub24tZHJvcHBpbmctcGFydGljbGUiOiIifSx7ImZhbWlseSI6IlRyaXNvcyIsImdpdmVuIjoiQ2hyaXN0b3BoZXIiLCJwYXJzZS1uYW1lcyI6ZmFsc2UsImRyb3BwaW5nLXBhcnRpY2xlIjoiIiwibm9uLWRyb3BwaW5nLXBhcnRpY2xlIjoiIn0seyJmYW1pbHkiOiJSb21lcm8iLCJnaXZlbiI6Ikpvc8OpIiwicGFyc2UtbmFtZXMiOmZhbHNlLCJkcm9wcGluZy1wYXJ0aWNsZSI6IiIsIm5vbi1kcm9wcGluZy1wYXJ0aWNsZSI6IiJ9LHsiZmFtaWx5IjoiQWxkdW5jZSIsImdpdmVuIjoiUGF1bGluYSIsInBhcnNlLW5hbWVzIjpmYWxzZSwiZHJvcHBpbmctcGFydGljbGUiOiIiLCJub24tZHJvcHBpbmctcGFydGljbGUiOiIifSx7ImZhbWlseSI6IkJhcnJldHQiLCJnaXZlbiI6IktvIiwicGFyc2UtbmFtZXMiOmZhbHNlLCJkcm9wcGluZy1wYXJ0aWNsZSI6IiIsIm5vbi1kcm9wcGluZy1wYXJ0aWNsZSI6IiJ9LHsiZmFtaWx5IjoiQmxhbmNvIiwiZ2l2ZW4iOiJHYWJyaWVsIiwicGFyc2UtbmFtZXMiOmZhbHNlLCJkcm9wcGluZy1wYXJ0aWNsZSI6IiIsIm5vbi1kcm9wcGluZy1wYXJ0aWNsZSI6IiJ9LHsiZmFtaWx5IjoiQ2hldW5nIiwiZ2l2ZW4iOiJXaWxsaWFtIFcuTC4iLCJwYXJzZS1uYW1lcyI6ZmFsc2UsImRyb3BwaW5nLXBhcnRpY2xlIjoiIiwibm9uLWRyb3BwaW5nLXBhcnRpY2xlIjoiIn0seyJmYW1pbHkiOiJDb25ub3JzIiwiZ2l2ZW4iOiJTYXJhaCIsInBhcnNlLW5hbWVzIjpmYWxzZSwiZHJvcHBpbmctcGFydGljbGUiOiIiLCJub24tZHJvcHBpbmctcGFydGljbGUiOiIifSx7ImZhbWlseSI6IkRlbnRvbiIsImdpdmVuIjoiRmF0aW1hIiwicGFyc2UtbmFtZXMiOmZhbHNlLCJkcm9wcGluZy1wYXJ0aWNsZSI6IiIsIm5vbi1kcm9wcGluZy1wYXJ0aWNsZSI6IiJ9LHsiZmFtaWx5IjoiRGlvbmd1ZS1OaWFuZyIsImdpdmVuIjoiQcOvZGEiLCJwYXJzZS1uYW1lcyI6ZmFsc2UsImRyb3BwaW5nLXBhcnRpY2xlIjoiIiwibm9uLWRyb3BwaW5nLXBhcnRpY2xlIjoiIn0seyJmYW1pbHkiOiJEb2RtYW4iLCJnaXZlbiI6IkRhdmlkIiwicGFyc2UtbmFtZXMiOmZhbHNlLCJkcm9wcGluZy1wYXJ0aWNsZSI6IiIsIm5vbi1kcm9wcGluZy1wYXJ0aWNsZSI6IiJ9LHsiZmFtaWx5IjoiR2Fyc2NoYWdlbiIsImdpdmVuIjoiTWF0dGhpYXMiLCJwYXJzZS1uYW1lcyI6ZmFsc2UsImRyb3BwaW5nLXBhcnRpY2xlIjoiIiwibm9uLWRyb3BwaW5nLXBhcnRpY2xlIjoiIn0seyJmYW1pbHkiOiJHZWRlbiIsImdpdmVuIjoiT2xpdmVyIiwicGFyc2UtbmFtZXMiOmZhbHNlLCJkcm9wcGluZy1wYXJ0aWNsZSI6IiIsIm5vbi1kcm9wcGluZy1wYXJ0aWNsZSI6IiJ9LHsiZmFtaWx5IjoiSGF5d2FyZCIsImdpdmVuIjoiQnJvbnd5biIsInBhcnNlLW5hbWVzIjpmYWxzZSwiZHJvcHBpbmctcGFydGljbGUiOiIiLCJub24tZHJvcHBpbmctcGFydGljbGUiOiIifSx7ImZhbWlseSI6IkpvbmVzIiwiZ2l2ZW4iOiJDaHJpc3RvcGhlciIsInBhcnNlLW5hbWVzIjpmYWxzZSwiZHJvcHBpbmctcGFydGljbGUiOiIiLCJub24tZHJvcHBpbmctcGFydGljbGUiOiIifSx7ImZhbWlseSI6IkpvdHpvIiwiZ2l2ZW4iOiJGcmFuayIsInBhcnNlLW5hbWVzIjpmYWxzZSwiZHJvcHBpbmctcGFydGljbGUiOiIiLCJub24tZHJvcHBpbmctcGFydGljbGUiOiIifSx7ImZhbWlseSI6IktydWciLCJnaXZlbiI6IlRoZWxtYSIsInBhcnNlLW5hbWVzIjpmYWxzZSwiZHJvcHBpbmctcGFydGljbGUiOiIiLCJub24tZHJvcHBpbmctcGFydGljbGUiOiIifSx7ImZhbWlseSI6Ikxhc2NvIiwiZ2l2ZW4iOiJSb2RlbCIsInBhcnNlLW5hbWVzIjpmYWxzZSwiZHJvcHBpbmctcGFydGljbGUiOiIiLCJub24tZHJvcHBpbmctcGFydGljbGUiOiIifSx7ImZhbWlseSI6IkxlZSIsImdpdmVuIjoiWXVuZS1ZaSIsInBhcnNlLW5hbWVzIjpmYWxzZSwiZHJvcHBpbmctcGFydGljbGUiOiIiLCJub24tZHJvcHBpbmctcGFydGljbGUiOiIifSx7ImZhbWlseSI6Ik1hc3Nvbi1EZWxtb3R0ZSIsImdpdmVuIjoiVmFsw6lyaWUiLCJwYXJzZS1uYW1lcyI6ZmFsc2UsImRyb3BwaW5nLXBhcnRpY2xlIjoiIiwibm9uLWRyb3BwaW5nLXBhcnRpY2xlIjoiIn0seyJmYW1pbHkiOiJNZWluc2hhdXNlbiIsImdpdmVuIjoiTWFsdGUiLCJwYXJzZS1uYW1lcyI6ZmFsc2UsImRyb3BwaW5nLXBhcnRpY2xlIjoiIiwibm9uLWRyb3BwaW5nLXBhcnRpY2xlIjoiIn0seyJmYW1pbHkiOiJNaW50ZW5iZWNrIiwiZ2l2ZW4iOiJLYXRqYSIsInBhcnNlLW5hbWVzIjpmYWxzZSwiZHJvcHBpbmctcGFydGljbGUiOiIiLCJub24tZHJvcHBpbmctcGFydGljbGUiOiIifSx7ImZhbWlseSI6Ik1va3NzaXQiLCJnaXZlbiI6IkFiZGFsYWgiLCJwYXJzZS1uYW1lcyI6ZmFsc2UsImRyb3BwaW5nLXBhcnRpY2xlIjoiIiwibm9uLWRyb3BwaW5nLXBhcnRpY2xlIjoiIn0seyJmYW1pbHkiOiJPdHRvIiwiZ2l2ZW4iOiJGcmllZGVyaWtlIEUuTC4iLCJwYXJzZS1uYW1lcyI6ZmFsc2UsImRyb3BwaW5nLXBhcnRpY2xlIjoiIiwibm9uLWRyb3BwaW5nLXBhcnRpY2xlIjoiIn0seyJmYW1pbHkiOiJQYXRoYWsiLCJnaXZlbiI6Ik1pbmFs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lDDtnJ0bmVyIiwiZ2l2ZW4iOiJIYW5zLU90dG8iLCJwYXJzZS1uYW1lcyI6ZmFsc2UsImRyb3BwaW5nLXBhcnRpY2xlIjoiIiwibm9uLWRyb3BwaW5nLXBhcnRpY2xlIjoiIn0seyJmYW1pbHkiOiJSZXZpIiwiZ2l2ZW4iOiJBcm9tYXIiLCJwYXJzZS1uYW1lcyI6ZmFsc2UsImRyb3BwaW5nLXBhcnRpY2xlIjoiIiwibm9uLWRyb3BwaW5nLXBhcnRpY2xlIjoiIn0seyJmYW1pbHkiOiJSb2JlcnRzIiwiZ2l2ZW4iOiJEZWJyYSBDLiIsInBhcnNlLW5hbWVzIjpmYWxzZSwiZHJvcHBpbmctcGFydGljbGUiOiIiLCJub24tZHJvcHBpbmctcGFydGljbGUiOiIifSx7ImZhbWlseSI6IlJveSIsImdpdmVuIjoiSm95YXNocmVlIiwicGFyc2UtbmFtZXMiOmZhbHNlLCJkcm9wcGluZy1wYXJ0aWNsZSI6IiIsIm5vbi1kcm9wcGluZy1wYXJ0aWNsZSI6IiJ9LHsiZmFtaWx5IjoiUnVhbmUiLCJnaXZlbiI6IkFsZXggQy4iLCJwYXJzZS1uYW1lcyI6ZmFsc2UsImRyb3BwaW5nLXBhcnRpY2xlIjoiIiwibm9uLWRyb3BwaW5nLXBhcnRpY2xlIjoiIn0seyJmYW1pbHkiOiJTa2VhIiwiZ2l2ZW4iOiJKaW0iLCJwYXJzZS1uYW1lcyI6ZmFsc2UsImRyb3BwaW5nLXBhcnRpY2xlIjoiIiwibm9uLWRyb3BwaW5nLXBhcnRpY2xlIjoiIn0seyJmYW1pbHkiOiJTaHVrbGEiLCJnaXZlbiI6IlByaXlhZGFyc2hpIFIuIiwicGFyc2UtbmFtZXMiOmZhbHNlLCJkcm9wcGluZy1wYXJ0aWNsZSI6IiIsIm5vbi1kcm9wcGluZy1wYXJ0aWNsZSI6IiJ9LHsiZmFtaWx5IjoiU2xhZGUiLCJnaXZlbiI6IlJhcGhhZWwiLCJwYXJzZS1uYW1lcyI6ZmFsc2UsImRyb3BwaW5nLXBhcnRpY2xlIjoiIiwibm9uLWRyb3BwaW5nLXBhcnRpY2xlIjoiIn0seyJmYW1pbHkiOiJTbGFuZ2VuIiwiZ2l2ZW4iOiJBaW3DqWUiLCJwYXJzZS1uYW1lcyI6ZmFsc2UsImRyb3BwaW5nLXBhcnRpY2xlIjoiIiwibm9uLWRyb3BwaW5nLXBhcnRpY2xlIjoiIn0seyJmYW1pbHkiOiJTb2tvbmEiLCJnaXZlbiI6IllvdWJhIiwicGFyc2UtbmFtZXMiOmZhbHNlLCJkcm9wcGluZy1wYXJ0aWNsZSI6IiIsIm5vbi1kcm9wcGluZy1wYXJ0aWNsZSI6IiJ9LHsiZmFtaWx5IjoiU8O2cmVuc3NvbiIsImdpdmVuIjoiQW5uYSBBLiIsInBhcnNlLW5hbWVzIjpmYWxzZSwiZHJvcHBpbmctcGFydGljbGUiOiIiLCJub24tZHJvcHBpbmctcGFydGljbGUiOiIifSx7ImZhbWlseSI6IlRpZ25vciIsImdpdmVuIjoiTWVsaW5kYSIsInBhcnNlLW5hbWVzIjpmYWxzZSwiZHJvcHBpbmctcGFydGljbGUiOiIiLCJub24tZHJvcHBpbmctcGFydGljbGUiOiIifSx7ImZhbWlseSI6IlZ1dXJlbiIsImdpdmVuIjoiRGV0bGVmIiwicGFyc2UtbmFtZXMiOmZhbHNlLCJkcm9wcGluZy1wYXJ0aWNsZSI6IiIsIm5vbi1kcm9wcGluZy1wYXJ0aWNsZSI6InZhbiJ9LHsiZmFtaWx5IjoiV2VpIiwiZ2l2ZW4iOiJZaS1NaW5nIiwicGFyc2UtbmFtZXMiOmZhbHNlLCJkcm9wcGluZy1wYXJ0aWNsZSI6IiIsIm5vbi1kcm9wcGluZy1wYXJ0aWNsZSI6IiJ9LHsiZmFtaWx5IjoiV2lua2xlciIsImdpdmVuIjoiSGFyYWxkIiwicGFyc2UtbmFtZXMiOmZhbHNlLCJkcm9wcGluZy1wYXJ0aWNsZSI6IiIsIm5vbi1kcm9wcGluZy1wYXJ0aWNsZSI6IiJ9LHsiZmFtaWx5IjoiWmhhaSIsImdpdmVuIjoiUGFubWFvIiwicGFyc2UtbmFtZXMiOmZhbHNlLCJkcm9wcGluZy1wYXJ0aWNsZSI6IiIsIm5vbi1kcm9wcGluZy1wYXJ0aWNsZSI6IiJ9LHsiZmFtaWx5IjoiWm9tbWVycyIsImdpdmVuIjoiWmludGEiLCJwYXJzZS1uYW1lcyI6ZmFsc2UsImRyb3BwaW5nLXBhcnRpY2xlIjoiIiwibm9uLWRyb3BwaW5nLXBhcnRpY2xlIjoiIn0seyJmYW1pbHkiOiJIb3VyY2FkZSIsImdpdmVuIjoiSmVhbi1DaGFybGVzIiwicGFyc2UtbmFtZXMiOmZhbHNlLCJkcm9wcGluZy1wYXJ0aWNsZSI6IiIsIm5vbi1kcm9wcGluZy1wYXJ0aWNsZSI6IiJ9LHsiZmFtaWx5IjoiSm9obnNvbiIsImdpdmVuIjoiRnJhbmNpcyBYLiIsInBhcnNlLW5hbWVzIjpmYWxzZSwiZHJvcHBpbmctcGFydGljbGUiOiIiLCJub24tZHJvcHBpbmctcGFydGljbGUiOiIifSx7ImZhbWlseSI6IlBhY2hhdXJpIiwiZ2l2ZW4iOiJTaG9uYWxpIiwicGFyc2UtbmFtZXMiOmZhbHNlLCJkcm9wcGluZy1wYXJ0aWNsZSI6IiIsIm5vbi1kcm9wcGluZy1wYXJ0aWNsZSI6IiJ9LHsiZmFtaWx5IjoiU2ltcHNvbiIsImdpdmVuIjoiTmljaG9sYXMgUC4iLCJwYXJzZS1uYW1lcyI6ZmFsc2UsImRyb3BwaW5nLXBhcnRpY2xlIjoiIiwibm9uLWRyb3BwaW5nLXBhcnRpY2xlIjoiIn0seyJmYW1pbHkiOiJTaW5naCIsImdpdmVuIjoiQ2hhbmRuaSIsInBhcnNlLW5hbWVzIjpmYWxzZSwiZHJvcHBpbmctcGFydGljbGUiOiIiLCJub24tZHJvcHBpbmctcGFydGljbGUiOiIifSx7ImZhbWlseSI6IlRob21hcyIsImdpdmVuIjoiQWRlbGxlIiwicGFyc2UtbmFtZXMiOmZhbHNlLCJkcm9wcGluZy1wYXJ0aWNsZSI6IiIsIm5vbi1kcm9wcGluZy1wYXJ0aWNsZSI6IiJ9LHsiZmFtaWx5IjoiVG90aW4iLCJnaXZlbiI6IkVkbW9uZCIsInBhcnNlLW5hbWVzIjpmYWxzZSwiZHJvcHBpbmctcGFydGljbGUiOiIiLCJub24tZHJvcHBpbmctcGFydGljbGUiOiIifSx7ImZhbWlseSI6IkFsZWdyw61hIiwiZ2l2ZW4iOiJBbmRyw6lzIiwicGFyc2UtbmFtZXMiOmZhbHNlLCJkcm9wcGluZy1wYXJ0aWNsZSI6IiIsIm5vbi1kcm9wcGluZy1wYXJ0aWNsZSI6IiJ9LHsiZmFtaWx5IjoiQXJtb3VyIiwiZ2l2ZW4iOiJLeWxlIiwicGFyc2UtbmFtZXMiOmZhbHNlLCJkcm9wcGluZy1wYXJ0aWNsZSI6IiIsIm5vbi1kcm9wcGluZy1wYXJ0aWNsZSI6IiJ9LHsiZmFtaWx5IjoiQmVkbmFyLUZyaWVkbCIsImdpdmVuIjoiQmlyZ2l0IiwicGFyc2UtbmFtZXMiOmZhbHNlLCJkcm9wcGluZy1wYXJ0aWNsZSI6IiIsIm5vbi1kcm9wcGluZy1wYXJ0aWNsZSI6IiJ9LHsiZmFtaWx5IjoiQmxvayIsImdpdmVuIjoiS29ybmVsaXMiLCJwYXJzZS1uYW1lcyI6ZmFsc2UsImRyb3BwaW5nLXBhcnRpY2xlIjoiIiwibm9uLWRyb3BwaW5nLXBhcnRpY2xlIjoiIn0seyJmYW1pbHkiOiJDaXNzw6kiLCJnaXZlbiI6Ikd1w6lsYWRpbyIsInBhcnNlLW5hbWVzIjpmYWxzZSwiZHJvcHBpbmctcGFydGljbGUiOiIiLCJub24tZHJvcHBpbmctcGFydGljbGUiOiIifSx7ImZhbWlseSI6IkRlbnRlbmVyIiwiZ2l2ZW4iOiJGcmFuayIsInBhcnNlLW5hbWVzIjpmYWxzZSwiZHJvcHBpbmctcGFydGljbGUiOiIiLCJub24tZHJvcHBpbmctcGFydGljbGUiOiIifSx7ImZhbWlseSI6IkVyaWtzZW4iLCJnaXZlbiI6IlNpcmkiLCJwYXJzZS1uYW1lcyI6ZmFsc2UsImRyb3BwaW5nLXBhcnRpY2xlIjoiIiwibm9uLWRyb3BwaW5nLXBhcnRpY2xlIjoiIn0seyJmYW1pbHkiOiJGaXNjaGVyIiwiZ2l2ZW4iOiJFcmljaCIsInBhcnNlLW5hbWVzIjpmYWxzZSwiZHJvcHBpbmctcGFydGljbGUiOiIiLCJub24tZHJvcHBpbmctcGFydGljbGUiOiIifSx7ImZhbWlseSI6Ikdhcm5lciIsImdpdmVuIjoiR3JlZ29yeSIsInBhcnNlLW5hbWVzIjpmYWxzZSwiZHJvcHBpbmctcGFydGljbGUiOiIiLCJub24tZHJvcHBpbmctcGFydGljbGUiOiIifSx7ImZhbWlseSI6Ikd1aXZhcmNoIiwiZ2l2ZW4iOiJDw6lsaW5lIiwicGFyc2UtbmFtZXMiOmZhbHNlLCJkcm9wcGluZy1wYXJ0aWNsZSI6IiIsIm5vbi1kcm9wcGluZy1wYXJ0aWNsZSI6IiJ9LHsiZmFtaWx5IjoiSGFhc25vb3QiLCJnaXZlbiI6Ik1hcmpvbGlqbiIsInBhcnNlLW5hbWVzIjpmYWxzZSwiZHJvcHBpbmctcGFydGljbGUiOiIiLCJub24tZHJvcHBpbmctcGFydGljbGUiOiIifSx7ImZhbWlseSI6IkhhbnNlbiIsImdpdmVuIjoiR2Vycml0IiwicGFyc2UtbmFtZXMiOmZhbHNlLCJkcm9wcGluZy1wYXJ0aWNsZSI6IiIsIm5vbi1kcm9wcGluZy1wYXJ0aWNsZSI6IiJ9LHsiZmFtaWx5IjoiSGF1c2VyIiwiZ2l2ZW4iOiJNYXRoaWFzIiwicGFyc2UtbmFtZXMiOmZhbHNlLCJkcm9wcGluZy1wYXJ0aWNsZSI6IiIsIm5vbi1kcm9wcGluZy1wYXJ0aWNsZSI6IiJ9LHsiZmFtaWx5IjoiSGF3a2lucyIsImdpdmVuIjoiRWQiLCJwYXJzZS1uYW1lcyI6ZmFsc2UsImRyb3BwaW5nLXBhcnRpY2xlIjoiIiwibm9uLWRyb3BwaW5nLXBhcnRpY2xlIjoiIn0seyJmYW1pbHkiOiJIZXJtYW5zIiwiZ2l2ZW4iOiJUaW0iLCJwYXJzZS1uYW1lcyI6ZmFsc2UsImRyb3BwaW5nLXBhcnRpY2xlIjoiIiwibm9uLWRyb3BwaW5nLXBhcnRpY2xlIjoiIn0seyJmYW1pbHkiOiJLb3BwIiwiZ2l2ZW4iOiJSb2JlcnQiLCJwYXJzZS1uYW1lcyI6ZmFsc2UsImRyb3BwaW5nLXBhcnRpY2xlIjoiIiwibm9uLWRyb3BwaW5nLXBhcnRpY2xlIjoiIn0seyJmYW1pbHkiOiJMZXByaW5jZS1SaW5ndWV0IiwiZ2l2ZW4iOiJOb8OrbWllIiwicGFyc2UtbmFtZXMiOmZhbHNlLCJkcm9wcGluZy1wYXJ0aWNsZSI6IiIsIm5vbi1kcm9wcGluZy1wYXJ0aWNsZSI6IiJ9LHsiZmFtaWx5IjoiTGV3aXMiLCJnaXZlbiI6IkphcmVkIiwicGFyc2UtbmFtZXMiOmZhbHNlLCJkcm9wcGluZy1wYXJ0aWNsZSI6IiIsIm5vbi1kcm9wcGluZy1wYXJ0aWNsZSI6IiJ9LHsiZmFtaWx5IjoiTGV5IiwiZ2l2ZW4iOiJEZWJvcmEiLCJwYXJzZS1uYW1lcyI6ZmFsc2UsImRyb3BwaW5nLXBhcnRpY2xlIjoiIiwibm9uLWRyb3BwaW5nLXBhcnRpY2xlIjoiIn0seyJmYW1pbHkiOiJMdWRkZW4iLCJnaXZlbiI6IkNobG/DqSIsInBhcnNlLW5hbWVzIjpmYWxzZSwiZHJvcHBpbmctcGFydGljbGUiOiIiLCJub24tZHJvcHBpbmctcGFydGljbGUiOiIifSx7ImZhbWlseSI6Ik5pYW1pciIsImdpdmVuIjoiTGVpbGEiLCJwYXJzZS1uYW1lcyI6ZmFsc2UsImRyb3BwaW5nLXBhcnRpY2xlIjoiIiwibm9uLWRyb3BwaW5nLXBhcnRpY2xlIjoiIn0seyJmYW1pbHkiOiJOaWNob2xscyIsImdpdmVuIjoiWmViZWRlZSIsInBhcnNlLW5hbWVzIjpmYWxzZSwiZHJvcHBpbmctcGFydGljbGUiOiIiLCJub24tZHJvcHBpbmctcGFydGljbGUiOiIifSx7ImZhbWlseSI6IlNvbWUiLCJnaXZlbiI6IlNocmV5YSIsInBhcnNlLW5hbWVzIjpmYWxzZSwiZHJvcHBpbmctcGFydGljbGUiOiIiLCJub24tZHJvcHBpbmctcGFydGljbGUiOiIifSx7ImZhbWlseSI6IlN6b3BhIiwiZ2l2ZW4iOiJTb3BoaWUiLCJwYXJzZS1uYW1lcyI6ZmFsc2UsImRyb3BwaW5nLXBhcnRpY2xlIjoiIiwibm9uLWRyb3BwaW5nLXBhcnRpY2xlIjoiIn0seyJmYW1pbHkiOiJUcmV3aW4iLCJnaXZlbiI6IkJsYWlyIiwicGFyc2UtbmFtZXMiOmZhbHNlLCJkcm9wcGluZy1wYXJ0aWNsZSI6IiIsIm5vbi1kcm9wcGluZy1wYXJ0aWNsZSI6IiJ9LHsiZmFtaWx5IjoiV2lqc3QiLCJnaXZlbiI6Ikthai1JdmFyIiwicGFyc2UtbmFtZXMiOmZhbHNlLCJkcm9wcGluZy1wYXJ0aWNsZSI6IiIsIm5vbi1kcm9wcGluZy1wYXJ0aWNsZSI6InZhbiBkZXIifSx7ImZhbWlseSI6IldpbnRlciIsImdpdmVuIjoiR3VuZHVsYSIsInBhcnNlLW5hbWVzIjpmYWxzZSwiZHJvcHBpbmctcGFydGljbGUiOiIiLCJub24tZHJvcHBpbmctcGFydGljbGUiOiIifSx7ImZhbWlseSI6IldpdHRpbmciLCJnaXZlbiI6Ik1heGltaWxpYW4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1dLCJlZGl0b3IiOlt7ImZhbWlseSI6IkFyaWFzIiwiZ2l2ZW4iOiJQYW9sYSIsInBhcnNlLW5hbWVzIjpmYWxzZSwiZHJvcHBpbmctcGFydGljbGUiOiIiLCJub24tZHJvcHBpbmctcGFydGljbGUiOiIifSx7ImZhbWlseSI6IkJ1c3RhbWFudGUiLCJnaXZlbiI6Ik1lcmNlZGVzIiwicGFyc2UtbmFtZXMiOmZhbHNlLCJkcm9wcGluZy1wYXJ0aWNsZSI6IiIsIm5vbi1kcm9wcGluZy1wYXJ0aWNsZSI6IiJ9LHsiZmFtaWx5IjoiRWxnaXpvdWxpIiwiZ2l2ZW4iOiJJc21haWwiLCJwYXJzZS1uYW1lcyI6ZmFsc2UsImRyb3BwaW5nLXBhcnRpY2xlIjoiIiwibm9uLWRyb3BwaW5nLXBhcnRpY2xlIjoiIn0seyJmYW1pbHkiOiJGbGF0byIsImdpdmVuIjoiR3JlZ29yeSIsInBhcnNlLW5hbWVzIjpmYWxzZSwiZHJvcHBpbmctcGFydGljbGUiOiIiLCJub24tZHJvcHBpbmctcGFydGljbGUiOiIifSx7ImZhbWlseSI6Ikhvd2RlbiIsImdpdmVuIjoiTWFyayIsInBhcnNlLW5hbWVzIjpmYWxzZSwiZHJvcHBpbmctcGFydGljbGUiOiIiLCJub24tZHJvcHBpbmctcGFydGljbGUiOiIifSx7ImZhbWlseSI6Ik3DqW5kZXotVmFsbGVqbyIsImdpdmVuIjoiQ2FybG9zIiwicGFyc2UtbmFtZXMiOmZhbHNlLCJkcm9wcGluZy1wYXJ0aWNsZSI6IiIsIm5vbi1kcm9wcGluZy1wYXJ0aWNsZSI6IiJ9LHsiZmFtaWx5IjoiUGVyZWlyYSIsImdpdmVuIjoiSm95IEphY3F1ZWxpbmUiLCJwYXJzZS1uYW1lcyI6ZmFsc2UsImRyb3BwaW5nLXBhcnRpY2xlIjoiIiwibm9uLWRyb3BwaW5nLXBhcnRpY2xlIjoiIn0seyJmYW1pbHkiOiJQaWNocy1NYWRydWdhIiwiZ2l2ZW4iOiJSYW3Ds24iLCJwYXJzZS1uYW1lcyI6ZmFsc2UsImRyb3BwaW5nLXBhcnRpY2xlIjoiIiwibm9uLWRyb3BwaW5nLXBhcnRpY2xlIjoiIn0seyJmYW1pbHkiOiJSb3NlIiwiZ2l2ZW4iOiJTdGV2ZW4gSy4iLCJwYXJzZS1uYW1lcyI6ZmFsc2UsImRyb3BwaW5nLXBhcnRpY2xlIjoiIiwibm9uLWRyb3BwaW5nLXBhcnRpY2xlIjoiIn0seyJmYW1pbHkiOiJTYWhlYiIsImdpdmVuIjoiWWFtaW5hIiwicGFyc2UtbmFtZXMiOmZhbHNlLCJkcm9wcGluZy1wYXJ0aWNsZSI6IiIsIm5vbi1kcm9wcGluZy1wYXJ0aWNsZSI6IiJ9LHsiZmFtaWx5IjoiU8OhbmNoZXogUm9kcsOtZ3VleiIsImdpdmVuIjoiUm9iZXJ0byIsInBhcnNlLW5hbWVzIjpmYWxzZSwiZHJvcHBpbmctcGFydGljbGUiOiIiLCJub24tZHJvcHBpbmctcGFydGljbGUiOiIifSx7ImZhbWlseSI6IsOccmdlLVZvcnNhdHoiLCJnaXZlbiI6IkRpYW5hIiwicGFyc2UtbmFtZXMiOmZhbHNlLCJkcm9wcGluZy1wYXJ0aWNsZSI6IiIsIm5vbi1kcm9wcGluZy1wYXJ0aWNsZSI6IiJ9LHsiZmFtaWx5IjoiWGlhbyIsImdpdmVuIjoiQ3VuZGUiLCJwYXJzZS1uYW1lcyI6ZmFsc2UsImRyb3BwaW5nLXBhcnRpY2xlIjoiIiwibm9uLWRyb3BwaW5nLXBhcnRpY2xlIjoiIn0seyJmYW1pbHkiOiJZYXNzYWEiLCJnaXZlbiI6Ik5vdXJlZGRpbmUiLCJwYXJzZS1uYW1lcyI6ZmFsc2UsImRyb3BwaW5nLXBhcnRpY2xlIjoiIiwibm9uLWRyb3BwaW5nLXBhcnRpY2xlIjoiIn0seyJmYW1pbHkiOiJSb21lcm8iLCJnaXZlbiI6Ikpvc8OpIiwicGFyc2UtbmFtZXMiOmZhbHNlLCJkcm9wcGluZy1wYXJ0aWNsZSI6IiIsIm5vbi1kcm9wcGluZy1wYXJ0aWNsZSI6IiJ9LHsiZmFtaWx5IjoiS2ltIiwiZ2l2ZW4iOiJKaW5taSIsInBhcnNlLW5hbWVzIjpmYWxzZSwiZHJvcHBpbmctcGFydGljbGUiOiIiLCJub24tZHJvcHBpbmctcGFydGljbGUiOiIifSx7ImZhbWlseSI6IkhhaXRlcyIsImdpdmVuIjoiRXJpayBGLiIsInBhcnNlLW5hbWVzIjpmYWxzZSwiZHJvcHBpbmctcGFydGljbGUiOiIiLCJub24tZHJvcHBpbmctcGFydGljbGUiOiIifSx7ImZhbWlseSI6Ikp1bmciLCJnaXZlbiI6IllvbmdodW4iLCJwYXJzZS1uYW1lcyI6ZmFsc2UsImRyb3BwaW5nLXBhcnRpY2xlIjoiIiwibm9uLWRyb3BwaW5nLXBhcnRpY2xlIjoiIn0seyJmYW1pbHkiOiJTdGF2aW5zIiwiZ2l2ZW4iOiJSb2JlcnQiLCJwYXJzZS1uYW1lcyI6ZmFsc2UsImRyb3BwaW5nLXBhcnRpY2xlIjoiIiwibm9uLWRyb3BwaW5nLXBhcnRpY2xlIjoiIn0seyJmYW1pbHkiOiJCaXJ0IiwiZ2l2ZW4iOiJBcmxlbmUiLCJwYXJzZS1uYW1lcyI6ZmFsc2UsImRyb3BwaW5nLXBhcnRpY2xlIjoiIiwibm9uLWRyb3BwaW5nLXBhcnRpY2xlIjoiIn0seyJmYW1pbHkiOiJIYSIsImdpdmVuIjoiTWVleW91bmciLCJwYXJzZS1uYW1lcyI6ZmFsc2UsImRyb3BwaW5nLXBhcnRpY2xlIjoiIiwibm9uLWRyb3BwaW5nLXBhcnRpY2xlIjoiIn0seyJmYW1pbHkiOiJPcmVuZGFpbiIsImdpdmVuIjoiRGFuIEplenJlZWwgQS4iLCJwYXJzZS1uYW1lcyI6ZmFsc2UsImRyb3BwaW5nLXBhcnRpY2xlIjoiIiwibm9uLWRyb3BwaW5nLXBhcnRpY2xlIjoiIn0seyJmYW1pbHkiOiJJZ25vbiIsImdpdmVuIjoiTGFuY2UiLCJwYXJzZS1uYW1lcyI6ZmFsc2UsImRyb3BwaW5nLXBhcnRpY2xlIjoiIiwibm9uLWRyb3BwaW5nLXBhcnRpY2xlIjoiIn0seyJmYW1pbHkiOiJQYXJrIiwiZ2l2ZW4iOiJTZW1pbiIsInBhcnNlLW5hbWVzIjpmYWxzZSwiZHJvcHBpbmctcGFydGljbGUiOiIiLCJub24tZHJvcHBpbmctcGFydGljbGUiOiIifSx7ImZhbWlseSI6IlBhcmsiLCJnaXZlbiI6IllvdW5naW4iLCJwYXJzZS1uYW1lcyI6ZmFsc2UsImRyb3BwaW5nLXBhcnRpY2xlIjoiIiwibm9uLWRyb3BwaW5nLXBhcnRpY2xlIjoiIn0seyJmYW1pbHkiOiJSZWlzaW5nZXIiLCJnaXZlbiI6IkFuZHkiLCJwYXJzZS1uYW1lcyI6ZmFsc2UsImRyb3BwaW5nLXBhcnRpY2xlIjoiIiwibm9uLWRyb3BwaW5nLXBhcnRpY2xlIjoiIn0seyJmYW1pbHkiOiJDYW1tYXJhbW8iLCJnaXZlbiI6IkRpZWdvIiwicGFyc2UtbmFtZXMiOmZhbHNlLCJkcm9wcGluZy1wYXJ0aWNsZSI6IiIsIm5vbi1kcm9wcGluZy1wYXJ0aWNsZSI6IiJ9LHsiZmFtaWx5IjoiRmlzY2hsaW4iLCJnaXZlbiI6IkFuZHJlYXMiLCJwYXJzZS1uYW1lcyI6ZmFsc2UsImRyb3BwaW5nLXBhcnRpY2xlIjoiIiwibm9uLWRyb3BwaW5nLXBhcnRpY2xlIjoiIn0seyJmYW1pbHkiOiJGdWdsZXN0dmVkdCIsImdpdmVuIjoiSmFuIFMuIiwicGFyc2UtbmFtZXMiOmZhbHNlLCJkcm9wcGluZy1wYXJ0aWNsZSI6IiIsIm5vbi1kcm9wcGluZy1wYXJ0aWNsZSI6IiJ9LHsiZmFtaWx5IjoiSGFuc2VuIiwiZ2l2ZW4iOiJHZXJyaXQiLCJwYXJzZS1uYW1lcyI6ZmFsc2UsImRyb3BwaW5nLXBhcnRpY2xlIjoiIiwibm9uLWRyb3BwaW5nLXBhcnRpY2xlIjoiIn0seyJmYW1pbHkiOiJMdWRkZW4iLCJnaXZlbiI6IkNobG/DqSIsInBhcnNlLW5hbWVzIjpmYWxzZSwiZHJvcHBpbmctcGFydGljbGUiOiIiLCJub24tZHJvcHBpbmctcGFydGljbGUiOiIifSx7ImZhbWlseSI6Ik1hc3Nvbi1EZWxtb3R0ZSIsImdpdmVuIjoiVmFsw6lyaWUiLCJwYXJzZS1uYW1lcyI6ZmFsc2UsImRyb3BwaW5nLXBhcnRpY2xlIjoiIiwibm9uLWRyb3BwaW5nLXBhcnRpY2xlIjoiIn0seyJmYW1pbHkiOiJNYXR0aGV3cyIsImdpdmVuIjoiSi5CLiBSb2JpbiIsInBhcnNlLW5hbWVzIjpmYWxzZSwiZHJvcHBpbmctcGFydGljbGUiOiIiLCJub24tZHJvcHBpbmctcGFydGljbGUiOiIifSx7ImZhbWlseSI6Ik1pbnRlbmJlY2siLCJnaXZlbiI6IkthdGphIiwicGFyc2UtbmFtZXMiOmZhbHNlLCJkcm9wcGluZy1wYXJ0aWNsZSI6IiIsIm5vbi1kcm9wcGluZy1wYXJ0aWNsZSI6IiJ9LHsiZmFtaWx5IjoiUGlyYW5pIiwiZ2l2ZW4iOiJBbm5hIiwicGFyc2UtbmFtZXMiOmZhbHNlLCJkcm9wcGluZy1wYXJ0aWNsZSI6IiIsIm5vbi1kcm9wcGluZy1wYXJ0aWNsZSI6IiJ9LHsiZmFtaWx5IjoiUG9sb2N6YW5za2EiLCJnaXZlbiI6IkVsdmlyYSIsInBhcnNlLW5hbWVzIjpmYWxzZSwiZHJvcHBpbmctcGFydGljbGUiOiIiLCJub24tZHJvcHBpbmctcGFydGljbGUiOiIifSx7ImZhbWlseSI6IkxlcHJpbmNlLVJpbmd1ZXQiLCJnaXZlbiI6Ik5vw6ttaWUiLCJwYXJzZS1uYW1lcyI6ZmFsc2UsImRyb3BwaW5nLXBhcnRpY2xlIjoiIiwibm9uLWRyb3BwaW5nLXBhcnRpY2xlIjoiIn0seyJmYW1pbHkiOiJQw6lhbiIsImdpdmVuIjoiQ2xvdGlsZGUiLCJwYXJzZS1uYW1lcyI6ZmFsc2UsImRyb3BwaW5nLXBhcnRpY2xlIjoiIiwibm9uLWRyb3BwaW5nLXBhcnRpY2xlIjoiIn1dLCJET0kiOiIxMC41OTMyNy9JUENDL0FSNi05Nzg5MjkxNjkxNjQ3IiwiVVJMIjoiaHR0cHM6Ly93d3cuaXBjYy5jaC9yZXBvcnQvYXI2L3N5ci8iLCJpc3N1ZWQiOnsiZGF0ZS1wYXJ0cyI6W1syMDIzLDcsMjVdXX0sImNvbnRhaW5lci10aXRsZS1zaG9ydCI6IiJ9LCJpc1RlbXBvcmFyeSI6ZmFsc2UsInN1cHByZXNzLWF1dGhvciI6ZmFsc2UsImNvbXBvc2l0ZSI6ZmFsc2UsImF1dGhvci1vbmx5IjpmYWxzZX1dfQ==&quot;,&quot;citationItems&quot;:[{&quot;id&quot;:&quot;2b9d37b3-8bdc-30a3-ba4a-7988b1d35d0d&quot;,&quot;itemData&quot;:{&quot;type&quot;:&quot;report&quot;,&quot;id&quot;:&quot;2b9d37b3-8bdc-30a3-ba4a-7988b1d35d0d&quot;,&quot;title&quot;:&quot;IPCC, 2023: Climate Change 2023: Synthesis Report. Contribution of Working Groups I, II and III to the Sixth Assessment Report of the Intergovernmental Panel on Climate Change [Core Writing Team, H. Lee and J. Romero (eds.)]. IPCC, Geneva, Switzerland.&quot;,&quot;author&quot;:[{&quot;family&quot;:&quot;Calvin&quot;,&quot;given&quot;:&quot;Katherine&quot;,&quot;parse-names&quot;:false,&quot;dropping-particle&quot;:&quot;&quot;,&quot;non-dropping-particle&quot;:&quot;&quot;},{&quot;family&quot;:&quot;Dasgupta&quot;,&quot;given&quot;:&quot;Dipak&quot;,&quot;parse-names&quot;:false,&quot;dropping-particle&quot;:&quot;&quot;,&quot;non-dropping-particle&quot;:&quot;&quot;},{&quot;family&quot;:&quot;Krinner&quot;,&quot;given&quot;:&quot;Gerhard&quot;,&quot;parse-names&quot;:false,&quot;dropping-particle&quot;:&quot;&quot;,&quot;non-dropping-particle&quot;:&quot;&quot;},{&quot;family&quot;:&quot;Mukherji&quot;,&quot;given&quot;:&quot;Aditi&quot;,&quot;parse-names&quot;:false,&quot;dropping-particle&quot;:&quot;&quot;,&quot;non-dropping-particle&quot;:&quot;&quot;},{&quot;family&quot;:&quot;Thorne&quot;,&quot;given&quot;:&quot;Peter W.&quot;,&quot;parse-names&quot;:false,&quot;dropping-particle&quot;:&quot;&quot;,&quot;non-dropping-particle&quot;:&quot;&quot;},{&quot;family&quot;:&quot;Trisos&quot;,&quot;given&quot;:&quot;Christopher&quot;,&quot;parse-names&quot;:false,&quot;dropping-particle&quot;:&quot;&quot;,&quot;non-dropping-particle&quot;:&quot;&quot;},{&quot;family&quot;:&quot;Romero&quot;,&quot;given&quot;:&quot;José&quot;,&quot;parse-names&quot;:false,&quot;dropping-particle&quot;:&quot;&quot;,&quot;non-dropping-particle&quot;:&quot;&quot;},{&quot;family&quot;:&quot;Aldunce&quot;,&quot;given&quot;:&quot;Paulina&quot;,&quot;parse-names&quot;:false,&quot;dropping-particle&quot;:&quot;&quot;,&quot;non-dropping-particle&quot;:&quot;&quot;},{&quot;family&quot;:&quot;Barrett&quot;,&quot;given&quot;:&quot;Ko&quot;,&quot;parse-names&quot;:false,&quot;dropping-particle&quot;:&quot;&quot;,&quot;non-dropping-particle&quot;:&quot;&quot;},{&quot;family&quot;:&quot;Blanco&quot;,&quot;given&quot;:&quot;Gabriel&quot;,&quot;parse-names&quot;:false,&quot;dropping-particle&quot;:&quot;&quot;,&quot;non-dropping-particle&quot;:&quot;&quot;},{&quot;family&quot;:&quot;Cheung&quot;,&quot;given&quot;:&quot;William W.L.&quot;,&quot;parse-names&quot;:false,&quot;dropping-particle&quot;:&quot;&quot;,&quot;non-dropping-particle&quot;:&quot;&quot;},{&quot;family&quot;:&quot;Connors&quot;,&quot;given&quot;:&quot;Sarah&quot;,&quot;parse-names&quot;:false,&quot;dropping-particle&quot;:&quot;&quot;,&quot;non-dropping-particle&quot;:&quot;&quot;},{&quot;family&quot;:&quot;Denton&quot;,&quot;given&quot;:&quot;Fatima&quot;,&quot;parse-names&quot;:false,&quot;dropping-particle&quot;:&quot;&quot;,&quot;non-dropping-particle&quot;:&quot;&quot;},{&quot;family&quot;:&quot;Diongue-Niang&quot;,&quot;given&quot;:&quot;Aïda&quot;,&quot;parse-names&quot;:false,&quot;dropping-particle&quot;:&quot;&quot;,&quot;non-dropping-particle&quot;:&quot;&quot;},{&quot;family&quot;:&quot;Dodman&quot;,&quot;given&quot;:&quot;David&quot;,&quot;parse-names&quot;:false,&quot;dropping-particle&quot;:&quot;&quot;,&quot;non-dropping-particle&quot;:&quot;&quot;},{&quot;family&quot;:&quot;Garschagen&quot;,&quot;given&quot;:&quot;Matthias&quot;,&quot;parse-names&quot;:false,&quot;dropping-particle&quot;:&quot;&quot;,&quot;non-dropping-particle&quot;:&quot;&quot;},{&quot;family&quot;:&quot;Geden&quot;,&quot;given&quot;:&quot;Oliver&quot;,&quot;parse-names&quot;:false,&quot;dropping-particle&quot;:&quot;&quot;,&quot;non-dropping-particle&quot;:&quot;&quot;},{&quot;family&quot;:&quot;Hayward&quot;,&quot;given&quot;:&quot;Bronwyn&quot;,&quot;parse-names&quot;:false,&quot;dropping-particle&quot;:&quot;&quot;,&quot;non-dropping-particle&quot;:&quot;&quot;},{&quot;family&quot;:&quot;Jones&quot;,&quot;given&quot;:&quot;Christopher&quot;,&quot;parse-names&quot;:false,&quot;dropping-particle&quot;:&quot;&quot;,&quot;non-dropping-particle&quot;:&quot;&quot;},{&quot;family&quot;:&quot;Jotzo&quot;,&quot;given&quot;:&quot;Frank&quot;,&quot;parse-names&quot;:false,&quot;dropping-particle&quot;:&quot;&quot;,&quot;non-dropping-particle&quot;:&quot;&quot;},{&quot;family&quot;:&quot;Krug&quot;,&quot;given&quot;:&quot;Thelma&quot;,&quot;parse-names&quot;:false,&quot;dropping-particle&quot;:&quot;&quot;,&quot;non-dropping-particle&quot;:&quot;&quot;},{&quot;family&quot;:&quot;Lasco&quot;,&quot;given&quot;:&quot;Rodel&quot;,&quot;parse-names&quot;:false,&quot;dropping-particle&quot;:&quot;&quot;,&quot;non-dropping-particle&quot;:&quot;&quot;},{&quot;family&quot;:&quot;Lee&quot;,&quot;given&quot;:&quot;Yune-Yi&quot;,&quot;parse-names&quot;:false,&quot;dropping-particle&quot;:&quot;&quot;,&quot;non-dropping-particle&quot;:&quot;&quot;},{&quot;family&quot;:&quot;Masson-Delmotte&quot;,&quot;given&quot;:&quot;Valérie&quot;,&quot;parse-names&quot;:false,&quot;dropping-particle&quot;:&quot;&quot;,&quot;non-dropping-particle&quot;:&quot;&quot;},{&quot;family&quot;:&quot;Meinshausen&quot;,&quot;given&quot;:&quot;Malte&quot;,&quot;parse-names&quot;:false,&quot;dropping-particle&quot;:&quot;&quot;,&quot;non-dropping-particle&quot;:&quot;&quot;},{&quot;family&quot;:&quot;Mintenbeck&quot;,&quot;given&quot;:&quot;Katja&quot;,&quot;parse-names&quot;:false,&quot;dropping-particle&quot;:&quot;&quot;,&quot;non-dropping-particle&quot;:&quot;&quot;},{&quot;family&quot;:&quot;Mokssit&quot;,&quot;given&quot;:&quot;Abdalah&quot;,&quot;parse-names&quot;:false,&quot;dropping-particle&quot;:&quot;&quot;,&quot;non-dropping-particle&quot;:&quot;&quot;},{&quot;family&quot;:&quot;Otto&quot;,&quot;given&quot;:&quot;Friederike E.L.&quot;,&quot;parse-names&quot;:false,&quot;dropping-particle&quot;:&quot;&quot;,&quot;non-dropping-particle&quot;:&quot;&quot;},{&quot;family&quot;:&quot;Pathak&quot;,&quot;given&quot;:&quot;Minal&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Pörtner&quot;,&quot;given&quot;:&quot;Hans-Otto&quot;,&quot;parse-names&quot;:false,&quot;dropping-particle&quot;:&quot;&quot;,&quot;non-dropping-particle&quot;:&quot;&quot;},{&quot;family&quot;:&quot;Revi&quot;,&quot;given&quot;:&quot;Aromar&quot;,&quot;parse-names&quot;:false,&quot;dropping-particle&quot;:&quot;&quot;,&quot;non-dropping-particle&quot;:&quot;&quot;},{&quot;family&quot;:&quot;Roberts&quot;,&quot;given&quot;:&quot;Debra C.&quot;,&quot;parse-names&quot;:false,&quot;dropping-particle&quot;:&quot;&quot;,&quot;non-dropping-particle&quot;:&quot;&quot;},{&quot;family&quot;:&quot;Roy&quot;,&quot;given&quot;:&quot;Joyashree&quot;,&quot;parse-names&quot;:false,&quot;dropping-particle&quot;:&quot;&quot;,&quot;non-dropping-particle&quot;:&quot;&quot;},{&quot;family&quot;:&quot;Ruane&quot;,&quot;given&quot;:&quot;Alex C.&quot;,&quot;parse-names&quot;:false,&quot;dropping-particle&quot;:&quot;&quot;,&quot;non-dropping-particle&quot;:&quot;&quot;},{&quot;family&quot;:&quot;Skea&quot;,&quot;given&quot;:&quot;Jim&quot;,&quot;parse-names&quot;:false,&quot;dropping-particle&quot;:&quot;&quot;,&quot;non-dropping-particle&quot;:&quot;&quot;},{&quot;family&quot;:&quot;Shukla&quot;,&quot;given&quot;:&quot;Priyadarshi R.&quot;,&quot;parse-names&quot;:false,&quot;dropping-particle&quot;:&quot;&quot;,&quot;non-dropping-particle&quot;:&quot;&quot;},{&quot;family&quot;:&quot;Slade&quot;,&quot;given&quot;:&quot;Raphael&quot;,&quot;parse-names&quot;:false,&quot;dropping-particle&quot;:&quot;&quot;,&quot;non-dropping-particle&quot;:&quot;&quot;},{&quot;family&quot;:&quot;Slangen&quot;,&quot;given&quot;:&quot;Aimée&quot;,&quot;parse-names&quot;:false,&quot;dropping-particle&quot;:&quot;&quot;,&quot;non-dropping-particle&quot;:&quot;&quot;},{&quot;family&quot;:&quot;Sokona&quot;,&quot;given&quot;:&quot;Youba&quot;,&quot;parse-names&quot;:false,&quot;dropping-particle&quot;:&quot;&quot;,&quot;non-dropping-particle&quot;:&quot;&quot;},{&quot;family&quot;:&quot;Sörensson&quot;,&quot;given&quot;:&quot;Anna A.&quot;,&quot;parse-names&quot;:false,&quot;dropping-particle&quot;:&quot;&quot;,&quot;non-dropping-particle&quot;:&quot;&quot;},{&quot;family&quot;:&quot;Tignor&quot;,&quot;given&quot;:&quot;Melinda&quot;,&quot;parse-names&quot;:false,&quot;dropping-particle&quot;:&quot;&quot;,&quot;non-dropping-particle&quot;:&quot;&quot;},{&quot;family&quot;:&quot;Vuuren&quot;,&quot;given&quot;:&quot;Detlef&quot;,&quot;parse-names&quot;:false,&quot;dropping-particle&quot;:&quot;&quot;,&quot;non-dropping-particle&quot;:&quot;van&quot;},{&quot;family&quot;:&quot;Wei&quot;,&quot;given&quot;:&quot;Yi-Ming&quot;,&quot;parse-names&quot;:false,&quot;dropping-particle&quot;:&quot;&quot;,&quot;non-dropping-particle&quot;:&quot;&quot;},{&quot;family&quot;:&quot;Winkler&quot;,&quot;given&quot;:&quot;Harald&quot;,&quot;parse-names&quot;:false,&quot;dropping-particle&quot;:&quot;&quot;,&quot;non-dropping-particle&quot;:&quot;&quot;},{&quot;family&quot;:&quot;Zhai&quot;,&quot;given&quot;:&quot;Panmao&quot;,&quot;parse-names&quot;:false,&quot;dropping-particle&quot;:&quot;&quot;,&quot;non-dropping-particle&quot;:&quot;&quot;},{&quot;family&quot;:&quot;Zommers&quot;,&quot;given&quot;:&quot;Zinta&quot;,&quot;parse-names&quot;:false,&quot;dropping-particle&quot;:&quot;&quot;,&quot;non-dropping-particle&quot;:&quot;&quot;},{&quot;family&quot;:&quot;Hourcade&quot;,&quot;given&quot;:&quot;Jean-Charles&quot;,&quot;parse-names&quot;:false,&quot;dropping-particle&quot;:&quot;&quot;,&quot;non-dropping-particle&quot;:&quot;&quot;},{&quot;family&quot;:&quot;Johnson&quot;,&quot;given&quot;:&quot;Francis X.&quot;,&quot;parse-names&quot;:false,&quot;dropping-particle&quot;:&quot;&quot;,&quot;non-dropping-particle&quot;:&quot;&quot;},{&quot;family&quot;:&quot;Pachauri&quot;,&quot;given&quot;:&quot;Shonali&quot;,&quot;parse-names&quot;:false,&quot;dropping-particle&quot;:&quot;&quot;,&quot;non-dropping-particle&quot;:&quot;&quot;},{&quot;family&quot;:&quot;Simpson&quot;,&quot;given&quot;:&quot;Nicholas P.&quot;,&quot;parse-names&quot;:false,&quot;dropping-particle&quot;:&quot;&quot;,&quot;non-dropping-particle&quot;:&quot;&quot;},{&quot;family&quot;:&quot;Singh&quot;,&quot;given&quot;:&quot;Chandni&quot;,&quot;parse-names&quot;:false,&quot;dropping-particle&quot;:&quot;&quot;,&quot;non-dropping-particle&quot;:&quot;&quot;},{&quot;family&quot;:&quot;Thomas&quot;,&quot;given&quot;:&quot;Adelle&quot;,&quot;parse-names&quot;:false,&quot;dropping-particle&quot;:&quot;&quot;,&quot;non-dropping-particle&quot;:&quot;&quot;},{&quot;family&quot;:&quot;Totin&quot;,&quot;given&quot;:&quot;Edmond&quot;,&quot;parse-names&quot;:false,&quot;dropping-particle&quot;:&quot;&quot;,&quot;non-dropping-particle&quot;:&quot;&quot;},{&quot;family&quot;:&quot;Alegría&quot;,&quot;given&quot;:&quot;Andrés&quot;,&quot;parse-names&quot;:false,&quot;dropping-particle&quot;:&quot;&quot;,&quot;non-dropping-particle&quot;:&quot;&quot;},{&quot;family&quot;:&quot;Armour&quot;,&quot;given&quot;:&quot;Kyle&quot;,&quot;parse-names&quot;:false,&quot;dropping-particle&quot;:&quot;&quot;,&quot;non-dropping-particle&quot;:&quot;&quot;},{&quot;family&quot;:&quot;Bednar-Friedl&quot;,&quot;given&quot;:&quot;Birgit&quot;,&quot;parse-names&quot;:false,&quot;dropping-particle&quot;:&quot;&quot;,&quot;non-dropping-particle&quot;:&quot;&quot;},{&quot;family&quot;:&quot;Blok&quot;,&quot;given&quot;:&quot;Kornelis&quot;,&quot;parse-names&quot;:false,&quot;dropping-particle&quot;:&quot;&quot;,&quot;non-dropping-particle&quot;:&quot;&quot;},{&quot;family&quot;:&quot;Cissé&quot;,&quot;given&quot;:&quot;Guéladio&quot;,&quot;parse-names&quot;:false,&quot;dropping-particle&quot;:&quot;&quot;,&quot;non-dropping-particle&quot;:&quot;&quot;},{&quot;family&quot;:&quot;Dentener&quot;,&quot;given&quot;:&quot;Frank&quot;,&quot;parse-names&quot;:false,&quot;dropping-particle&quot;:&quot;&quot;,&quot;non-dropping-particle&quot;:&quot;&quot;},{&quot;family&quot;:&quot;Eriksen&quot;,&quot;given&quot;:&quot;Siri&quot;,&quot;parse-names&quot;:false,&quot;dropping-particle&quot;:&quot;&quot;,&quot;non-dropping-particle&quot;:&quot;&quot;},{&quot;family&quot;:&quot;Fischer&quot;,&quot;given&quot;:&quot;Erich&quot;,&quot;parse-names&quot;:false,&quot;dropping-particle&quot;:&quot;&quot;,&quot;non-dropping-particle&quot;:&quot;&quot;},{&quot;family&quot;:&quot;Garner&quot;,&quot;given&quot;:&quot;Gregory&quot;,&quot;parse-names&quot;:false,&quot;dropping-particle&quot;:&quot;&quot;,&quot;non-dropping-particle&quot;:&quot;&quot;},{&quot;family&quot;:&quot;Guivarch&quot;,&quot;given&quot;:&quot;Céline&quot;,&quot;parse-names&quot;:false,&quot;dropping-particle&quot;:&quot;&quot;,&quot;non-dropping-particle&quot;:&quot;&quot;},{&quot;family&quot;:&quot;Haasnoot&quot;,&quot;given&quot;:&quot;Marjolijn&quot;,&quot;parse-names&quot;:false,&quot;dropping-particle&quot;:&quot;&quot;,&quot;non-dropping-particle&quot;:&quot;&quot;},{&quot;family&quot;:&quot;Hansen&quot;,&quot;given&quot;:&quot;Gerrit&quot;,&quot;parse-names&quot;:false,&quot;dropping-particle&quot;:&quot;&quot;,&quot;non-dropping-particle&quot;:&quot;&quot;},{&quot;family&quot;:&quot;Hauser&quot;,&quot;given&quot;:&quot;Mathias&quot;,&quot;parse-names&quot;:false,&quot;dropping-particle&quot;:&quot;&quot;,&quot;non-dropping-particle&quot;:&quot;&quot;},{&quot;family&quot;:&quot;Hawkins&quot;,&quot;given&quot;:&quot;Ed&quot;,&quot;parse-names&quot;:false,&quot;dropping-particle&quot;:&quot;&quot;,&quot;non-dropping-particle&quot;:&quot;&quot;},{&quot;family&quot;:&quot;Hermans&quot;,&quot;given&quot;:&quot;Tim&quot;,&quot;parse-names&quot;:false,&quot;dropping-particle&quot;:&quot;&quot;,&quot;non-dropping-particle&quot;:&quot;&quot;},{&quot;family&quot;:&quot;Kopp&quot;,&quot;given&quot;:&quot;Robert&quot;,&quot;parse-names&quot;:false,&quot;dropping-particle&quot;:&quot;&quot;,&quot;non-dropping-particle&quot;:&quot;&quot;},{&quot;family&quot;:&quot;Leprince-Ringuet&quot;,&quot;given&quot;:&quot;Noëmie&quot;,&quot;parse-names&quot;:false,&quot;dropping-particle&quot;:&quot;&quot;,&quot;non-dropping-particle&quot;:&quot;&quot;},{&quot;family&quot;:&quot;Lewis&quot;,&quot;given&quot;:&quot;Jared&quot;,&quot;parse-names&quot;:false,&quot;dropping-particle&quot;:&quot;&quot;,&quot;non-dropping-particle&quot;:&quot;&quot;},{&quot;family&quot;:&quot;Ley&quot;,&quot;given&quot;:&quot;Debora&quot;,&quot;parse-names&quot;:false,&quot;dropping-particle&quot;:&quot;&quot;,&quot;non-dropping-particle&quot;:&quot;&quot;},{&quot;family&quot;:&quot;Ludden&quot;,&quot;given&quot;:&quot;Chloé&quot;,&quot;parse-names&quot;:false,&quot;dropping-particle&quot;:&quot;&quot;,&quot;non-dropping-particle&quot;:&quot;&quot;},{&quot;family&quot;:&quot;Niamir&quot;,&quot;given&quot;:&quot;Leila&quot;,&quot;parse-names&quot;:false,&quot;dropping-particle&quot;:&quot;&quot;,&quot;non-dropping-particle&quot;:&quot;&quot;},{&quot;family&quot;:&quot;Nicholls&quot;,&quot;given&quot;:&quot;Zebedee&quot;,&quot;parse-names&quot;:false,&quot;dropping-particle&quot;:&quot;&quot;,&quot;non-dropping-particle&quot;:&quot;&quot;},{&quot;family&quot;:&quot;Some&quot;,&quot;given&quot;:&quot;Shrey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Wijst&quot;,&quot;given&quot;:&quot;Kaj-Ivar&quot;,&quot;parse-names&quot;:false,&quot;dropping-particle&quot;:&quot;&quot;,&quot;non-dropping-particle&quot;:&quot;van der&quot;},{&quot;family&quot;:&quot;Winter&quot;,&quot;given&quot;:&quot;Gundula&quot;,&quot;parse-names&quot;:false,&quot;dropping-particle&quot;:&quot;&quot;,&quot;non-dropping-particle&quot;:&quot;&quot;},{&quot;family&quot;:&quot;Witting&quot;,&quot;given&quot;:&quot;Maximilian&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editor&quot;:[{&quot;family&quot;:&quot;Arias&quot;,&quot;given&quot;:&quot;Paola&quot;,&quot;parse-names&quot;:false,&quot;dropping-particle&quot;:&quot;&quot;,&quot;non-dropping-particle&quot;:&quot;&quot;},{&quot;family&quot;:&quot;Bustamante&quot;,&quot;given&quot;:&quot;Mercedes&quot;,&quot;parse-names&quot;:false,&quot;dropping-particle&quot;:&quot;&quot;,&quot;non-dropping-particle&quot;:&quot;&quot;},{&quot;family&quot;:&quot;Elgizouli&quot;,&quot;given&quot;:&quot;Ismail&quot;,&quot;parse-names&quot;:false,&quot;dropping-particle&quot;:&quot;&quot;,&quot;non-dropping-particle&quot;:&quot;&quot;},{&quot;family&quot;:&quot;Flato&quot;,&quot;given&quot;:&quot;Gregory&quot;,&quot;parse-names&quot;:false,&quot;dropping-particle&quot;:&quot;&quot;,&quot;non-dropping-particle&quot;:&quot;&quot;},{&quot;family&quot;:&quot;Howden&quot;,&quot;given&quot;:&quot;Mark&quot;,&quot;parse-names&quot;:false,&quot;dropping-particle&quot;:&quot;&quot;,&quot;non-dropping-particle&quot;:&quot;&quot;},{&quot;family&quot;:&quot;Méndez-Vallejo&quot;,&quot;given&quot;:&quot;Carlos&quot;,&quot;parse-names&quot;:false,&quot;dropping-particle&quot;:&quot;&quot;,&quot;non-dropping-particle&quot;:&quot;&quot;},{&quot;family&quot;:&quot;Pereira&quot;,&quot;given&quot;:&quot;Joy Jacqueline&quot;,&quot;parse-names&quot;:false,&quot;dropping-particle&quot;:&quot;&quot;,&quot;non-dropping-particle&quot;:&quot;&quot;},{&quot;family&quot;:&quot;Pichs-Madruga&quot;,&quot;given&quot;:&quot;Ramón&quot;,&quot;parse-names&quot;:false,&quot;dropping-particle&quot;:&quot;&quot;,&quot;non-dropping-particle&quot;:&quot;&quot;},{&quot;family&quot;:&quot;Rose&quot;,&quot;given&quot;:&quot;Steven K.&quot;,&quot;parse-names&quot;:false,&quot;dropping-particle&quot;:&quot;&quot;,&quot;non-dropping-particle&quot;:&quot;&quot;},{&quot;family&quot;:&quot;Saheb&quot;,&quot;given&quot;:&quot;Yamina&quot;,&quot;parse-names&quot;:false,&quot;dropping-particle&quot;:&quot;&quot;,&quot;non-dropping-particle&quot;:&quot;&quot;},{&quot;family&quot;:&quot;Sánchez Rodríguez&quot;,&quot;given&quot;:&quot;Roberto&quot;,&quot;parse-names&quot;:false,&quot;dropping-particle&quot;:&quot;&quot;,&quot;non-dropping-particle&quot;:&quot;&quot;},{&quot;family&quot;:&quot;Ürge-Vorsatz&quot;,&quot;given&quot;:&quot;Diana&quot;,&quot;parse-names&quot;:false,&quot;dropping-particle&quot;:&quot;&quot;,&quot;non-dropping-particle&quot;:&quot;&quot;},{&quot;family&quot;:&quot;Xiao&quot;,&quot;given&quot;:&quot;Cunde&quot;,&quot;parse-names&quot;:false,&quot;dropping-particle&quot;:&quot;&quot;,&quot;non-dropping-particle&quot;:&quot;&quot;},{&quot;family&quot;:&quot;Yassaa&quot;,&quot;given&quot;:&quot;Noureddine&quot;,&quot;parse-names&quot;:false,&quot;dropping-particle&quot;:&quot;&quot;,&quot;non-dropping-particle&quot;:&quot;&quot;},{&quot;family&quot;:&quot;Romero&quot;,&quot;given&quot;:&quot;José&quot;,&quot;parse-names&quot;:false,&quot;dropping-particle&quot;:&quot;&quot;,&quot;non-dropping-particle&quot;:&quot;&quot;},{&quot;family&quot;:&quot;Kim&quot;,&quot;given&quot;:&quot;Jinmi&quot;,&quot;parse-names&quot;:false,&quot;dropping-particle&quot;:&quot;&quot;,&quot;non-dropping-particle&quot;:&quot;&quot;},{&quot;family&quot;:&quot;Haites&quot;,&quot;given&quot;:&quot;Erik F.&quot;,&quot;parse-names&quot;:false,&quot;dropping-particle&quot;:&quot;&quot;,&quot;non-dropping-particle&quot;:&quot;&quot;},{&quot;family&quot;:&quot;Jung&quot;,&quot;given&quot;:&quot;Yonghun&quot;,&quot;parse-names&quot;:false,&quot;dropping-particle&quot;:&quot;&quot;,&quot;non-dropping-particle&quot;:&quot;&quot;},{&quot;family&quot;:&quot;Stavins&quot;,&quot;given&quot;:&quot;Robert&quot;,&quot;parse-names&quot;:false,&quot;dropping-particle&quot;:&quot;&quot;,&quot;non-dropping-particle&quot;:&quot;&quot;},{&quot;family&quot;:&quot;Birt&quot;,&quot;given&quot;:&quot;Arlene&quot;,&quot;parse-names&quot;:false,&quot;dropping-particle&quot;:&quot;&quot;,&quot;non-dropping-particle&quot;:&quot;&quot;},{&quot;family&quot;:&quot;Ha&quot;,&quot;given&quot;:&quot;Meeyoung&quot;,&quot;parse-names&quot;:false,&quot;dropping-particle&quot;:&quot;&quot;,&quot;non-dropping-particle&quot;:&quot;&quot;},{&quot;family&quot;:&quot;Orendain&quot;,&quot;given&quot;:&quot;Dan Jezreel A.&quot;,&quot;parse-names&quot;:false,&quot;dropping-particle&quot;:&quot;&quot;,&quot;non-dropping-particle&quot;:&quot;&quot;},{&quot;family&quot;:&quot;Ignon&quot;,&quot;given&quot;:&quot;Lance&quot;,&quot;parse-names&quot;:false,&quot;dropping-particle&quot;:&quot;&quot;,&quot;non-dropping-particle&quot;:&quot;&quot;},{&quot;family&quot;:&quot;Park&quot;,&quot;given&quot;:&quot;Semin&quot;,&quot;parse-names&quot;:false,&quot;dropping-particle&quot;:&quot;&quot;,&quot;non-dropping-particle&quot;:&quot;&quot;},{&quot;family&quot;:&quot;Park&quot;,&quot;given&quot;:&quot;Youngin&quot;,&quot;parse-names&quot;:false,&quot;dropping-particle&quot;:&quot;&quot;,&quot;non-dropping-particle&quot;:&quot;&quot;},{&quot;family&quot;:&quot;Reisinger&quot;,&quot;given&quot;:&quot;Andy&quot;,&quot;parse-names&quot;:false,&quot;dropping-particle&quot;:&quot;&quot;,&quot;non-dropping-particle&quot;:&quot;&quot;},{&quot;family&quot;:&quot;Cammaramo&quot;,&quot;given&quot;:&quot;Diego&quot;,&quot;parse-names&quot;:false,&quot;dropping-particle&quot;:&quot;&quot;,&quot;non-dropping-particle&quot;:&quot;&quot;},{&quot;family&quot;:&quot;Fischlin&quot;,&quot;given&quot;:&quot;Andreas&quot;,&quot;parse-names&quot;:false,&quot;dropping-particle&quot;:&quot;&quot;,&quot;non-dropping-particle&quot;:&quot;&quot;},{&quot;family&quot;:&quot;Fuglestvedt&quot;,&quot;given&quot;:&quot;Jan S.&quot;,&quot;parse-names&quot;:false,&quot;dropping-particle&quot;:&quot;&quot;,&quot;non-dropping-particle&quot;:&quot;&quot;},{&quot;family&quot;:&quot;Hansen&quot;,&quot;given&quot;:&quot;Gerrit&quot;,&quot;parse-names&quot;:false,&quot;dropping-particle&quot;:&quot;&quot;,&quot;non-dropping-particle&quot;:&quot;&quot;},{&quot;family&quot;:&quot;Ludden&quot;,&quot;given&quot;:&quot;Chloé&quot;,&quot;parse-names&quot;:false,&quot;dropping-particle&quot;:&quot;&quot;,&quot;non-dropping-particle&quot;:&quot;&quot;},{&quot;family&quot;:&quot;Masson-Delmotte&quot;,&quot;given&quot;:&quot;Valérie&quot;,&quot;parse-names&quot;:false,&quot;dropping-particle&quot;:&quot;&quot;,&quot;non-dropping-particle&quot;:&quot;&quot;},{&quot;family&quot;:&quot;Matthews&quot;,&quot;given&quot;:&quot;J.B. Robin&quot;,&quot;parse-names&quot;:false,&quot;dropping-particle&quot;:&quot;&quot;,&quot;non-dropping-particle&quot;:&quot;&quot;},{&quot;family&quot;:&quot;Mintenbeck&quot;,&quot;given&quot;:&quot;Katja&quot;,&quot;parse-names&quot;:false,&quot;dropping-particle&quot;:&quot;&quot;,&quot;non-dropping-particle&quot;:&quot;&quot;},{&quot;family&quot;:&quot;Pirani&quot;,&quot;given&quot;:&quot;Anna&quot;,&quot;parse-names&quot;:false,&quot;dropping-particle&quot;:&quot;&quot;,&quot;non-dropping-particle&quot;:&quot;&quot;},{&quot;family&quot;:&quot;Poloczanska&quot;,&quot;given&quot;:&quot;Elvira&quot;,&quot;parse-names&quot;:false,&quot;dropping-particle&quot;:&quot;&quot;,&quot;non-dropping-particle&quot;:&quot;&quot;},{&quot;family&quot;:&quot;Leprince-Ringuet&quot;,&quot;given&quot;:&quot;Noëmie&quot;,&quot;parse-names&quot;:false,&quot;dropping-particle&quot;:&quot;&quot;,&quot;non-dropping-particle&quot;:&quot;&quot;},{&quot;family&quot;:&quot;Péan&quot;,&quot;given&quot;:&quot;Clotilde&quot;,&quot;parse-names&quot;:false,&quot;dropping-particle&quot;:&quot;&quot;,&quot;non-dropping-particle&quot;:&quot;&quot;}],&quot;DOI&quot;:&quot;10.59327/IPCC/AR6-9789291691647&quot;,&quot;URL&quot;:&quot;https://www.ipcc.ch/report/ar6/syr/&quot;,&quot;issued&quot;:{&quot;date-parts&quot;:[[2023,7,25]]},&quot;container-title-short&quot;:&quot;&quot;},&quot;isTemporary&quot;:false,&quot;suppress-author&quot;:false,&quot;composite&quot;:false,&quot;author-only&quot;:false}]},{&quot;citationID&quot;:&quot;MENDELEY_CITATION_beaea7b1-6fb1-4d09-9dd8-fbcd07d5bd23&quot;,&quot;properties&quot;:{&quot;noteIndex&quot;:0},&quot;isEdited&quot;:false,&quot;manualOverride&quot;:{&quot;isManuallyOverridden&quot;:false,&quot;citeprocText&quot;:&quot;(Karim et al., 2021)&quot;,&quot;manualOverrideText&quot;:&quot;&quot;},&quot;citationTag&quot;:&quot;MENDELEY_CITATION_v3_eyJjaXRhdGlvbklEIjoiTUVOREVMRVlfQ0lUQVRJT05fYmVhZWE3YjEtNmZiMS00ZDA5LTlkZDgtZmJjZDA3ZDViZDIzIiwicHJvcGVydGllcyI6eyJub3RlSW5kZXgiOjB9LCJpc0VkaXRlZCI6ZmFsc2UsIm1hbnVhbE92ZXJyaWRlIjp7ImlzTWFudWFsbHlPdmVycmlkZGVuIjpmYWxzZSwiY2l0ZXByb2NUZXh0IjoiKEthcmltIGV0IGFsLiwgMjAyMSkiLCJtYW51YWxPdmVycmlkZVRleHQiOiIifSwiY2l0YXRpb25JdGVtcyI6W3siaWQiOiI3ZjBhZWZjZS1iYTJhLTM1NjAtYjg2YS1kZGVjMjA4ZjYwZjUiLCJpdGVtRGF0YSI6eyJ0eXBlIjoiYXJ0aWNsZS1qb3VybmFsIiwiaWQiOiI3ZjBhZWZjZS1iYTJhLTM1NjAtYjg2YS1kZGVjMjA4ZjYwZjUiLCJ0aXRsZSI6IkEgbm92ZWwgbWVhc3VyZSBvZiBjb3Jwb3JhdGUgY2FyYm9uIGVtaXNzaW9uIGRpc2Nsb3N1cmUsIHRoZSBlZmZlY3Qgb2YgY2FwaXRhbCBleHBlbmRpdHVyZXMgYW5kIGNvcnBvcmF0ZSBnb3Zlcm5hbmNlIiwiYXV0aG9yIjpbeyJmYW1pbHkiOiJLYXJpbSIsImdpdmVuIjoiQVRNIEVuYXlldCIsInBhcnNlLW5hbWVzIjpmYWxzZSwiZHJvcHBpbmctcGFydGljbGUiOiIiLCJub24tZHJvcHBpbmctcGFydGljbGUiOiIifSx7ImZhbWlseSI6IkFsYml0YXIiLCJnaXZlbiI6IktoYWxkb29uIiwicGFyc2UtbmFtZXMiOmZhbHNlLCJkcm9wcGluZy1wYXJ0aWNsZSI6IiIsIm5vbi1kcm9wcGluZy1wYXJ0aWNsZSI6IiJ9LHsiZmFtaWx5IjoiRWxtYXJ6b3VreSIsImdpdmVuIjoiTWFobW91ZCIsInBhcnNlLW5hbWVzIjpmYWxzZSwiZHJvcHBpbmctcGFydGljbGUiOiIiLCJub24tZHJvcHBpbmctcGFydGljbGUiOiIifV0sImNvbnRhaW5lci10aXRsZSI6IkpvdXJuYWwgb2YgRW52aXJvbm1lbnRhbCBNYW5hZ2VtZW50IiwiY29udGFpbmVyLXRpdGxlLXNob3J0IjoiSiBFbnZpcm9uIE1hbmFnZSIsIkRPSSI6IjEwLjEwMTYvai5qZW52bWFuLjIwMjEuMTEyNTgxIiwiSVNTTiI6IjEwOTU4NjMwIiwiUE1JRCI6IjMzODY2MDg2IiwiaXNzdWVkIjp7ImRhdGUtcGFydHMiOltbMjAyMSw3LDE1XV19LCJhYnN0cmFjdCI6IlRoZSBVSydzIDIwNTAgbmV0LXplcm8gZW1pc3Npb24gdGFyZ2V0IGlzIG9uZSBvZiB0aGUgbW9zdCBhbWJpdGlvdXMgZ29hbHMgaW4gdGhlIHdvcmxkLiBPcmdhbmlzYXRpb25zIHNob3VsZCBwbGF5IGEgdml0YWwgcm9sZSBieSBjb21tdW5pY2F0aW5nIGEgc3VmZmljaWVudCBsZXZlbCBvZiBjYXJib24gZW1pc3Npb24gaW5mb3JtYXRpb24gd2l0aCB0aGUgc3Rha2Vob2xkZXJzLiBNb3RpdmF0ZWQgYnkgdGhlIG5lY2Vzc2l0eSBvZiBtZWFzdXJpbmcgdGhlIGxldmVsIG9mIGNhcmJvbiBkaXNjbG9zdXJlLCB0aGlzIHBhcGVyIHByb3ZpZGVzIGEgdW5pcXVlIGNhcmJvbiBlbWlzc2lvbiBkaXNjbG9zdXJlIG1lYXN1cmVtZW50IGJhc2VkIG9uIGEgc2FtcGxlIG9mIFVLIGZpcm1zIGZyb20gMjAxMyB0byAyMDE5LiBXZSBhcHBseSBkaWZmZXJlbnQgbWV0aG9kcyB0byBhc3Nlc3MgdGhlIHZhbGlkaXR5IGFuZCByZWxpYWJpbGl0eSBvZiBvdXIgZGV2ZWxvcGVkIG1lYXN1cmVtZW50LiBUaGUgcmVzdWx0cyBzdWdnZXN0IHRoYXQgb3VyIG1lYXN1cmVtZW50IGNhcHR1cmVzIHRoZSBhY3R1YWwgQ08yIGVtaXNzaW9uLCBpbmNsdWRpbmcgc2NvcGUgMSwgc2NvcGUgMiwgYW5kIGFsc28gY2FwdHVyZXMgdGhlIGVudmlyb25tZW50YWwsIHNvY2lhbCBhbmQgZ292ZXJuYW5jZSAoRVNHKSBzY29yZS4gQWRkaXRpb25hbGx5LCB3ZSBleHBsb3JlIHRoZSBhc3NvY2lhdGlvbiBiZXR3ZWVuIGNhcGl0YWwgZXhwZW5kaXR1cmUsIGNvcnBvcmF0ZSBnb3Zlcm5hbmNlIGFuZCB0aGUgbGV2ZWwgb2YgY2FyYm9uIGVtaXNzaW9uIGRpc2Nsb3N1cmUuIEZ1cnRoZXIsIHRoZSByZXN1bHRzIHNob3cgYSBwb3NpdGl2ZSByZWxhdGlvbnNoaXAgYmV0d2VlbiBjYXBpdGFsIGV4cGVuZGl0dXJlIGFuZCBjYXJib24gZW1pc3Npb24gZGlzY2xvc3VyZS4gQWxzbywgdGhlcmUgaXMgYSBzaWduaWZpY2FudCBwb3NpdGl2ZSByZWxhdGlvbnNoaXAgYmV0d2VlbiBpbnRlcm5hbCBnb3Zlcm5hbmNlIGFuZCBjYXJib24gZW1pc3Npb24gZGlzY2xvc3VyZS4gTW9yZW92ZXIsIHRoZSBhbmFseXNpcyBzdWdnZXN0cyB0aGF0IGludGVybmFsIGdvdmVybmFuY2Ugc3RyZW5ndGhlbiB0aGUgcmVsYXRpb25zaGlwIGJldHdlZW4gY2FwaXRhbCBleHBlbmRpdHVyZSBhbmQgY2FyYm9uIGVtaXNzaW9uIGRpc2Nsb3N1cmUuIFdlIGFsc28gdXNlIHF1YW50aWxlIHJlZ3Jlc3Npb24sIGFuZCB0aGUgZmluZGluZ3Mgc2hvdyB0aGF0IGNhcGl0YWwgZXhwZW5kaXR1cmUgYW5kIGludGVybmFsIGdvdmVybmFuY2UgaGF2ZSBhIHBvc2l0aXZlIGltcGFjdCBvbiBjYXJib24gZW1pc3Npb24gZGlzY2xvc3VyZSB1bmRlciBhbGwgcXVhbnRpbGVzLiBPdXIgZGF0YSBzdWdnZXN0IHRoYXQgY2FwaXRhbCBleHBlbmRpdHVyZSBkZWNsaW5lcyB3aXRoaW4gdGhlIFVLIGJ5IGFyb3VuZCA1MyUgb3ZlciB0aGUgbGFzdCBzaXggeWVhcnMuIEZvbGxvd2luZyB0aGUgcmVkdWN0aW9uIGluIGNhcGl0YWwgZXhwZW5kaXR1cmUsIHRoZSByZXN1bHRzIGRlbW9uc3RyYXRlIDM5JSBkZWNsaW5lIGluIHRoZSBDTzIgZW1pc3Npb24gbGV2ZWwuIFRoZSByZXN1bHRzIGFsc28gaW5kaWNhdGUgdGhhdCBmb3IgZXZlcnkgJDEgbWlsbGlvbiBjYXBpdGFsIGV4cGVuZGl0dXJlLCBhcHByb3hpbWF0ZWx5IDIuNzUgTWV0cmljIHRvbnMgb2YgY2FyYm9uIGRpb3hpZGUgKE10Q08yKSBlbWlzc2lvbnMgaW5jcmVhc2UuIEJ1c2luZXNzIGludmVzdG1lbnQgaXMgYXJvdW5kIDcwJSBvZiB0aGUgVUsncyB0b3RhbCBpbnZlc3RtZW50LiBUaGVyZWZvcmUsIHRoZSByZWR1Y3Rpb24gaW4gY2FwaXRhbCBleHBlbmRpdHVyZSBpcyBvbmUgb2YgdGhlIHByaW1hcnkgcmVhc29ucyB0aGF0IG1pZ2h0IGV4cGxhaW4gdGhlIGRlY3JlYXNlIGluIHRoZSBVSydzIG92ZXJhbGwgQ08yIGVtaXNzaW9uIGxldmVsLiBUaGUgdW5pcXVlIGZpbmRpbmdzIG9mIHRoaXMgcGFwZXIgYXJlIHJlbGV2YW50IHRvIHRoZSBnb3Zlcm5tZW50LCBtYW5hZ2VtZW50IGFuZCBzdGFuZGFyZC1zZXR0ZXJzLiIsInB1Ymxpc2hlciI6IkFjYWRlbWljIFByZXNzIiwidm9sdW1lIjoiMjkwIn0sImlzVGVtcG9yYXJ5IjpmYWxzZSwic3VwcHJlc3MtYXV0aG9yIjpmYWxzZSwiY29tcG9zaXRlIjpmYWxzZSwiYXV0aG9yLW9ubHkiOmZhbHNlfV19&quot;,&quot;citationItems&quot;:[{&quot;id&quot;:&quot;7f0aefce-ba2a-3560-b86a-ddec208f60f5&quot;,&quot;itemData&quot;:{&quot;type&quot;:&quot;article-journal&quot;,&quot;id&quot;:&quot;7f0aefce-ba2a-3560-b86a-ddec208f60f5&quot;,&quot;title&quot;:&quot;A novel measure of corporate carbon emission disclosure, the effect of capital expenditures and corporate governance&quot;,&quot;author&quot;:[{&quot;family&quot;:&quot;Karim&quot;,&quot;given&quot;:&quot;ATM Enayet&quot;,&quot;parse-names&quot;:false,&quot;dropping-particle&quot;:&quot;&quot;,&quot;non-dropping-particle&quot;:&quot;&quot;},{&quot;family&quot;:&quot;Albitar&quot;,&quot;given&quot;:&quot;Khaldoon&quot;,&quot;parse-names&quot;:false,&quot;dropping-particle&quot;:&quot;&quot;,&quot;non-dropping-particle&quot;:&quot;&quot;},{&quot;family&quot;:&quot;Elmarzouky&quot;,&quot;given&quot;:&quot;Mahmoud&quot;,&quot;parse-names&quot;:false,&quot;dropping-particle&quot;:&quot;&quot;,&quot;non-dropping-particle&quot;:&quot;&quot;}],&quot;container-title&quot;:&quot;Journal of Environmental Management&quot;,&quot;container-title-short&quot;:&quot;J Environ Manage&quot;,&quot;DOI&quot;:&quot;10.1016/j.jenvman.2021.112581&quot;,&quot;ISSN&quot;:&quot;10958630&quot;,&quot;PMID&quot;:&quot;33866086&quot;,&quot;issued&quot;:{&quot;date-parts&quot;:[[2021,7,15]]},&quot;abstract&quot;:&quot;The UK's 2050 net-zero emission target is one of the most ambitious goals in the world. Organisations should play a vital role by communicating a sufficient level of carbon emission information with the stakeholders. Motivated by the necessity of measuring the level of carbon disclosure, this paper provides a unique carbon emission disclosure measurement based on a sample of UK firms from 2013 to 2019. We apply different methods to assess the validity and reliability of our developed measurement. The results suggest that our measurement captures the actual CO2 emission, including scope 1, scope 2, and also captures the environmental, social and governance (ESG) score. Additionally, we explore the association between capital expenditure, corporate governance and the level of carbon emission disclosure. Further, the results show a positive relationship between capital expenditure and carbon emission disclosure. Also, there is a significant positive relationship between internal governance and carbon emission disclosure. Moreover, the analysis suggests that internal governance strengthen the relationship between capital expenditure and carbon emission disclosure. We also use quantile regression, and the findings show that capital expenditure and internal governance have a positive impact on carbon emission disclosure under all quantiles. Our data suggest that capital expenditure declines within the UK by around 53% over the last six years. Following the reduction in capital expenditure, the results demonstrate 39% decline in the CO2 emission level. The results also indicate that for every $1 million capital expenditure, approximately 2.75 Metric tons of carbon dioxide (MtCO2) emissions increase. Business investment is around 70% of the UK's total investment. Therefore, the reduction in capital expenditure is one of the primary reasons that might explain the decrease in the UK's overall CO2 emission level. The unique findings of this paper are relevant to the government, management and standard-setters.&quot;,&quot;publisher&quot;:&quot;Academic Press&quot;,&quot;volume&quot;:&quot;290&quot;},&quot;isTemporary&quot;:false,&quot;suppress-author&quot;:false,&quot;composite&quot;:false,&quot;author-only&quot;:false}]},{&quot;citationID&quot;:&quot;MENDELEY_CITATION_5f41676c-61ab-4170-b882-c7755b63143d&quot;,&quot;properties&quot;:{&quot;noteIndex&quot;:0},&quot;isEdited&quot;:false,&quot;manualOverride&quot;:{&quot;isManuallyOverridden&quot;:false,&quot;citeprocText&quot;:&quot;(Moussa &amp;#38; Elmarzouky, 2024)&quot;,&quot;manualOverrideText&quot;:&quot;&quot;},&quot;citationTag&quot;:&quot;MENDELEY_CITATION_v3_eyJjaXRhdGlvbklEIjoiTUVOREVMRVlfQ0lUQVRJT05fNWY0MTY3NmMtNjFhYi00MTcwLWI4ODItYzc3NTViNjMxNDNkIiwicHJvcGVydGllcyI6eyJub3RlSW5kZXgiOjB9LCJpc0VkaXRlZCI6ZmFsc2UsIm1hbnVhbE92ZXJyaWRlIjp7ImlzTWFudWFsbHlPdmVycmlkZGVuIjpmYWxzZSwiY2l0ZXByb2NUZXh0IjoiKE1vdXNzYSAmIzM4OyBFbG1hcnpvdWt5LCAyMDI0KSIsIm1hbnVhbE92ZXJyaWRlVGV4dCI6IiJ9LCJjaXRhdGlvbkl0ZW1zIjpbeyJpZCI6IjEwOGYxMDhkLTUzYmEtM2Y1MC05YTkyLTEwNmM5ZDkzZDQ3OSIsIml0ZW1EYXRhIjp7InR5cGUiOiJhcnRpY2xlLWpvdXJuYWwiLCJpZCI6IjEwOGYxMDhkLTUzYmEtM2Y1MC05YTkyLTEwNmM5ZDkzZDQ3OSIsInRpdGxlIjoiU3VzdGFpbmFiaWxpdHkgUmVwb3J0aW5nIGFuZCBNYXJrZXQgVW5jZXJ0YWludHk6IFRoZSBNb2RlcmF0aW5nIEVmZmVjdCBvZiBDYXJib24gRGlzY2xvc3VyZSIsImF1dGhvciI6W3siZmFtaWx5IjoiTW91c3NhIiwiZ2l2ZW4iOiJBaG1lZCBTYWJlciIsInBhcnNlLW5hbWVzIjpmYWxzZSwiZHJvcHBpbmctcGFydGljbGUiOiIiLCJub24tZHJvcHBpbmctcGFydGljbGUiOiIifSx7ImZhbWlseSI6IkVsbWFyem91a3kiLCJnaXZlbiI6Ik1haG1vdWQiLCJwYXJzZS1uYW1lcyI6ZmFsc2UsImRyb3BwaW5nLXBhcnRpY2xlIjoiIiwibm9uLWRyb3BwaW5nLXBhcnRpY2xlIjoiIn1dLCJjb250YWluZXItdGl0bGUiOiJTdXN0YWluYWJpbGl0eSAoU3dpdHplcmxhbmQpICIsIkRPSSI6IjEwLjMzOTAvc3UxNjEzNTI5MCIsIklTU04iOiIyMDcxMTA1MCIsImlzc3VlZCI6eyJkYXRlLXBhcnRzIjpbWzIwMjQsNywxXV19LCJhYnN0cmFjdCI6IlRoaXMgcmVzZWFyY2ggZXhhbWluZXMgaG93IEVTRyBkaXNjbG9zdXJlIGluZmx1ZW5jZXMgbWFya2V0IHVuY2VydGFpbnR5IHRocm91Z2ggY2FyYm9uIGRpc2Nsb3N1cmUuIEl0IHVzZXMgYSAxMC15ZWFyIGRhdGFzZXQgZnJvbSAyMDEyIHRvIDIwMjEgb2Ygbm9uLWZpbmFuY2lhbCBVLksuIGNvbXBhbmllcyBpbiB0aGUgRlRTRSBBbGwtU2hhcmUgaW5kZXguIFRoaXMgc3R1ZHkgZW1wbG95cyBmb3VyIHJlZ3Jlc3Npb24gbWV0aG9kcyB0byBzY3J1dGluaXplIHRoZSBpbnRlcnBsYXkgYmV0d2VlbiBFU0cgZGlzY2xvc3VyZSwgY2FyYm9uIGRpc2Nsb3N1cmUsIGFuZCBtYXJrZXQgdW5jZXJ0YWludHkuIFRoZSByZXNlYXJjaCBmaW5kaW5ncyB1bmNvdmVyIGEgbm90YWJsZSByZWR1Y3Rpb24gaW4gbWFya2V0IHVuY2VydGFpbnR5IGFzc29jaWF0ZWQgd2l0aCBFU0cgZGlzY2xvc3VyZSwgYWxpZ25pbmcgd2l0aCB0aGUgSW5mb3JtYXRpb24gQXN5bW1ldHJ5IFRoZW9yeS4gSW50ZXJlc3RpbmdseSwgdGhpcyBzdHVkeSBhbHNvIHVuY292ZXJzIHRoYXQgY2FyYm9uIGRpc2Nsb3N1cmUgYW1wbGlmaWVzIHRoaXMgbmVnYXRpdmUgcmVsYXRpb25zaGlwLCBhIGZpbmRpbmcgdGhhdCByZXNvbmF0ZXMgd2l0aCB0aGUgU2lnbmFsaW5nIFRoZW9yeS4gVGhlc2UgcmVzdWx0cyBob2xkIHRydWUgYWNyb3NzIHZhcmlvdXMgbWVhc3VyZXMgb2YgRVNHIGFuZCBtYXJrZXQgdW5jZXJ0YWludHkuIFRoaXMgc3R1ZHkgZW5yaWNoZXMgdGhlIHN1c3RhaW5hYmlsaXR5IHJlcG9ydGluZyBsaXRlcmF0dXJlIHdpdGggaW1wbGljYXRpb25zIGZvciB0aGVvcnkgYW5kIHByYWN0aWNlLiBJdCBleHRlbmRzIEluZm9ybWF0aW9uIEFzeW1tZXRyeSBhbmQgU2lnbmFsaW5nIFRoZW9yaWVzIHRvIFUuSy4gbm9uLWZpbmFuY2lhbCBmaXJtcywgZW1waGFzaXppbmcgdGhlIG5lZWQgZm9yIG1vcmUgcmVzZWFyY2ggb24gc3VzdGFpbmFiaWxpdHkgZGlzY2xvc3VyZS4gSXQgdW5kZXJzY29yZXMgdGhlIHJvbGUgb2YgRVNHIGFuZCBjYXJib24gZGlzY2xvc3VyZSBpbiByZWR1Y2luZyBjb3N0IG9mIGNhcGl0YWwsIGVuaGFuY2luZyBmaXJtIHZhbHVlLCBhbmQgYm9vc3RpbmcgaW52ZXN0b3IgY29uZmlkZW5jZS4gSXQgY2FsbHMgZm9yIHRyYW5zcGFyZW50IEVTRyByZXBvcnRpbmcgYnkgbWFuYWdlcnMsIHJlZ3VsYXRvcnkgcHJvbW90aW9uIG9mIHN1Y2ggZGlzY2xvc3VyZXMsIGFuZCBzdGFrZWhvbGRlciB1dGlsaXphdGlvbiBvZiB0aGVzZSB0byBldmFsdWF0ZSBhIGZpcm3igJlzIGltcGFjdCBhbmQgY29udHJpYnV0aW9uIHRvIHRoZSBTREdzLCBmb3N0ZXJpbmcgY29sbGFib3JhdGlvbiBvbiBzdXN0YWluYWJpbGl0eS4gVGhpcyBzdHVkeSBvZmZlcnMga2V5IGluc2lnaHRzIGZvciBzdGFrZWhvbGRlcnMgc3VjaCBhcyBtYW5hZ2VycywgaW52ZXN0b3JzLCByZWd1bGF0b3JzLCByZXNlYXJjaGVycywgcG9saWN5IG1ha2VycywgYW5kIGVkdWNhdG9ycyBpbiB0aGUgcmVhbG0gb2Ygc3VzdGFpbmFiaWxpdHkgcmVwb3J0aW5nIGFuZCBtYXJrZXQgZHluYW1pY3MuIiwicHVibGlzaGVyIjoiTXVsdGlkaXNjaXBsaW5hcnkgRGlnaXRhbCBQdWJsaXNoaW5nIEluc3RpdHV0ZSAoTURQSSkiLCJpc3N1ZSI6IjEzIiwidm9sdW1lIjoiMTYiLCJjb250YWluZXItdGl0bGUtc2hvcnQiOiIifSwiaXNUZW1wb3JhcnkiOmZhbHNlLCJzdXBwcmVzcy1hdXRob3IiOmZhbHNlLCJjb21wb3NpdGUiOmZhbHNlLCJhdXRob3Itb25seSI6ZmFsc2V9XX0=&quot;,&quot;citationItems&quot;:[{&quot;id&quot;:&quot;108f108d-53ba-3f50-9a92-106c9d93d479&quot;,&quot;itemData&quot;:{&quot;type&quot;:&quot;article-journal&quot;,&quot;id&quot;:&quot;108f108d-53ba-3f50-9a92-106c9d93d479&quot;,&quot;title&quot;:&quot;Sustainability Reporting and Market Uncertainty: The Moderating Effect of Carbon Disclosure&quot;,&quot;author&quot;:[{&quot;family&quot;:&quot;Moussa&quot;,&quot;given&quot;:&quot;Ahmed Saber&quot;,&quot;parse-names&quot;:false,&quot;dropping-particle&quot;:&quot;&quot;,&quot;non-dropping-particle&quot;:&quot;&quot;},{&quot;family&quot;:&quot;Elmarzouky&quot;,&quot;given&quot;:&quot;Mahmoud&quot;,&quot;parse-names&quot;:false,&quot;dropping-particle&quot;:&quot;&quot;,&quot;non-dropping-particle&quot;:&quot;&quot;}],&quot;container-title&quot;:&quot;Sustainability (Switzerland) &quot;,&quot;DOI&quot;:&quot;10.3390/su16135290&quot;,&quot;ISSN&quot;:&quot;20711050&quot;,&quot;issued&quot;:{&quot;date-parts&quot;:[[2024,7,1]]},&quot;abstract&quot;:&quot;This research examines how ESG disclosure influences market uncertainty through carbon disclosure. It uses a 10-year dataset from 2012 to 2021 of non-financial U.K. companies in the FTSE All-Share index. This study employs four regression methods to scrutinize the interplay between ESG disclosure, carbon disclosure, and market uncertainty. The research findings uncover a notable reduction in market uncertainty associated with ESG disclosure, aligning with the Information Asymmetry Theory. Interestingly, this study also uncovers that carbon disclosure amplifies this negative relationship, a finding that resonates with the Signaling Theory. These results hold true across various measures of ESG and market uncertainty. This study enriches the sustainability reporting literature with implications for theory and practice. It extends Information Asymmetry and Signaling Theories to U.K. non-financial firms, emphasizing the need for more research on sustainability disclosure. It underscores the role of ESG and carbon disclosure in reducing cost of capital, enhancing firm value, and boosting investor confidence. It calls for transparent ESG reporting by managers, regulatory promotion of such disclosures, and stakeholder utilization of these to evaluate a firm’s impact and contribution to the SDGs, fostering collaboration on sustainability. This study offers key insights for stakeholders such as managers, investors, regulators, researchers, policy makers, and educators in the realm of sustainability reporting and market dynamics.&quot;,&quot;publisher&quot;:&quot;Multidisciplinary Digital Publishing Institute (MDPI)&quot;,&quot;issue&quot;:&quot;13&quot;,&quot;volume&quot;:&quot;16&quot;,&quot;container-title-short&quot;:&quot;&quot;},&quot;isTemporary&quot;:false,&quot;suppress-author&quot;:false,&quot;composite&quot;:false,&quot;author-only&quot;:false}]},{&quot;citationID&quot;:&quot;MENDELEY_CITATION_8c58e80c-49db-4930-9cbc-31c84c57136f&quot;,&quot;properties&quot;:{&quot;noteIndex&quot;:0},&quot;isEdited&quot;:false,&quot;manualOverride&quot;:{&quot;isManuallyOverridden&quot;:false,&quot;citeprocText&quot;:&quot;(Suchman, 1995)&quot;,&quot;manualOverrideText&quot;:&quot;&quot;},&quot;citationTag&quot;:&quot;MENDELEY_CITATION_v3_eyJjaXRhdGlvbklEIjoiTUVOREVMRVlfQ0lUQVRJT05fOGM1OGU4MGMtNDlkYi00OTMwLTljYmMtMzFjODRjNTcxMzZm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e9f30124-2d08-4fc9-8d00-a94b2c87645a&quot;,&quot;properties&quot;:{&quot;noteIndex&quot;:0},&quot;isEdited&quot;:false,&quot;manualOverride&quot;:{&quot;isManuallyOverridden&quot;:false,&quot;citeprocText&quot;:&quot;(Zhou &amp;#38; Fan, 2023)&quot;,&quot;manualOverrideText&quot;:&quot;&quot;},&quot;citationTag&quot;:&quot;MENDELEY_CITATION_v3_eyJjaXRhdGlvbklEIjoiTUVOREVMRVlfQ0lUQVRJT05fZTlmMzAxMjQtMmQwOC00ZmM5LThkMDAtYTk0YjJjODc2NDVh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quot;,&quot;citationItems&quot;:[{&quot;id&quot;:&quot;8ab64a03-55d5-3e25-89c1-7ef88550f337&quot;,&quot;itemData&quot;:{&quot;type&quot;:&quot;article-journal&quot;,&quot;id&quot;:&quot;8ab64a03-55d5-3e25-89c1-7ef88550f337&quot;,&quot;title&quot;:&quot;The Impact of Green Capital Structure on Enterprise Development and the Regulation of Technological Innovation under Carbon Peaking&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67b7714b-7988-47a7-b660-cd402a46eb9b&quot;,&quot;properties&quot;:{&quot;noteIndex&quot;:0},&quot;isEdited&quot;:false,&quot;manualOverride&quot;:{&quot;isManuallyOverridden&quot;:false,&quot;citeprocText&quot;:&quot;(Fu et al., 2023)&quot;,&quot;manualOverrideText&quot;:&quot;&quot;},&quot;citationTag&quot;:&quot;MENDELEY_CITATION_v3_eyJjaXRhdGlvbklEIjoiTUVOREVMRVlfQ0lUQVRJT05fNjdiNzcxNGItNzk4OC00N2E3LWI2NjAtY2Q0MDJhNDZlYjliIiwicHJvcGVydGllcyI6eyJub3RlSW5kZXgiOjB9LCJpc0VkaXRlZCI6ZmFsc2UsIm1hbnVhbE92ZXJyaWRlIjp7ImlzTWFudWFsbHlPdmVycmlkZGVuIjpmYWxzZSwiY2l0ZXByb2NUZXh0IjoiKEZ1IGV0IGFsLiwgMjAyMykiLCJtYW51YWxPdmVycmlkZVRleHQiOiIifSwiY2l0YXRpb25JdGVtcyI6W3siaWQiOiI5ZGQyOWU3Ni03ZmIyLTNhNWItODE3NC1hZjIzMjZhZjBkNTIiLCJpdGVtRGF0YSI6eyJ0eXBlIjoiYXJ0aWNsZS1qb3VybmFsIiwiaWQiOiI5ZGQyOWU3Ni03ZmIyLTNhNWItODE3NC1hZjIzMjZhZjBkNTIiLCJ0aXRsZSI6IkFkdmFuY2luZyBncmVlbiBmaW5hbmNlOiBhIHJldmlldyBvZiBzdXN0YWluYWJsZSBkZXZlbG9wbWVudCIsImF1dGhvciI6W3siZmFtaWx5IjoiRnUiLCJnaXZlbiI6IkNoZW5nYm8iLCJwYXJzZS1uYW1lcyI6ZmFsc2UsImRyb3BwaW5nLXBhcnRpY2xlIjoiIiwibm9uLWRyb3BwaW5nLXBhcnRpY2xlIjoiIn0seyJmYW1pbHkiOiJMdSIsImdpdmVuIjoiTGVpIiwicGFyc2UtbmFtZXMiOmZhbHNlLCJkcm9wcGluZy1wYXJ0aWNsZSI6IiIsIm5vbi1kcm9wcGluZy1wYXJ0aWNsZSI6IiJ9LHsiZmFtaWx5IjoiUGlyYWJpIiwiZ2l2ZW4iOiJNYW5zb29yIiwicGFyc2UtbmFtZXMiOmZhbHNlLCJkcm9wcGluZy1wYXJ0aWNsZSI6IiIsIm5vbi1kcm9wcGluZy1wYXJ0aWNsZSI6IiJ9XSwiY29udGFpbmVyLXRpdGxlIjoiRGlnaXRhbCBFY29ub215IGFuZCBTdXN0YWluYWJsZSBEZXZlbG9wbWVudCIsIkRPSSI6IjEwLjEwMDcvczQ0MjY1LTAyMy0wMDAyMC0zIiwiaXNzdWVkIjp7ImRhdGUtcGFydHMiOltbMjAyMywxMCwyMV1dfSwiYWJzdHJhY3QiOiJUaGlzIHN0dWR5IGNvbXByZWhlbnNpdmVseSByZXZpZXdzIHRoZSByZWxhdGlvbnNoaXAgYmV0d2VlbiBncmVlbiBmaW5hbmNlIGFuZCBzdXN0YWluYWJsZSBkZXZlbG9wbWVudCwgc3BlY2lmaWNhbGx5IGZvY3VzaW5nIG9uIGNvbWJhdHRpbmcgY2xpbWF0ZSBjaGFuZ2UgYW5kIGFjaGlldmluZyBjYXJib24gbmV1dHJhbGl0eS4gVXRpbGl6aW5nIGEgbmFycmF0aXZlIHJldmlldyBtZXRob2RvbG9neSwgdGhlIHN0dWR5IGV4YW1pbmVzIGEgcmFuZ2Ugb2Ygc2Nob2xhcmx5IGFydGljbGVzIGFuZCBwdWJsaWNhdGlvbnMgdG8gaWRlbnRpZnkga2V5IHRoZW1lcywgZmluZGluZ3MsIGFuZCBmdXR1cmUgZGlyZWN0aW9ucyBpbiBncmVlbiBmaW5hbmNlLiBUaGUgcmV2aWV3IGVtcGhhc2l6ZXMgdGhlIGNydWNpYWwgcm9sZSBvZiBzdWJzdGFudGlhbCBpbnZlc3RtZW50cyBpbiBncmVlbiBhbmQgbG93LWNhcmJvbiBpbml0aWF0aXZlcyB0byBhZGRyZXNzIGNsaW1hdGUgY2hhbmdlIGVmZmVjdGl2ZWx5IGFuZCBwcm9tb3RlIHN1c3RhaW5hYmxlIGVjb25vbWljIGdyb3d0aC4gSXQgaGlnaGxpZ2h0cyB0aGUgbmVjZXNzaXR5IG9mIHJvYnVzdCByZWd1bGF0b3J5IGZyYW1ld29ya3MgdGhhdCBmYWNpbGl0YXRlIHRoZSBhdmFpbGFiaWxpdHkgb2YgZ3JlZW4gZmluYW5jZSBhbmQgdGhlIGludGVncmF0aW9uIG9mIGNhcmJvbuKAk25ldXRyYWwgcHJhY3RpY2VzLiBBZGRpdGlvbmFsbHksIHRoZSBwYXBlciBleHBsb3JlcyB0aGUgcG90ZW50aWFsIG9mIGltcGFjdCBpbnZlc3RpbmcsIHdoZXJlaW4gaW52ZXN0b3JzIGFjY2VwdCBsb3dlciBmaW5hbmNpYWwgcmV0dXJucyBpbiBleGNoYW5nZSBmb3Igbm9uLWZpbmFuY2lhbCBiZW5lZml0cyBpbiBncmVlbiBmaW5hbmNlLiBJdCB1bmRlcnNjb3JlcyB0aGUgaW5mbHVlbnRpYWwgcm9sZSBvZiBpbnN0aXR1dGlvbmFsIG93bmVyc2hpcCBpbiBndWlkaW5nIGNvbXBhbmllcyB0b3dhcmQgZW5oYW5jZWQgZW52aXJvbm1lbnRhbCBhbmQgc29jaWFsIHBlcmZvcm1hbmNlLiBNb3Jlb3ZlciwgaW50ZWdyYXRpbmcgZW52aXJvbm1lbnRhbCwgc29jaWFsLCBhbmQgZ292ZXJuYW5jZSAoRVNHKSBmYWN0b3JzIGluIGludmVzdG1lbnQgZGVjaXNpb25zIGlzIGNyaXRpY2FsIGZvciBzdXN0YWluYWJsZSBmaW5hbmNlLiBBZGRyZXNzaW5nIHRoZSBpbnRlcnNlY3Rpb24gb2YgY2xpbWF0ZSBjaGFuZ2UgYW5kIHJpc2sgbWFuYWdlbWVudCwgdGhlIHJldmlldyBoaWdobGlnaHRzIHRoZSBpbXBsaWNhdGlvbnMgb2YgZW52aXJvbm1lbnRhbCByaXNrcyBvbiBmaW5hbmNpYWwgZGVjaXNpb24tbWFraW5nLiBFZmZlY3RpdmUgY29tbXVuaWNhdGlvbiBzdHJhdGVnaWVzIGNhbiByYWlzZSBwdWJsaWMgYXdhcmVuZXNzIGFuZCBzdXBwb3J0IGZvciBjbGltYXRlIHBvbGljaWVzLiBUaGUgc3R1ZHkgY29uY2x1ZGVzIGJ5IGNhbGxpbmcgZm9yIGNvbGxhYm9yYXRpb24sIGZ1cnRoZXIgcmVzZWFyY2gsIGFuZCBwb2xpY3kgbWVhc3VyZXMgdG8gYWR2YW5jZSBncmVlbiBmaW5hbmNlIGFuZCBmb3N0ZXIgc3VzdGFpbmFibGUgZWNvbm9taWMgZ3Jvd3RoLiBJdCByZWNvbW1lbmRzIGFsaWduaW5nIGZpbmFuY2lhbCBpbmNlbnRpdmVzIHdpdGggc3VzdGFpbmFibGUgb3V0Y29tZXMsIGZvc3RlcmluZyB0cmFuc3BhcmVuY3ksIGFuZCBpbmNvcnBvcmF0aW5nIHNvY2lhbCBlcXVpdHkgaW4gZ3JlZW4gZmluYW5jZSBpbml0aWF0aXZlcyB0byBjb250cmlidXRlIHRvd2FyZHMgYWNoaWV2aW5nIHN1c3RhaW5hYmxlIGRldmVsb3BtZW50IGdvYWxzIGFuZCBwcm9tb3RpbmcgYSBncmVlbmVyIGZ1dHVyZS4iLCJwdWJsaXNoZXIiOiJTcHJpbmdlciBTY2llbmNlIGFuZCBCdXNpbmVzcyBNZWRpYSBMTEMiLCJpc3N1ZSI6IjEiLCJ2b2x1bWUiOiIxIiwiY29udGFpbmVyLXRpdGxlLXNob3J0IjoiIn0sImlzVGVtcG9yYXJ5IjpmYWxzZSwic3VwcHJlc3MtYXV0aG9yIjpmYWxzZSwiY29tcG9zaXRlIjpmYWxzZSwiYXV0aG9yLW9ubHkiOmZhbHNlfV19&quot;,&quot;citationItems&quot;:[{&quot;id&quot;:&quot;9dd29e76-7fb2-3a5b-8174-af2326af0d52&quot;,&quot;itemData&quot;:{&quot;type&quot;:&quot;article-journal&quot;,&quot;id&quot;:&quot;9dd29e76-7fb2-3a5b-8174-af2326af0d52&quot;,&quot;title&quot;:&quot;Advancing green finance: a review of sustainable development&quot;,&quot;author&quot;:[{&quot;family&quot;:&quot;Fu&quot;,&quot;given&quot;:&quot;Chengbo&quot;,&quot;parse-names&quot;:false,&quot;dropping-particle&quot;:&quot;&quot;,&quot;non-dropping-particle&quot;:&quot;&quot;},{&quot;family&quot;:&quot;Lu&quot;,&quot;given&quot;:&quot;Lei&quot;,&quot;parse-names&quot;:false,&quot;dropping-particle&quot;:&quot;&quot;,&quot;non-dropping-particle&quot;:&quot;&quot;},{&quot;family&quot;:&quot;Pirabi&quot;,&quot;given&quot;:&quot;Mansoor&quot;,&quot;parse-names&quot;:false,&quot;dropping-particle&quot;:&quot;&quot;,&quot;non-dropping-particle&quot;:&quot;&quot;}],&quot;container-title&quot;:&quot;Digital Economy and Sustainable Development&quot;,&quot;DOI&quot;:&quot;10.1007/s44265-023-00020-3&quot;,&quot;issued&quot;:{&quot;date-parts&quot;:[[2023,10,21]]},&quot;abstract&quot;:&quot;This study comprehensively reviews the relationship between green finance and sustainable development, specifically focusing on combatting climate change and achieving carbon neutrality. Utilizing a narrative review methodology, the study examines a range of scholarly articles and publications to identify key themes, findings, and future directions in green finance. The review emphasizes the crucial role of substantial investments in green and low-carbon initiatives to address climate change effectively and promote sustainable economic growth. It highlights the necessity of robust regulatory frameworks that facilitate the availability of green finance and the integration of carbon–neutral practices. Additionally, the paper explores the potential of impact investing, wherein investors accept lower financial returns in exchange for non-financial benefits in green finance. It underscores the influential role of institutional ownership in guiding companies toward enhanced environmental and social performance. Moreover, integrating environmental, social, and governance (ESG) factors in investment decisions is critical for sustainable finance. Addressing the intersection of climate change and risk management, the review highlights the implications of environmental risks on financial decision-making. Effective communication strategies can raise public awareness and support for climate policies. The study concludes by calling for collaboration, further research, and policy measures to advance green finance and foster sustainable economic growth. It recommends aligning financial incentives with sustainable outcomes, fostering transparency, and incorporating social equity in green finance initiatives to contribute towards achieving sustainable development goals and promoting a greener future.&quot;,&quot;publisher&quot;:&quot;Springer Science and Business Media LLC&quot;,&quot;issue&quot;:&quot;1&quot;,&quot;volume&quot;:&quot;1&quot;,&quot;container-title-short&quot;:&quot;&quot;},&quot;isTemporary&quot;:false,&quot;suppress-author&quot;:false,&quot;composite&quot;:false,&quot;author-only&quot;:false}]},{&quot;citationID&quot;:&quot;MENDELEY_CITATION_a902e58f-f34c-476e-b7be-5f67c4f4dcb9&quot;,&quot;properties&quot;:{&quot;noteIndex&quot;:0},&quot;isEdited&quot;:false,&quot;manualOverride&quot;:{&quot;isManuallyOverridden&quot;:false,&quot;citeprocText&quot;:&quot;(Zairis et al., 2024)&quot;,&quot;manualOverrideText&quot;:&quot;&quot;},&quot;citationTag&quot;:&quot;MENDELEY_CITATION_v3_eyJjaXRhdGlvbklEIjoiTUVOREVMRVlfQ0lUQVRJT05fYTkwMmU1OGYtZjM0Yy00NzZlLWI3YmUtNWY2N2M0ZjRkY2I5IiwicHJvcGVydGllcyI6eyJub3RlSW5kZXgiOjB9LCJpc0VkaXRlZCI6ZmFsc2UsIm1hbnVhbE92ZXJyaWRlIjp7ImlzTWFudWFsbHlPdmVycmlkZGVuIjpmYWxzZSwiY2l0ZXByb2NUZXh0IjoiKFphaXJpcyBldCBhbC4sIDIwMjQpIiwibWFudWFsT3ZlcnJpZGVUZXh0IjoiIn0sImNpdGF0aW9uSXRlbXMiOlt7ImlkIjoiNGQ5ZjE0OTktNDFlMy0zMTNmLTliYjAtMzI5ZGVlY2QyODFhIiwiaXRlbURhdGEiOnsidHlwZSI6ImFydGljbGUiLCJpZCI6IjRkOWYxNDk5LTQxZTMtMzEzZi05YmIwLTMyOWRlZWNkMjgxYSIsInRpdGxlIjoiU3VzdGFpbmFibGUgRmluYW5jZSBhbmQgRVNHIEltcG9ydGFuY2U6IEEgU3lzdGVtYXRpYyBMaXRlcmF0dXJlIFJldmlldyBhbmQgUmVzZWFyY2ggQWdlbmRhIiwiYXV0aG9yIjpbeyJmYW1pbHkiOiJaYWlyaXMiLCJnaXZlbiI6Ikdlb3JnaW9zIiwicGFyc2UtbmFtZXMiOmZhbHNlLCJkcm9wcGluZy1wYXJ0aWNsZSI6IiIsIm5vbi1kcm9wcGluZy1wYXJ0aWNsZSI6IiJ9LHsiZmFtaWx5IjoiTGlhcmdvdmFzIiwiZ2l2ZW4iOiJQYW5hZ2lvdGlzIiwicGFyc2UtbmFtZXMiOmZhbHNlLCJkcm9wcGluZy1wYXJ0aWNsZSI6IiIsIm5vbi1kcm9wcGluZy1wYXJ0aWNsZSI6IiJ9LHsiZmFtaWx5IjoiQXBvc3RvbG9wb3Vsb3MiLCJnaXZlbiI6Ik5pa29sYW9zIiwicGFyc2UtbmFtZXMiOmZhbHNlLCJkcm9wcGluZy1wYXJ0aWNsZSI6IiIsIm5vbi1kcm9wcGluZy1wYXJ0aWNsZSI6IiJ9XSwiY29udGFpbmVyLXRpdGxlIjoiU3VzdGFpbmFiaWxpdHkgKFN3aXR6ZXJsYW5kKSAiLCJET0kiOiIxMC4zMzkwL3N1MTYwNzI4NzgiLCJJU1NOIjoiMjA3MTEwNTAiLCJpc3N1ZWQiOnsiZGF0ZS1wYXJ0cyI6W1syMDI0LDQsMV1dfSwiYWJzdHJhY3QiOiJPdmVyIHRoZSBsYXN0IGRlY2FkZSwgc3VzdGFpbmFibGUgZmluYW5jZSBoYXMgYXBwZWFyZWQgdG8gYmUgY2FwdHVyaW5nIGEgaGlnaCBsZXZlbCBvZiBpbnRlcmVzdCBhcyBhIGNydWNpYWwgcGlsbGFyIG9mIHN1c3RhaW5hYmxlIGRldmVsb3BtZW50LiBUaGUgcHJvY2VzcyBvZiB0YWtpbmcgZW52aXJvbm1lbnRhbCwgc29jaWFsLCBhbmQgZ292ZXJuYW5jZSAoRVNHKSBjb25zaWRlcmF0aW9ucyBpbnRvIGFjY291bnQgd2hlbiBtYWtpbmcgaW52ZXN0bWVudCBkZWNpc2lvbnMgaW4gdGhlIGZpbmFuY2lhbCBzZWN0b3IgaXMgZXhwZWN0ZWQgdG8gcGxheSBhIGtleSByb2xlIGluIHRoaXMgZnJhbWV3b3JrLCBhbmQgYWx0aG91Z2ggaXQgaGFzIGF0dHJhY3RlZCB0aGUgYXR0ZW50aW9uIG9mIG1hbnkgc2Nob2xhcnMgYW5kIGFjYWRlbWljcywgYSBsYWNrIG9mIHVuZGVyc3RhbmRpbmcgb2YgdGhlIG5hdHVyZSBvZiB0aGUgcGhlbm9tZW5vbiByZW1haW5zLiBUaGVyZWZvcmUsIG9uIHRoZSBiYXNpcyBvZiBhIHN5c3RlbWF0aWMgbGl0ZXJhdHVyZSByZXZpZXcgb2YgODAgc3R1ZGllcywgd2UgZXhhbWluZSwgaW4gZGV0YWlsLCB0aGUgc3ViamVjdCBhcmVhcyBhbmQgZW1waGFzaXplIHRoZSBtYWluIHBvaW50cyBpbiB0aGUgZXhpc3RpbmcgbGl0ZXJhdHVyZS4gVGhlIGZpbmRpbmdzIHJldmVhbCB0aGF0IHRoZXJlIGFyZSBmb3VyIG1haW4gdGhlbWF0aWMgYXJlYXMgYXR0cmFjdGluZyByZXNlYXJjaCBpbnRlcmVzdCwgYXMgZm9sbG93czogKDEpIEEgc2hpZnQgaW4gdmFsdWUgY3JlYXRpb247ICgyKSBncmVlbiBib25kczsgKDMpIEVTRyByYXRpbmdzIGFuZCBwZXJmb3JtYW5jZTsgYW5kICg0KSBzdXN0YWluYWJsZSBmaW5hbmNlLCBiYW5raW5nLCBhbmQgZmluYW5jaWFsIHJpc2tzLiBGaW5hbGx5LCB0aGlzIHN0dWR5IG91dGxpbmVzIGZ1dHVyZSByZXNlYXJjaCBhdmVudWVzIGluIHRoZSBmaWVsZC4iLCJwdWJsaXNoZXIiOiJNdWx0aWRpc2NpcGxpbmFyeSBEaWdpdGFsIFB1Ymxpc2hpbmcgSW5zdGl0dXRlIChNRFBJKSIsImlzc3VlIjoiNyIsInZvbHVtZSI6IjE2IiwiY29udGFpbmVyLXRpdGxlLXNob3J0IjoiIn0sImlzVGVtcG9yYXJ5IjpmYWxzZSwic3VwcHJlc3MtYXV0aG9yIjpmYWxzZSwiY29tcG9zaXRlIjpmYWxzZSwiYXV0aG9yLW9ubHkiOmZhbHNlfV19&quot;,&quot;citationItems&quot;:[{&quot;id&quot;:&quot;4d9f1499-41e3-313f-9bb0-329deecd281a&quot;,&quot;itemData&quot;:{&quot;type&quot;:&quot;article&quot;,&quot;id&quot;:&quot;4d9f1499-41e3-313f-9bb0-329deecd281a&quot;,&quot;title&quot;:&quot;Sustainable Finance and ESG Importance: A Systematic Literature Review and Research Agenda&quot;,&quot;author&quot;:[{&quot;family&quot;:&quot;Zairis&quot;,&quot;given&quot;:&quot;Georgios&quot;,&quot;parse-names&quot;:false,&quot;dropping-particle&quot;:&quot;&quot;,&quot;non-dropping-particle&quot;:&quot;&quot;},{&quot;family&quot;:&quot;Liargovas&quot;,&quot;given&quot;:&quot;Panagiotis&quot;,&quot;parse-names&quot;:false,&quot;dropping-particle&quot;:&quot;&quot;,&quot;non-dropping-particle&quot;:&quot;&quot;},{&quot;family&quot;:&quot;Apostolopoulos&quot;,&quot;given&quot;:&quot;Nikolaos&quot;,&quot;parse-names&quot;:false,&quot;dropping-particle&quot;:&quot;&quot;,&quot;non-dropping-particle&quot;:&quot;&quot;}],&quot;container-title&quot;:&quot;Sustainability (Switzerland) &quot;,&quot;DOI&quot;:&quot;10.3390/su16072878&quot;,&quot;ISSN&quot;:&quot;20711050&quot;,&quot;issued&quot;:{&quot;date-parts&quot;:[[2024,4,1]]},&quot;abstract&quot;:&quot;Over the last decade, sustainable finance has appeared to be capturing a high level of interest as a crucial pillar of sustainable development. The process of taking environmental, social, and governance (ESG) considerations into account when making investment decisions in the financial sector is expected to play a key role in this framework, and although it has attracted the attention of many scholars and academics, a lack of understanding of the nature of the phenomenon remains. Therefore, on the basis of a systematic literature review of 80 studies, we examine, in detail, the subject areas and emphasize the main points in the existing literature. The findings reveal that there are four main thematic areas attracting research interest, as follows: (1) A shift in value creation; (2) green bonds; (3) ESG ratings and performance; and (4) sustainable finance, banking, and financial risks. Finally, this study outlines future research avenues in the field.&quot;,&quot;publisher&quot;:&quot;Multidisciplinary Digital Publishing Institute (MDPI)&quot;,&quot;issue&quot;:&quot;7&quot;,&quot;volume&quot;:&quot;16&quot;,&quot;container-title-short&quot;:&quot;&quot;},&quot;isTemporary&quot;:false,&quot;suppress-author&quot;:false,&quot;composite&quot;:false,&quot;author-only&quot;:false}]},{&quot;citationID&quot;:&quot;MENDELEY_CITATION_8e558066-9712-451a-92ba-18241b9d3a17&quot;,&quot;properties&quot;:{&quot;noteIndex&quot;:0},&quot;isEdited&quot;:false,&quot;manualOverride&quot;:{&quot;isManuallyOverridden&quot;:false,&quot;citeprocText&quot;:&quot;(Suchman, 1995)&quot;,&quot;manualOverrideText&quot;:&quot;&quot;},&quot;citationTag&quot;:&quot;MENDELEY_CITATION_v3_eyJjaXRhdGlvbklEIjoiTUVOREVMRVlfQ0lUQVRJT05fOGU1NTgwNjYtOTcxMi00NTFhLTkyYmEtMTgyNDFiOWQzYTE3IiwicHJvcGVydGllcyI6eyJub3RlSW5kZXgiOjB9LCJpc0VkaXRlZCI6ZmFsc2UsIm1hbnVhbE92ZXJyaWRlIjp7ImlzTWFudWFsbHlPdmVycmlkZGVuIjpmYWxzZSwiY2l0ZXByb2NUZXh0IjoiKFN1Y2htYW4sIDE5OTUpIiwibWFudWFsT3ZlcnJpZGVUZXh0IjoiIn0sImNpdGF0aW9uSXRlbXMiOlt7ImlkIjoiYWRkZDk0ZGItOGUzNS0zYTMyLTk0YjktMDcxOTAyYTMzNTBmIiwiaXRlbURhdGEiOnsidHlwZSI6InJlcG9ydCIsImlkIjoiYWRkZDk0ZGItOGUzNS0zYTMyLTk0YjktMDcxOTAyYTMzNTBmIiwidGl0bGUiOiJNQU5BR0lORyBMRUdJVElNQUNZOiBTVFJBVEVHSUMgQU5EIElOU1RJVFVUSU9OQUwgQVBQUk9BQ0hFUyIsImF1dGhvciI6W3siZmFtaWx5IjoiU3VjaG1hbiIsImdpdmVuIjoiTWFyayBDIiwicGFyc2UtbmFtZXMiOmZhbHNlLCJkcm9wcGluZy1wYXJ0aWNsZSI6IiIsIm5vbi1kcm9wcGluZy1wYXJ0aWNsZSI6IiJ9XSwiY29udGFpbmVyLXRpdGxlIjoiTWFuYWdlbWVudCBSZXZpZXciLCJjb250YWluZXItdGl0bGUtc2hvcnQiOiJNYW5hZ2UgUmV2IiwiaXNzdWVkIjp7ImRhdGUtcGFydHMiOltbMTk5NV1dfSwibnVtYmVyLW9mLXBhZ2VzIjoiNTcxLTYxMCIsImFic3RyYWN0IjoiVGhpcyBhcnRpY2xlIHN5bnRoZXNpemVzIHRoZSBsYXJnZSBidXQgZGl2ZXJzZSBsaXRlcmF0dXJlIG9uIG9yZ2FuaXphdGlvbmFsIGxlZ2l0aW1hY3ksIGhpZ2hsaWdodGluZyBzaW1pbGFyaXRpZXMgYW5kIGRpc3Bhcml0aWVzIGFtb25nIHRoZSBsZWFkaW5nIHN0cmF0ZWdpYyBhbmQgaW5zdGl0dXRpb25hbCBhcHByb2FjaGVzLiBUaGUgYW5hbHlzaXMgaWRlbnRpZmllcyB0aHJlZSBwcmltYXJ5IGZvcm1zIG9pIGxlZ2l0aW1hY3k6IHByYWdtYXRpYywgYmFzZWQgb24gb3VkbGVuY2UgOGVsZi1pbnRlcmVzdDsgbW9yYWksIGJhc2VkIG9uIG5vcm1hdGl2ZSBhcHByb3ZhbDogYW5kIGNvZ25pdGl2ZSwgYmFzZWQgb24gY29tcHJlaGVuc2liaWxpdHkgYW5kIHRha2VuLWZvci1ncmFudGVkbmVzcy4gVGhlIGFydGljbGUgdGhlbiBleGFtaW5lcyBzdHJhdGVnaWVzIGlvciBnYWluaW5nLCBtYWludGFpbmluZywgYW5kIHJlcGFpcmluZyBsZWdpdGltYWN5IG9pIGVhY2ggdHlwZSwgc3VnZ2VzdGluZyBib3RoIHRoZSBwcm9taXNlcyBhbmQgdGhlIHBpdGZhbGxzIG9pIHN1Y2ggaW5zdHJ1bWVudGFsIG1hbmlwdWxhdGlvbnMuIiwiaXNzdWUiOiIzIiwidm9sdW1lIjoiMjAifSwiaXNUZW1wb3JhcnkiOmZhbHNlLCJzdXBwcmVzcy1hdXRob3IiOmZhbHNlLCJjb21wb3NpdGUiOmZhbHNlLCJhdXRob3Itb25seSI6ZmFsc2V9XX0=&quot;,&quot;citationItems&quot;:[{&quot;id&quot;:&quot;addd94db-8e35-3a32-94b9-071902a3350f&quot;,&quot;itemData&quot;:{&quot;type&quot;:&quot;report&quot;,&quot;id&quot;:&quot;addd94db-8e35-3a32-94b9-071902a3350f&quot;,&quot;title&quot;:&quot;MANAGING LEGITIMACY: STRATEGIC AND INSTITUTIONAL APPROACHES&quot;,&quot;author&quot;:[{&quot;family&quot;:&quot;Suchman&quot;,&quot;given&quot;:&quot;Mark C&quot;,&quot;parse-names&quot;:false,&quot;dropping-particle&quot;:&quot;&quot;,&quot;non-dropping-particle&quot;:&quot;&quot;}],&quot;container-title&quot;:&quot;Management Review&quot;,&quot;container-title-short&quot;:&quot;Manage Rev&quot;,&quot;issued&quot;:{&quot;date-parts&quot;:[[1995]]},&quot;number-of-pages&quot;:&quot;571-610&quot;,&quot;abstract&quot;:&quot;This article synthesizes the large but diverse literature on organizational legitimacy, highlighting similarities and disparities among the leading strategic and institutional approaches. The analysis identifies three primary forms oi legitimacy: pragmatic, based on oudlence 8elf-interest; morai, based on normative approval: and cognitive, based on comprehensibility and taken-for-grantedness. The article then examines strategies ior gaining, maintaining, and repairing legitimacy oi each type, suggesting both the promises and the pitfalls oi such instrumental manipulations.&quot;,&quot;issue&quot;:&quot;3&quot;,&quot;volume&quot;:&quot;20&quot;},&quot;isTemporary&quot;:false,&quot;suppress-author&quot;:false,&quot;composite&quot;:false,&quot;author-only&quot;:false}]},{&quot;citationID&quot;:&quot;MENDELEY_CITATION_86bde5de-3083-49a9-aa2d-2b1727addad1&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ODZiZGU1ZGUtMzA4My00OWE5LWFhMmQtMmIxNzI3YWRkYWQxIiwicHJvcGVydGllcyI6eyJub3RlSW5kZXgiOjB9LCJpc0VkaXRlZCI6ZmFsc2UsIm1hbnVhbE92ZXJyaWRlIjp7ImlzTWFudWFsbHlPdmVycmlkZGVuIjpmYWxzZSwiY2l0ZXByb2NUZXh0IjoiKFhpZSBldCBhbC4sIDIwMjIpIiwibWFudWFsT3ZlcnJpZGVUZXh0IjoiIn0sImNpdGF0aW9uSXRlbXMiOlt7ImlkIjoiMDU2ZTU2YjYtZGQ2Yy0zMzllLTljNWYtYjg3ZDhmNzBjYTZjIiwiaXRlbURhdGEiOnsidHlwZSI6ImFydGljbGUtam91cm5hbCIsImlkIjoiMDU2ZTU2YjYtZGQ2Yy0zMzllLTljNWYtYjg3ZDhmNzBjYTZjIiwidGl0bGUiOiJJbXBhY3Qgb2YgR3JlZW4gSW5ub3ZhdGlvbiBvbiBGaXJtIFZhbHVlOiBFdmlkZW5jZSBGcm9tIExpc3RlZCBDb21wYW5pZXMgaW4gQ2hpbmHigJlzIEhlYXZ5IFBvbGx1dGlvbiBJbmR1c3RyaWVzIiwiYXV0aG9yIjpbeyJmYW1pbHkiOiJYaWUiLCJnaXZlbiI6IlpoYW9kb25nIiwicGFyc2UtbmFtZXMiOmZhbHNlLCJkcm9wcGluZy1wYXJ0aWNsZSI6IiIsIm5vbi1kcm9wcGluZy1wYXJ0aWNsZSI6IiJ9LHsiZmFtaWx5IjoiV2FuZyIsImdpdmVuIjoiSmlhbnpoaSIsInBhcnNlLW5hbWVzIjpmYWxzZSwiZHJvcHBpbmctcGFydGljbGUiOiIiLCJub24tZHJvcHBpbmctcGFydGljbGUiOiIifSx7ImZhbWlseSI6IlpoYW8iLCJnaXZlbiI6Ikd1b3FpbiIsInBhcnNlLW5hbWVzIjpmYWxzZSwiZHJvcHBpbmctcGFydGljbGUiOiIiLCJub24tZHJvcHBpbmctcGFydGljbGUiOiIifV0sImNvbnRhaW5lci10aXRsZSI6IkZyb250aWVycyBpbiBFbmVyZ3kgUmVzZWFyY2giLCJjb250YWluZXItdGl0bGUtc2hvcnQiOiJGcm9udCBFbmVyZ3kgUmVz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J9LCJpc1RlbXBvcmFyeSI6ZmFsc2UsInN1cHByZXNzLWF1dGhvciI6ZmFsc2UsImNvbXBvc2l0ZSI6ZmFsc2UsImF1dGhvci1vbmx5IjpmYWxzZX1dfQ==&quot;,&quot;citationItems&quot;:[{&quot;id&quot;:&quot;056e56b6-dd6c-339e-9c5f-b87d8f70ca6c&quot;,&quot;itemData&quot;:{&quot;type&quot;:&quot;article-journal&quot;,&quot;id&quot;:&quot;056e56b6-dd6c-339e-9c5f-b87d8f70ca6c&quot;,&quot;title&quot;:&quot;Impact of Green Innovation on Firm Value: Evidence From Listed Companies in China’s Heavy Pollution Industries&quot;,&quot;author&quot;:[{&quot;family&quot;:&quot;Xie&quot;,&quot;given&quot;:&quot;Zhaodong&quot;,&quot;parse-names&quot;:false,&quot;dropping-particle&quot;:&quot;&quot;,&quot;non-dropping-particle&quot;:&quot;&quot;},{&quot;family&quot;:&quot;Wang&quot;,&quot;given&quot;:&quot;Jianzhi&quot;,&quot;parse-names&quot;:false,&quot;dropping-particle&quot;:&quot;&quot;,&quot;non-dropping-particle&quot;:&quot;&quot;},{&quot;family&quot;:&quot;Zhao&quot;,&quot;given&quot;:&quot;Guoqin&quot;,&quot;parse-names&quot;:false,&quot;dropping-particle&quot;:&quot;&quot;,&quot;non-dropping-particle&quot;:&quot;&quot;}],&quot;container-title&quot;:&quot;Frontiers in Energy Research&quot;,&quot;container-title-short&quot;:&quot;Front Energy Res&quot;,&quot;DOI&quot;:&quot;10.3389/fenrg.2021.806926&quot;,&quot;ISSN&quot;:&quot;2296598X&quot;,&quot;issued&quot;:{&quot;date-parts&quot;:[[2022,1,20]]},&quot;abstract&quot;:&quot;The unspecified impact of green innovation on corporate financial performance has made some enterprises delay green innovation investment plans, and even abandon green innovation. Mitigating the economic concerns faced in the process of green innovation decision-making is of great significance to accelerate the process of enterprises’ green transformation. Using an unbalanced panel data of Chinese heavy pollution listed companies from 2008-2017, this paper investigates the impact of green innovation on firm value. We further test the likely channels through which green innovation can affect firm value, including the financial flexibility channel and analyst coverage channel. The study finds that: 1) increasing the proportion of green patent applications leads to the devaluation of firm value, but this devaluation effect only occurs in the short term; 2) both financial flexibility and analyst coverage partially mediate the impact of green innovation on firm value; 3) heterogeneity analysis indicates that enterprises can reduce the negative impact of green innovation on firm value by increasing the executive equity incentive and the management-employee pay gap. In addition, as economic policy uncertainty increases from low to high, the negative impact becomes smaller. Our research helps to broaden the cognitive boundaries of the economic impact of green innovation, and assists policymakers and researchers to better grasp the characteristics of green innovation behavior of enterprises in emerging economies. Finally, we provide useful enlightenments for policymakers and business managers to stimulate green innovation in enterprises.&quot;,&quot;publisher&quot;:&quot;Frontiers Media S.A.&quot;,&quot;volume&quot;:&quot;9&quot;},&quot;isTemporary&quot;:false,&quot;suppress-author&quot;:false,&quot;composite&quot;:false,&quot;author-only&quot;:false}]},{&quot;citationID&quot;:&quot;MENDELEY_CITATION_3e01b31d-8dbc-40fb-a30b-e07e8daec072&quot;,&quot;properties&quot;:{&quot;noteIndex&quot;:0},&quot;isEdited&quot;:false,&quot;manualOverride&quot;:{&quot;isManuallyOverridden&quot;:false,&quot;citeprocText&quot;:&quot;(Utomo et al., 2020)&quot;,&quot;manualOverrideText&quot;:&quot;&quot;},&quot;citationTag&quot;:&quot;MENDELEY_CITATION_v3_eyJjaXRhdGlvbklEIjoiTUVOREVMRVlfQ0lUQVRJT05fM2UwMWIzMWQtOGRiYy00MGZiLWEzMGItZTA3ZThkYWVjMDcyIiwicHJvcGVydGllcyI6eyJub3RlSW5kZXgiOjB9LCJpc0VkaXRlZCI6ZmFsc2UsIm1hbnVhbE92ZXJyaWRlIjp7ImlzTWFudWFsbHlPdmVycmlkZGVuIjpmYWxzZSwiY2l0ZXByb2NUZXh0IjoiKFV0b21vIGV0IGFsLiwgMjAyMCkiLCJtYW51YWxPdmVycmlkZVRleHQiOiIifSwiY2l0YXRpb25JdGVtcyI6W3siaWQiOiIzZDdlNmU5Yy1jMDg0LTM3MzQtYjdiNS1iYzVhN2U3NjNlZmQiLCJpdGVtRGF0YSI6eyJ0eXBlIjoiYXJ0aWNsZS1qb3VybmFsIiwiaWQiOiIzZDdlNmU5Yy1jMDg0LTM3MzQtYjdiNS1iYzVhN2U3NjNlZmQiLCJ0aXRsZSI6IkVudmlyb25tZW50YWwgcGVyZm9ybWFuY2UsIGVudmlyb25tZW50YWwgZGlzY2xvc3VyZSwgYW5kIGZpcm0gdmFsdWU6IGVtcGlyaWNhbCBzdHVkeSBvZiBub24tZmluYW5jaWFsIGNvbXBhbmllcyBhdCBJbmRvbmVzaWEgU3RvY2sgRXhjaGFuZ2U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quot;,&quot;citationItems&quot;:[{&quot;id&quot;:&quot;3d7e6e9c-c084-3734-b7b5-bc5a7e763efd&quot;,&quot;itemData&quot;:{&quot;type&quot;:&quot;article-journal&quot;,&quot;id&quot;:&quot;3d7e6e9c-c084-3734-b7b5-bc5a7e763efd&quot;,&quot;title&quot;:&quot;Environmental performance, environmental disclosure, and firm value: empirical study of non-financial companies at Indonesia Stock Exchange&quot;,&quot;author&quot;:[{&quot;family&quot;:&quot;Utomo&quot;,&quot;given&quot;:&quot;Mohamad Nur&quot;,&quot;parse-names&quot;:false,&quot;dropping-particle&quot;:&quot;&quot;,&quot;non-dropping-particle&quot;:&quot;&quot;},{&quot;family&quot;:&quot;Rahayu&quot;,&quot;given&quot;:&quot;Sri&quot;,&quot;parse-names&quot;:false,&quot;dropping-particle&quot;:&quot;&quot;,&quot;non-dropping-particle&quot;:&quot;&quot;},{&quot;family&quot;:&quot;Kaujan&quot;,&quot;given&quot;:&quot;Kaujan&quot;,&quot;parse-names&quot;:false,&quot;dropping-particle&quot;:&quot;&quot;,&quot;non-dropping-particle&quot;:&quot;&quot;},{&quot;family&quot;:&quot;Irwandi&quot;,&quot;given&quot;:&quot;Soni Agus&quot;,&quot;parse-names&quot;:false,&quot;dropping-particle&quot;:&quot;&quot;,&quot;non-dropping-particle&quot;:&quot;&quot;}],&quot;container-title&quot;:&quot;Green Finance&quot;,&quot;DOI&quot;:&quot;10.3934/GF.2020006&quot;,&quot;ISSN&quot;:&quot;26431092&quot;,&quot;issued&quot;:{&quot;date-parts&quot;:[[2020]]},&quot;page&quot;:&quot;100-113&quot;,&quot;abstract&quot;:&quot;This research is aimed to examine the effect of environmental performance on firm value with environmental disclosure as a mediation variable. Sample of research is non-financial companies at the Indonesia Stock Exchange that have followed the Environmental Performance Assessment Program (PROPER) held by the Ministry of Life Environment and Forestry. The data analysis method is Structural Equation Modeling-Partial Least Square (SEM-PLS), and the analysis operation is facilitated by the software of WarpPLS 6.0. The result of analysis has given a few findings. One is that environmental performance has a positive effect on firm value and environmental disclosure. Other result shows that environmental disclosure does not affect firm value and does not mediate the effect of environmental performance on firm value. In general, all the results support the stakeholder theory and the resource-based view theory. Companies with environmentally friendly commitments can be a strategy in creating higher firm value.&quot;,&quot;publisher&quot;:&quot;American Institute of Mathematical Sciences&quot;,&quot;issue&quot;:&quot;1&quot;,&quot;volume&quot;:&quot;2&quot;,&quot;container-title-short&quot;:&quot;&quot;},&quot;isTemporary&quot;:false,&quot;suppress-author&quot;:false,&quot;composite&quot;:false,&quot;author-only&quot;:false}]},{&quot;citationID&quot;:&quot;MENDELEY_CITATION_e563d445-bca5-4d2e-8b9b-6717510ecd3b&quot;,&quot;properties&quot;:{&quot;noteIndex&quot;:0},&quot;isEdited&quot;:false,&quot;manualOverride&quot;:{&quot;isManuallyOverridden&quot;:true,&quot;citeprocText&quot;:&quot;(Huang et al., 2025)&quot;,&quot;manualOverrideText&quot;:&quot;(Huang et al., 2022)&quot;},&quot;citationTag&quot;:&quot;MENDELEY_CITATION_v3_eyJjaXRhdGlvbklEIjoiTUVOREVMRVlfQ0lUQVRJT05fZTU2M2Q0NDUtYmNhNS00ZDJlLThiOWItNjcxNzUxMGVjZDNiIiwicHJvcGVydGllcyI6eyJub3RlSW5kZXgiOjB9LCJpc0VkaXRlZCI6ZmFsc2UsIm1hbnVhbE92ZXJyaWRlIjp7ImlzTWFudWFsbHlPdmVycmlkZGVuIjp0cnVlLCJjaXRlcHJvY1RleHQiOiIoSHVhbmcgZXQgYWwuLCAyMDI1KSIsIm1hbnVhbE92ZXJyaWRlVGV4dCI6IihIdWFuZyBldCBhbC4sIDIwMjIpIn0sImNpdGF0aW9uSXRlbXMiOlt7ImlkIjoiNTJlNjcwNmYtMGYxMy0zZTk4LWFjMjEtYzZlYTNhMWU0NzRhIiwiaXRlbURhdGEiOnsidHlwZSI6ImFydGljbGUtam91cm5hbCIsImlkIjoiNTJlNjcwNmYtMGYxMy0zZTk4LWFjMjEtYzZlYTNhMWU0NzRhIiwidGl0bGUiOiJUaGUgSW1wYWN0IG9mIENhcmJvbiBJbmZvcm1hdGlvbiBEaXNjbG9zdXJlIFF1YWxpdHkgb24gRW50ZXJwcmlzZSBWYWx1ZTogRXZpZGVuY2UgZnJvbSBDaGluZXNlIExpc3RlZCBDb21wYW5pZXMiLCJhdXRob3IiOlt7ImZhbWlseSI6Ikh1YW5nIiwiZ2l2ZW4iOiJMaSIsInBhcnNlLW5hbWVzIjpmYWxzZSwiZHJvcHBpbmctcGFydGljbGUiOiIiLCJub24tZHJvcHBpbmctcGFydGljbGUiOiIifSx7ImZhbWlseSI6IkppIiwiZ2l2ZW4iOiJYaWFveXUiLCJwYXJzZS1uYW1lcyI6ZmFsc2UsImRyb3BwaW5nLXBhcnRpY2xlIjoiIiwibm9uLWRyb3BwaW5nLXBhcnRpY2xlIjoiIn0seyJmYW1pbHkiOiJOaXUiLCJnaXZlbiI6IlRpbmd0aW5nIiwicGFyc2UtbmFtZXMiOmZhbHNlLCJkcm9wcGluZy1wYXJ0aWNsZSI6IiIsIm5vbi1kcm9wcGluZy1wYXJ0aWNsZSI6IiJ9LHsiZmFtaWx5IjoiT3UiLCJnaXZlbiI6IldhbnRpbmciLCJwYXJzZS1uYW1lcyI6ZmFsc2UsImRyb3BwaW5nLXBhcnRpY2xlIjoiIiwibm9uLWRyb3BwaW5nLXBhcnRpY2xlIjoiIn1dLCJjb250YWluZXItdGl0bGUiOiJTdXN0YWluYWJpbGl0eSAoU3dpdHplcmxhbmQpIiwiRE9JIjoiMTAuMzM5MC9zdTE3MDIwNDAyIiwiSVNTTiI6IjIwNzExMDUwIiwiaXNzdWVkIjp7ImRhdGUtcGFydHMiOltbMjAyNSwxLDFdXX0sImFic3RyYWN0IjoiSW4gdGhlIGNvbnRleHQgb2YgaW5jcmVhc2luZyBjYXJib24gZW1pc3Npb25zIGFuZCBzdHJlbmd0aGVuaW5nIHJlZ3VsYXRvcnkgbWVhc3VyZXMsIGFuIGluY3JlYXNpbmcgbnVtYmVyIG9mIHN0YWtlaG9sZGVycyBhcmUgcGF5aW5nIG1vcmUgYXR0ZW50aW9uIHRvIGNvcnBvcmF0ZSBjYXJib24gaW5mb3JtYXRpb24uIFRvIGZ1cnRoZXIgZXhwbG9yZSB0aGUgcmVsYXRpb25zaGlwIGJldHdlZW4gdGhlIHF1YWxpdHkgb2YgY2FyYm9uIGluZm9ybWF0aW9uIGRpc2Nsb3N1cmUgYW5kIGVudGVycHJpc2UgdmFsdWUsIHRoaXMgc3R1ZHkgdXNlcyBhIHNhbXBsZSBvZiBjb21wYW5pZXMgbGlzdGVkIG9uIHRoZSBTaGFuZ2hhaSBhbmQgU2hlbnpoZW4gc3RvY2sgZXhjaGFuZ2VzIGZyb20gMjAxMyB0byAyMDIxLiBUaGUgYWltIGlzIHRvIGludmVzdGlnYXRlIHRoZSBsaW5rIGJldHdlZW4gdGhlIHF1YWxpdHkgb2YgY2FyYm9uIGluZm9ybWF0aW9uIGRpc2Nsb3N1cmUgYW5kIGVudGVycHJpc2UgdmFsdWUsIHdoaWxlIGFsc28gYW5hbHl6aW5nIHRoZSByb2xlIG9mIGdyZWVuIGlubm92YXRpb24gaW4gdGhpcyByZWxhdGlvbnNoaXAuIFRoZSBlbXBpcmljYWwgcmVzdWx0cyBzaG93IHRoYXQgdGhlIHF1YWxpdHkgb2YgY2FyYm9uIGluZm9ybWF0aW9uIGRpc2Nsb3N1cmUgY2FuIHNpZ25pZmljYW50bHkgZW5oYW5jZSBlbnRlcnByaXNlIHZhbHVlLCB3aXRoIGdyZWVuIGlubm92YXRpb24gcGxheWluZyBhIG1lZGlhdGluZyByb2xlIGluIHRoaXMgZWZmZWN0LiBBZnRlciByb2J1c3RuZXNzIGNoZWNrcywgaW5jbHVkaW5nIHJlcGxhY2luZyB0aGUgbWVhc3VyZW1lbnQgdmFyaWFibGVzIGFuZCBhZGRyZXNzaW5nIGVuZG9nZW5laXR5IGlzc3VlcywgdGhlIGNvbmNsdXNpb25zIHJlbWFpbiB2YWxpZC4gRnVydGhlciBhbmFseXNpcyByZXZlYWxzIHRoYXQgdGhlIGVmZmVjdCBvZiBjYXJib24gaW5mb3JtYXRpb24gZGlzY2xvc3VyZSBxdWFsaXR5IG9uIGVuaGFuY2luZyBlbnRlcnByaXNlIHZhbHVlIGlzIG1vcmUgcHJvbm91bmNlZCBpbiBub24taGlnaC1wb2xsdXRpb24gaW5kdXN0cmllcywgbm9uLXN0YXRlLW93bmVkIGVudGVycHJpc2VzLCBhbmQgZmlybXMgbG9jYXRlZCBpbiBlYXN0ZXJuIHJlZ2lvbnMuIFRoaXMgc3R1ZHkgcHJvdmlkZXMgdmFsdWFibGUgaW5zaWdodHMgZm9yIGZ1dHVyZSBwb2xpY3kgb3B0aW1pemF0aW9uIHJlbGF0ZWQgdG8gY2FyYm9uIGluZm9ybWF0aW9uIGRpc2Nsb3N1cmUgYW5kIHRoZSBwcm9tb3Rpb24gb2YgbG93LWNhcmJvbiBkZXZlbG9wbWVudCBpbiBlbnRlcnByaXNlcy4iLCJwdWJsaXNoZXIiOiJNdWx0aWRpc2NpcGxpbmFyeSBEaWdpdGFsIFB1Ymxpc2hpbmcgSW5zdGl0dXRlIChNRFBJKSIsImlzc3VlIjoiMiIsInZvbHVtZSI6IjE3IiwiY29udGFpbmVyLXRpdGxlLXNob3J0IjoiIn0sImlzVGVtcG9yYXJ5IjpmYWxzZSwic3VwcHJlc3MtYXV0aG9yIjpmYWxzZSwiY29tcG9zaXRlIjpmYWxzZSwiYXV0aG9yLW9ubHkiOmZhbHNlfV19&quot;,&quot;citationItems&quot;:[{&quot;id&quot;:&quot;52e6706f-0f13-3e98-ac21-c6ea3a1e474a&quot;,&quot;itemData&quot;:{&quot;type&quot;:&quot;article-journal&quot;,&quot;id&quot;:&quot;52e6706f-0f13-3e98-ac21-c6ea3a1e474a&quot;,&quot;title&quot;:&quot;The Impact of Carbon Information Disclosure Quality on Enterprise Value: Evidence from Chinese Listed Companies&quot;,&quot;author&quot;:[{&quot;family&quot;:&quot;Huang&quot;,&quot;given&quot;:&quot;Li&quot;,&quot;parse-names&quot;:false,&quot;dropping-particle&quot;:&quot;&quot;,&quot;non-dropping-particle&quot;:&quot;&quot;},{&quot;family&quot;:&quot;Ji&quot;,&quot;given&quot;:&quot;Xiaoyu&quot;,&quot;parse-names&quot;:false,&quot;dropping-particle&quot;:&quot;&quot;,&quot;non-dropping-particle&quot;:&quot;&quot;},{&quot;family&quot;:&quot;Niu&quot;,&quot;given&quot;:&quot;Tingting&quot;,&quot;parse-names&quot;:false,&quot;dropping-particle&quot;:&quot;&quot;,&quot;non-dropping-particle&quot;:&quot;&quot;},{&quot;family&quot;:&quot;Ou&quot;,&quot;given&quot;:&quot;Wanting&quot;,&quot;parse-names&quot;:false,&quot;dropping-particle&quot;:&quot;&quot;,&quot;non-dropping-particle&quot;:&quot;&quot;}],&quot;container-title&quot;:&quot;Sustainability (Switzerland)&quot;,&quot;DOI&quot;:&quot;10.3390/su17020402&quot;,&quot;ISSN&quot;:&quot;20711050&quot;,&quot;issued&quot;:{&quot;date-parts&quot;:[[2025,1,1]]},&quot;abstract&quot;:&quot;In the context of increasing carbon emissions and strengthening regulatory measures, an increasing number of stakeholders are paying more attention to corporate carbon information. To further explore the relationship between the quality of carbon information disclosure and enterprise value, this study uses a sample of companies listed on the Shanghai and Shenzhen stock exchanges from 2013 to 2021. The aim is to investigate the link between the quality of carbon information disclosure and enterprise value, while also analyzing the role of green innovation in this relationship. The empirical results show that the quality of carbon information disclosure can significantly enhance enterprise value, with green innovation playing a mediating role in this effect. After robustness checks, including replacing the measurement variables and addressing endogeneity issues, the conclusions remain valid. Further analysis reveals that the effect of carbon information disclosure quality on enhancing enterprise value is more pronounced in non-high-pollution industries, non-state-owned enterprises, and firms located in eastern regions. This study provides valuable insights for future policy optimization related to carbon information disclosure and the promotion of low-carbon development in enterprises.&quot;,&quot;publisher&quot;:&quot;Multidisciplinary Digital Publishing Institute (MDPI)&quot;,&quot;issue&quot;:&quot;2&quot;,&quot;volume&quot;:&quot;17&quot;,&quot;container-title-short&quot;:&quot;&quot;},&quot;isTemporary&quot;:false,&quot;suppress-author&quot;:false,&quot;composite&quot;:false,&quot;author-only&quot;:false}]},{&quot;citationID&quot;:&quot;MENDELEY_CITATION_afa509aa-6d34-4d9e-9d47-b93d1f141ab7&quot;,&quot;properties&quot;:{&quot;noteIndex&quot;:0},&quot;isEdited&quot;:false,&quot;manualOverride&quot;:{&quot;isManuallyOverridden&quot;:false,&quot;citeprocText&quot;:&quot;(Lee &amp;#38; Cho, 2021)&quot;,&quot;manualOverrideText&quot;:&quot;&quot;},&quot;citationTag&quot;:&quot;MENDELEY_CITATION_v3_eyJjaXRhdGlvbklEIjoiTUVOREVMRVlfQ0lUQVRJT05fYWZhNTA5YWEtNmQzNC00ZDllLTlkNDctYjkzZDFmMTQxYWI3IiwicHJvcGVydGllcyI6eyJub3RlSW5kZXgiOjB9LCJpc0VkaXRlZCI6ZmFsc2UsIm1hbnVhbE92ZXJyaWRlIjp7ImlzTWFudWFsbHlPdmVycmlkZGVuIjpmYWxzZSwiY2l0ZXByb2NUZXh0IjoiKExlZSAmIzM4OyBDaG8sIDIwMjEpIiwibWFudWFsT3ZlcnJpZGVUZXh0IjoiIn0sImNpdGF0aW9uSXRlbXMiOlt7ImlkIjoiNWZjMjBjN2QtOWMzNi0zZTc1LThjMzItYTMwMGI2Nzc0MGUzIiwiaXRlbURhdGEiOnsidHlwZSI6ImFydGljbGUtam91cm5hbCIsImlkIjoiNWZjMjBjN2QtOWMzNi0zZTc1LThjMzItYTMwMGI2Nzc0MGUzIiwidGl0bGUiOiJGaXJtLXZhbHVlIGVmZmVjdHMgb2YgY2FyYm9uIGVtaXNzaW9ucyBhbmQgY2FyYm9uIGRpc2Nsb3N1cmVz4oCUZXZpZGVuY2UgZnJvbSBrb3JlYSIsImF1dGhvciI6W3siZmFtaWx5IjoiTGVlIiwiZ2l2ZW4iOiJKZW9uZyBId2FuIiwicGFyc2UtbmFtZXMiOmZhbHNlLCJkcm9wcGluZy1wYXJ0aWNsZSI6IiIsIm5vbi1kcm9wcGluZy1wYXJ0aWNsZSI6IiJ9LHsiZmFtaWx5IjoiQ2hvIiwiZ2l2ZW4iOiJKaW4gSHl1bmc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ET0kiOiIxMC4zMzkwL2lqZXJwaDE4MjIxMjE2NiIsIklTU04iOiIxNjYwNDYwMSIsIlBNSUQiOiIzNDgzMTkyNCIsImlzc3VlZCI6eyJkYXRlLXBhcnRzIjpbWzIwMjEsMTEsMV1dfSwiYWJzdHJhY3QiOiJXZSBleGFtaW5lIHRoZSBhc3NvY2lhdGlvbiBiZXR3ZWVuIGNhcmJvbiBlbWlzc2lvbnMsIGNhcmJvbiBkaXNjbG9zdXJlcywgYW5kIGZpcm0gdmFsdWUgZm9yIEtvcmVhbiBmaXJtcywgd2l0aCBhIHBhcnRpY3VsYXIgaW50ZXJlc3QgaW4gY2hhZWJvbHMsIGEgc3BlY2lhbCB0eXBlIG9mIEtvcmVhbiBjb25nbG9tZXJhdGUuIFVzaW5nIGhhbmQtY29sbGVjdGVkIGNhcmJvbiBlbWlzc2lvbnMgYW5kIGZpcm0tc3BlY2lmaWMgZGF0YSBmb3IgODQxIEtvcmVhbiBmaXJtcywgaW5jbHVkaW5nIDUxNCBjaGFlYm9scyBhbmQgMzM1IG5vbi1jaGFlYm9scywgd2UgZmluZCBhIHNpZ25pZmljYW50bHkgcG9zaXRpdmUgcmVsYXRpb25zaGlwIGJldHdlZW4gY2FyYm9uIGVtaXNzaW9ucyBhbmQgZmlybSB2YWx1ZSBhbW9uZyBjaGFlYm9sIGFmZmlsaWF0ZXMuIFRoaXMgcmVzdWx0IGNvbnRyYXN0cyB3aXRoIHByZXZpb3VzIGZpbmRpbmdzIGNvbmR1Y3RlZCBpbiBhZC12YW5jZWQgbWFya2V0cywgd2hlcmUgaW52ZXN0b3JzIGNvbnNpZGVyIGNhcmJvbiBlbWlzc2lvbnMgdG8gYmUgZGVzdHJ1Y3RpdmUuIEluIHRlcm1zIG9mIHRoZSB2b2x1bnRhcnkgZGlzY2xvc3VyZSBwb2xpY3ksIHdlIGZpbmQgdGhhdCBjb21wYW5pZXMgd2l0aCBnb29kIGVudmlyb25tZW50YWwgcGVyZm9ybWFuY2UgdGVuZCB0byBkaXNjbG9zZSBjYXJib24gZW1pc3Npb25zIHZvbHVudGFyaWx5LiBXZSBmdXJ0aGVyIGFyZ3VlIHRoYXQgdGhlc2UgZmluZGluZ3Mgb3JpZ2luYXRlIGZyb20gdGhlIHNwZWNpZmljIGJ1c2luZXNzIGF0bW9zcGhlcmUgaW4gS29yZWEuIE91ciByZXN1bHRzIHN1cHBvcnQgdGhlIHRyYWRpdGlvbmFsIHZpZXcgb2YgY29ycG9yYXRpb25zIGluIHRlcm1zIG9mIGVudmlyb25tZW50YWwgcG9saWN5IGFuZCBoaWdobGlnaHQgdGhlIGltcG9ydGFuY2Ugb2YgZmlybSBjaGFyYWN0ZXJpc3RpY3MgYW5kIGhpc3RvcmljYWwgZGV2ZWxvcC1tZW50cyBpbiB0aGUgYW5hbHlzaXMgb2YgZW52aXJvbm1lbnRhbCBwb2xpY3kuIiwicHVibGlzaGVyIjoiTURQSSIsImlzc3VlIjoiMjIiLCJ2b2x1bWUiOiIxOCJ9LCJpc1RlbXBvcmFyeSI6ZmFsc2UsInN1cHByZXNzLWF1dGhvciI6ZmFsc2UsImNvbXBvc2l0ZSI6ZmFsc2UsImF1dGhvci1vbmx5IjpmYWxzZX1dfQ==&quot;,&quot;citationItems&quot;:[{&quot;id&quot;:&quot;5fc20c7d-9c36-3e75-8c32-a300b67740e3&quot;,&quot;itemData&quot;:{&quot;type&quot;:&quot;article-journal&quot;,&quot;id&quot;:&quot;5fc20c7d-9c36-3e75-8c32-a300b67740e3&quot;,&quot;title&quot;:&quot;Firm-value effects of carbon emissions and carbon disclosures—evidence from korea&quot;,&quot;author&quot;:[{&quot;family&quot;:&quot;Lee&quot;,&quot;given&quot;:&quot;Jeong Hwan&quot;,&quot;parse-names&quot;:false,&quot;dropping-particle&quot;:&quot;&quot;,&quot;non-dropping-particle&quot;:&quot;&quot;},{&quot;family&quot;:&quot;Cho&quot;,&quot;given&quot;:&quot;Jin Hyu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82212166&quot;,&quot;ISSN&quot;:&quot;16604601&quot;,&quot;PMID&quot;:&quot;34831924&quot;,&quot;issued&quot;:{&quot;date-parts&quot;:[[2021,11,1]]},&quot;abstract&quot;:&quot;We examine the association between carbon emissions, carbon disclosures, and firm value for Korean firms, with a particular interest in chaebols, a special type of Korean conglomerate. Using hand-collected carbon emissions and firm-specific data for 841 Korean firms, including 514 chaebols and 335 non-chaebols, we find a significantly positive relationship between carbon emissions and firm value among chaebol affiliates. This result contrasts with previous findings conducted in ad-vanced markets, where investors consider carbon emissions to be destructive. In terms of the voluntary disclosure policy, we find that companies with good environmental performance tend to disclose carbon emissions voluntarily. We further argue that these findings originate from the specific business atmosphere in Korea. Our results support the traditional view of corporations in terms of environmental policy and highlight the importance of firm characteristics and historical develop-ments in the analysis of environmental policy.&quot;,&quot;publisher&quot;:&quot;MDPI&quot;,&quot;issue&quot;:&quot;22&quot;,&quot;volume&quot;:&quot;18&quot;},&quot;isTemporary&quot;:false,&quot;suppress-author&quot;:false,&quot;composite&quot;:false,&quot;author-only&quot;:false}]},{&quot;citationID&quot;:&quot;MENDELEY_CITATION_67785dd7-0d88-4600-b14d-801b4570e50a&quot;,&quot;properties&quot;:{&quot;noteIndex&quot;:0},&quot;isEdited&quot;:false,&quot;manualOverride&quot;:{&quot;isManuallyOverridden&quot;:false,&quot;citeprocText&quot;:&quot;(Zhou &amp;#38; Fan, 2023)&quot;,&quot;manualOverrideText&quot;:&quot;&quot;},&quot;citationTag&quot;:&quot;MENDELEY_CITATION_v3_eyJjaXRhdGlvbklEIjoiTUVOREVMRVlfQ0lUQVRJT05fNjc3ODVkZDctMGQ4OC00NjAwLWIxNGQtODAxYjQ1NzBlNTBh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quot;,&quot;citationItems&quot;:[{&quot;id&quot;:&quot;8ab64a03-55d5-3e25-89c1-7ef88550f337&quot;,&quot;itemData&quot;:{&quot;type&quot;:&quot;article-journal&quot;,&quot;id&quot;:&quot;8ab64a03-55d5-3e25-89c1-7ef88550f337&quot;,&quot;title&quot;:&quot;The Impact of Green Capital Structure on Enterprise Development and the Regulation of Technological Innovation under Carbon Peaking&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79e0b432-3fba-4a03-9ece-1e71264ca84d&quot;,&quot;properties&quot;:{&quot;noteIndex&quot;:0},&quot;isEdited&quot;:false,&quot;manualOverride&quot;:{&quot;isManuallyOverridden&quot;:false,&quot;citeprocText&quot;:&quot;(Tang &amp;#38; Zhang, 2020)&quot;,&quot;manualOverrideText&quot;:&quot;&quot;},&quot;citationTag&quot;:&quot;MENDELEY_CITATION_v3_eyJjaXRhdGlvbklEIjoiTUVOREVMRVlfQ0lUQVRJT05fNzllMGI0MzItM2ZiYS00YTAzLTllY2UtMWU3MTI2NGNhODRkIiwicHJvcGVydGllcyI6eyJub3RlSW5kZXgiOjB9LCJpc0VkaXRlZCI6ZmFsc2UsIm1hbnVhbE92ZXJyaWRlIjp7ImlzTWFudWFsbHlPdmVycmlkZGVuIjpmYWxzZSwiY2l0ZXByb2NUZXh0IjoiKFRhbmcgJiMzODsgWmhhbmcsIDIwMjApIiwibWFudWFsT3ZlcnJpZGVUZXh0IjoiIn0sImNpdGF0aW9uSXRlbXMiOlt7ImlkIjoiZTAyM2MwNWItODZiMC0zYzlhLThmZjItYWQ5MzY4ZDQ2YjczIiwiaXRlbURhdGEiOnsidHlwZSI6ImFydGljbGUtam91cm5hbCIsImlkIjoiZTAyM2MwNWItODZiMC0zYzlhLThmZjItYWQ5MzY4ZDQ2YjczIiwidGl0bGUiOiJEbyBzaGFyZWhvbGRlcnMgYmVuZWZpdCBmcm9tIGdyZWVuIGJvbmRzPyIsImF1dGhvciI6W3siZmFtaWx5IjoiVGFuZyIsImdpdmVuIjoiRHJhZ29uIFlvbmdqdW4iLCJwYXJzZS1uYW1lcyI6ZmFsc2UsImRyb3BwaW5nLXBhcnRpY2xlIjoiIiwibm9uLWRyb3BwaW5nLXBhcnRpY2xlIjoiIn0seyJmYW1pbHkiOiJaaGFuZyIsImdpdmVuIjoiWXVwdSIsInBhcnNlLW5hbWVzIjpmYWxzZSwiZHJvcHBpbmctcGFydGljbGUiOiIiLCJub24tZHJvcHBpbmctcGFydGljbGUiOiIifV0sImNvbnRhaW5lci10aXRsZSI6IkpvdXJuYWwgb2YgQ29ycG9yYXRlIEZpbmFuY2UiLCJET0kiOiIxMC4xMDE2L2ouamNvcnBmaW4uMjAxOC4xMi4wMDEiLCJJU1NOIjoiMDkyOTExOTkiLCJpc3N1ZWQiOnsiZGF0ZS1wYXJ0cyI6W1syMDIwLDQsMV1dfSwiYWJzdHJhY3QiOiJUaGUgZ3JlZW4gYm9uZCBtYXJrZXQgaGFzIGJlZW4gZ3Jvd2luZyByYXBpZGx5IHdvcmxkd2lkZSBzaW5jZSBpdHMgZGVidXQgaW4gMjAwNy4gV2UgcHJlc2VudCB0aGUgZmlyc3QgZW1waXJpY2FsIHN0dWR5IG9uIHRoZSBhbm5vdW5jZW1lbnQgcmV0dXJucyBhbmQgcmVhbCBlZmZlY3RzIG9mIGdyZWVuIGJvbmQgaXNzdWFuY2UgYnkgZmlybXMgaW4gMjggY291bnRyaWVzIGR1cmluZyAyMDA34oCTMjAxNy4gQWZ0ZXIgY29tcGlsaW5nIGEgY29tcHJlaGVuc2l2ZSBpbnRlcm5hdGlvbmFsIGdyZWVuIGJvbmQgZGF0YXNldCwgd2UgZG9jdW1lbnQgdGhhdCBzdG9jayBwcmljZXMgcG9zaXRpdmVseSByZXNwb25kIHRvIGdyZWVuIGJvbmQgaXNzdWFuY2UuIEhvd2V2ZXIsIHdlIGRvIG5vdCBmaW5kIGEgY29uc2lzdGVudGx5IHNpZ25pZmljYW50IHByZW1pdW0gZm9yIGdyZWVuIGJvbmRzLCBzdWdnZXN0aW5nIHRoYXQgdGhlIHBvc2l0aXZlIHN0b2NrIHJldHVybnMgYXJvdW5kIGdyZWVuIGJvbmQgYW5ub3VuY2VtZW50cyBhcmUgbm90IGZ1bGx5IGRyaXZlbiBieSB0aGUgbG93ZXIgY29zdCBvZiBkZWJ0LiBOZXZlcnRoZWxlc3MsIHdlIHNob3cgdGhhdCBpbnN0aXR1dGlvbmFsIG93bmVyc2hpcCwgZXNwZWNpYWxseSBmcm9tIGRvbWVzdGljIGluc3RpdHV0aW9ucywgaW5jcmVhc2VzIGFmdGVyIHRoZSBmaXJtIGlzc3VlcyBncmVlbiBib25kcy4gTW9yZW92ZXIsIHN0b2NrIGxpcXVpZGl0eSBzaWduaWZpY2FudGx5IGltcHJvdmVzIHVwb24gdGhlIGlzc3VhbmNlIG9mIGdyZWVuIGJvbmRzLiBPdmVyYWxsLCBvdXIgZmluZGluZ3Mgc3VnZ2VzdCB0aGF0IHRoZSBmaXJtJ3MgaXNzdWFuY2Ugb2YgZ3JlZW4gYm9uZHMgaXMgYmVuZWZpY2lhbCB0byBpdHMgZXhpc3Rpbmcgc2hhcmVob2xkZXJzLiIsInB1Ymxpc2hlciI6IkVsc2V2aWVyIEIuVi4iLCJ2b2x1bWUiOiI2MSIsImNvbnRhaW5lci10aXRsZS1zaG9ydCI6IiJ9LCJpc1RlbXBvcmFyeSI6ZmFsc2UsInN1cHByZXNzLWF1dGhvciI6ZmFsc2UsImNvbXBvc2l0ZSI6ZmFsc2UsImF1dGhvci1vbmx5IjpmYWxzZX1dfQ==&quot;,&quot;citationItems&quot;:[{&quot;id&quot;:&quot;e023c05b-86b0-3c9a-8ff2-ad9368d46b73&quot;,&quot;itemData&quot;:{&quot;type&quot;:&quot;article-journal&quot;,&quot;id&quot;:&quot;e023c05b-86b0-3c9a-8ff2-ad9368d46b73&quot;,&quot;title&quot;:&quot;Do shareholders benefit from green bonds?&quot;,&quot;author&quot;:[{&quot;family&quot;:&quot;Tang&quot;,&quot;given&quot;:&quot;Dragon Yongjun&quot;,&quot;parse-names&quot;:false,&quot;dropping-particle&quot;:&quot;&quot;,&quot;non-dropping-particle&quot;:&quot;&quot;},{&quot;family&quot;:&quot;Zhang&quot;,&quot;given&quot;:&quot;Yupu&quot;,&quot;parse-names&quot;:false,&quot;dropping-particle&quot;:&quot;&quot;,&quot;non-dropping-particle&quot;:&quot;&quot;}],&quot;container-title&quot;:&quot;Journal of Corporate Finance&quot;,&quot;DOI&quot;:&quot;10.1016/j.jcorpfin.2018.12.001&quot;,&quot;ISSN&quot;:&quot;09291199&quot;,&quot;issued&quot;:{&quot;date-parts&quot;:[[2020,4,1]]},&quot;abstract&quot;:&quot;The green bond market has been growing rapidly worldwide since its debut in 2007. We present the first empirical study on the announcement returns and real effects of green bond issuance by firms in 28 countries during 2007–2017. After compiling a comprehensive international green bond dataset, we document that stock prices positively respond to green bond issuance. However, we do not find a consistently significant premium for green bonds, suggesting that the positive stock returns around green bond announcements are not fully driven by the lower cost of debt. Nevertheless, we show that institutional ownership, especially from domestic institutions, increases after the firm issues green bonds. Moreover, stock liquidity significantly improves upon the issuance of green bonds. Overall, our findings suggest that the firm's issuance of green bonds is beneficial to its existing shareholders.&quot;,&quot;publisher&quot;:&quot;Elsevier B.V.&quot;,&quot;volume&quot;:&quot;61&quot;,&quot;container-title-short&quot;:&quot;&quot;},&quot;isTemporary&quot;:false,&quot;suppress-author&quot;:false,&quot;composite&quot;:false,&quot;author-only&quot;:false}]},{&quot;citationID&quot;:&quot;MENDELEY_CITATION_fafe37e2-e7f4-4a7e-8ac9-d39c778ab533&quot;,&quot;properties&quot;:{&quot;noteIndex&quot;:0},&quot;isEdited&quot;:false,&quot;manualOverride&quot;:{&quot;isManuallyOverridden&quot;:false,&quot;citeprocText&quot;:&quot;(Alnaim &amp;#38; Metwally, 2024)&quot;,&quot;manualOverrideText&quot;:&quot;&quot;},&quot;citationTag&quot;:&quot;MENDELEY_CITATION_v3_eyJjaXRhdGlvbklEIjoiTUVOREVMRVlfQ0lUQVRJT05fZmFmZTM3ZTItZTdmNC00YTdlLThhYzktZDM5Yzc3OGFiNTMzIiwicHJvcGVydGllcyI6eyJub3RlSW5kZXgiOjB9LCJpc0VkaXRlZCI6ZmFsc2UsIm1hbnVhbE92ZXJyaWRlIjp7ImlzTWFudWFsbHlPdmVycmlkZGVuIjpmYWxzZSwiY2l0ZXByb2NUZXh0IjoiKEFsbmFpbSAmIzM4OyBNZXR3YWxseSwgMjAyNCkiLCJtYW51YWxPdmVycmlkZVRleHQiOiIifSwiY2l0YXRpb25JdGVtcyI6W3siaWQiOiI0NmIyZWM5Ni04Y2ZiLTNjYTgtOWRjZi1lYzY0ZTRkOGQwOGIiLCJpdGVtRGF0YSI6eyJ0eXBlIjoiYXJ0aWNsZS1qb3VybmFsIiwiaWQiOiI0NmIyZWM5Ni04Y2ZiLTNjYTgtOWRjZi1lYzY0ZTRkOGQwOGIiLCJ0aXRsZSI6IkdyZWVuIEludGVsbGVjdHVhbCBDYXBpdGFsIGFuZCBDb3Jwb3JhdGUgRW52aXJvbm1lbnRhbCBQZXJmb3JtYW5jZTogRG9lcyBFbnZpcm9ubWVudGFsIE1hbmFnZW1lbnQgQWNjb3VudGluZyBNYXR0ZXI/IiwiYXV0aG9yIjpbeyJmYW1pbHkiOiJBbG5haW0iLCJnaXZlbiI6Ik11c2FhYiIsInBhcnNlLW5hbWVzIjpmYWxzZSwiZHJvcHBpbmctcGFydGljbGUiOiIiLCJub24tZHJvcHBpbmctcGFydGljbGUiOiIifSx7ImZhbWlseSI6Ik1ldHdhbGx5IiwiZ2l2ZW4iOiJBYmRlbG1vbmVpbSBCYWh5ZWxkaW4gTW9oYW1lZCIsInBhcnNlLW5hbWVzIjpmYWxzZSwiZHJvcHBpbmctcGFydGljbGUiOiIiLCJub24tZHJvcHBpbmctcGFydGljbGUiOiIifV0sImNvbnRhaW5lci10aXRsZSI6IkFkbWluaXN0cmF0aXZlIFNjaWVuY2VzIiwiY29udGFpbmVyLXRpdGxlLXNob3J0IjoiQWRtIFNjaSIsIkRPSSI6IjEwLjMzOTAvYWRtc2NpMTQxMjAzMTEiLCJJU1NOIjoiMjA3NjMzODciLCJpc3N1ZWQiOnsiZGF0ZS1wYXJ0cyI6W1syMDI0LDEyLDFdXX0sImFic3RyYWN0IjoiVGhpcyBzdHVkeSBpbnZlc3RpZ2F0ZXMgdGhlIHJlbGF0aW9uc2hpcCBiZXR3ZWVuIGdyZWVuIGludGVsbGVjdHVhbCBjYXBpdGFsIGFuZCBjb3Jwb3JhdGUgZW52aXJvbm1lbnRhbCBwZXJmb3JtYW5jZSwgd2l0aCBhIHNwZWNpZmljIGZvY3VzIG9uIHRoZSBtb2RlcmF0aW5nIHJvbGUgb2YgZW52aXJvbm1lbnRhbCBtYW5hZ2VtZW50IGFjY291bnRpbmcuIERhdGEgd2VyZSBjb2xsZWN0ZWQgZnJvbSBhIHNhbXBsZSBvZiAyOTggZW1wbG95ZWVzIHdvcmtpbmcgaW4gdGhlIEVneXB0aWFuIGluZHVzdHJpYWwgc2VjdG9yIGFuZCBhbmFseXplZCB1c2luZyBzbWFydCBwYXJ0aWFsIGxlYXN0IHNxdWFyZXMgKFNtYXJ0UExTKSBzb2Z0d2FyZS4gVGhlIGVtcGlyaWNhbCByZXN1bHRzIHJldmVhbGVkIGEgc3RhdGlzdGljYWxseSBwb3NpdGl2ZSBhbmQgc2lnbmlmaWNhbnQgaW1wYWN0IG9mIGFsbCBncmVlbiBpbnRlbGxlY3R1YWwgY2FwaXRhbCBjb21wb25lbnRzIG9uIGNvcnBvcmF0ZSBlbnZpcm9ubWVudGFsIHBlcmZvcm1hbmNlLCBpbmRpY2F0aW5nIHRoYXQgZ3JlZW4gaW50ZWxsZWN0dWFsIGNhcGl0YWwgaXMgYSBjcml0aWNhbCBkZXRlcm1pbmFudCBpbiBlbmhhbmNpbmcgZW52aXJvbm1lbnRhbCBwZXJmb3JtYW5jZS4gRnVydGhlciwgdGhlIGFuYWx5c2lzIHJldmVhbHMgdGhhdCBlbnZpcm9ubWVudGFsIG1hbmFnZW1lbnQgYWNjb3VudGluZyBmdW5jdGlvbnMgYXMgYSBzaWduaWZpY2FudCBtb2RlcmF0b3IgaW4gdGhlIHJlbGF0aW9uc2hpcCBiZXR3ZWVuIGdyZWVuIGludGVsbGVjdHVhbCBjYXBpdGFsIGFuZCBjb3Jwb3JhdGUgZW52aXJvbm1lbnRhbCBwZXJmb3JtYW5jZS4gVGhlIG1vZGVsIGV4cGxhaW5zIDgwLjIlIG9mIHRoZSB2YXJpYW5jZSBpbiBjb3Jwb3JhdGUgZW52aXJvbm1lbnRhbCBwZXJmb3JtYW5jZSwgcHJvdmlkaW5nIHN0cm9uZyBlbXBpcmljYWwgc3VwcG9ydCBmb3IgdGhpcyBzdHVkeeKAmXMgaHlwb3RoZXNlcy4gVGhlc2UgZmluZGluZ3MgaGF2ZSBpbXBvcnRhbnQgcHJhY3RpY2FsIGltcGxpY2F0aW9ucyBmb3IgY29tcGFuaWVzIHdvcmtpbmcgaW4gdGhlIEVneXB0aWFuIGNvbnRleHQuIFRoZXkgY2FuIGhlbHAgaW4gZ3VpZGluZyB0aGUgZGV2ZWxvcG1lbnQgb2YgY29ycG9yYXRlIHBvbGljaWVzIGFuZCBzdHJhdGVnaWVzIHRoYXQgaW1wcm92ZSBlbnZpcm9ubWVudGFsIHBlcmZvcm1hbmNlLiBUaGlzIHJlc2VhcmNoIGFsc28gbWFrZXMgYSBzaWduaWZpY2FudCBjb250cmlidXRpb24gdG8gdGhlIGxpdGVyYXR1cmUgYnkgYmVpbmcgb25lIG9mIHRoZSBmaXJzdCB0byBzdHVkeSB0aGUgbW9kZXJhdGluZyByb2xlIG9mIGVudmlyb25tZW50YWwgbWFuYWdlbWVudCBhY2NvdW50aW5nIHByYWN0aWNlcyBpbiBhbiBlbWVyZ2luZyBtYXJrZXQgbGlrZSBFZ3lwdCwgYXMgbW9zdCBlYXJseSBzdHVkaWVzIGhhdmUgY29uY2VudHJhdGVkIG9uIHRoZSBkaXJlY3QgcmVsYXRpb25zaGlwIGJldHdlZW4gZ3JlZW4gaW50ZWxsZWN0dWFsIGNhcGl0YWwsIGVudmlyb25tZW50YWwgbWFuYWdlbWVudCBhY2NvdW50aW5nLCBhbmQgY29ycG9yYXRlIGVudmlyb25tZW50YWwgcGVyZm9ybWFuY2UuIFRoaXMgaGVscHMgaW4gYmV0dGVyIHVuZGVyc3RhbmRpbmcgb2YgdGhlc2UgY29uY2VwdHMgYW5kIGhvdyB0aGV5IGludGVyYWN0LiIsInB1Ymxpc2hlciI6Ik11bHRpZGlzY2lwbGluYXJ5IERpZ2l0YWwgUHVibGlzaGluZyBJbnN0aXR1dGUgKE1EUEkpIiwiaXNzdWUiOiIxMiIsInZvbHVtZSI6IjE0In0sImlzVGVtcG9yYXJ5IjpmYWxzZSwic3VwcHJlc3MtYXV0aG9yIjpmYWxzZSwiY29tcG9zaXRlIjpmYWxzZSwiYXV0aG9yLW9ubHkiOmZhbHNlfV19&quot;,&quot;citationItems&quot;:[{&quot;id&quot;:&quot;46b2ec96-8cfb-3ca8-9dcf-ec64e4d8d08b&quot;,&quot;itemData&quot;:{&quot;type&quot;:&quot;article-journal&quot;,&quot;id&quot;:&quot;46b2ec96-8cfb-3ca8-9dcf-ec64e4d8d08b&quot;,&quot;title&quot;:&quot;Green Intellectual Capital and Corporate Environmental Performance: Does Environmental Management Accounting Matter?&quot;,&quot;author&quot;:[{&quot;family&quot;:&quot;Alnaim&quot;,&quot;given&quot;:&quot;Musaab&quot;,&quot;parse-names&quot;:false,&quot;dropping-particle&quot;:&quot;&quot;,&quot;non-dropping-particle&quot;:&quot;&quot;},{&quot;family&quot;:&quot;Metwally&quot;,&quot;given&quot;:&quot;Abdelmoneim Bahyeldin Mohamed&quot;,&quot;parse-names&quot;:false,&quot;dropping-particle&quot;:&quot;&quot;,&quot;non-dropping-particle&quot;:&quot;&quot;}],&quot;container-title&quot;:&quot;Administrative Sciences&quot;,&quot;container-title-short&quot;:&quot;Adm Sci&quot;,&quot;DOI&quot;:&quot;10.3390/admsci14120311&quot;,&quot;ISSN&quot;:&quot;20763387&quot;,&quot;issued&quot;:{&quot;date-parts&quot;:[[2024,12,1]]},&quot;abstract&quot;:&quot;This study investigates the relationship between green intellectual capital and corporate environmental performance, with a specific focus on the moderating role of environmental management accounting. Data were collected from a sample of 298 employees working in the Egyptian industrial sector and analyzed using smart partial least squares (SmartPLS) software. The empirical results revealed a statistically positive and significant impact of all green intellectual capital components on corporate environmental performance, indicating that green intellectual capital is a critical determinant in enhancing environmental performance. Further, the analysis reveals that environmental management accounting functions as a significant moderator in the relationship between green intellectual capital and corporate environmental performance. The model explains 80.2% of the variance in corporate environmental performance, providing strong empirical support for this study’s hypotheses. These findings have important practical implications for companies working in the Egyptian context. They can help in guiding the development of corporate policies and strategies that improve environmental performance. This research also makes a significant contribution to the literature by being one of the first to study the moderating role of environmental management accounting practices in an emerging market like Egypt, as most early studies have concentrated on the direct relationship between green intellectual capital, environmental management accounting, and corporate environmental performance. This helps in better understanding of these concepts and how they interact.&quot;,&quot;publisher&quot;:&quot;Multidisciplinary Digital Publishing Institute (MDPI)&quot;,&quot;issue&quot;:&quot;12&quot;,&quot;volume&quot;:&quot;14&quot;},&quot;isTemporary&quot;:false,&quot;suppress-author&quot;:false,&quot;composite&quot;:false,&quot;author-only&quot;:false}]},{&quot;citationID&quot;:&quot;MENDELEY_CITATION_f8e06270-50fb-4591-b436-3194d10bef7b&quot;,&quot;properties&quot;:{&quot;noteIndex&quot;:0},&quot;isEdited&quot;:false,&quot;manualOverride&quot;:{&quot;isManuallyOverridden&quot;:false,&quot;citeprocText&quot;:&quot;(Hakki et al., 2024)&quot;,&quot;manualOverrideText&quot;:&quot;&quot;},&quot;citationTag&quot;:&quot;MENDELEY_CITATION_v3_eyJjaXRhdGlvbklEIjoiTUVOREVMRVlfQ0lUQVRJT05fZjhlMDYyNzAtNTBmYi00NTkxLWI0MzYtMzE5NGQxMGJlZjdiIiwicHJvcGVydGllcyI6eyJub3RlSW5kZXgiOjB9LCJpc0VkaXRlZCI6ZmFsc2UsIm1hbnVhbE92ZXJyaWRlIjp7ImlzTWFudWFsbHlPdmVycmlkZGVuIjpmYWxzZSwiY2l0ZXByb2NUZXh0IjoiKEhha2tpIGV0IGFsLiwgMjAyNCkiLCJtYW51YWxPdmVycmlkZVRleHQiOiIifSwiY2l0YXRpb25JdGVtcyI6W3siaWQiOiI0OTIyYzU3NC00YWQ3LTNjNTUtOWRiYi1jYmVkNDY3YzM3NmUiLCJpdGVtRGF0YSI6eyJ0eXBlIjoiYXJ0aWNsZS1qb3VybmFsIiwiaWQiOiI0OTIyYzU3NC00YWQ3LTNjNTUtOWRiYi1jYmVkNDY3YzM3NmUiLCJ0aXRsZSI6IlRoZSBFZmZlY3Qgb2YgQ2FyYm9uIE1hbmFnZW1lbnQgQWNjb3VudGluZywgQ29tcGV0aXRpdmUgQnVzaW5lc3MgU3RyYXRlZ2ljIGFuZCBDYXJib24gRW1pc3Npb24gRGlzY2xvc3VyZSBvbiBDb21wYW55IFBlcmZvcm1hbmNlIE1vZGVyYXRlZCBieSBHcmVlbiBJbnRlbGxlY3R1YWwgQ2FwaXRhbCIsImF1dGhvciI6W3siZmFtaWx5IjoiSGFra2kiLCJnaXZlbiI6IlRhbmRyeSBXaGl0dGxlbGlhbmciLCJwYXJzZS1uYW1lcyI6ZmFsc2UsImRyb3BwaW5nLXBhcnRpY2xlIjoiIiwibm9uLWRyb3BwaW5nLXBhcnRpY2xlIjoiIn0seyJmYW1pbHkiOiJBa3dpbGEiLCJnaXZlbiI6IkthcnZpY2hhIiwicGFyc2UtbmFtZXMiOmZhbHNlLCJkcm9wcGluZy1wYXJ0aWNsZSI6IiIsIm5vbi1kcm9wcGluZy1wYXJ0aWNsZSI6IiJ9LHsiZmFtaWx5IjoiSnVyamFudGEiLCJnaXZlbiI6IlByaWNjaWx5YSIsInBhcnNlLW5hbWVzIjpmYWxzZSwiZHJvcHBpbmctcGFydGljbGUiOiIiLCJub24tZHJvcHBpbmctcGFydGljbGUiOiIifV0sIkRPSSI6IjEwLjM4MDM1L2phZm0udjVpNSIsImlzc3VlZCI6eyJkYXRlLXBhcnRzIjpbWzIwMjRdXX0sImNvbnRhaW5lci10aXRsZS1zaG9ydCI6IiJ9LCJpc1RlbXBvcmFyeSI6ZmFsc2UsInN1cHByZXNzLWF1dGhvciI6ZmFsc2UsImNvbXBvc2l0ZSI6ZmFsc2UsImF1dGhvci1vbmx5IjpmYWxzZX1dfQ==&quot;,&quot;citationItems&quot;:[{&quot;id&quot;:&quot;4922c574-4ad7-3c55-9dbb-cbed467c376e&quot;,&quot;itemData&quot;:{&quot;type&quot;:&quot;article-journal&quot;,&quot;id&quot;:&quot;4922c574-4ad7-3c55-9dbb-cbed467c376e&quot;,&quot;title&quot;:&quot;The Effect of Carbon Management Accounting, Competitive Business Strategic and Carbon Emission Disclosure on Company Performance Moderated by Green Intellectual Capital&quot;,&quot;author&quot;:[{&quot;family&quot;:&quot;Hakki&quot;,&quot;given&quot;:&quot;Tandry Whittleliang&quot;,&quot;parse-names&quot;:false,&quot;dropping-particle&quot;:&quot;&quot;,&quot;non-dropping-particle&quot;:&quot;&quot;},{&quot;family&quot;:&quot;Akwila&quot;,&quot;given&quot;:&quot;Karvicha&quot;,&quot;parse-names&quot;:false,&quot;dropping-particle&quot;:&quot;&quot;,&quot;non-dropping-particle&quot;:&quot;&quot;},{&quot;family&quot;:&quot;Jurjanta&quot;,&quot;given&quot;:&quot;Priccilya&quot;,&quot;parse-names&quot;:false,&quot;dropping-particle&quot;:&quot;&quot;,&quot;non-dropping-particle&quot;:&quot;&quot;}],&quot;DOI&quot;:&quot;10.38035/jafm.v5i5&quot;,&quot;issued&quot;:{&quot;date-parts&quot;:[[2024]]},&quot;container-title-short&quot;:&quot;&quot;},&quot;isTemporary&quot;:false,&quot;suppress-author&quot;:false,&quot;composite&quot;:false,&quot;author-only&quot;:false}]},{&quot;citationID&quot;:&quot;MENDELEY_CITATION_e1682b98-9174-4e45-9819-22957f77a3bf&quot;,&quot;properties&quot;:{&quot;noteIndex&quot;:0},&quot;isEdited&quot;:false,&quot;manualOverride&quot;:{&quot;isManuallyOverridden&quot;:false,&quot;citeprocText&quot;:&quot;(Yusliza et al., 2020)&quot;,&quot;manualOverrideText&quot;:&quot;&quot;},&quot;citationTag&quot;:&quot;MENDELEY_CITATION_v3_eyJjaXRhdGlvbklEIjoiTUVOREVMRVlfQ0lUQVRJT05fZTE2ODJiOTgtOTE3NC00ZTQ1LTk4MTktMjI5NTdmNzdhM2JmIiwicHJvcGVydGllcyI6eyJub3RlSW5kZXgiOjB9LCJpc0VkaXRlZCI6ZmFsc2UsIm1hbnVhbE92ZXJyaWRlIjp7ImlzTWFudWFsbHlPdmVycmlkZGVuIjpmYWxzZSwiY2l0ZXByb2NUZXh0IjoiKFl1c2xpemEgZXQgYWwuLCAyMDIwKSIsIm1hbnVhbE92ZXJyaWRlVGV4dCI6IiJ9LCJjaXRhdGlvbkl0ZW1zIjpbeyJpZCI6Ijc5MGIxYTU0LTcxYWQtMzNmZi1iMTkwLTQzOGY0MGFhOGZhNiIsIml0ZW1EYXRhIjp7InR5cGUiOiJhcnRpY2xlLWpvdXJuYWwiLCJpZCI6Ijc5MGIxYTU0LTcxYWQtMzNmZi1iMTkwLTQzOGY0MGFhOGZhNiIsInRpdGxlIjoiQSBzdHJ1Y3R1cmFsIG1vZGVsIG9mIHRoZSBpbXBhY3Qgb2YgZ3JlZW4gaW50ZWxsZWN0dWFsIGNhcGl0YWwgb24gc3VzdGFpbmFibGUgcGVyZm9ybWFuY2UiLCJhdXRob3IiOlt7ImZhbWlseSI6Ill1c2xpemEiLCJnaXZlbiI6Ik0uIFkuIiwicGFyc2UtbmFtZXMiOmZhbHNlLCJkcm9wcGluZy1wYXJ0aWNsZSI6IiIsIm5vbi1kcm9wcGluZy1wYXJ0aWNsZSI6IiJ9LHsiZmFtaWx5IjoiWW9uZyIsImdpdmVuIjoiSmluZyBZaSIsInBhcnNlLW5hbWVzIjpmYWxzZSwiZHJvcHBpbmctcGFydGljbGUiOiIiLCJub24tZHJvcHBpbmctcGFydGljbGUiOiIifSx7ImZhbWlseSI6IlRhbnZlZXIiLCJnaXZlbiI6Ik0uIEltcmFuIiwicGFyc2UtbmFtZXMiOmZhbHNlLCJkcm9wcGluZy1wYXJ0aWNsZSI6IiIsIm5vbi1kcm9wcGluZy1wYXJ0aWNsZSI6IiJ9LHsiZmFtaWx5IjoiUmFtYXlhaCIsImdpdmVuIjoiVC4iLCJwYXJzZS1uYW1lcyI6ZmFsc2UsImRyb3BwaW5nLXBhcnRpY2xlIjoiIiwibm9uLWRyb3BwaW5nLXBhcnRpY2xlIjoiIn0seyJmYW1pbHkiOiJOb29yIEZhZXphaCIsImdpdmVuIjoiSnVoYXJpIiwicGFyc2UtbmFtZXMiOmZhbHNlLCJkcm9wcGluZy1wYXJ0aWNsZSI6IiIsIm5vbi1kcm9wcGluZy1wYXJ0aWNsZSI6IiJ9LHsiZmFtaWx5IjoiTXVoYW1tYWQiLCJnaXZlbiI6Ilppa3JpIiwicGFyc2UtbmFtZXMiOmZhbHNlLCJkcm9wcGluZy1wYXJ0aWNsZSI6IiIsIm5vbi1kcm9wcGluZy1wYXJ0aWNsZSI6IiJ9XSwiY29udGFpbmVyLXRpdGxlIjoiSm91cm5hbCBvZiBDbGVhbmVyIFByb2R1Y3Rpb24iLCJjb250YWluZXItdGl0bGUtc2hvcnQiOiJKIENsZWFuIFByb2QiLCJET0kiOiIxMC4xMDE2L2ouamNsZXByby4yMDE5LjExOTMzNCIsIklTU04iOiIwOTU5NjUyNiIsImlzc3VlZCI6eyJkYXRlLXBhcnRzIjpbWzIwMjAsMywxMF1dfSwiYWJzdHJhY3QiOiJUaGlzIHN0dWR5IGV4YW1pbmVkIHRoZSByZWxhdGlvbnNoaXAgYmV0d2VlbiBncmVlbiBpbnRlbGxlY3R1YWwgY2FwaXRhbCBhbmQgc3VzdGFpbmFibGUgcGVyZm9ybWFuY2UuIFdoaWxlIG1hbnkgc3R1ZGllcyBoYXZlIGZvY3VzZWQgb24gc3VzdGFpbmFiaWxpdHksIHRoaXMgc3R1ZHkgaXMgb25lIG9mIHRoZSBmaXJzdCB0aGF0IGZvY3VzZXMgZXhjbHVzaXZlbHkgb24gZ3JlZW4gaW50ZWxsZWN0dWFsIGNhcGl0YWwuIFRoaXMgcmVzZWFyY2ggdXNlZCBzdXJ2ZXkgZGF0YSBmcm9tIDExMiBtYW51ZmFjdHVyaW5nIGZpcm1zIGluIE1hbGF5c2lhLiBBcyBhbnRpY2lwYXRlZCwgdGhlIHJlc3VsdHMgZm91bmQgdGhhdCBncmVlbiBpbnRlbGxlY3R1YWwgY2FwaXRhbCBwb3NpdGl2ZWx5IGluZmx1ZW5jZWQgZWNvbm9taWMsIGVudmlyb25tZW50YWwsIGFuZCBzb2NpYWwgcGVyZm9ybWFuY2UuIFRoZSBmaW5kaW5ncyBvZiB0aGlzIHN0dWR5IGhhdmUgdmFyaW91cyBpbXBsaWNhdGlvbnMgZm9yIGdyZWVuIGNvbXBhbmllcyBhbmQgb3JnYW5pemF0aW9ucyBpbiBnZW5lcmFsIGFuZCBncmVlbiBtYW51ZmFjdHVyaW5nIGZpcm1zIGluIHBhcnRpY3VsYXIuIFRoZSBub3ZlbHR5IG9mIHRoaXMgc3R1ZHkgaXMgdW5mb2xkaW5nIHRoZSBjb250cmlidXRpb24gb2YgZ3JlZW4gaW50ZWxsZWN0dWFsIGNhcGl0YWwgYXMgYW4gaW50YW5naWJsZSByZXNvdXJjZSBmb3Igb3JnYW5pemF0aW9ucyBpbiBhY2hpZXZpbmcgc3VzdGFpbmFibGUgcGVyZm9ybWFuY2UgYW5kIGEgY29tcGV0aXRpdmUgYWR2YW50YWdlIGZvciBmdXR1cmUgcmVzZWFyY2hlcnMuIE1hbnVmYWN0dXJpbmcgaW5kdXN0cmllcyBvZiBkZXZlbG9waW5nIG9yIGRldmVsb3BlZCBjb3VudHJpZXMgY2FuIGVuaGFuY2UgdGhlaXIgY2xlYW5lciBwcm9kdWN0aW9uIGNhcGFiaWxpdGllcyBieSBpbmNvcnBvcmF0aW5nIHRoaXMgbW9kZWwgYXMgYSBzdHJhdGVneS4iLCJwdWJsaXNoZXIiOiJFbHNldmllciBMdGQiLCJ2b2x1bWUiOiIyNDkifSwiaXNUZW1wb3JhcnkiOmZhbHNlLCJzdXBwcmVzcy1hdXRob3IiOmZhbHNlLCJjb21wb3NpdGUiOmZhbHNlLCJhdXRob3Itb25seSI6ZmFsc2V9XX0=&quot;,&quot;citationItems&quot;:[{&quot;id&quot;:&quot;790b1a54-71ad-33ff-b190-438f40aa8fa6&quot;,&quot;itemData&quot;:{&quot;type&quot;:&quot;article-journal&quot;,&quot;id&quot;:&quot;790b1a54-71ad-33ff-b190-438f40aa8fa6&quot;,&quot;title&quot;:&quot;A structural model of the impact of green intellectual capital on sustainable performance&quot;,&quot;author&quot;:[{&quot;family&quot;:&quot;Yusliza&quot;,&quot;given&quot;:&quot;M. Y.&quot;,&quot;parse-names&quot;:false,&quot;dropping-particle&quot;:&quot;&quot;,&quot;non-dropping-particle&quot;:&quot;&quot;},{&quot;family&quot;:&quot;Yong&quot;,&quot;given&quot;:&quot;Jing Yi&quot;,&quot;parse-names&quot;:false,&quot;dropping-particle&quot;:&quot;&quot;,&quot;non-dropping-particle&quot;:&quot;&quot;},{&quot;family&quot;:&quot;Tanveer&quot;,&quot;given&quot;:&quot;M. Imran&quot;,&quot;parse-names&quot;:false,&quot;dropping-particle&quot;:&quot;&quot;,&quot;non-dropping-particle&quot;:&quot;&quot;},{&quot;family&quot;:&quot;Ramayah&quot;,&quot;given&quot;:&quot;T.&quot;,&quot;parse-names&quot;:false,&quot;dropping-particle&quot;:&quot;&quot;,&quot;non-dropping-particle&quot;:&quot;&quot;},{&quot;family&quot;:&quot;Noor Faezah&quot;,&quot;given&quot;:&quot;Juhari&quot;,&quot;parse-names&quot;:false,&quot;dropping-particle&quot;:&quot;&quot;,&quot;non-dropping-particle&quot;:&quot;&quot;},{&quot;family&quot;:&quot;Muhammad&quot;,&quot;given&quot;:&quot;Zikri&quot;,&quot;parse-names&quot;:false,&quot;dropping-particle&quot;:&quot;&quot;,&quot;non-dropping-particle&quot;:&quot;&quot;}],&quot;container-title&quot;:&quot;Journal of Cleaner Production&quot;,&quot;container-title-short&quot;:&quot;J Clean Prod&quot;,&quot;DOI&quot;:&quot;10.1016/j.jclepro.2019.119334&quot;,&quot;ISSN&quot;:&quot;09596526&quot;,&quot;issued&quot;:{&quot;date-parts&quot;:[[2020,3,10]]},&quot;abstract&quot;:&quot;This study examined the relationship between green intellectual capital and sustainable performance. While many studies have focused on sustainability, this study is one of the first that focuses exclusively on green intellectual capital. This research used survey data from 112 manufacturing firms in Malaysia. As anticipated, the results found that green intellectual capital positively influenced economic, environmental, and social performance. The findings of this study have various implications for green companies and organizations in general and green manufacturing firms in particular. The novelty of this study is unfolding the contribution of green intellectual capital as an intangible resource for organizations in achieving sustainable performance and a competitive advantage for future researchers. Manufacturing industries of developing or developed countries can enhance their cleaner production capabilities by incorporating this model as a strategy.&quot;,&quot;publisher&quot;:&quot;Elsevier Ltd&quot;,&quot;volume&quot;:&quot;249&quot;},&quot;isTemporary&quot;:false,&quot;suppress-author&quot;:false,&quot;composite&quot;:false,&quot;author-only&quot;:false}]},{&quot;citationID&quot;:&quot;MENDELEY_CITATION_32467fa2-da5f-4815-badf-24f2d3e7eeae&quot;,&quot;properties&quot;:{&quot;noteIndex&quot;:0},&quot;isEdited&quot;:false,&quot;manualOverride&quot;:{&quot;isManuallyOverridden&quot;:false,&quot;citeprocText&quot;:&quot;(James Tobin, 1969)&quot;,&quot;manualOverrideText&quot;:&quot;&quot;},&quot;citationTag&quot;:&quot;MENDELEY_CITATION_v3_eyJjaXRhdGlvbklEIjoiTUVOREVMRVlfQ0lUQVRJT05fMzI0NjdmYTItZGE1Zi00ODE1LWJhZGYtMjRmMmQzZTdlZWFlIiwicHJvcGVydGllcyI6eyJub3RlSW5kZXgiOjB9LCJpc0VkaXRlZCI6ZmFsc2UsIm1hbnVhbE92ZXJyaWRlIjp7ImlzTWFudWFsbHlPdmVycmlkZGVuIjpmYWxzZSwiY2l0ZXByb2NUZXh0IjoiKEphbWVzIFRvYmluLCAxOTY5KSIsIm1hbnVhbE92ZXJyaWRlVGV4dCI6IiJ9LCJjaXRhdGlvbkl0ZW1zIjpbeyJpZCI6IjdlYzhkMWQ3LTc2NmUtMzgxNy1iNzJhLWZkZjg3ZGM0ZDNlNCIsIml0ZW1EYXRhIjp7InR5cGUiOiJhcnRpY2xlLWpvdXJuYWwiLCJpZCI6IjdlYzhkMWQ3LTc2NmUtMzgxNy1iNzJhLWZkZjg3ZGM0ZDNlNCIsInRpdGxlIjoiQSBHZW5lcmFsIEVxdWlsaWJyaXVtIEFwcHJvYWNoIFRvIE1vbmV0YXJ5IFRoZW9yeSIsImF1dGhvciI6W3siZmFtaWx5IjoiSmFtZXMgVG9iaW4iLCJnaXZlbiI6IiIsInBhcnNlLW5hbWVzIjpmYWxzZSwiZHJvcHBpbmctcGFydGljbGUiOiIiLCJub24tZHJvcHBpbmctcGFydGljbGUiOiIifV0sImNvbnRhaW5lci10aXRsZSI6IkpvdXJuYWwgb2YgTW9uZXksIENyZWRpdCBhbmQgQmFua2luZyIsImNvbnRhaW5lci10aXRsZS1zaG9ydCI6IkogTW9uZXkgQ3JlZGl0IEJhbmsiLCJVUkwiOiJodHRwczovL2Fib3V0LmpzdG9yLm9yZy90ZXJtcyIsImlzc3VlZCI6eyJkYXRlLXBhcnRzIjpbWzE5NjldXX0sImFic3RyYWN0IjoiTW9uZXRhcnkgVGhlb3J5IEkgV0lMTCBUQUtFIFRIRSBPUFBPUlRVTklUWSBwcm92aWRlZCBieSB0aGUgZmlyc3QgaXNzdWUgb2YgYSBqb3VybmFsIGRldm90ZWQgdG8gbW9uZXRhcnkgZWNvbm9taWNzIHRvIHNldCBmb3J0aCBhbmQgaWxsdXN0cmF0ZSBhIGdlbmVyYWwgZnJhbWV3b3JrIGZvciBtb25ldGFyeSBhbmFseXNpcy4gSXQgaXMgbm90IGEgbmV3IGFwcHJvYWNoLCBidXQgb25lIHNoYXJlZCBhdCBsZWFzdCBpbiBzcGlyaXQgYnkgbWFueSBtb25ldGFyeSBlY29ub21pc3RzLiBNeSBwdXJwb3NlIGhlcmUgaXMgZXhwb3NpdGlvbiBhbmQgcmVjYXBpdHVsYXRpb24ubCAxLiBUaGUgY2FwaXRhbCBhY2NvdW50Li1UaGUgYXBwcm9hY2ggZm9jdXNlcyBvbiB0aGUgY2FwaXRhbCBhY2NvdW50cyBvZiBlY29ub21pYyB1bml0cywgb2Ygc2VjdG9ycyBvZiB0aGUgZWNvbm9teSwgYW5kIG9mIHRoZSBlY29ub215IGFzIGEgd2hvbGUuIEEgbW9kZWwgb2YgdGhlIGNhcGl0YWwgYWNjb3VudCBvZiB0aGUgZWNvbm9teSBzcGVjaWZpZXMgYSBtZW51IG9mIHRoZSBhc3NldHMgKGFuZCBkZWJ0cykgdGhhdCBhcHBlYXIgaW4gcG9ydGZvbGlvcyBhbmQgYmFsYW5jZSBzaGVldHMsIHRoZSBmYWN0b3JzIHRoYXQgZGV0ZXJtaW5lIHRoZSBkZW1hbmRzIGFuZCBzdXBwbGllcyBvZiB0aGUgdmFyaW91cyBhc3NldHMsIGFuZCB0aGUgbWFubmVyIGluIHdoaWNoIGFzc2V0IHByaWNlcyBhbmQgaW50ZXJlc3QgcmF0ZXMgY2xlYXIgdGhlc2UgaW50ZXJyZWxhdGVkIG1hcmtldHMuIEluIHRoaXMgYXBwcm9hY2gsIG1vbmV0YXJ5IGFzc2V0cyBmYWxsIGludG8gcGxhY2UgYXMgYSBwYXJ0LCBidXQgbm90IHRoZSB3aG9sZSwgb2YgdGhlIG1lbnUgb2YgYXNzZXRzOyBhbmQgdGhlIGNvbW1lcmNpYWwgYmFua2luZyBzeXN0ZW0gaXMgb25lIHNlY3RvciwgYnV0IG5vdCB0aGUgb25seSBvbmUsIHdob3NlIGJhbGFuY2Ugc2hlZXQgYmVoYXZpb3IgbXVzdCBiZSBzcGVjaWZpZWQuIFRyZWF0bWVudCBvZiB0aGUgY2FwaXRhbCBhY2NvdW50IHNlcGFyYXRlbHkgZnJvbSB0aGUgcHJvZHVjdGlvbiBhbmQgaW5jb21lIGFjY291bnQgb2YgdGhlIGVjb25vbXkgaXMgb25seSBhIGZpcnN0IHN0ZXAsIGEgc2ltcGxpZmljYXRpb24gdG8gYmUganVzdGlmaWVkIGJ5IGNvbnZlbmllbmNlIHJhdGhlciB0aGFuIHJlYWxpc20uIFRoZSBzdHJhdGVneSBpcyB0byByZWdhcmQgaW5jb21lIGFjY291bnQgMSBBbW9uZyBteSBtYW55IGRlYnRzLCBJIHdpbGwgYWNrbm93bGVkZ2UgaGVyZSBhIHNwZWNpYWwgb25lIHRvIG15IGNvbGxlYWd1ZSBhbmQsIG9uIG9jY2FzaW9uLCBjb2xsYWJvcmF0b3IsIFdpbGxpYW0gQy4gQnJhaW5hcmQsIHdobyBoYXMgaGVscGVkIHRvIGRldmVsb3AgYW5kIGNsYXJpZnkgdGhlIGFwcHJvYWNoIGhlcmUgZXhwb3VuZGVkLiBIZSBpcyBub3QgcmVzcG9uc2libGUsIGhvd2V2ZXIsIGZvciBlcnJvcnMgYW5kIGNvbmZ1c2lvbnMgdGhhdCBtYXkgcmVtYWluIGluIHRoaXMgcGFydGljdWxhciBleHBvc2l0aW9uLiJ9LCJpc1RlbXBvcmFyeSI6ZmFsc2UsInN1cHByZXNzLWF1dGhvciI6ZmFsc2UsImNvbXBvc2l0ZSI6ZmFsc2UsImF1dGhvci1vbmx5IjpmYWxzZX1dfQ==&quot;,&quot;citationItems&quot;:[{&quot;id&quot;:&quot;7ec8d1d7-766e-3817-b72a-fdf87dc4d3e4&quot;,&quot;itemData&quot;:{&quot;type&quot;:&quot;article-journal&quot;,&quot;id&quot;:&quot;7ec8d1d7-766e-3817-b72a-fdf87dc4d3e4&quot;,&quot;title&quot;:&quot;A General Equilibrium Approach To Monetary Theory&quot;,&quot;author&quot;:[{&quot;family&quot;:&quot;James Tobin&quot;,&quot;given&quot;:&quot;&quot;,&quot;parse-names&quot;:false,&quot;dropping-particle&quot;:&quot;&quot;,&quot;non-dropping-particle&quot;:&quot;&quot;}],&quot;container-title&quot;:&quot;Journal of Money, Credit and Banking&quot;,&quot;container-title-short&quot;:&quot;J Money Credit Bank&quot;,&quot;URL&quot;:&quot;https://about.jstor.org/terms&quot;,&quot;issued&quot;:{&quot;date-parts&quot;:[[1969]]},&quot;abstract&quot;:&quot;Monetary Theory I WILL TAKE THE OPPORTUNITY provided by the first issue of a journal devoted to monetary economics to set forth and illustrate a general framework for monetary analysis. It is not a new approach, but one shared at least in spirit by many monetary economists. My purpose here is exposition and recapitulation.l 1. The capital account.-The approach focuses on the capital accounts of economic units, of sectors of the economy, and of the economy as a whole. A model of the capital account of the economy specifies a menu of the assets (and debts) that appear in portfolios and balance sheets, the factors that determine the demands and supplies of the various assets, and the manner in which asset prices and interest rates clear these interrelated markets. In this approach, monetary assets fall into place as a part, but not the whole, of the menu of assets; and the commercial banking system is one sector, but not the only one, whose balance sheet behavior must be specified. Treatment of the capital account separately from the production and income account of the economy is only a first step, a simplification to be justified by convenience rather than realism. The strategy is to regard income account 1 Among my many debts, I will acknowledge here a special one to my colleague and, on occasion, collaborator, William C. Brainard, who has helped to develop and clarify the approach here expounded. He is not responsible, however, for errors and confusions that may remain in this particular exposition.&quot;},&quot;isTemporary&quot;:false,&quot;suppress-author&quot;:false,&quot;composite&quot;:false,&quot;author-only&quot;:false}]},{&quot;citationID&quot;:&quot;MENDELEY_CITATION_be539883-e9e8-47f1-8a99-9d989ec58e9e&quot;,&quot;properties&quot;:{&quot;noteIndex&quot;:0},&quot;isEdited&quot;:false,&quot;manualOverride&quot;:{&quot;isManuallyOverridden&quot;:false,&quot;citeprocText&quot;:&quot;(Ivan Adyaksana &amp;#38; Vitta Adhivinna, 2022)&quot;,&quot;manualOverrideText&quot;:&quot;&quot;},&quot;citationTag&quot;:&quot;MENDELEY_CITATION_v3_eyJjaXRhdGlvbklEIjoiTUVOREVMRVlfQ0lUQVRJT05fYmU1Mzk4ODMtZTllOC00N2YxLThhOTktOWQ5ODllYzU4ZTllIiwicHJvcGVydGllcyI6eyJub3RlSW5kZXgiOjB9LCJpc0VkaXRlZCI6ZmFsc2UsIm1hbnVhbE92ZXJyaWRlIjp7ImlzTWFudWFsbHlPdmVycmlkZGVuIjpmYWxzZSwiY2l0ZXByb2NUZXh0IjoiKEl2YW4gQWR5YWtzYW5hICYjMzg7IFZpdHRhIEFkaGl2aW5uYSwgMjAyMikiLCJtYW51YWxPdmVycmlkZVRleHQiOiIifSwiY2l0YXRpb25JdGVtcyI6W3siaWQiOiJiNjY0ZWI2ZS1jMGM3LTM5NmItYTNkYS1iZDRjNjQwYzMyMzIiLCJpdGVtRGF0YSI6eyJ0eXBlIjoiYXJ0aWNsZS1qb3VybmFsIiwiaWQiOiJiNjY0ZWI2ZS1jMGM3LTM5NmItYTNkYS1iZDRjNjQwYzMyMzIiLCJ0aXRsZSI6IkRvZXMgRW52aXJvbm1lbnRhbCBJbmZvcm1hdGlvbiBEaXNjbG9zdXJlIE1lZGlhdGUgdGhlIEVmZmVjdCBvZiBFbnZpcm9ubWVudGFsIENvc3Qgb24gRW52aXJvbm1lbnRhbCBQZXJmb3JtYW5jZT8iLCJhdXRob3IiOlt7ImZhbWlseSI6Ikl2YW4gQWR5YWtzYW5hIiwiZ2l2ZW4iOiJSYWhhbmRoaWthIiwicGFyc2UtbmFtZXMiOmZhbHNlLCJkcm9wcGluZy1wYXJ0aWNsZSI6IiIsIm5vbi1kcm9wcGluZy1wYXJ0aWNsZSI6IiJ9LHsiZmFtaWx5IjoiVml0dGEgQWRoaXZpbm5hIiwiZ2l2ZW4iOiJWaWR5YSIsInBhcnNlLW5hbWVzIjpmYWxzZSwiZHJvcHBpbmctcGFydGljbGUiOiIiLCJub24tZHJvcHBpbmctcGFydGljbGUiOiIifV0sImNvbnRhaW5lci10aXRsZSI6IktuRSBTb2NpYWwgU2NpZW5jZXMiLCJET0kiOiIxMC4xODUwMi9rc3MudjdpMTQuMTIwMjQiLCJpc3N1ZWQiOnsiZGF0ZS1wYXJ0cyI6W1syMDIyLDksMjhdXX0sImFic3RyYWN0IjoiRW52aXJvbm1lbnRhbCBwZXJmb3JtYW5jZSBpcyBhIG1lYXN1cmUgY3JlYXRlZCBieSB0aGUgR292ZXJubWVudCB0byBkZXRlcm1pbmUgdGhlIGNvbXBhbnnigJlzIGNvbmNlcm4gZm9yIHRoZSBlbnZpcm9ubWVudC4gRW52aXJvbm1lbnRhbCBjb3N0cyBhcmUgc2FjcmlmaWNlcyBtYWRlIGJ5IGNvbXBhbmllcyB0byBvYnRhaW4gZ29vZCBlbnZpcm9ubWVudGFsIHBlcmZvcm1hbmNlLiBJbiBhZGRpdGlvbiwgY29tcGFuaWVzIGNhbiBkaXNjbG9zZSBpbmZvcm1hdGlvbiBhYm91dCB0aGUgYWN0aXZpdGllcyB0aGV5IGhhdmUgY2FycmllZCBvdXQgdG8gcHJlc2VydmUgdGhlIGVudmlyb25tZW50LiBUaGUgcHVycG9zZSBvZiB0aGlzIHN0dWR5IHdhcyB0byBkZXRlcm1pbmUgdGhlIGVmZmVjdCBvZiBlbnZpcm9ubWVudGFsIGNvc3RzIG9uIGVudmlyb25tZW50YWwgcGVyZm9ybWFuY2UsIG1lZGlhdGVkIGJ5IGVudmlyb25tZW50YWwgaW5mb3JtYXRpb24gZGlzY2xvc3VyZS4gRGF0YSB3ZXJlIG9idGFpbmVkIGZyb20gdGhlIGFubnVhbCByZXBvcnRzIG9mIDEyIG1hbnVmYWN0dXJpbmcgY29tcGFuaWVzIGluIEluZG9uZXNpYSwgcmVnaXN0ZXJlZCBmcm9tIDIwMTUtMjAxOS4gVGhlc2UgY29tcGFuaWVzIHdlcmUgc2VsZWN0ZWQgdXNpbmcgcHVycG9zaXZlIHNhbXBsaW5nLiBUaGUgcmVzdWx0cyBpbmRpY2F0ZWQgdGhhdDogMSkgZW52aXJvbm1lbnRhbCBjb3N0cyBoYWQgbm8gZWZmZWN0IG9uIGVudmlyb25tZW50YWwgcGVyZm9ybWFuY2U7IDIpIGVudmlyb25tZW50YWwgY29zdHMgaGFkIGEgcG9zaXRpdmUgYW5kIHNpZ25pZmljYW50IGVmZmVjdCBvbiBkaXNjbG9zdXJlIG9mIGVudmlyb25tZW50YWwgaW5mb3JtYXRpb247IDMpIGRpc2Nsb3N1cmUgb2YgZW52aXJvbm1lbnRhbCBpbmZvcm1hdGlvbiBoYWQgYSBwb3NpdGl2ZSBhbmQgc2lnbmlmaWNhbnQgZWZmZWN0IG9uIGVudmlyb25tZW50YWwgcGVyZm9ybWFuY2U7IGFuZCA0KSBkaXNjbG9zdXJlIG9mIGVudmlyb25tZW50YWwgaW5mb3JtYXRpb24gbWVkaWF0ZWQgdGhlIGVmZmVjdCBvZiBlbnZpcm9ubWVudGFsIGNvc3RzIG9uIGVudmlyb25tZW50YWwgcGVyZm9ybWFuY2UuIEJhc2VkIG9uIHRoZXNlIGZpbmRpbmdzLCBJbmRvbmVzaWFuIG1hbnVmYWN0dXJpbmcgY29tcGFuaWVzIHNob3VsZCBpbmNyZWFzZSB0aGUgcXVhbGl0eSBvZiB0aGVpciBkaXNjbG9zdXJlIG9mIGVudmlyb25tZW50YWwgaW5mb3JtYXRpb24uXHIgS2V5d29yZHM6IGVudmlyb25tZW50YWwgY29zdCwgZW52aXJvbm1lbnRhbCBwZXJmb3JtYW5jZSwgZW52aXJvbm1lbnRhbCBpbmZvcm1hdGlvbiBkaXNjbG9zdXJlIiwicHVibGlzaGVyIjoiS25vd2xlZGdlIEUgRE1DQyIsImNvbnRhaW5lci10aXRsZS1zaG9ydCI6IiJ9LCJpc1RlbXBvcmFyeSI6ZmFsc2UsInN1cHByZXNzLWF1dGhvciI6ZmFsc2UsImNvbXBvc2l0ZSI6ZmFsc2UsImF1dGhvci1vbmx5IjpmYWxzZX1dfQ==&quot;,&quot;citationItems&quot;:[{&quot;id&quot;:&quot;b664eb6e-c0c7-396b-a3da-bd4c640c3232&quot;,&quot;itemData&quot;:{&quot;type&quot;:&quot;article-journal&quot;,&quot;id&quot;:&quot;b664eb6e-c0c7-396b-a3da-bd4c640c3232&quot;,&quot;title&quot;:&quot;Does Environmental Information Disclosure Mediate the Effect of Environmental Cost on Environmental Performance?&quot;,&quot;author&quot;:[{&quot;family&quot;:&quot;Ivan Adyaksana&quot;,&quot;given&quot;:&quot;Rahandhika&quot;,&quot;parse-names&quot;:false,&quot;dropping-particle&quot;:&quot;&quot;,&quot;non-dropping-particle&quot;:&quot;&quot;},{&quot;family&quot;:&quot;Vitta Adhivinna&quot;,&quot;given&quot;:&quot;Vidya&quot;,&quot;parse-names&quot;:false,&quot;dropping-particle&quot;:&quot;&quot;,&quot;non-dropping-particle&quot;:&quot;&quot;}],&quot;container-title&quot;:&quot;KnE Social Sciences&quot;,&quot;DOI&quot;:&quot;10.18502/kss.v7i14.12024&quot;,&quot;issued&quot;:{&quot;date-parts&quot;:[[2022,9,28]]},&quot;abstract&quot;:&quot;Environmental performance is a measure created by the Government to determine the company’s concern for the environment. Environmental costs are sacrifices made by companies to obtain good environmental performance. In addition, companies can disclose information about the activities they have carried out to preserve the environment. The purpose of this study was to determine the effect of environmental costs on environmental performance, mediated by environmental information disclosure. Data were obtained from the annual reports of 12 manufacturing companies in Indonesia, registered from 2015-2019. These companies were selected using purposive sampling. The results indicated that: 1) environmental costs had no effect on environmental performance; 2) environmental costs had a positive and significant effect on disclosure of environmental information; 3) disclosure of environmental information had a positive and significant effect on environmental performance; and 4) disclosure of environmental information mediated the effect of environmental costs on environmental performance. Based on these findings, Indonesian manufacturing companies should increase the quality of their disclosure of environmental information.\r Keywords: environmental cost, environmental performance, environmental information disclosure&quot;,&quot;publisher&quot;:&quot;Knowledge E DMCC&quot;,&quot;container-title-short&quot;:&quot;&quot;},&quot;isTemporary&quot;:false,&quot;suppress-author&quot;:false,&quot;composite&quot;:false,&quot;author-only&quot;:false}]},{&quot;citationID&quot;:&quot;MENDELEY_CITATION_10861297-bfd5-44ce-84b5-aae10e54246f&quot;,&quot;properties&quot;:{&quot;noteIndex&quot;:0},&quot;isEdited&quot;:false,&quot;manualOverride&quot;:{&quot;isManuallyOverridden&quot;:false,&quot;citeprocText&quot;:&quot;(Bae Choi et al., 2013)&quot;,&quot;manualOverrideText&quot;:&quot;&quot;},&quot;citationTag&quot;:&quot;MENDELEY_CITATION_v3_eyJjaXRhdGlvbklEIjoiTUVOREVMRVlfQ0lUQVRJT05fMTA4NjEyOTctYmZkNS00NGNlLTg0YjUtYWFlMTBlNTQyNDZmIiwicHJvcGVydGllcyI6eyJub3RlSW5kZXgiOjB9LCJpc0VkaXRlZCI6ZmFsc2UsIm1hbnVhbE92ZXJyaWRlIjp7ImlzTWFudWFsbHlPdmVycmlkZGVuIjpmYWxzZSwiY2l0ZXByb2NUZXh0IjoiKEJhZSBDaG9pIGV0IGFsLiwgMjAxMykiLCJtYW51YWxPdmVycmlkZVRleHQiOiIifSwiY2l0YXRpb25JdGVtcyI6W3siaWQiOiJiMTA3Yjk0OC1lOGJlLTNjMDYtYmU5YS1jMDcwNzE2NThiZjUiLCJpdGVtRGF0YSI6eyJ0eXBlIjoiYXJ0aWNsZS1qb3VybmFsIiwiaWQiOiJiMTA3Yjk0OC1lOGJlLTNjMDYtYmU5YS1jMDcwNzE2NThiZjUiLCJ0aXRsZSI6IkFuIGFuYWx5c2lzIG9mIEF1c3RyYWxpYW4gY29tcGFueSBjYXJib24gZW1pc3Npb24gZGlzY2xvc3VyZXMiLCJhdXRob3IiOlt7ImZhbWlseSI6IkJhZSBDaG9pIiwiZ2l2ZW4iOiJCbyIsInBhcnNlLW5hbWVzIjpmYWxzZSwiZHJvcHBpbmctcGFydGljbGUiOiIiLCJub24tZHJvcHBpbmctcGFydGljbGUiOiIifSx7ImZhbWlseSI6IkxlZSIsImdpdmVuIjoiRG9vd29uIiwicGFyc2UtbmFtZXMiOmZhbHNlLCJkcm9wcGluZy1wYXJ0aWNsZSI6IiIsIm5vbi1kcm9wcGluZy1wYXJ0aWNsZSI6IiJ9LHsiZmFtaWx5IjoiUHNhcm9zIiwiZ2l2ZW4iOiJKaW0iLCJwYXJzZS1uYW1lcyI6ZmFsc2UsImRyb3BwaW5nLXBhcnRpY2xlIjoiIiwibm9uLWRyb3BwaW5nLXBhcnRpY2xlIjoiIn1dLCJjb250YWluZXItdGl0bGUiOiJQYWNpZmljIEFjY291bnRpbmcgUmV2aWV3IiwiRE9JIjoiMTAuMTEwOC8wMTE0MDU4MTMxMTMxODk2OCIsIklTU04iOiIyMDQxNTQ5NCIsImlzc3VlZCI6eyJkYXRlLXBhcnRzIjpbWzIwMTMsNCwxOV1dfSwicGFnZSI6IjU4LTc5IiwiYWJzdHJhY3QiOiJQdXJwb3NlIOKAkyBUaGlzIHN0dWR5IGFpbXMgdG8gcmVwb3J0IHRoZSBleHRlbnQgb2Ygdm9sdW50YXJ5IGNhcmJvbiBlbWlzc2lvbiBkaXNjbG9zdXJlcyBieSBtYWpvciBBdXN0cmFsaWFuIGNvbXBhbmllcyBkdXJpbmcgdGhlIHllYXJzIDIwMDYgdG8gMjAwOC4gVGhpcyBwYXBlciBwcm92aWRlcyBjb250ZW1wb3JhcnkgZGF0YSBhbmQgZXhwbGFuYXRpb25zIGFib3V0IGNhcmJvbiBlbWlzc2lvbnMgcmVwb3J0aW5nIGluIEF1c3RyYWxpYS4gQWRkaXRpb25hbGx5LCB0aGUgcGFwZXIgYWltcyB0byBkZXRlcm1pbmUgdGhlIHZhcmlhYmxlcyB0aGF0IGV4cGxhaW4gdGhlIGV4dGVudCBvZiBjYXJib24gZGlzY2xvc3VyZXMuIERlc2lnbi9tZXRob2RvbG9neS9hcHByb2FjaCDigJMgVGhlIGNhcmJvbiBkaXNjbG9zdXJlIHNjb3JlIGlzIG1lYXN1cmVkIGRpcmVjdGx5IGZyb20gaW5kaXZpZHVhbCBjb21wYW5pZXMnIGFubnVhbCByZXBvcnRzIGFuZCBzdXN0YWluYWJpbGl0eSByZXBvcnRzLiBBIGNoZWNrbGlzdCBpcyBlc3RhYmxpc2hlZCB0byBkZXRlcm1pbmUgdGhlIGJyZWFkdGggYW5kIGRlcHRoIG9mIHRoZSBpbmZvcm1hdGlvbiByZWxhdGVkIHRvIGNsaW1hdGUgY2hhbmdlIGFuZCBjYXJib24gZW1pc3Npb25zIGluY29ycG9yYXRlZCBpbiB0aGVzZSBwdWJsaWNseSBhdmFpbGFibGUgcmVwb3J0cy4gRmluZGluZ3Mg4oCTIFRoZSBvdmVyYWxsIGNhcmJvbiBkaXNjbG9zdXJlIHNjb3JlIGhhcyBpbmNyZWFzZWQgc2lnbmlmaWNhbnRseSBvdmVyIHRoZSBhdXRob3JzJyByZXNlYXJjaCBwZXJpb2QuIEZ1cnRoZXJtb3JlLCByZWdyZXNzaW9uIHJlc3VsdHMgc2hvdyB0aGF0IGxhcmdlciBmaXJtcyB3aXRoIGhpZ2hlciB2aXNpYmlsaXR5IHRlbmQgdG8gbWFrZSBtb3JlIGNvbXByZWhlbnNpdmUgY2FyYm9uIGRpc2Nsb3N1cmVzLiBPdmVyYWxsLCB0aGUgYXV0aG9ycycgcmVzdWx0cyBpbmRpY2F0ZSB0aGF0IHRoZSBsZWdpc2xhdGlvbiBvZiB0aGUgTmF0aW9uYWwgR3JlZW5ob3VzZSBhbmQgRW5lcmd5IFJlcG9ydGluZyBBY3QgKHRoZSBOR0VSIEFjdCkgaW4gMjAwNyBtYXkgaGF2ZSBlbmhhbmNlZCB0aGUgdm9sdW50YXJ5IGNhcmJvbiBlbWlzc2lvbiBkaXNjbG9zdXJlcyBpbiAyMDA4LCBldmVuIHRob3VnaCB0aGUgTkdFUiBBY3Qgd2FzIG5vdCBvcGVyYXRpdmUgdW50aWwgdGhlIDIwMDkgZmluYW5jaWFsIHllYXIuIEZyb20gYSB0aGVvcmV0aWNhbCBwZXJzcGVjdGl2ZSwgdGhlIGZpbmRpbmdzIG9mIHRoZSBwYXBlciBhcmUgY29uc2lzdGVudCB3aXRoIGxlZ2l0aW1hY3kgdGhlb3J5LiBPcmlnaW5hbGl0eS92YWx1ZSDigJMgUHJldmlvdXMgc3R1ZGllcyBleGFtaW5pbmcgZW52aXJvbm1lbnRhbCBkaXNjbG9zdXJlcyBpbiBBdXN0cmFsaWEgYXJlIGJhc2VkIG9uIGEgdGltZSBwZXJpb2QgcHJpb3IgdG8gd2lkZXNwcmVhZCBwdWJsaWMgZGlzY3Vzc2lvbiBhbmQgaW50ZXJlc3QgaW4gY2xpbWF0ZSBjaGFuZ2UgYW5kIGNhcmJvbiBlbWlzc2lvbnMuIEJ5IGludmVzdGlnYXRpbmcgdm9sdW50YXJ5IGRpc2Nsb3N1cmVzIG1hZGUgYnkgbGFyZ2UgQXVzdHJhbGlhbiBjb21wYW5pZXMgYXJvdW5kIHRoZSB0aW1lIHRoYXQgdGhlIG1hbmRhdG9yeSBlbWlzc2lvbiByZXBvcnRpbmcgc2NoZW1lIHdhcyBpbnRyb2R1Y2VkLCB0aGlzIHBhcGVyIGludmVzdGlnYXRlcyB3aGV0aGVyIHRoZSBwcm9taW5lbmNlIG9mIGRpc2N1c3Npb24gYW5kIGltcGVuZGluZyBvcGVyYXRpb24gb2YgdGhlIG1hbmRhdG9yeSBlbnZpcm9ubWVudGFsIGRpc2Nsb3N1cmVzIGhhdmUgbGVkIHRvIGEgZ3JlYXRlciBleHRlbnQgb2Ygdm9sdW50YXJ5IGNhcmJvbiBkaXNjbG9zdXJlcy4gVGhlIGZpbmRpbmdzIGNhbiBoZWxwIHJlZ3VsYXRvcnMgZHJhZnQgYXBwcm9wcmlhdGUgbGVnaXNsYXRpb24gdGhhdCB0YXJnZXRzIGluZHVzdHJpZXMgYW5kIHNwZWNpZmljIHByYWN0aWNlcyB3aGVyZSBkaXNjbG9zdXJlIGlzIG9mIGdyZWF0ZXN0IGltcG9ydGFuY2UgdG8gcmVsZXZhbnQgc3Rha2Vob2xkZXJzLiBJbiBhZGRpdGlvbiwgYW4gdW5kZXJzdGFuZGluZyBvZiB3aG8gYW5kIHdoeSBlbnRpdGllcyBkaXNjbG9zZSBjYXJib24gZ2FzIGVtaXNzaW9uIGluZm9ybWF0aW9uIGNhbiBhcm0gZ3JlZW4gZ3JvdXBzIGFuZCBvdGhlciBzdGFrZWhvbGRlcnMgd2l0aCBhbiBhcHByb3ByaWF0ZSBsZXZlbCBvZiB1bmRlcnN0YW5kaW5nIGFib3V0IHRoZSBtb3RpdmF0aW9uIGZvciBzdWNoIGRpc2Nsb3N1cmVzLiIsInB1Ymxpc2hlciI6IkVtZXJhbGQgR3JvdXAgUHVibGlzaGluZyBMdGQuIiwiaXNzdWUiOiIxIiwidm9sdW1lIjoiMjUiLCJjb250YWluZXItdGl0bGUtc2hvcnQiOiIifSwiaXNUZW1wb3JhcnkiOmZhbHNlLCJzdXBwcmVzcy1hdXRob3IiOmZhbHNlLCJjb21wb3NpdGUiOmZhbHNlLCJhdXRob3Itb25seSI6ZmFsc2V9XX0=&quot;,&quot;citationItems&quot;:[{&quot;id&quot;:&quot;b107b948-e8be-3c06-be9a-c07071658bf5&quot;,&quot;itemData&quot;:{&quot;type&quot;:&quot;article-journal&quot;,&quot;id&quot;:&quot;b107b948-e8be-3c06-be9a-c07071658bf5&quot;,&quot;title&quot;:&quot;An analysis of Australian company carbon emission disclosures&quot;,&quot;author&quot;:[{&quot;family&quot;:&quot;Bae Choi&quot;,&quot;given&quot;:&quot;Bo&quot;,&quot;parse-names&quot;:false,&quot;dropping-particle&quot;:&quot;&quot;,&quot;non-dropping-particle&quot;:&quot;&quot;},{&quot;family&quot;:&quot;Lee&quot;,&quot;given&quot;:&quot;Doowon&quot;,&quot;parse-names&quot;:false,&quot;dropping-particle&quot;:&quot;&quot;,&quot;non-dropping-particle&quot;:&quot;&quot;},{&quot;family&quot;:&quot;Psaros&quot;,&quot;given&quot;:&quot;Jim&quot;,&quot;parse-names&quot;:false,&quot;dropping-particle&quot;:&quot;&quot;,&quot;non-dropping-particle&quot;:&quot;&quot;}],&quot;container-title&quot;:&quot;Pacific Accounting Review&quot;,&quot;DOI&quot;:&quot;10.1108/01140581311318968&quot;,&quot;ISSN&quot;:&quot;20415494&quot;,&quot;issued&quot;:{&quot;date-parts&quot;:[[2013,4,19]]},&quot;page&quot;:&quot;58-79&quot;,&quot;abstract&quot;:&quot;Purpose – This study aims to report the extent of voluntary carbon emission disclosures by major Australian companies during the years 2006 to 2008. This paper provides contemporary data and explanations about carbon emissions reporting in Australia. Additionally, the paper aims to determine the variables that explain the extent of carbon disclosures. Design/methodology/approach – The carbon disclosure score is measured directly from individual companies' annual reports and sustainability reports. A checklist is established to determine the breadth and depth of the information related to climate change and carbon emissions incorporated in these publicly available reports. Findings – The overall carbon disclosure score has increased significantly over the authors' research period. Furthermore, regression results show that larger firms with higher visibility tend to make more comprehensive carbon disclosures. Overall, the authors' results indicate that the legislation of the National Greenhouse and Energy Reporting Act (the NGER Act) in 2007 may have enhanced the voluntary carbon emission disclosures in 2008, even though the NGER Act was not operative until the 2009 financial year. From a theoretical perspective, the findings of the paper are consistent with legitimacy theory. Originality/value – Previous studies examining environmental disclosures in Australia are based on a time period prior to widespread public discussion and interest in climate change and carbon emissions. By investigating voluntary disclosures made by large Australian companies around the time that the mandatory emission reporting scheme was introduced, this paper investigates whether the prominence of discussion and impending operation of the mandatory environmental disclosures have led to a greater extent of voluntary carbon disclosures. The findings can help regulators draft appropriate legislation that targets industries and specific practices where disclosure is of greatest importance to relevant stakeholders. In addition, an understanding of who and why entities disclose carbon gas emission information can arm green groups and other stakeholders with an appropriate level of understanding about the motivation for such disclosures.&quot;,&quot;publisher&quot;:&quot;Emerald Group Publishing Ltd.&quot;,&quot;issue&quot;:&quot;1&quot;,&quot;volume&quot;:&quot;25&quot;,&quot;container-title-short&quot;:&quot;&quot;},&quot;isTemporary&quot;:false,&quot;suppress-author&quot;:false,&quot;composite&quot;:false,&quot;author-only&quot;:false}]},{&quot;citationID&quot;:&quot;MENDELEY_CITATION_4aa5663d-949b-47fb-9c72-f67693c14b94&quot;,&quot;properties&quot;:{&quot;noteIndex&quot;:0},&quot;isEdited&quot;:false,&quot;manualOverride&quot;:{&quot;isManuallyOverridden&quot;:false,&quot;citeprocText&quot;:&quot;(Zhou &amp;#38; Fan, 2023)&quot;,&quot;manualOverrideText&quot;:&quot;&quot;},&quot;citationTag&quot;:&quot;MENDELEY_CITATION_v3_eyJjaXRhdGlvbklEIjoiTUVOREVMRVlfQ0lUQVRJT05fNGFhNTY2M2QtOTQ5Yi00N2ZiLTljNzItZjY3NjkzYzE0Yjk0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quot;,&quot;citationItems&quot;:[{&quot;id&quot;:&quot;8ab64a03-55d5-3e25-89c1-7ef88550f337&quot;,&quot;itemData&quot;:{&quot;type&quot;:&quot;article-journal&quot;,&quot;id&quot;:&quot;8ab64a03-55d5-3e25-89c1-7ef88550f337&quot;,&quot;title&quot;:&quot;The Impact of Green Capital Structure on Enterprise Development and the Regulation of Technological Innovation under Carbon Peaking&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2710a852-46ad-41b3-b002-ca975fbecbc6&quot;,&quot;properties&quot;:{&quot;noteIndex&quot;:0},&quot;isEdited&quot;:false,&quot;manualOverride&quot;:{&quot;isManuallyOverridden&quot;:false,&quot;citeprocText&quot;:&quot;(Chang &amp;#38; Chen, 2012)&quot;,&quot;manualOverrideText&quot;:&quot;&quot;},&quot;citationTag&quot;:&quot;MENDELEY_CITATION_v3_eyJjaXRhdGlvbklEIjoiTUVOREVMRVlfQ0lUQVRJT05fMjcxMGE4NTItNDZhZC00MWIzLWIwMDItY2E5NzVmYmVjYmM2IiwicHJvcGVydGllcyI6eyJub3RlSW5kZXgiOjB9LCJpc0VkaXRlZCI6ZmFsc2UsIm1hbnVhbE92ZXJyaWRlIjp7ImlzTWFudWFsbHlPdmVycmlkZGVuIjpmYWxzZSwiY2l0ZXByb2NUZXh0IjoiKENoYW5nICYjMzg7IENoZW4sIDIwMTIpIiwibWFudWFsT3ZlcnJpZGVUZXh0IjoiIn0sImNpdGF0aW9uSXRlbXMiOlt7ImlkIjoiNGJhMjY3YTctYzAyMy0zOWY5LTlmZDMtNmQ1ZGQ2MzhhNmQzIiwiaXRlbURhdGEiOnsidHlwZSI6ImFydGljbGUtam91cm5hbCIsImlkIjoiNGJhMjY3YTctYzAyMy0zOWY5LTlmZDMtNmQ1ZGQ2MzhhNmQzIiwidGl0bGUiOiJUaGUgZGV0ZXJtaW5hbnRzIG9mIGdyZWVuIGludGVsbGVjdHVhbCBjYXBpdGFsIiwiYXV0aG9yIjpbeyJmYW1pbHkiOiJDaGFuZyIsImdpdmVuIjoiQ2hpbmcgSHN1biIsInBhcnNlLW5hbWVzIjpmYWxzZSwiZHJvcHBpbmctcGFydGljbGUiOiIiLCJub24tZHJvcHBpbmctcGFydGljbGUiOiIifSx7ImZhbWlseSI6IkNoZW4iLCJnaXZlbiI6Ill1IFNoYW4iLCJwYXJzZS1uYW1lcyI6ZmFsc2UsImRyb3BwaW5nLXBhcnRpY2xlIjoiIiwibm9uLWRyb3BwaW5nLXBhcnRpY2xlIjoiIn1dLCJjb250YWluZXItdGl0bGUiOiJNYW5hZ2VtZW50IERlY2lzaW9uIiwiRE9JIjoiMTAuMTEwOC8wMDI1MTc0MTIxMTE5NDg4NiIsIklTU04iOiIwMDI1MTc0NyIsImlzc3VlZCI6eyJkYXRlLXBhcnRzIjpbWzIwMTIsMl1dfSwicGFnZSI6Ijc0LTk0IiwiYWJzdHJhY3QiOiJQdXJwb3NlOiBUaGlzIHN0dWR5IGFpbXMgdG8gZGV2ZWxvcCBhbiBvcmlnaW5hbCBmcmFtZXdvcmsgb2YgZ3JlZW4gaW50ZWxsZWN0dWFsIGNhcGl0YWwgdG8gZXhwbG9yZSB0aGUgcG9zaXRpdmUgZWZmZWN0IG9mIGNvcnBvcmF0ZSBzb2NpYWwgcmVzcG9uc2liaWxpdHkgKENTUikgb24gZ3JlZW4gaW50ZWxsZWN0dWFsIGNhcGl0YWwgdGhyb3VnaCB0aGUgcGFydGlhbCBtZWRpYXRvciAtIGVudmlyb25tZW50YWwgY29uc2Npb3VzbmVzcy4gRGVzaWduL21ldGhvZG9sb2d5L2FwcHJvYWNoOiBUaGlzIHN0dWR5IHN1bW1hcml6ZXMgdGhlIGNvbmNlcHRzIG9mIENTUiBhbmQgZ3JlZW4gbWFuYWdlbWVudCB0byBkZXZlbG9wIGFuIGludGVncmFsIGZyYW1ld29yayB0byBlbmhhbmNlIGdyZWVuIGludGVsbGVjdHVhbCBjYXBpdGFsLiBTdHJ1Y3R1cmFsIGVxdWF0aW9uIG1vZGVsaW5nIChTRU0pIGlzIGFwcGxpZWQgdG8gdmVyaWZ5IHRoZSByZXNlYXJjaCBmcmFtZXdvcmsuIEZpbmRpbmdzOiBUaGlzIHN0dWR5IHV0aWxpemVzIFNFTSB0byBleHBsb3JlIHRoZSBpbmZsdWVuY2VzIG9mIENTUiBhbmQgZW52aXJvbm1lbnRhbCBjb25zY2lvdXNuZXNzIG9uIHRocmVlIHR5cGVzIG9mIGdyZWVuIGludGVsbGVjdHVhbCBjYXBpdGFsIC0gZ3JlZW4gaHVtYW4gY2FwaXRhbCwgZ3JlZW4gc3RydWN0dXJhbCBjYXBpdGFsLCBhbmQgZ3JlZW4gcmVsYXRpb25zaGlwIGNhcGl0YWwuIFRoZSBlbXBpcmljYWwgcmVzdWx0cyBvZiB0aGlzIHN0dWR5IGRlbW9uc3RyYXRlIHRoYXQgQ1NSIGFuZCBlbnZpcm9ubWVudGFsIGNvbnNjaW91c25lc3MgaGF2ZSBwb3NpdGl2ZSBlZmZlY3RzIG9uIHRocmVlIHR5cGVzIG9mIGdyZWVuIGludGVsbGVjdHVhbCBjYXBpdGFsLiBCZXNpZGVzLCB0aGlzIHN0dWR5IHZlcmlmaWVzIHRoYXQgZW52aXJvbm1lbnRhbCBjb25zY2lvdXNuZXNzIGlzIGEgcGFydGlhbCBtZWRpYXRvciBiZXR3ZWVuIENTUiBhbmQgdGhyZWUgdHlwZXMgb2YgZ3JlZW4gaW50ZWxsZWN0dWFsIGNhcGl0YWwuIEluIGFkZGl0aW9uLCB0aGlzIHN0dWR5IGNsYXNzaWZpZXMgdGhlIFRhaXdhbmVzZSBtYW51ZmFjdHVyaW5nIGNvbXBhbmllcyBpbnRvIHRocmVlIGdyb3VwcyAtIGhpZ2hseSwgbWVkaWFsbHksIGFuZCBsb3dseSBldGhpYyBjb21wYW5pZXMuIFRoZSByZXN1bHRzIHNob3cgdGhhdCB0aHJlZSB0eXBlcyBvZiBncmVlbiBpbnRlbGxlY3R1YWwgY2FwaXRhbCBvZiBoaWdobHkgZXRoaWMgY29tcGFuaWVzIGFyZSB0aGUgbW9zdCwgYW5kIHRob3NlIG9mIG1lZGlhbGx5IGV0aGljIGNvbXBhbmllcyBhcmUgdGhlIG5leHQsIHdoaWxlIHRob3NlIG9mIGxvd2x5IGV0aGljIGNvbXBhbmllcyBhcmUgdGhlIGxlYXN0LiBPcmlnaW5hbGl0eS92YWx1ZTogVGhpcyBzdHVkeSBpbnRlZ3JhdGVzIHRoZSB0aGVvcmllcyBvZiBDU1IgYW5kIGdyZWVuIG1hbmFnZW1lbnQgdG8gZGV2ZWxvcCBhbiBpbnRlZ3JhbCBjb25jZXB0dWFsIG1vZGVsIG9mIGdyZWVuIGludGVsbGVjdHVhbCBjYXBpdGFsIHRvIGV4cGxvcmUgaXRzIG1hbmFnZXJpYWwgaW1wbGljYXRpb25zIGFuZCBkZXRlcm1pbmFudHMuIMKpIEVtZXJhbGQgR3JvdXAgUHVibGlzaGluZyBMaW1pdGVkLiIsImlzc3VlIjoiMSIsInZvbHVtZSI6IjUwIiwiY29udGFpbmVyLXRpdGxlLXNob3J0IjoiIn0sImlzVGVtcG9yYXJ5IjpmYWxzZSwic3VwcHJlc3MtYXV0aG9yIjpmYWxzZSwiY29tcG9zaXRlIjpmYWxzZSwiYXV0aG9yLW9ubHkiOmZhbHNlfV19&quot;,&quot;citationItems&quot;:[{&quot;id&quot;:&quot;4ba267a7-c023-39f9-9fd3-6d5dd638a6d3&quot;,&quot;itemData&quot;:{&quot;type&quot;:&quot;article-journal&quot;,&quot;id&quot;:&quot;4ba267a7-c023-39f9-9fd3-6d5dd638a6d3&quot;,&quot;title&quot;:&quot;The determinants of green intellectual capital&quot;,&quot;author&quot;:[{&quot;family&quot;:&quot;Chang&quot;,&quot;given&quot;:&quot;Ching Hsun&quot;,&quot;parse-names&quot;:false,&quot;dropping-particle&quot;:&quot;&quot;,&quot;non-dropping-particle&quot;:&quot;&quot;},{&quot;family&quot;:&quot;Chen&quot;,&quot;given&quot;:&quot;Yu Shan&quot;,&quot;parse-names&quot;:false,&quot;dropping-particle&quot;:&quot;&quot;,&quot;non-dropping-particle&quot;:&quot;&quot;}],&quot;container-title&quot;:&quot;Management Decision&quot;,&quot;DOI&quot;:&quot;10.1108/00251741211194886&quot;,&quot;ISSN&quot;:&quot;00251747&quot;,&quot;issued&quot;:{&quot;date-parts&quot;:[[2012,2]]},&quot;page&quot;:&quot;74-94&quot;,&quot;abstract&quot;:&quot;Purpose: This study aims to develop an original framework of green intellectual capital to explore the positive effect of corporate social responsibility (CSR) on green intellectual capital through the partial mediator - environmental consciousness. Design/methodology/approach: This study summarizes the concepts of CSR and green management to develop an integral framework to enhance green intellectual capital. Structural equation modeling (SEM) is applied to verify the research framework. Findings: This study utilizes SEM to explore the influences of CSR and environmental consciousness on three types of green intellectual capital - green human capital, green structural capital, and green relationship capital. The empirical results of this study demonstrate that CSR and environmental consciousness have positive effects on three types of green intellectual capital. Besides, this study verifies that environmental consciousness is a partial mediator between CSR and three types of green intellectual capital. In addition, this study classifies the Taiwanese manufacturing companies into three groups - highly, medially, and lowly ethic companies. The results show that three types of green intellectual capital of highly ethic companies are the most, and those of medially ethic companies are the next, while those of lowly ethic companies are the least. Originality/value: This study integrates the theories of CSR and green management to develop an integral conceptual model of green intellectual capital to explore its managerial implications and determinants. © Emerald Group Publishing Limited.&quot;,&quot;issue&quot;:&quot;1&quot;,&quot;volume&quot;:&quot;50&quot;,&quot;container-title-short&quot;:&quot;&quot;},&quot;isTemporary&quot;:false,&quot;suppress-author&quot;:false,&quot;composite&quot;:false,&quot;author-only&quot;:false}]},{&quot;citationID&quot;:&quot;MENDELEY_CITATION_9ec724d1-cf61-4547-b851-31e2538ac602&quot;,&quot;properties&quot;:{&quot;noteIndex&quot;:0},&quot;isEdited&quot;:false,&quot;manualOverride&quot;:{&quot;isManuallyOverridden&quot;:true,&quot;citeprocText&quot;:&quot;(SECTORAL DECARBONIZATION APPROACH (SDA): A Method for Setting Corporate Emission Reduction Targets in Line with Climate Science, n.d.)&quot;,&quot;manualOverrideText&quot;:&quot;(Science Based Targets Initiative, 2015)&quot;},&quot;citationTag&quot;:&quot;MENDELEY_CITATION_v3_eyJjaXRhdGlvbklEIjoiTUVOREVMRVlfQ0lUQVRJT05fOWVjNzI0ZDEtY2Y2MS00NTQ3LWI4NTEtMzFlMjUzOGFjNjAyIiwicHJvcGVydGllcyI6eyJub3RlSW5kZXgiOjB9LCJpc0VkaXRlZCI6ZmFsc2UsIm1hbnVhbE92ZXJyaWRlIjp7ImlzTWFudWFsbHlPdmVycmlkZGVuIjp0cnVlLCJjaXRlcHJvY1RleHQiOiIoU0VDVE9SQUwgREVDQVJCT05JWkFUSU9OIEFQUFJPQUNIIChTREEpOiBBIE1ldGhvZCBmb3IgU2V0dGluZyBDb3Jwb3JhdGUgRW1pc3Npb24gUmVkdWN0aW9uIFRhcmdldHMgaW4gTGluZSB3aXRoIENsaW1hdGUgU2NpZW5jZSwgbi5kLikiLCJtYW51YWxPdmVycmlkZVRleHQiOiIoU2NpZW5jZSBCYXNlZCBUYXJnZXRzIEluaXRpYXRpdmUsIDIwMTUpIn0sImNpdGF0aW9uSXRlbXMiOlt7ImlkIjoiOTVmM2U0ZDUtNjgzZi0zNWRmLWEzNWUtMjI4OTc2ZWJmOGU5IiwiaXRlbURhdGEiOnsidHlwZSI6InJlcG9ydCIsImlkIjoiOTVmM2U0ZDUtNjgzZi0zNWRmLWEzNWUtMjI4OTc2ZWJmOGU5IiwidGl0bGUiOiJTRUNUT1JBTCBERUNBUkJPTklaQVRJT04gQVBQUk9BQ0ggKFNEQSk6IEEgbWV0aG9kIGZvciBzZXR0aW5nIGNvcnBvcmF0ZSBlbWlzc2lvbiByZWR1Y3Rpb24gdGFyZ2V0cyBpbiBsaW5lIHdpdGggY2xpbWF0ZSBzY2llbmNlIiwiY29udGFpbmVyLXRpdGxlLXNob3J0IjoiIn0sImlzVGVtcG9yYXJ5IjpmYWxzZSwic3VwcHJlc3MtYXV0aG9yIjpmYWxzZSwiY29tcG9zaXRlIjpmYWxzZSwiYXV0aG9yLW9ubHkiOmZhbHNlfV19&quot;,&quot;citationItems&quot;:[{&quot;id&quot;:&quot;95f3e4d5-683f-35df-a35e-228976ebf8e9&quot;,&quot;itemData&quot;:{&quot;type&quot;:&quot;report&quot;,&quot;id&quot;:&quot;95f3e4d5-683f-35df-a35e-228976ebf8e9&quot;,&quot;title&quot;:&quot;SECTORAL DECARBONIZATION APPROACH (SDA): A method for setting corporate emission reduction targets in line with climate science&quot;,&quot;container-title-short&quot;:&quot;&quot;},&quot;isTemporary&quot;:false,&quot;suppress-author&quot;:false,&quot;composite&quot;:false,&quot;author-only&quot;:false}]},{&quot;citationID&quot;:&quot;MENDELEY_CITATION_f5a80d50-4be8-450e-bd75-ef9a1d5e16e3&quot;,&quot;properties&quot;:{&quot;noteIndex&quot;:0},&quot;isEdited&quot;:false,&quot;manualOverride&quot;:{&quot;isManuallyOverridden&quot;:false,&quot;citeprocText&quot;:&quot;(Joseph F. Hair JR., 2010)&quot;,&quot;manualOverrideText&quot;:&quot;&quot;},&quot;citationTag&quot;:&quot;MENDELEY_CITATION_v3_eyJjaXRhdGlvbklEIjoiTUVOREVMRVlfQ0lUQVRJT05fZjVhODBkNTAtNGJlOC00NTBlLWJkNzUtZWY5YTFkNWUxNmUzIiwicHJvcGVydGllcyI6eyJub3RlSW5kZXgiOjB9LCJpc0VkaXRlZCI6ZmFsc2UsIm1hbnVhbE92ZXJyaWRlIjp7ImlzTWFudWFsbHlPdmVycmlkZGVuIjpmYWxzZSwiY2l0ZXByb2NUZXh0IjoiKEpvc2VwaCBGLiBIYWlyIEpSLiwgMjAxMCkiLCJtYW51YWxPdmVycmlkZVRleHQiOiIifSwiY2l0YXRpb25JdGVtcyI6W3siaWQiOiJiOTkwYWZjNS01YjFlLTMzNmUtYjFiNi1jM2IwM2ZhYjg5ZmMiLCJpdGVtRGF0YSI6eyJ0eXBlIjoiYm9vayIsImlkIjoiYjk5MGFmYzUtNWIxZS0zMzZlLWIxYjYtYzNiMDNmYWI4OWZjIiwidGl0bGUiOiJNdWx0aXZhcmlhdGUgRGF0YSBBbmFseXNpcyIsImF1dGhvciI6W3siZmFtaWx5IjoiSm9zZXBoIEYuIEhhaXIgSlIuIiwiZ2l2ZW4iOiIiLCJwYXJzZS1uYW1lcyI6ZmFsc2UsImRyb3BwaW5nLXBhcnRpY2xlIjoiIiwibm9uLWRyb3BwaW5nLXBhcnRpY2xlIjoiIn1dLCJpc3N1ZWQiOnsiZGF0ZS1wYXJ0cyI6W1syMDEwXV19LCJlZGl0aW9uIjoiNyIsImNvbnRhaW5lci10aXRsZS1zaG9ydCI6IiJ9LCJpc1RlbXBvcmFyeSI6ZmFsc2UsInN1cHByZXNzLWF1dGhvciI6ZmFsc2UsImNvbXBvc2l0ZSI6ZmFsc2UsImF1dGhvci1vbmx5IjpmYWxzZX1dfQ==&quot;,&quot;citationItems&quot;:[{&quot;id&quot;:&quot;b990afc5-5b1e-336e-b1b6-c3b03fab89fc&quot;,&quot;itemData&quot;:{&quot;type&quot;:&quot;book&quot;,&quot;id&quot;:&quot;b990afc5-5b1e-336e-b1b6-c3b03fab89fc&quot;,&quot;title&quot;:&quot;Multivariate Data Analysis&quot;,&quot;author&quot;:[{&quot;family&quot;:&quot;Joseph F. Hair JR.&quot;,&quot;given&quot;:&quot;&quot;,&quot;parse-names&quot;:false,&quot;dropping-particle&quot;:&quot;&quot;,&quot;non-dropping-particle&quot;:&quot;&quot;}],&quot;issued&quot;:{&quot;date-parts&quot;:[[2010]]},&quot;edition&quot;:&quot;7&quot;,&quot;container-title-short&quot;:&quot;&quot;},&quot;isTemporary&quot;:false,&quot;suppress-author&quot;:false,&quot;composite&quot;:false,&quot;author-only&quot;:false}]},{&quot;citationID&quot;:&quot;MENDELEY_CITATION_a1bf95c3-533a-412c-b191-191e497305fd&quot;,&quot;properties&quot;:{&quot;noteIndex&quot;:0},&quot;isEdited&quot;:false,&quot;manualOverride&quot;:{&quot;isManuallyOverridden&quot;:false,&quot;citeprocText&quot;:&quot;(Joseph F. Hair JR., 2010)&quot;,&quot;manualOverrideText&quot;:&quot;&quot;},&quot;citationTag&quot;:&quot;MENDELEY_CITATION_v3_eyJjaXRhdGlvbklEIjoiTUVOREVMRVlfQ0lUQVRJT05fYTFiZjk1YzMtNTMzYS00MTJjLWIxOTEtMTkxZTQ5NzMwNWZkIiwicHJvcGVydGllcyI6eyJub3RlSW5kZXgiOjB9LCJpc0VkaXRlZCI6ZmFsc2UsIm1hbnVhbE92ZXJyaWRlIjp7ImlzTWFudWFsbHlPdmVycmlkZGVuIjpmYWxzZSwiY2l0ZXByb2NUZXh0IjoiKEpvc2VwaCBGLiBIYWlyIEpSLiwgMjAxMCkiLCJtYW51YWxPdmVycmlkZVRleHQiOiIifSwiY2l0YXRpb25JdGVtcyI6W3siaWQiOiJiOTkwYWZjNS01YjFlLTMzNmUtYjFiNi1jM2IwM2ZhYjg5ZmMiLCJpdGVtRGF0YSI6eyJ0eXBlIjoiYm9vayIsImlkIjoiYjk5MGFmYzUtNWIxZS0zMzZlLWIxYjYtYzNiMDNmYWI4OWZjIiwidGl0bGUiOiJNdWx0aXZhcmlhdGUgRGF0YSBBbmFseXNpcyIsImF1dGhvciI6W3siZmFtaWx5IjoiSm9zZXBoIEYuIEhhaXIgSlIuIiwiZ2l2ZW4iOiIiLCJwYXJzZS1uYW1lcyI6ZmFsc2UsImRyb3BwaW5nLXBhcnRpY2xlIjoiIiwibm9uLWRyb3BwaW5nLXBhcnRpY2xlIjoiIn1dLCJpc3N1ZWQiOnsiZGF0ZS1wYXJ0cyI6W1syMDEwXV19LCJlZGl0aW9uIjoiNyIsImNvbnRhaW5lci10aXRsZS1zaG9ydCI6IiJ9LCJpc1RlbXBvcmFyeSI6ZmFsc2UsInN1cHByZXNzLWF1dGhvciI6ZmFsc2UsImNvbXBvc2l0ZSI6ZmFsc2UsImF1dGhvci1vbmx5IjpmYWxzZX1dfQ==&quot;,&quot;citationItems&quot;:[{&quot;id&quot;:&quot;b990afc5-5b1e-336e-b1b6-c3b03fab89fc&quot;,&quot;itemData&quot;:{&quot;type&quot;:&quot;book&quot;,&quot;id&quot;:&quot;b990afc5-5b1e-336e-b1b6-c3b03fab89fc&quot;,&quot;title&quot;:&quot;Multivariate Data Analysis&quot;,&quot;author&quot;:[{&quot;family&quot;:&quot;Joseph F. Hair JR.&quot;,&quot;given&quot;:&quot;&quot;,&quot;parse-names&quot;:false,&quot;dropping-particle&quot;:&quot;&quot;,&quot;non-dropping-particle&quot;:&quot;&quot;}],&quot;issued&quot;:{&quot;date-parts&quot;:[[2010]]},&quot;edition&quot;:&quot;7&quot;,&quot;container-title-short&quot;:&quot;&quot;},&quot;isTemporary&quot;:false,&quot;suppress-author&quot;:false,&quot;composite&quot;:false,&quot;author-only&quot;:false}]},{&quot;citationID&quot;:&quot;MENDELEY_CITATION_cb9eb687-b9a6-4422-94bd-624d915c2218&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Y2I5ZWI2ODctYjlhNi00NDIyLTk0YmQtNjI0ZDkxNWMyMjE4IiwicHJvcGVydGllcyI6eyJub3RlSW5kZXgiOjB9LCJpc0VkaXRlZCI6ZmFsc2UsIm1hbnVhbE92ZXJyaWRlIjp7ImlzTWFudWFsbHlPdmVycmlkZGVuIjpmYWxzZSwiY2l0ZXByb2NUZXh0IjoiKFhpZSBldCBhbC4sIDIwMjIpIiwibWFudWFsT3ZlcnJpZGVUZXh0IjoiIn0sImNpdGF0aW9uSXRlbXMiOlt7ImlkIjoiMDU2ZTU2YjYtZGQ2Yy0zMzllLTljNWYtYjg3ZDhmNzBjYTZjIiwiaXRlbURhdGEiOnsidHlwZSI6ImFydGljbGUtam91cm5hbCIsImlkIjoiMDU2ZTU2YjYtZGQ2Yy0zMzllLTljNWYtYjg3ZDhmNzBjYTZjIiwidGl0bGUiOiJJbXBhY3Qgb2YgR3JlZW4gSW5ub3ZhdGlvbiBvbiBGaXJtIFZhbHVlOiBFdmlkZW5jZSBGcm9tIExpc3RlZCBDb21wYW5pZXMgaW4gQ2hpbmHigJlzIEhlYXZ5IFBvbGx1dGlvbiBJbmR1c3RyaWVzIiwiYXV0aG9yIjpbeyJmYW1pbHkiOiJYaWUiLCJnaXZlbiI6IlpoYW9kb25nIiwicGFyc2UtbmFtZXMiOmZhbHNlLCJkcm9wcGluZy1wYXJ0aWNsZSI6IiIsIm5vbi1kcm9wcGluZy1wYXJ0aWNsZSI6IiJ9LHsiZmFtaWx5IjoiV2FuZyIsImdpdmVuIjoiSmlhbnpoaSIsInBhcnNlLW5hbWVzIjpmYWxzZSwiZHJvcHBpbmctcGFydGljbGUiOiIiLCJub24tZHJvcHBpbmctcGFydGljbGUiOiIifSx7ImZhbWlseSI6IlpoYW8iLCJnaXZlbiI6Ikd1b3FpbiIsInBhcnNlLW5hbWVzIjpmYWxzZSwiZHJvcHBpbmctcGFydGljbGUiOiIiLCJub24tZHJvcHBpbmctcGFydGljbGUiOiIifV0sImNvbnRhaW5lci10aXRsZSI6IkZyb250aWVycyBpbiBFbmVyZ3kgUmVzZWFyY2giLCJjb250YWluZXItdGl0bGUtc2hvcnQiOiJGcm9udCBFbmVyZ3kgUmVzIiwiRE9JIjoiMTAuMzM4OS9mZW5yZy4yMDIxLjgwNjkyNiIsIklTU04iOiIyMjk2NTk4WCIsImlzc3VlZCI6eyJkYXRlLXBhcnRzIjpbWzIwMjIsMSwyMF1dfSwiYWJzdHJhY3QiOiJUaGUgdW5zcGVjaWZpZWQgaW1wYWN0IG9mIGdyZWVuIGlubm92YXRpb24gb24gY29ycG9yYXRlIGZpbmFuY2lhbCBwZXJmb3JtYW5jZSBoYXMgbWFkZSBzb21lIGVudGVycHJpc2VzIGRlbGF5IGdyZWVuIGlubm92YXRpb24gaW52ZXN0bWVudCBwbGFucywgYW5kIGV2ZW4gYWJhbmRvbiBncmVlbiBpbm5vdmF0aW9uLiBNaXRpZ2F0aW5nIHRoZSBlY29ub21pYyBjb25jZXJucyBmYWNlZCBpbiB0aGUgcHJvY2VzcyBvZiBncmVlbiBpbm5vdmF0aW9uIGRlY2lzaW9uLW1ha2luZyBpcyBvZiBncmVhdCBzaWduaWZpY2FuY2UgdG8gYWNjZWxlcmF0ZSB0aGUgcHJvY2VzcyBvZiBlbnRlcnByaXNlc+KAmSBncmVlbiB0cmFuc2Zvcm1hdGlvbi4gVXNpbmcgYW4gdW5iYWxhbmNlZCBwYW5lbCBkYXRhIG9mIENoaW5lc2UgaGVhdnkgcG9sbHV0aW9uIGxpc3RlZCBjb21wYW5pZXMgZnJvbSAyMDA4LTIwMTcsIHRoaXMgcGFwZXIgaW52ZXN0aWdhdGVzIHRoZSBpbXBhY3Qgb2YgZ3JlZW4gaW5ub3ZhdGlvbiBvbiBmaXJtIHZhbHVlLiBXZSBmdXJ0aGVyIHRlc3QgdGhlIGxpa2VseSBjaGFubmVscyB0aHJvdWdoIHdoaWNoIGdyZWVuIGlubm92YXRpb24gY2FuIGFmZmVjdCBmaXJtIHZhbHVlLCBpbmNsdWRpbmcgdGhlIGZpbmFuY2lhbCBmbGV4aWJpbGl0eSBjaGFubmVsIGFuZCBhbmFseXN0IGNvdmVyYWdlIGNoYW5uZWwuIFRoZSBzdHVkeSBmaW5kcyB0aGF0OiAxKSBpbmNyZWFzaW5nIHRoZSBwcm9wb3J0aW9uIG9mIGdyZWVuIHBhdGVudCBhcHBsaWNhdGlvbnMgbGVhZHMgdG8gdGhlIGRldmFsdWF0aW9uIG9mIGZpcm0gdmFsdWUsIGJ1dCB0aGlzIGRldmFsdWF0aW9uIGVmZmVjdCBvbmx5IG9jY3VycyBpbiB0aGUgc2hvcnQgdGVybTsgMikgYm90aCBmaW5hbmNpYWwgZmxleGliaWxpdHkgYW5kIGFuYWx5c3QgY292ZXJhZ2UgcGFydGlhbGx5IG1lZGlhdGUgdGhlIGltcGFjdCBvZiBncmVlbiBpbm5vdmF0aW9uIG9uIGZpcm0gdmFsdWU7IDMpIGhldGVyb2dlbmVpdHkgYW5hbHlzaXMgaW5kaWNhdGVzIHRoYXQgZW50ZXJwcmlzZXMgY2FuIHJlZHVjZSB0aGUgbmVnYXRpdmUgaW1wYWN0IG9mIGdyZWVuIGlubm92YXRpb24gb24gZmlybSB2YWx1ZSBieSBpbmNyZWFzaW5nIHRoZSBleGVjdXRpdmUgZXF1aXR5IGluY2VudGl2ZSBhbmQgdGhlIG1hbmFnZW1lbnQtZW1wbG95ZWUgcGF5IGdhcC4gSW4gYWRkaXRpb24sIGFzIGVjb25vbWljIHBvbGljeSB1bmNlcnRhaW50eSBpbmNyZWFzZXMgZnJvbSBsb3cgdG8gaGlnaCwgdGhlIG5lZ2F0aXZlIGltcGFjdCBiZWNvbWVzIHNtYWxsZXIuIE91ciByZXNlYXJjaCBoZWxwcyB0byBicm9hZGVuIHRoZSBjb2duaXRpdmUgYm91bmRhcmllcyBvZiB0aGUgZWNvbm9taWMgaW1wYWN0IG9mIGdyZWVuIGlubm92YXRpb24sIGFuZCBhc3Npc3RzIHBvbGljeW1ha2VycyBhbmQgcmVzZWFyY2hlcnMgdG8gYmV0dGVyIGdyYXNwIHRoZSBjaGFyYWN0ZXJpc3RpY3Mgb2YgZ3JlZW4gaW5ub3ZhdGlvbiBiZWhhdmlvciBvZiBlbnRlcnByaXNlcyBpbiBlbWVyZ2luZyBlY29ub21pZXMuIEZpbmFsbHksIHdlIHByb3ZpZGUgdXNlZnVsIGVubGlnaHRlbm1lbnRzIGZvciBwb2xpY3ltYWtlcnMgYW5kIGJ1c2luZXNzIG1hbmFnZXJzIHRvIHN0aW11bGF0ZSBncmVlbiBpbm5vdmF0aW9uIGluIGVudGVycHJpc2VzLiIsInB1Ymxpc2hlciI6IkZyb250aWVycyBNZWRpYSBTLkEuIiwidm9sdW1lIjoiOSJ9LCJpc1RlbXBvcmFyeSI6ZmFsc2UsInN1cHByZXNzLWF1dGhvciI6ZmFsc2UsImNvbXBvc2l0ZSI6ZmFsc2UsImF1dGhvci1vbmx5IjpmYWxzZX1dfQ==&quot;,&quot;citationItems&quot;:[{&quot;id&quot;:&quot;056e56b6-dd6c-339e-9c5f-b87d8f70ca6c&quot;,&quot;itemData&quot;:{&quot;type&quot;:&quot;article-journal&quot;,&quot;id&quot;:&quot;056e56b6-dd6c-339e-9c5f-b87d8f70ca6c&quot;,&quot;title&quot;:&quot;Impact of Green Innovation on Firm Value: Evidence From Listed Companies in China’s Heavy Pollution Industries&quot;,&quot;author&quot;:[{&quot;family&quot;:&quot;Xie&quot;,&quot;given&quot;:&quot;Zhaodong&quot;,&quot;parse-names&quot;:false,&quot;dropping-particle&quot;:&quot;&quot;,&quot;non-dropping-particle&quot;:&quot;&quot;},{&quot;family&quot;:&quot;Wang&quot;,&quot;given&quot;:&quot;Jianzhi&quot;,&quot;parse-names&quot;:false,&quot;dropping-particle&quot;:&quot;&quot;,&quot;non-dropping-particle&quot;:&quot;&quot;},{&quot;family&quot;:&quot;Zhao&quot;,&quot;given&quot;:&quot;Guoqin&quot;,&quot;parse-names&quot;:false,&quot;dropping-particle&quot;:&quot;&quot;,&quot;non-dropping-particle&quot;:&quot;&quot;}],&quot;container-title&quot;:&quot;Frontiers in Energy Research&quot;,&quot;container-title-short&quot;:&quot;Front Energy Res&quot;,&quot;DOI&quot;:&quot;10.3389/fenrg.2021.806926&quot;,&quot;ISSN&quot;:&quot;2296598X&quot;,&quot;issued&quot;:{&quot;date-parts&quot;:[[2022,1,20]]},&quot;abstract&quot;:&quot;The unspecified impact of green innovation on corporate financial performance has made some enterprises delay green innovation investment plans, and even abandon green innovation. Mitigating the economic concerns faced in the process of green innovation decision-making is of great significance to accelerate the process of enterprises’ green transformation. Using an unbalanced panel data of Chinese heavy pollution listed companies from 2008-2017, this paper investigates the impact of green innovation on firm value. We further test the likely channels through which green innovation can affect firm value, including the financial flexibility channel and analyst coverage channel. The study finds that: 1) increasing the proportion of green patent applications leads to the devaluation of firm value, but this devaluation effect only occurs in the short term; 2) both financial flexibility and analyst coverage partially mediate the impact of green innovation on firm value; 3) heterogeneity analysis indicates that enterprises can reduce the negative impact of green innovation on firm value by increasing the executive equity incentive and the management-employee pay gap. In addition, as economic policy uncertainty increases from low to high, the negative impact becomes smaller. Our research helps to broaden the cognitive boundaries of the economic impact of green innovation, and assists policymakers and researchers to better grasp the characteristics of green innovation behavior of enterprises in emerging economies. Finally, we provide useful enlightenments for policymakers and business managers to stimulate green innovation in enterprises.&quot;,&quot;publisher&quot;:&quot;Frontiers Media S.A.&quot;,&quot;volume&quot;:&quot;9&quot;},&quot;isTemporary&quot;:false,&quot;suppress-author&quot;:false,&quot;composite&quot;:false,&quot;author-only&quot;:false}]},{&quot;citationID&quot;:&quot;MENDELEY_CITATION_cd693be0-fbfe-48a3-acfb-2d7feba763c7&quot;,&quot;properties&quot;:{&quot;noteIndex&quot;:0},&quot;isEdited&quot;:false,&quot;manualOverride&quot;:{&quot;isManuallyOverridden&quot;:false,&quot;citeprocText&quot;:&quot;(Utomo et al., 2020)&quot;,&quot;manualOverrideText&quot;:&quot;&quot;},&quot;citationTag&quot;:&quot;MENDELEY_CITATION_v3_eyJjaXRhdGlvbklEIjoiTUVOREVMRVlfQ0lUQVRJT05fY2Q2OTNiZTAtZmJmZS00OGEzLWFjZmItMmQ3ZmViYTc2M2M3IiwicHJvcGVydGllcyI6eyJub3RlSW5kZXgiOjB9LCJpc0VkaXRlZCI6ZmFsc2UsIm1hbnVhbE92ZXJyaWRlIjp7ImlzTWFudWFsbHlPdmVycmlkZGVuIjpmYWxzZSwiY2l0ZXByb2NUZXh0IjoiKFV0b21vIGV0IGFsLiwgMjAyMCkiLCJtYW51YWxPdmVycmlkZVRleHQiOiIifSwiY2l0YXRpb25JdGVtcyI6W3siaWQiOiIzZDdlNmU5Yy1jMDg0LTM3MzQtYjdiNS1iYzVhN2U3NjNlZmQiLCJpdGVtRGF0YSI6eyJ0eXBlIjoiYXJ0aWNsZS1qb3VybmFsIiwiaWQiOiIzZDdlNmU5Yy1jMDg0LTM3MzQtYjdiNS1iYzVhN2U3NjNlZmQiLCJ0aXRsZSI6IkVudmlyb25tZW50YWwgcGVyZm9ybWFuY2UsIGVudmlyb25tZW50YWwgZGlzY2xvc3VyZSwgYW5kIGZpcm0gdmFsdWU6IGVtcGlyaWNhbCBzdHVkeSBvZiBub24tZmluYW5jaWFsIGNvbXBhbmllcyBhdCBJbmRvbmVzaWEgU3RvY2sgRXhjaGFuZ2UiLCJhdXRob3IiOlt7ImZhbWlseSI6IlV0b21vIiwiZ2l2ZW4iOiJNb2hhbWFkIE51ciIsInBhcnNlLW5hbWVzIjpmYWxzZSwiZHJvcHBpbmctcGFydGljbGUiOiIiLCJub24tZHJvcHBpbmctcGFydGljbGUiOiIifSx7ImZhbWlseSI6IlJhaGF5dSIsImdpdmVuIjoiU3JpIiwicGFyc2UtbmFtZXMiOmZhbHNlLCJkcm9wcGluZy1wYXJ0aWNsZSI6IiIsIm5vbi1kcm9wcGluZy1wYXJ0aWNsZSI6IiJ9LHsiZmFtaWx5IjoiS2F1amFuIiwiZ2l2ZW4iOiJLYXVqYW4iLCJwYXJzZS1uYW1lcyI6ZmFsc2UsImRyb3BwaW5nLXBhcnRpY2xlIjoiIiwibm9uLWRyb3BwaW5nLXBhcnRpY2xlIjoiIn0seyJmYW1pbHkiOiJJcndhbmRpIiwiZ2l2ZW4iOiJTb25pIEFndXMiLCJwYXJzZS1uYW1lcyI6ZmFsc2UsImRyb3BwaW5nLXBhcnRpY2xlIjoiIiwibm9uLWRyb3BwaW5nLXBhcnRpY2xlIjoiIn1dLCJjb250YWluZXItdGl0bGUiOiJHcmVlbiBGaW5hbmNlIiwiRE9JIjoiMTAuMzkzNC9HRi4yMDIwMDA2IiwiSVNTTiI6IjI2NDMxMDkyIiwiaXNzdWVkIjp7ImRhdGUtcGFydHMiOltbMjAyMF1dfSwicGFnZSI6IjEwMC0xMTMiLCJhYnN0cmFjdCI6IlRoaXMgcmVzZWFyY2ggaXMgYWltZWQgdG8gZXhhbWluZSB0aGUgZWZmZWN0IG9mIGVudmlyb25tZW50YWwgcGVyZm9ybWFuY2Ugb24gZmlybSB2YWx1ZSB3aXRoIGVudmlyb25tZW50YWwgZGlzY2xvc3VyZSBhcyBhIG1lZGlhdGlvbiB2YXJpYWJsZS4gU2FtcGxlIG9mIHJlc2VhcmNoIGlzIG5vbi1maW5hbmNpYWwgY29tcGFuaWVzIGF0IHRoZSBJbmRvbmVzaWEgU3RvY2sgRXhjaGFuZ2UgdGhhdCBoYXZlIGZvbGxvd2VkIHRoZSBFbnZpcm9ubWVudGFsIFBlcmZvcm1hbmNlIEFzc2Vzc21lbnQgUHJvZ3JhbSAoUFJPUEVSKSBoZWxkIGJ5IHRoZSBNaW5pc3RyeSBvZiBMaWZlIEVudmlyb25tZW50IGFuZCBGb3Jlc3RyeS4gVGhlIGRhdGEgYW5hbHlzaXMgbWV0aG9kIGlzIFN0cnVjdHVyYWwgRXF1YXRpb24gTW9kZWxpbmctUGFydGlhbCBMZWFzdCBTcXVhcmUgKFNFTS1QTFMpLCBhbmQgdGhlIGFuYWx5c2lzIG9wZXJhdGlvbiBpcyBmYWNpbGl0YXRlZCBieSB0aGUgc29mdHdhcmUgb2YgV2FycFBMUyA2LjAuIFRoZSByZXN1bHQgb2YgYW5hbHlzaXMgaGFzIGdpdmVuIGEgZmV3IGZpbmRpbmdzLiBPbmUgaXMgdGhhdCBlbnZpcm9ubWVudGFsIHBlcmZvcm1hbmNlIGhhcyBhIHBvc2l0aXZlIGVmZmVjdCBvbiBmaXJtIHZhbHVlIGFuZCBlbnZpcm9ubWVudGFsIGRpc2Nsb3N1cmUuIE90aGVyIHJlc3VsdCBzaG93cyB0aGF0IGVudmlyb25tZW50YWwgZGlzY2xvc3VyZSBkb2VzIG5vdCBhZmZlY3QgZmlybSB2YWx1ZSBhbmQgZG9lcyBub3QgbWVkaWF0ZSB0aGUgZWZmZWN0IG9mIGVudmlyb25tZW50YWwgcGVyZm9ybWFuY2Ugb24gZmlybSB2YWx1ZS4gSW4gZ2VuZXJhbCwgYWxsIHRoZSByZXN1bHRzIHN1cHBvcnQgdGhlIHN0YWtlaG9sZGVyIHRoZW9yeSBhbmQgdGhlIHJlc291cmNlLWJhc2VkIHZpZXcgdGhlb3J5LiBDb21wYW5pZXMgd2l0aCBlbnZpcm9ubWVudGFsbHkgZnJpZW5kbHkgY29tbWl0bWVudHMgY2FuIGJlIGEgc3RyYXRlZ3kgaW4gY3JlYXRpbmcgaGlnaGVyIGZpcm0gdmFsdWUuIiwicHVibGlzaGVyIjoiQW1lcmljYW4gSW5zdGl0dXRlIG9mIE1hdGhlbWF0aWNhbCBTY2llbmNlcyIsImlzc3VlIjoiMSIsInZvbHVtZSI6IjIiLCJjb250YWluZXItdGl0bGUtc2hvcnQiOiIifSwiaXNUZW1wb3JhcnkiOmZhbHNlLCJzdXBwcmVzcy1hdXRob3IiOmZhbHNlLCJjb21wb3NpdGUiOmZhbHNlLCJhdXRob3Itb25seSI6ZmFsc2V9XX0=&quot;,&quot;citationItems&quot;:[{&quot;id&quot;:&quot;3d7e6e9c-c084-3734-b7b5-bc5a7e763efd&quot;,&quot;itemData&quot;:{&quot;type&quot;:&quot;article-journal&quot;,&quot;id&quot;:&quot;3d7e6e9c-c084-3734-b7b5-bc5a7e763efd&quot;,&quot;title&quot;:&quot;Environmental performance, environmental disclosure, and firm value: empirical study of non-financial companies at Indonesia Stock Exchange&quot;,&quot;author&quot;:[{&quot;family&quot;:&quot;Utomo&quot;,&quot;given&quot;:&quot;Mohamad Nur&quot;,&quot;parse-names&quot;:false,&quot;dropping-particle&quot;:&quot;&quot;,&quot;non-dropping-particle&quot;:&quot;&quot;},{&quot;family&quot;:&quot;Rahayu&quot;,&quot;given&quot;:&quot;Sri&quot;,&quot;parse-names&quot;:false,&quot;dropping-particle&quot;:&quot;&quot;,&quot;non-dropping-particle&quot;:&quot;&quot;},{&quot;family&quot;:&quot;Kaujan&quot;,&quot;given&quot;:&quot;Kaujan&quot;,&quot;parse-names&quot;:false,&quot;dropping-particle&quot;:&quot;&quot;,&quot;non-dropping-particle&quot;:&quot;&quot;},{&quot;family&quot;:&quot;Irwandi&quot;,&quot;given&quot;:&quot;Soni Agus&quot;,&quot;parse-names&quot;:false,&quot;dropping-particle&quot;:&quot;&quot;,&quot;non-dropping-particle&quot;:&quot;&quot;}],&quot;container-title&quot;:&quot;Green Finance&quot;,&quot;DOI&quot;:&quot;10.3934/GF.2020006&quot;,&quot;ISSN&quot;:&quot;26431092&quot;,&quot;issued&quot;:{&quot;date-parts&quot;:[[2020]]},&quot;page&quot;:&quot;100-113&quot;,&quot;abstract&quot;:&quot;This research is aimed to examine the effect of environmental performance on firm value with environmental disclosure as a mediation variable. Sample of research is non-financial companies at the Indonesia Stock Exchange that have followed the Environmental Performance Assessment Program (PROPER) held by the Ministry of Life Environment and Forestry. The data analysis method is Structural Equation Modeling-Partial Least Square (SEM-PLS), and the analysis operation is facilitated by the software of WarpPLS 6.0. The result of analysis has given a few findings. One is that environmental performance has a positive effect on firm value and environmental disclosure. Other result shows that environmental disclosure does not affect firm value and does not mediate the effect of environmental performance on firm value. In general, all the results support the stakeholder theory and the resource-based view theory. Companies with environmentally friendly commitments can be a strategy in creating higher firm value.&quot;,&quot;publisher&quot;:&quot;American Institute of Mathematical Sciences&quot;,&quot;issue&quot;:&quot;1&quot;,&quot;volume&quot;:&quot;2&quot;,&quot;container-title-short&quot;:&quot;&quot;},&quot;isTemporary&quot;:false,&quot;suppress-author&quot;:false,&quot;composite&quot;:false,&quot;author-only&quot;:false}]},{&quot;citationID&quot;:&quot;MENDELEY_CITATION_3a9db46f-14ed-40f5-b473-03aab7d86a16&quot;,&quot;properties&quot;:{&quot;noteIndex&quot;:0},&quot;isEdited&quot;:false,&quot;manualOverride&quot;:{&quot;isManuallyOverridden&quot;:false,&quot;citeprocText&quot;:&quot;(Hardiyansah &amp;#38; Agustini, 2020)&quot;,&quot;manualOverrideText&quot;:&quot;&quot;},&quot;citationTag&quot;:&quot;MENDELEY_CITATION_v3_eyJjaXRhdGlvbklEIjoiTUVOREVMRVlfQ0lUQVRJT05fM2E5ZGI0NmYtMTRlZC00MGY1LWI0NzMtMDNhYWI3ZDg2YTE2IiwicHJvcGVydGllcyI6eyJub3RlSW5kZXgiOjB9LCJpc0VkaXRlZCI6ZmFsc2UsIm1hbnVhbE92ZXJyaWRlIjp7ImlzTWFudWFsbHlPdmVycmlkZGVuIjpmYWxzZSwiY2l0ZXByb2NUZXh0IjoiKEhhcmRpeWFuc2FoICYjMzg7IEFndXN0aW5pLCAyMDIwKSIsIm1hbnVhbE92ZXJyaWRlVGV4dCI6IiJ9LCJjaXRhdGlvbkl0ZW1zIjpbeyJpZCI6ImViYzQzNzY1LTQ5YzEtMzVjYS04Y2RmLWZlYzkxY2ViM2U1NSIsIml0ZW1EYXRhIjp7InR5cGUiOiJhcnRpY2xlLWpvdXJuYWwiLCJpZCI6ImViYzQzNzY1LTQ5YzEtMzVjYS04Y2RmLWZlYzkxY2ViM2U1NSIsInRpdGxlIjoiQW5hbHlzaXMgT2YgQ2FyYm9uIEVtaXNzaW9ucyBEaXNjbG9zdXJlIEFuZCBGaXJtIFZhbHVlOiBUeXBlIE9mIEluZHVzdHJ5IEFzIEEgTW9kZXJhdGluZyBNb2RlbCIsImF1dGhvciI6W3siZmFtaWx5IjoiSGFyZGl5YW5zYWgiLCJnaXZlbiI6Ik1vaGFtbWFkIiwicGFyc2UtbmFtZXMiOmZhbHNlLCJkcm9wcGluZy1wYXJ0aWNsZSI6IiIsIm5vbi1kcm9wcGluZy1wYXJ0aWNsZSI6IiJ9LHsiZmFtaWx5IjoiQWd1c3RpbmkiLCJnaXZlbiI6IkFpc2EgVHJpIiwicGFyc2UtbmFtZXMiOmZhbHNlLCJkcm9wcGluZy1wYXJ0aWNsZSI6IiIsIm5vbi1kcm9wcGluZy1wYXJ0aWNsZSI6IiJ9XSwiY29udGFpbmVyLXRpdGxlIjoiSU5URVJOQVRJT05BTCBKT1VSTkFMIE9GIFNDSUVOVElGSUMgJiBURUNITk9MT0dZIFJFU0VBUkNIIiwiSVNTTiI6IjIyNzctODYxNiIsIlVSTCI6Ind3dy5panN0ci5vcmciLCJpc3N1ZWQiOnsiZGF0ZS1wYXJ0cyI6W1syMDIwXV19LCJwYWdlIjoiMiIsImFic3RyYWN0IjoiVGhlIGFpbXMgb2YgdGhpcyBzdHVkeSBpcyB0byBhbmFseXplIHRoZSBlZmZlY3Qgb2YgY2FyYm9uIGVtaXNzaW9ucyBkaXNjbG9zdXJlIG9uIGZpcm0gdmFsdWUgYW5kIGluZHVzdHJ5IHR5cGUgYXMgbW9kZXJhdGluZyB2YXJpYWJsZXMuIENhcmJvbiBlbWlzc2lvbnMgZGlzY2xvc3VyZSBpcyBtZWFzdXJlZCB1c2luZyB0aGUgY29udGVudCBhbmFseXNpcyBtZXRob2QgYWRvcHRlZCBmcm9tIGEgcXVlc3Rpb25uYWlyZSBpc3N1ZWQgYnkgdGhlIENEUCAoQ2FyYm9uIERpc2Nsb3N1cmUgUHJvamVjdCkuIEZpcm0gdmFsdWUgaXMgbWVhc3VyZWQgYnkgVG9iaW4ncyBRLCB3aGlsZSBpbmR1c3RyeSB0eXBlcyBhcmUgYXNzZXNzZWQgYmFzZWQgb24gY29tcGFueSBjbGFzc2lmaWNhdGlvbnMgbmFtZWx5IGhpZ2ggcHJvZmlsZSBpbmR1c3RyeSBhbmQgbG93IHByb2ZpbGUgaW5kdXN0cnkuIFRoaXMgc3R1ZHkgdXNlcyBtdWx0aXBsZSBsaW5lYXIgcmVncmVzc2lvbiBhbmFseXNpcywgYW5kIHVzZXMgNDMgY29tcGFuaWVzIGxpc3RlZCBvbiB0aGUgSW5kb25lc2lhIFN0b2NrIEV4Y2hhbmdlIGFuZCBmb2xsb3dzIHRoZSAyMDE0LTIwMTggY29tcGFueSdzIHBlcmZvcm1hbmNlIHJhdGluZyBhc3Nlc3NtZW50IHByb2dyYW0gaW4gZW52aXJvbm1lbnRhbCBtYW5hZ2VtZW50IChQUk9QRVIpLiBUaGUgZmlyc3QgYW5hbHlzaXMgc2hvd3MgdGhhdCBjYXJib24gZW1pc3Npb25zIGRpc2Nsb3N1cmUgaGFzIGEgcG9zaXRpdmUgYW5kIHNpZ25pZmljYW50IGVmZmVjdCBvbiBmaXJtIHZhbHVlLiBUaGlzIGlzIGJlY2F1c2UgY2FyYm9uIGVtaXNzaW9ucyBkaXNjbG9zdXJlIGlzIGEgZm9ybSBvZiBjb3Jwb3JhdGUgcmVzcG9uc2liaWxpdHkgaW4gcmVkdWNpbmcgdGhlIGltcGFjdCBvZiBlbnZpcm9ubWVudGFsIGRhbWFnZSBmcm9tIGNvbXBhbnkgYWN0aXZpdGllcywgc28gdGhpcyBjYW4gYmUgYW4gYXR0cmFjdGlvbiBmb3IgaW52ZXN0b3JzLiBUaGUgc2Vjb25kIHJlc2VhcmNoIHJlc3VsdCBzaG93cyB0aGF0IHRoZSB0eXBlIG9mIGluZHVzdHJ5IGNhbiBpbmNyZWFzZSB0aGUgZWZmZWN0IG9mIGNhcmJvbiBlbWlzc2lvbnMgZGlzY2xvc3VyZSBvbiBmaXJtIHZhbHVlLiBUaGlzIGlzIGJlY2F1c2UgY29tcGFuaWVzIGluIHRoZSBoaWdoIHByb2ZpbGUgaW5kdXN0cnkgY2F0ZWdvcnkgdGhhdCBoYXZlIGEgaGlnaCBsZXZlbCBvZiBzZW5zaXRpdml0eSB0byB0aGUgZW52aXJvbm1lbnQgYXJlIHVuZGVyIHByZXNzdXJlIGZyb20gdGhlIHB1YmxpYywgc28gdGhlIGNvbXBhbnkgcmVzcG9uZHMgYnkgY29uZHVjdGluZyBjYXJib24gZW1pc3Npb25zIGRpc2Nsb3N1cmUgc28gdGhhdCBpdCBjYW4gYmUgYSBndWFyYW50ZWUgb2YgdGhlIGNvbXBhbnkncyBzdXN0YWluYWJpbGl0eS4iLCJ2b2x1bWUiOiI5IiwiY29udGFpbmVyLXRpdGxlLXNob3J0IjoiIn0sImlzVGVtcG9yYXJ5IjpmYWxzZSwic3VwcHJlc3MtYXV0aG9yIjpmYWxzZSwiY29tcG9zaXRlIjpmYWxzZSwiYXV0aG9yLW9ubHkiOmZhbHNlfV19&quot;,&quot;citationItems&quot;:[{&quot;id&quot;:&quot;ebc43765-49c1-35ca-8cdf-fec91ceb3e55&quot;,&quot;itemData&quot;:{&quot;type&quot;:&quot;article-journal&quot;,&quot;id&quot;:&quot;ebc43765-49c1-35ca-8cdf-fec91ceb3e55&quot;,&quot;title&quot;:&quot;Analysis Of Carbon Emissions Disclosure And Firm Value: Type Of Industry As A Moderating Model&quot;,&quot;author&quot;:[{&quot;family&quot;:&quot;Hardiyansah&quot;,&quot;given&quot;:&quot;Mohammad&quot;,&quot;parse-names&quot;:false,&quot;dropping-particle&quot;:&quot;&quot;,&quot;non-dropping-particle&quot;:&quot;&quot;},{&quot;family&quot;:&quot;Agustini&quot;,&quot;given&quot;:&quot;Aisa Tri&quot;,&quot;parse-names&quot;:false,&quot;dropping-particle&quot;:&quot;&quot;,&quot;non-dropping-particle&quot;:&quot;&quot;}],&quot;container-title&quot;:&quot;INTERNATIONAL JOURNAL OF SCIENTIFIC &amp; TECHNOLOGY RESEARCH&quot;,&quot;ISSN&quot;:&quot;2277-8616&quot;,&quot;URL&quot;:&quot;www.ijstr.org&quot;,&quot;issued&quot;:{&quot;date-parts&quot;:[[2020]]},&quot;page&quot;:&quot;2&quot;,&quot;abstract&quot;:&quot;The aims of this study is to analyze the effect of carbon emissions disclosure on firm value and industry type as moderating variables. Carbon emissions disclosure is measured using the content analysis method adopted from a questionnaire issued by the CDP (Carbon Disclosure Project). Firm value is measured by Tobin's Q, while industry types are assessed based on company classifications namely high profile industry and low profile industry. This study uses multiple linear regression analysis, and uses 43 companies listed on the Indonesia Stock Exchange and follows the 2014-2018 company's performance rating assessment program in environmental management (PROPER). The first analysis shows that carbon emissions disclosure has a positive and significant effect on firm value. This is because carbon emissions disclosure is a form of corporate responsibility in reducing the impact of environmental damage from company activities, so this can be an attraction for investors. The second research result shows that the type of industry can increase the effect of carbon emissions disclosure on firm value. This is because companies in the high profile industry category that have a high level of sensitivity to the environment are under pressure from the public, so the company responds by conducting carbon emissions disclosure so that it can be a guarantee of the company's sustainability.&quot;,&quot;volume&quot;:&quot;9&quot;,&quot;container-title-short&quot;:&quot;&quot;},&quot;isTemporary&quot;:false,&quot;suppress-author&quot;:false,&quot;composite&quot;:false,&quot;author-only&quot;:false}]},{&quot;citationID&quot;:&quot;MENDELEY_CITATION_240d9697-ecc2-410a-84b2-74893fcb7eff&quot;,&quot;properties&quot;:{&quot;noteIndex&quot;:0},&quot;isEdited&quot;:false,&quot;manualOverride&quot;:{&quot;isManuallyOverridden&quot;:false,&quot;citeprocText&quot;:&quot;(Mirza Aulia et al., 2024)&quot;,&quot;manualOverrideText&quot;:&quot;&quot;},&quot;citationTag&quot;:&quot;MENDELEY_CITATION_v3_eyJjaXRhdGlvbklEIjoiTUVOREVMRVlfQ0lUQVRJT05fMjQwZDk2OTctZWNjMi00MTBhLTg0YjItNzQ4OTNmY2I3ZWZmIiwicHJvcGVydGllcyI6eyJub3RlSW5kZXgiOjB9LCJpc0VkaXRlZCI6ZmFsc2UsIm1hbnVhbE92ZXJyaWRlIjp7ImlzTWFudWFsbHlPdmVycmlkZGVuIjpmYWxzZSwiY2l0ZXByb2NUZXh0IjoiKE1pcnphIEF1bGlhIGV0IGFsLiwgMjAyNCkiLCJtYW51YWxPdmVycmlkZVRleHQiOiIifSwiY2l0YXRpb25JdGVtcyI6W3siaWQiOiI0ZGEyZmExNy1mZjAxLTNiMTAtOTljNi0wMDE5NGY1NzUzNzciLCJpdGVtRGF0YSI6eyJ0eXBlIjoicmVwb3J0IiwiaWQiOiI0ZGEyZmExNy1mZjAxLTNiMTAtOTljNi0wMDE5NGY1NzUzNzciLCJ0aXRsZSI6IlRoZSBJbXBhY3Qgb2YgQ2FyYm9uIEVtaXNzaW9uIERpc2Nsb3N1cmUgb24gRmlybSBWYWx1ZSIsImF1dGhvciI6W3siZmFtaWx5IjoiTWlyemEgQXVsaWEiLCJnaXZlbiI6IkFydGkiLCJwYXJzZS1uYW1lcyI6ZmFsc2UsImRyb3BwaW5nLXBhcnRpY2xlIjoiIiwibm9uLWRyb3BwaW5nLXBhcnRpY2xlIjoiIn0seyJmYW1pbHkiOiJOb2VyIiwiZ2l2ZW4iOiJVaHRpIiwicGFyc2UtbmFtZXMiOmZhbHNlLCJkcm9wcGluZy1wYXJ0aWNsZSI6IiIsIm5vbi1kcm9wcGluZy1wYXJ0aWNsZSI6IiJ9LHsiZmFtaWx5IjoiU2FmaXRyaSIsImdpdmVuIjoiQ2hvbGl6YSIsInBhcnNlLW5hbWVzIjpmYWxzZSwiZHJvcHBpbmctcGFydGljbGUiOiIiLCJub24tZHJvcHBpbmctcGFydGljbGUiOiIifV0sImNvbnRhaW5lci10aXRsZSI6IkpvdXJuYWwgb2YgRW52aXJvbm1lbnRhbCBFY29ub21pY3MgYW5kIFN1c3RhaW5hYmlsaXR5IiwiVVJMIjoiaHR0cHM6Ly9lY29ub21pY3MucHVibWVkaWEuaWQvaW5kZXgucGhwL2plZXMiLCJpc3N1ZWQiOnsiZGF0ZS1wYXJ0cyI6W1syMDI0XV19LCJhYnN0cmFjdCI6IlRoaXMgc3R1ZHkgaWxsdXN0cmF0ZXMgdGhlIGltcG9ydGFuY2Ugb2YgY29ycG9yYXRlIGRpc2Nsb3N1cmUgb2YgY2FyYm9uIGVtaXNzaW9ucyBhcyBhIHN0cmF0ZWd5IHRvIGluY3JlYXNlIGZpcm0gdmFsdWUgaW4gYSBnbG9iYWwgY29udGV4dCB0aGF0IGlzIGluY3JlYXNpbmdseSBjb25jZXJuZWQgd2l0aCBzdXN0YWluYWJpbGl0eS4gVGhyb3VnaCBhIG1ldGEtYW5hbHlzaXMgb2YgZml2ZSBpbnRlcm5hdGlvbmFsIGpvdXJuYWxzLCBmaW5kaW5ncyBzaG93IHRoYXQgY2FyYm9uIGVtaXNzaW9ucyBkaXNjbG9zdXJlIGlzIHBvc2l0aXZlbHkgY29ycmVsYXRlZCB3aXRoIGluY3JlYXNlZCBmaXJtIHZhbHVlIGluIHNldmVyYWwgQXNpYW4gY291bnRyaWVzIHN1Y2ggYXMgS29yZWEgYW5kIFRhaXdhbiwgd2hlcmUgdGhpcyB0cmFuc3BhcmVuY3kgaXMgc3VwcG9ydGVkIGJ5IHN0cmljdCBnb3Zlcm5tZW50IG92ZXJzaWdodCBhbmQgbWVkaWEgYXR0ZW50aW9uIHRvIGVudmlyb25tZW50YWwgcG9saWNpZXMuIEhvd2V2ZXIsIGNoYWxsZW5nZXMgYXJpc2UgaW4gQ2hpbmEsIHdoZXJlIGEgbGFjayBvZiByZXNwb25zaXZlbmVzcyB0byBlY29ub21pYyB0cmFuc2Zvcm1hdGlvbiBhbmQgaW5hZGVxdWF0ZSBkaXNjbG9zdXJlIHByYWN0aWNlcyBjYW4gbmVnYXRpdmVseSBpbXBhY3QgZmlybSB2YWx1ZSBieSBoaW5kZXJpbmcgYWNjZXNzIHRvIGZ1bmRpbmcgYW5kIGZpcm1zJyByaXNrIG1hbmFnZW1lbnQgY2FwYWJpbGl0aWVzLiBUaGUgaW1wbGVtZW50YXRpb24gb2YgaW50ZXJuYXRpb25hbCBzdGFuZGFyZHMgc3VjaCBhcyBJU08gMTQwNjQgaW4gY2FyYm9uIGVtaXNzaW9ucyBtYW5hZ2VtZW50IHdhcyBhbHNvIGVtcGhhc2l6ZWQgYXMga2V5IHRvIGltcHJvdmluZyB0cmFuc3BhcmVuY3ksIGNvcnBvcmF0ZSByZXB1dGF0aW9uIGluIHRlcm1zIG9mIHN1c3RhaW5hYmlsaXR5LCBhbmQgYXR0cmFjdGl2ZW5lc3MgdG8gaW52ZXN0b3JzIHdobyBhcmUgaW5jcmVhc2luZ2x5IHByaW9yaXRpemluZyBzdXN0YWluYWJsZSBidXNpbmVzcyBwcmFjdGljZXMuIiwiaXNzdWUiOiIzIiwidm9sdW1lIjoiMSIsImNvbnRhaW5lci10aXRsZS1zaG9ydCI6IiJ9LCJpc1RlbXBvcmFyeSI6ZmFsc2UsInN1cHByZXNzLWF1dGhvciI6ZmFsc2UsImNvbXBvc2l0ZSI6ZmFsc2UsImF1dGhvci1vbmx5IjpmYWxzZX1dfQ==&quot;,&quot;citationItems&quot;:[{&quot;id&quot;:&quot;4da2fa17-ff01-3b10-99c6-00194f575377&quot;,&quot;itemData&quot;:{&quot;type&quot;:&quot;report&quot;,&quot;id&quot;:&quot;4da2fa17-ff01-3b10-99c6-00194f575377&quot;,&quot;title&quot;:&quot;The Impact of Carbon Emission Disclosure on Firm Value&quot;,&quot;author&quot;:[{&quot;family&quot;:&quot;Mirza Aulia&quot;,&quot;given&quot;:&quot;Arti&quot;,&quot;parse-names&quot;:false,&quot;dropping-particle&quot;:&quot;&quot;,&quot;non-dropping-particle&quot;:&quot;&quot;},{&quot;family&quot;:&quot;Noer&quot;,&quot;given&quot;:&quot;Uhti&quot;,&quot;parse-names&quot;:false,&quot;dropping-particle&quot;:&quot;&quot;,&quot;non-dropping-particle&quot;:&quot;&quot;},{&quot;family&quot;:&quot;Safitri&quot;,&quot;given&quot;:&quot;Choliza&quot;,&quot;parse-names&quot;:false,&quot;dropping-particle&quot;:&quot;&quot;,&quot;non-dropping-particle&quot;:&quot;&quot;}],&quot;container-title&quot;:&quot;Journal of Environmental Economics and Sustainability&quot;,&quot;URL&quot;:&quot;https://economics.pubmedia.id/index.php/jees&quot;,&quot;issued&quot;:{&quot;date-parts&quot;:[[2024]]},&quot;abstract&quot;:&quot;This study illustrates the importance of corporate disclosure of carbon emissions as a strategy to increase firm value in a global context that is increasingly concerned with sustainability. Through a meta-analysis of five international journals, findings show that carbon emissions disclosure is positively correlated with increased firm value in several Asian countries such as Korea and Taiwan, where this transparency is supported by strict government oversight and media attention to environmental policies. However, challenges arise in China, where a lack of responsiveness to economic transformation and inadequate disclosure practices can negatively impact firm value by hindering access to funding and firms' risk management capabilities. The implementation of international standards such as ISO 14064 in carbon emissions management was also emphasized as key to improving transparency, corporate reputation in terms of sustainability, and attractiveness to investors who are increasingly prioritizing sustainable business practices.&quot;,&quot;issue&quot;:&quot;3&quot;,&quot;volume&quot;:&quot;1&quot;,&quot;container-title-short&quot;:&quot;&quot;},&quot;isTemporary&quot;:false,&quot;suppress-author&quot;:false,&quot;composite&quot;:false,&quot;author-only&quot;:false}]},{&quot;citationID&quot;:&quot;MENDELEY_CITATION_92b53fda-91f2-4e01-9711-cd6067b7d4ee&quot;,&quot;properties&quot;:{&quot;noteIndex&quot;:0},&quot;isEdited&quot;:false,&quot;manualOverride&quot;:{&quot;isManuallyOverridden&quot;:false,&quot;citeprocText&quot;:&quot;(Zhou &amp;#38; Fan, 2023)&quot;,&quot;manualOverrideText&quot;:&quot;&quot;},&quot;citationTag&quot;:&quot;MENDELEY_CITATION_v3_eyJjaXRhdGlvbklEIjoiTUVOREVMRVlfQ0lUQVRJT05fOTJiNTNmZGEtOTFmMi00ZTAxLTk3MTEtY2Q2MDY3YjdkNGVlIiwicHJvcGVydGllcyI6eyJub3RlSW5kZXgiOjB9LCJpc0VkaXRlZCI6ZmFsc2UsIm1hbnVhbE92ZXJyaWRlIjp7ImlzTWFudWFsbHlPdmVycmlkZGVuIjpmYWxzZSwiY2l0ZXByb2NUZXh0IjoiKFpob3UgJiMzODsgRmFuLCAyMDIzKSIsIm1hbnVhbE92ZXJyaWRlVGV4dCI6IiJ9LCJjaXRhdGlvbkl0ZW1zIjpbeyJpZCI6IjhhYjY0YTAzLTU1ZDUtM2UyNS04OWMxLTdlZjg4NTUwZjMzNyIsIml0ZW1EYXRhIjp7InR5cGUiOiJhcnRpY2xlLWpvdXJuYWwiLCJpZCI6IjhhYjY0YTAzLTU1ZDUtM2UyNS04OWMxLTdlZjg4NTUwZjMzNyIsInRpdGxlIjoiVGhlIEltcGFjdCBvZiBHcmVlbiBDYXBpdGFsIFN0cnVjdHVyZSBvbiBFbnRlcnByaXNlIERldmVsb3BtZW50IGFuZCB0aGUgUmVndWxhdGlvbiBvZiBUZWNobm9sb2dpY2FsIElubm92YXRpb24gdW5kZXIgQ2FyYm9uIFBlYWtpbmciLCJhdXRob3IiOlt7ImZhbWlseSI6Ilpob3UiLCJnaXZlbiI6Ik1hb2NodW4iLCJwYXJzZS1uYW1lcyI6ZmFsc2UsImRyb3BwaW5nLXBhcnRpY2xlIjoiIiwibm9uLWRyb3BwaW5nLXBhcnRpY2xlIjoiIn0seyJmYW1pbHkiOiJGYW4iLCJnaXZlbiI6IlJ1aSIsInBhcnNlLW5hbWVzIjpmYWxzZSwiZHJvcHBpbmctcGFydGljbGUiOiIiLCJub24tZHJvcHBpbmctcGFydGljbGUiOiIifV0sImNvbnRhaW5lci10aXRsZSI6IlN1c3RhaW5hYmlsaXR5IChTd2l0emVybGFuZCkiLCJET0kiOiIxMC4zMzkwL3N1MTUwNzU3NDMiLCJJU1NOIjoiMjA3MTEwNTAiLCJpc3N1ZWQiOnsiZGF0ZS1wYXJ0cyI6W1syMDIzLDQsMV1dfSwiYWJzdHJhY3QiOiJUaGUgaW50cm9kdWN0aW9uIG9mIHRoZSDigJxkb3VibGUgY2FyYm9u4oCdIHRhcmdldCBoYXMgcGxhY2VkIGhpZ2hlciBhbmQgbmV3ZXIgZGVtYW5kcyBvbiBDaGluYeKAmXMgZWNvbm9taWMgZGV2ZWxvcG1lbnQsIHdoaWNoIG11c3QgcmVseSBvbiBpbnZlc3RtZW50IGluIGdyZWVuIGNhcGl0YWwuIEluIHRvZGF54oCZcyBrbm93bGVkZ2UtYmFzZWQgZWNvbm9teSwgb25lIG9mIHRoZSBtb3N0IGltcG9ydGFudCBmYWN0b3JzIGluZmx1ZW5jaW5nIHRoZSBncm93dGggb2YgZW50ZXJwcmlzZXMgaXMgdGVjaG5vbG9naWNhbCBpbm5vdmF0aW9uLiBCYXNlZCBvbiB0aGUgZGF0YSBvZiBBLXNoYXJlIGxpc3RlZCBjb21wYW5pZXMgaW4gQ2hpbmEgZnJvbSAyMDE2IHRvIDIwMjAsIHRoaXMgcGFwZXIgZW1waXJpY2FsbHkgdGVzdHMgd2hldGhlciB0aGUgZ3JlZW4gY2FwaXRhbCBzdHJ1Y3R1cmUgb2YgZW50ZXJwcmlzZXMgY2FuIHByb21vdGUgdGhlIGRldmVsb3BtZW50IG9mIGVudGVycHJpc2VzIHRocm91Z2ggcmVncmVzc2lvbiBhbmFseXNpcy4gVGhlIHN0dWR5IHNob3dzIHRoYXQgZ3JlZW4gY2FwaXRhbCBzdHJ1Y3R1cmUgaGFzIGEgc2lnbmlmaWNhbnQgcHJvbW90aW9uIGVmZmVjdCBvbiBlbnRlcnByaXNlIGRldmVsb3BtZW50OyB0ZWNobm9sb2dpY2FsIGlubm92YXRpb24gd2lsbCB3ZWFrZW4gdGhlIHByb21vdGlvbiBlZmZlY3Qgb2YgZ3JlZW4gY2FwaXRhbCBzdHJ1Y3R1cmUgb24gZW50ZXJwcmlzZSBkZXZlbG9wbWVudCB0byBhIGNlcnRhaW4gZXh0ZW50LiBUaGUgcGFwZXIgZnVydGhlciBzaG93cyB0aGF0IHRoZSBoaWdoZXIgdGhlIGNhc2ggZmxvdyBmcm9tIG9wZXJhdGluZyBhY3Rpdml0aWVzLCB0aGUgaGlnaGVyIHRoZSBjb25jZW50cmF0aW9uIG9mIGVxdWl0eSBhbmQgdGhlIG5vbi1zdGF0ZS1vd25lZCBlbnRlcnByaXNlcywgdGhlIG1vcmUgY29uZHVjaXZlIHRoZSBncmVlbiBjYXBpdGFsIHN0cnVjdHVyZSBpcyB0byBlbnRlcnByaXNlIGRldmVsb3BtZW50LiBGaW5hbGx5LCB0aGUgYXJ0aWNsZeKAmXMgZmluZGluZ3MgYXJlIHN1cHBvcnRlZCBieSByb2J1c3RuZXNzIHRlc3RzLiBJdCBpcyBjb25kdWNpdmUgdG8gcHJvbW90aW5nIHRoZSBkZXZlbG9wbWVudCBvZiBhIGdyZWVuIGVjb25vbXkgYW5kIGZhY2lsaXRhdGluZyB0aGUgdHJhbnNmb3JtYXRpb24gYW5kIHVwZ3JhZGluZyBvZiBDaGluYeKAmXMgZWNvbm9teSB3aGlsZSBwcm90ZWN0aW5nIHRoZSBlbnZpcm9ubWVudC4iLCJwdWJsaXNoZXIiOiJNRFBJIiwiaXNzdWUiOiI3Iiwidm9sdW1lIjoiMTUiLCJjb250YWluZXItdGl0bGUtc2hvcnQiOiIifSwiaXNUZW1wb3JhcnkiOmZhbHNlLCJzdXBwcmVzcy1hdXRob3IiOmZhbHNlLCJjb21wb3NpdGUiOmZhbHNlLCJhdXRob3Itb25seSI6ZmFsc2V9XX0=&quot;,&quot;citationItems&quot;:[{&quot;id&quot;:&quot;8ab64a03-55d5-3e25-89c1-7ef88550f337&quot;,&quot;itemData&quot;:{&quot;type&quot;:&quot;article-journal&quot;,&quot;id&quot;:&quot;8ab64a03-55d5-3e25-89c1-7ef88550f337&quot;,&quot;title&quot;:&quot;The Impact of Green Capital Structure on Enterprise Development and the Regulation of Technological Innovation under Carbon Peaking&quot;,&quot;author&quot;:[{&quot;family&quot;:&quot;Zhou&quot;,&quot;given&quot;:&quot;Maochun&quot;,&quot;parse-names&quot;:false,&quot;dropping-particle&quot;:&quot;&quot;,&quot;non-dropping-particle&quot;:&quot;&quot;},{&quot;family&quot;:&quot;Fan&quot;,&quot;given&quot;:&quot;Rui&quot;,&quot;parse-names&quot;:false,&quot;dropping-particle&quot;:&quot;&quot;,&quot;non-dropping-particle&quot;:&quot;&quot;}],&quot;container-title&quot;:&quot;Sustainability (Switzerland)&quot;,&quot;DOI&quot;:&quot;10.3390/su15075743&quot;,&quot;ISSN&quot;:&quot;20711050&quot;,&quot;issued&quot;:{&quot;date-parts&quot;:[[2023,4,1]]},&quot;abstract&quot;:&quot;The introduction of the “double carbon” target has placed higher and newer demands on China’s economic development, which must rely on investment in green capital. In today’s knowledge-based economy, one of the most important factors influencing the growth of enterprises is technological innovation. Based on the data of A-share listed companies in China from 2016 to 2020, this paper empirically tests whether the green capital structure of enterprises can promote the development of enterprises through regression analysis. The study shows that green capital structure has a significant promotion effect on enterprise development; technological innovation will weaken the promotion effect of green capital structure on enterprise development to a certain extent. The paper further shows that the higher the cash flow from operating activities, the higher the concentration of equity and the non-state-owned enterprises, the more conducive the green capital structure is to enterprise development. Finally, the article’s findings are supported by robustness tests. It is conducive to promoting the development of a green economy and facilitating the transformation and upgrading of China’s economy while protecting the environment.&quot;,&quot;publisher&quot;:&quot;MDPI&quot;,&quot;issue&quot;:&quot;7&quot;,&quot;volume&quot;:&quot;15&quot;,&quot;container-title-short&quot;:&quot;&quot;},&quot;isTemporary&quot;:false,&quot;suppress-author&quot;:false,&quot;composite&quot;:false,&quot;author-only&quot;:false}]},{&quot;citationID&quot;:&quot;MENDELEY_CITATION_a4948334-24a2-4b46-93fb-c73510d962b8&quot;,&quot;properties&quot;:{&quot;noteIndex&quot;:0},&quot;isEdited&quot;:false,&quot;manualOverride&quot;:{&quot;isManuallyOverridden&quot;:false,&quot;citeprocText&quot;:&quot;(Tang &amp;#38; Zhang, 2020)&quot;,&quot;manualOverrideText&quot;:&quot;&quot;},&quot;citationTag&quot;:&quot;MENDELEY_CITATION_v3_eyJjaXRhdGlvbklEIjoiTUVOREVMRVlfQ0lUQVRJT05fYTQ5NDgzMzQtMjRhMi00YjQ2LTkzZmItYzczNTEwZDk2MmI4IiwicHJvcGVydGllcyI6eyJub3RlSW5kZXgiOjB9LCJpc0VkaXRlZCI6ZmFsc2UsIm1hbnVhbE92ZXJyaWRlIjp7ImlzTWFudWFsbHlPdmVycmlkZGVuIjpmYWxzZSwiY2l0ZXByb2NUZXh0IjoiKFRhbmcgJiMzODsgWmhhbmcsIDIwMjApIiwibWFudWFsT3ZlcnJpZGVUZXh0IjoiIn0sImNpdGF0aW9uSXRlbXMiOlt7ImlkIjoiZTAyM2MwNWItODZiMC0zYzlhLThmZjItYWQ5MzY4ZDQ2YjczIiwiaXRlbURhdGEiOnsidHlwZSI6ImFydGljbGUtam91cm5hbCIsImlkIjoiZTAyM2MwNWItODZiMC0zYzlhLThmZjItYWQ5MzY4ZDQ2YjczIiwidGl0bGUiOiJEbyBzaGFyZWhvbGRlcnMgYmVuZWZpdCBmcm9tIGdyZWVuIGJvbmRzPyIsImF1dGhvciI6W3siZmFtaWx5IjoiVGFuZyIsImdpdmVuIjoiRHJhZ29uIFlvbmdqdW4iLCJwYXJzZS1uYW1lcyI6ZmFsc2UsImRyb3BwaW5nLXBhcnRpY2xlIjoiIiwibm9uLWRyb3BwaW5nLXBhcnRpY2xlIjoiIn0seyJmYW1pbHkiOiJaaGFuZyIsImdpdmVuIjoiWXVwdSIsInBhcnNlLW5hbWVzIjpmYWxzZSwiZHJvcHBpbmctcGFydGljbGUiOiIiLCJub24tZHJvcHBpbmctcGFydGljbGUiOiIifV0sImNvbnRhaW5lci10aXRsZSI6IkpvdXJuYWwgb2YgQ29ycG9yYXRlIEZpbmFuY2UiLCJET0kiOiIxMC4xMDE2L2ouamNvcnBmaW4uMjAxOC4xMi4wMDEiLCJJU1NOIjoiMDkyOTExOTkiLCJpc3N1ZWQiOnsiZGF0ZS1wYXJ0cyI6W1syMDIwLDQsMV1dfSwiYWJzdHJhY3QiOiJUaGUgZ3JlZW4gYm9uZCBtYXJrZXQgaGFzIGJlZW4gZ3Jvd2luZyByYXBpZGx5IHdvcmxkd2lkZSBzaW5jZSBpdHMgZGVidXQgaW4gMjAwNy4gV2UgcHJlc2VudCB0aGUgZmlyc3QgZW1waXJpY2FsIHN0dWR5IG9uIHRoZSBhbm5vdW5jZW1lbnQgcmV0dXJucyBhbmQgcmVhbCBlZmZlY3RzIG9mIGdyZWVuIGJvbmQgaXNzdWFuY2UgYnkgZmlybXMgaW4gMjggY291bnRyaWVzIGR1cmluZyAyMDA34oCTMjAxNy4gQWZ0ZXIgY29tcGlsaW5nIGEgY29tcHJlaGVuc2l2ZSBpbnRlcm5hdGlvbmFsIGdyZWVuIGJvbmQgZGF0YXNldCwgd2UgZG9jdW1lbnQgdGhhdCBzdG9jayBwcmljZXMgcG9zaXRpdmVseSByZXNwb25kIHRvIGdyZWVuIGJvbmQgaXNzdWFuY2UuIEhvd2V2ZXIsIHdlIGRvIG5vdCBmaW5kIGEgY29uc2lzdGVudGx5IHNpZ25pZmljYW50IHByZW1pdW0gZm9yIGdyZWVuIGJvbmRzLCBzdWdnZXN0aW5nIHRoYXQgdGhlIHBvc2l0aXZlIHN0b2NrIHJldHVybnMgYXJvdW5kIGdyZWVuIGJvbmQgYW5ub3VuY2VtZW50cyBhcmUgbm90IGZ1bGx5IGRyaXZlbiBieSB0aGUgbG93ZXIgY29zdCBvZiBkZWJ0LiBOZXZlcnRoZWxlc3MsIHdlIHNob3cgdGhhdCBpbnN0aXR1dGlvbmFsIG93bmVyc2hpcCwgZXNwZWNpYWxseSBmcm9tIGRvbWVzdGljIGluc3RpdHV0aW9ucywgaW5jcmVhc2VzIGFmdGVyIHRoZSBmaXJtIGlzc3VlcyBncmVlbiBib25kcy4gTW9yZW92ZXIsIHN0b2NrIGxpcXVpZGl0eSBzaWduaWZpY2FudGx5IGltcHJvdmVzIHVwb24gdGhlIGlzc3VhbmNlIG9mIGdyZWVuIGJvbmRzLiBPdmVyYWxsLCBvdXIgZmluZGluZ3Mgc3VnZ2VzdCB0aGF0IHRoZSBmaXJtJ3MgaXNzdWFuY2Ugb2YgZ3JlZW4gYm9uZHMgaXMgYmVuZWZpY2lhbCB0byBpdHMgZXhpc3Rpbmcgc2hhcmVob2xkZXJzLiIsInB1Ymxpc2hlciI6IkVsc2V2aWVyIEIuVi4iLCJ2b2x1bWUiOiI2MSIsImNvbnRhaW5lci10aXRsZS1zaG9ydCI6IiJ9LCJpc1RlbXBvcmFyeSI6ZmFsc2UsInN1cHByZXNzLWF1dGhvciI6ZmFsc2UsImNvbXBvc2l0ZSI6ZmFsc2UsImF1dGhvci1vbmx5IjpmYWxzZX1dfQ==&quot;,&quot;citationItems&quot;:[{&quot;id&quot;:&quot;e023c05b-86b0-3c9a-8ff2-ad9368d46b73&quot;,&quot;itemData&quot;:{&quot;type&quot;:&quot;article-journal&quot;,&quot;id&quot;:&quot;e023c05b-86b0-3c9a-8ff2-ad9368d46b73&quot;,&quot;title&quot;:&quot;Do shareholders benefit from green bonds?&quot;,&quot;author&quot;:[{&quot;family&quot;:&quot;Tang&quot;,&quot;given&quot;:&quot;Dragon Yongjun&quot;,&quot;parse-names&quot;:false,&quot;dropping-particle&quot;:&quot;&quot;,&quot;non-dropping-particle&quot;:&quot;&quot;},{&quot;family&quot;:&quot;Zhang&quot;,&quot;given&quot;:&quot;Yupu&quot;,&quot;parse-names&quot;:false,&quot;dropping-particle&quot;:&quot;&quot;,&quot;non-dropping-particle&quot;:&quot;&quot;}],&quot;container-title&quot;:&quot;Journal of Corporate Finance&quot;,&quot;DOI&quot;:&quot;10.1016/j.jcorpfin.2018.12.001&quot;,&quot;ISSN&quot;:&quot;09291199&quot;,&quot;issued&quot;:{&quot;date-parts&quot;:[[2020,4,1]]},&quot;abstract&quot;:&quot;The green bond market has been growing rapidly worldwide since its debut in 2007. We present the first empirical study on the announcement returns and real effects of green bond issuance by firms in 28 countries during 2007–2017. After compiling a comprehensive international green bond dataset, we document that stock prices positively respond to green bond issuance. However, we do not find a consistently significant premium for green bonds, suggesting that the positive stock returns around green bond announcements are not fully driven by the lower cost of debt. Nevertheless, we show that institutional ownership, especially from domestic institutions, increases after the firm issues green bonds. Moreover, stock liquidity significantly improves upon the issuance of green bonds. Overall, our findings suggest that the firm's issuance of green bonds is beneficial to its existing shareholders.&quot;,&quot;publisher&quot;:&quot;Elsevier B.V.&quot;,&quot;volume&quot;:&quot;61&quot;,&quot;container-title-short&quot;:&quot;&quot;},&quot;isTemporary&quot;:false,&quot;suppress-author&quot;:false,&quot;composite&quot;:false,&quot;author-only&quot;:false}]},{&quot;citationID&quot;:&quot;MENDELEY_CITATION_5f8783ae-382d-4f43-83e0-c638c96c1f18&quot;,&quot;properties&quot;:{&quot;noteIndex&quot;:0},&quot;isEdited&quot;:false,&quot;manualOverride&quot;:{&quot;isManuallyOverridden&quot;:false,&quot;citeprocText&quot;:&quot;(Martínez-Falcó et al., 2025)&quot;,&quot;manualOverrideText&quot;:&quot;&quot;},&quot;citationTag&quot;:&quot;MENDELEY_CITATION_v3_eyJjaXRhdGlvbklEIjoiTUVOREVMRVlfQ0lUQVRJT05fNWY4NzgzYWUtMzgyZC00ZjQzLTgzZTAtYzYzOGM5NmMxZjE4IiwicHJvcGVydGllcyI6eyJub3RlSW5kZXgiOjB9LCJpc0VkaXRlZCI6ZmFsc2UsIm1hbnVhbE92ZXJyaWRlIjp7ImlzTWFudWFsbHlPdmVycmlkZGVuIjpmYWxzZSwiY2l0ZXByb2NUZXh0IjoiKE1hcnTDrW5lei1GYWxjw7MgZXQgYWwuLCAyMDI1KSIsIm1hbnVhbE92ZXJyaWRlVGV4dCI6IiJ9LCJjaXRhdGlvbkl0ZW1zIjpbeyJpZCI6ImFlZDJhMzMwLWM2ZWUtMzU3Ny1hODJmLWExNWVjZWI1ODhlZiIsIml0ZW1EYXRhIjp7InR5cGUiOiJhcnRpY2xlLWpvdXJuYWwiLCJpZCI6ImFlZDJhMzMwLWM2ZWUtMzU3Ny1hODJmLWExNWVjZWI1ODhlZiIsInRpdGxlIjoiVGhlIEluZmx1ZW5jZSBvZiBHcmVlbiBJbnRlbGxlY3R1YWwgQ2FwaXRhbCBvbiBDb21wZXRpdGl2ZSBBZHZhbnRhZ2U6IEEgTWVkaWF0aW9uIEFuYWx5c2lzIGluIFNwYW5pc2ggV2luZXJpZXMiLCJhdXRob3IiOlt7ImZhbWlseSI6Ik1hcnTDrW5lei1GYWxjw7MiLCJnaXZlbiI6IkphdmllciIsInBhcnNlLW5hbWVzIjpmYWxzZSwiZHJvcHBpbmctcGFydGljbGUiOiIiLCJub24tZHJvcHBpbmctcGFydGljbGUiOiIifSx7ImZhbWlseSI6IlPDoW5jaGV6LUdhcmPDrWEiLCJnaXZlbiI6IkVkdWFyZG8iLCJwYXJzZS1uYW1lcyI6ZmFsc2UsImRyb3BwaW5nLXBhcnRpY2xlIjoiIiwibm9uLWRyb3BwaW5nLXBhcnRpY2xlIjoiIn0seyJmYW1pbHkiOiJNYXJjby1MYWphcmEiLCJnaXZlbiI6IkJhcnRvbG9tw6kiLCJwYXJzZS1uYW1lcyI6ZmFsc2UsImRyb3BwaW5nLXBhcnRpY2xlIjoiIiwibm9uLWRyb3BwaW5nLXBhcnRpY2xlIjoiIn0seyJmYW1pbHkiOiJWaXNzZXIiLCJnaXZlbiI6Ikd1c3RhdiIsInBhcnNlLW5hbWVzIjpmYWxzZSwiZHJvcHBpbmctcGFydGljbGUiOiIiLCJub24tZHJvcHBpbmctcGFydGljbGUiOiIifV0sImNvbnRhaW5lci10aXRsZSI6IkpvdXJuYWwgb2YgdGhlIEtub3dsZWRnZSBFY29ub215IiwiRE9JIjoiMTAuMTAwNy9zMTMxMzItMDI1LTAyODExLTkiLCJJU1NOIjoiMTg2ODc4NzMiLCJpc3N1ZWQiOnsiZGF0ZS1wYXJ0cyI6W1syMDI1XV19LCJhYnN0cmFjdCI6IlRoaXMgc3R1ZHkgZXhwbG9yZXMgdGhlIGluZmx1ZW5jZSBvZiBncmVlbiBpbnRlbGxlY3R1YWwgY2FwaXRhbCAoR0lDKSBvbiB0aGUgY29tcGV0aXRpdmUgYWR2YW50YWdlIG9mIFNwYW5pc2ggd2luZXJpZXMsIGZvY3VzaW5nIG9uIHRoZSByb2xlIG9mIGdyZWVuaW5nIHN1cHBsaWVycyBhbmQgZ3JlZW4gYnJhbmQgaW1hZ2UgaW4gdGhlIEdJQy1jb21wZXRpdGl2ZSBhZHZhbnRhZ2UgcmVsYXRpb25zaGlwLiBUaGUgb2JqZWN0aXZlIGlzIHRvIHVuZGVyc3RhbmQgaG93IHRoZSBkZXZlbG9wbWVudCBvZiBlbnZpcm9ubWVudGFsIGtub3dsZWRnZSBhbmQgY2FwYWJpbGl0aWVzIHdpdGhpbiBvcmdhbml6YXRpb25zIGNhbiB0cmFuc2xhdGUgaW50byBpbXByb3ZlZCBjb21wZXRpdGl2ZW5lc3MgdGhyb3VnaCBjb25jcmV0ZSBtZWNoYW5pc21zIHJlbGF0ZWQgdG8gc3VwcGx5IGNoYWluIHByYWN0aWNlcyBhbmQgYnJhbmQgcGVyY2VwdGlvbi4gVGhlIGVtcGlyaWNhbCBhbmFseXNpcyBpcyBiYXNlZCBvbiBkYXRhIGNvbGxlY3RlZCBmcm9tIDE5NiBTcGFuaXNoIHdpbmVyaWVzIGFuZCBleGFtaW5lZCB1c2luZyBwYXJ0aWFsIGxlYXN0IHNxdWFyZXMgc3RydWN0dXJhbCBlcXVhdGlvbiBtb2RlbGluZyAoUExTLVNFTSkuIFRoaXMgdGVjaG5pcXVlIHdhcyBzZWxlY3RlZCBkdWUgdG8gaXRzIHN1aXRhYmlsaXR5IGZvciB0ZXN0aW5nIGNvbXBsZXggbW9kZWxzIHdpdGggbGF0ZW50IHZhcmlhYmxlcyBhbmQgbWVkaWF0aW5nIGVmZmVjdHMsIGFuZCBmb3IgaXRzIGNhcGFjaXR5IHRvIGhhbmRsZSBub24tbm9ybWFsIGRhdGEgZGlzdHJpYnV0aW9ucyB3aXRoIHJlbGF0aXZlbHkgc21hbGwgc2FtcGxlcy4gVGhlc2UgZmluZGluZ3MgaGF2ZSBwcmFjdGljYWwgaW1wbGljYXRpb25zLCBhcyB0aGV5IHVuZGVyc2NvcmUgdGhlIHN0cmF0ZWdpYyB2YWx1ZSBvZiBpbnZlc3RpbmcgaW4gZ3JlZW4ga25vd2xlZGdlIHRvIGZvc3RlciBjb2xsYWJvcmF0aW9uIHdpdGggZW52aXJvbm1lbnRhbGx5IHJlc3BvbnNpYmxlIHN1cHBsaWVycyBhbmQgZW5oYW5jZSBicmFuZCBwb3NpdGlvbmluZy4gVGhlIHJlc3VsdHMgY29uZmlybSBhIHBvc2l0aXZlIGFuZCBzaWduaWZpY2FudCByZWxhdGlvbnNoaXAgYmV0d2VlbiBHSUMgYW5kIGNvbXBldGl0aXZlIGFkdmFudGFnZS4gRnVydGhlcm1vcmUsIHRoZXkgcmV2ZWFsIHRoYXQgZ3JlZW5pbmcgc3VwcGxpZXJzIGFuZCBncmVlbiBicmFuZCBpbWFnZSBwYXJ0aWFsbHkgbWVkaWF0ZSB0aGlzIHJlbGF0aW9uc2hpcC4gVGhpcyByZXNlYXJjaCBtYWtlcyBhbiBvcmlnaW5hbCBjb250cmlidXRpb24gYnkgYWRkcmVzc2luZyB0d28gZ2FwcyBpbiB0aGUgbGl0ZXJhdHVyZTsgb24gdGhlIG9uZSBoYW5kLCBpdCBpcyB0aGUgZmlyc3QgZW1waXJpY2FsIHN0dWR5IHRvIGV4cGxvcmUgZ3JlZW5pbmcgc3VwcGxpZXJzIGFuZCBncmVlbiBicmFuZCBpbWFnZSBhcyBtZWRpYXRpbmcgdmFyaWFibGVzIGluIHRoZSBHSUMtY29tcGV0aXRpdmUgYWR2YW50YWdlIHJlbGF0aW9uc2hpcCBhbmQsIG9uIHRoZSBvdGhlciBoYW5kLCBpdCBhcHBsaWVzIHRoaXMgZnJhbWV3b3JrIHRvIHRoZSB3aW5lIGluZHVzdHJ5LCBhIHNlY3RvciB0aGF0IGhhcyByZWNlaXZlZCBsaXR0bGUgYXR0ZW50aW9uIGluIHRoaXMgZmllbGQgZGVzcGl0ZSBpdHMgZ3Jvd2luZyBleHBvc3VyZSB0byBlbnZpcm9ubWVudGFsIHByZXNzdXJlcyBhbmQgaXRzIHN0cmF0ZWdpYyByZWxldmFuY2UgZm9yIHRoZSBTcGFuaXNoIGVjb25vbXkuIiwicHVibGlzaGVyIjoiU3ByaW5nZXIiLCJjb250YWluZXItdGl0bGUtc2hvcnQiOiIifSwiaXNUZW1wb3JhcnkiOmZhbHNlLCJzdXBwcmVzcy1hdXRob3IiOmZhbHNlLCJjb21wb3NpdGUiOmZhbHNlLCJhdXRob3Itb25seSI6ZmFsc2V9XX0=&quot;,&quot;citationItems&quot;:[{&quot;id&quot;:&quot;aed2a330-c6ee-3577-a82f-a15eceb588ef&quot;,&quot;itemData&quot;:{&quot;type&quot;:&quot;article-journal&quot;,&quot;id&quot;:&quot;aed2a330-c6ee-3577-a82f-a15eceb588ef&quot;,&quot;title&quot;:&quot;The Influence of Green Intellectual Capital on Competitive Advantage: A Mediation Analysis in Spanish Wineries&quot;,&quot;author&quot;:[{&quot;family&quot;:&quot;Martínez-Falcó&quot;,&quot;given&quot;:&quot;Javier&quot;,&quot;parse-names&quot;:false,&quot;dropping-particle&quot;:&quot;&quot;,&quot;non-dropping-particle&quot;:&quot;&quot;},{&quot;family&quot;:&quot;Sánchez-García&quot;,&quot;given&quot;:&quot;Eduardo&quot;,&quot;parse-names&quot;:false,&quot;dropping-particle&quot;:&quot;&quot;,&quot;non-dropping-particle&quot;:&quot;&quot;},{&quot;family&quot;:&quot;Marco-Lajara&quot;,&quot;given&quot;:&quot;Bartolomé&quot;,&quot;parse-names&quot;:false,&quot;dropping-particle&quot;:&quot;&quot;,&quot;non-dropping-particle&quot;:&quot;&quot;},{&quot;family&quot;:&quot;Visser&quot;,&quot;given&quot;:&quot;Gustav&quot;,&quot;parse-names&quot;:false,&quot;dropping-particle&quot;:&quot;&quot;,&quot;non-dropping-particle&quot;:&quot;&quot;}],&quot;container-title&quot;:&quot;Journal of the Knowledge Economy&quot;,&quot;DOI&quot;:&quot;10.1007/s13132-025-02811-9&quot;,&quot;ISSN&quot;:&quot;18687873&quot;,&quot;issued&quot;:{&quot;date-parts&quot;:[[2025]]},&quot;abstract&quot;:&quot;This study explores the influence of green intellectual capital (GIC) on the competitive advantage of Spanish wineries, focusing on the role of greening suppliers and green brand image in the GIC-competitive advantage relationship. The objective is to understand how the development of environmental knowledge and capabilities within organizations can translate into improved competitiveness through concrete mechanisms related to supply chain practices and brand perception. The empirical analysis is based on data collected from 196 Spanish wineries and examined using partial least squares structural equation modeling (PLS-SEM). This technique was selected due to its suitability for testing complex models with latent variables and mediating effects, and for its capacity to handle non-normal data distributions with relatively small samples. These findings have practical implications, as they underscore the strategic value of investing in green knowledge to foster collaboration with environmentally responsible suppliers and enhance brand positioning. The results confirm a positive and significant relationship between GIC and competitive advantage. Furthermore, they reveal that greening suppliers and green brand image partially mediate this relationship. This research makes an original contribution by addressing two gaps in the literature; on the one hand, it is the first empirical study to explore greening suppliers and green brand image as mediating variables in the GIC-competitive advantage relationship and, on the other hand, it applies this framework to the wine industry, a sector that has received little attention in this field despite its growing exposure to environmental pressures and its strategic relevance for the Spanish economy.&quot;,&quot;publisher&quot;:&quot;Springer&quot;,&quot;container-title-short&quot;:&quot;&quot;},&quot;isTemporary&quot;:false,&quot;suppress-author&quot;:false,&quot;composite&quot;:false,&quot;author-only&quot;:false}]},{&quot;citationID&quot;:&quot;MENDELEY_CITATION_8bd5ab12-9f99-4e7b-89b4-64d1ed6d4573&quot;,&quot;properties&quot;:{&quot;noteIndex&quot;:0},&quot;isEdited&quot;:false,&quot;manualOverride&quot;:{&quot;isManuallyOverridden&quot;:false,&quot;citeprocText&quot;:&quot;(Hakki et al., 2024)&quot;,&quot;manualOverrideText&quot;:&quot;&quot;},&quot;citationTag&quot;:&quot;MENDELEY_CITATION_v3_eyJjaXRhdGlvbklEIjoiTUVOREVMRVlfQ0lUQVRJT05fOGJkNWFiMTItOWY5OS00ZTdiLTg5YjQtNjRkMWVkNmQ0NTczIiwicHJvcGVydGllcyI6eyJub3RlSW5kZXgiOjB9LCJpc0VkaXRlZCI6ZmFsc2UsIm1hbnVhbE92ZXJyaWRlIjp7ImlzTWFudWFsbHlPdmVycmlkZGVuIjpmYWxzZSwiY2l0ZXByb2NUZXh0IjoiKEhha2tpIGV0IGFsLiwgMjAyNCkiLCJtYW51YWxPdmVycmlkZVRleHQiOiIifSwiY2l0YXRpb25JdGVtcyI6W3siaWQiOiI0OTIyYzU3NC00YWQ3LTNjNTUtOWRiYi1jYmVkNDY3YzM3NmUiLCJpdGVtRGF0YSI6eyJ0eXBlIjoiYXJ0aWNsZS1qb3VybmFsIiwiaWQiOiI0OTIyYzU3NC00YWQ3LTNjNTUtOWRiYi1jYmVkNDY3YzM3NmUiLCJ0aXRsZSI6IlRoZSBFZmZlY3Qgb2YgQ2FyYm9uIE1hbmFnZW1lbnQgQWNjb3VudGluZywgQ29tcGV0aXRpdmUgQnVzaW5lc3MgU3RyYXRlZ2ljIGFuZCBDYXJib24gRW1pc3Npb24gRGlzY2xvc3VyZSBvbiBDb21wYW55IFBlcmZvcm1hbmNlIE1vZGVyYXRlZCBieSBHcmVlbiBJbnRlbGxlY3R1YWwgQ2FwaXRhbCIsImF1dGhvciI6W3siZmFtaWx5IjoiSGFra2kiLCJnaXZlbiI6IlRhbmRyeSBXaGl0dGxlbGlhbmciLCJwYXJzZS1uYW1lcyI6ZmFsc2UsImRyb3BwaW5nLXBhcnRpY2xlIjoiIiwibm9uLWRyb3BwaW5nLXBhcnRpY2xlIjoiIn0seyJmYW1pbHkiOiJBa3dpbGEiLCJnaXZlbiI6IkthcnZpY2hhIiwicGFyc2UtbmFtZXMiOmZhbHNlLCJkcm9wcGluZy1wYXJ0aWNsZSI6IiIsIm5vbi1kcm9wcGluZy1wYXJ0aWNsZSI6IiJ9LHsiZmFtaWx5IjoiSnVyamFudGEiLCJnaXZlbiI6IlByaWNjaWx5YSIsInBhcnNlLW5hbWVzIjpmYWxzZSwiZHJvcHBpbmctcGFydGljbGUiOiIiLCJub24tZHJvcHBpbmctcGFydGljbGUiOiIifV0sIkRPSSI6IjEwLjM4MDM1L2phZm0udjVpNSIsImlzc3VlZCI6eyJkYXRlLXBhcnRzIjpbWzIwMjRdXX0sImNvbnRhaW5lci10aXRsZS1zaG9ydCI6IiJ9LCJpc1RlbXBvcmFyeSI6ZmFsc2UsInN1cHByZXNzLWF1dGhvciI6ZmFsc2UsImNvbXBvc2l0ZSI6ZmFsc2UsImF1dGhvci1vbmx5IjpmYWxzZX1dfQ==&quot;,&quot;citationItems&quot;:[{&quot;id&quot;:&quot;4922c574-4ad7-3c55-9dbb-cbed467c376e&quot;,&quot;itemData&quot;:{&quot;type&quot;:&quot;article-journal&quot;,&quot;id&quot;:&quot;4922c574-4ad7-3c55-9dbb-cbed467c376e&quot;,&quot;title&quot;:&quot;The Effect of Carbon Management Accounting, Competitive Business Strategic and Carbon Emission Disclosure on Company Performance Moderated by Green Intellectual Capital&quot;,&quot;author&quot;:[{&quot;family&quot;:&quot;Hakki&quot;,&quot;given&quot;:&quot;Tandry Whittleliang&quot;,&quot;parse-names&quot;:false,&quot;dropping-particle&quot;:&quot;&quot;,&quot;non-dropping-particle&quot;:&quot;&quot;},{&quot;family&quot;:&quot;Akwila&quot;,&quot;given&quot;:&quot;Karvicha&quot;,&quot;parse-names&quot;:false,&quot;dropping-particle&quot;:&quot;&quot;,&quot;non-dropping-particle&quot;:&quot;&quot;},{&quot;family&quot;:&quot;Jurjanta&quot;,&quot;given&quot;:&quot;Priccilya&quot;,&quot;parse-names&quot;:false,&quot;dropping-particle&quot;:&quot;&quot;,&quot;non-dropping-particle&quot;:&quot;&quot;}],&quot;DOI&quot;:&quot;10.38035/jafm.v5i5&quot;,&quot;issued&quot;:{&quot;date-parts&quot;:[[2024]]},&quot;container-title-short&quot;:&quot;&quot;},&quot;isTemporary&quot;:false,&quot;suppress-author&quot;:false,&quot;composite&quot;:false,&quot;author-only&quot;:false}]},{&quot;citationID&quot;:&quot;MENDELEY_CITATION_8d8aea93-a1dc-4dbe-8fd7-d5d4e7bef03b&quot;,&quot;properties&quot;:{&quot;noteIndex&quot;:0},&quot;isEdited&quot;:false,&quot;manualOverride&quot;:{&quot;isManuallyOverridden&quot;:false,&quot;citeprocText&quot;:&quot;(Zhang &amp;#38; Wang, 2023)&quot;,&quot;manualOverrideText&quot;:&quot;&quot;},&quot;citationTag&quot;:&quot;MENDELEY_CITATION_v3_eyJjaXRhdGlvbklEIjoiTUVOREVMRVlfQ0lUQVRJT05fOGQ4YWVhOTMtYTFkYy00ZGJlLThmZDctZDVkNGU3YmVmMDNiIiwicHJvcGVydGllcyI6eyJub3RlSW5kZXgiOjB9LCJpc0VkaXRlZCI6ZmFsc2UsIm1hbnVhbE92ZXJyaWRlIjp7ImlzTWFudWFsbHlPdmVycmlkZGVuIjpmYWxzZSwiY2l0ZXByb2NUZXh0IjoiKFpoYW5nICYjMzg7IFdhbmcsIDIwMjMpIiwibWFudWFsT3ZlcnJpZGVUZXh0IjoiIn0sImNpdGF0aW9uSXRlbXMiOlt7ImlkIjoiOTk3ODA3MzktMjA4MC0zNTJhLWJmMmQtMzlmOTRjZjZhNDg5IiwiaXRlbURhdGEiOnsidHlwZSI6ImFydGljbGUtam91cm5hbCIsImlkIjoiOTk3ODA3MzktMjA4MC0zNTJhLWJmMmQtMzlmOTRjZjZhNDg5IiwidGl0bGUiOiJEb2VzIGVudmlyb25tZW50YWwgaW5mb3JtYXRpb24gZGlzY2xvc3VyZSBkcml2ZSBjb3Jwb3JhdGUgc3VzdGFpbmFibGUgZ3Jvd3RoPyBBIG5ldyBpbnNpZ2h0IGludG8gVS1zaGFwZWQgcmVsYXRpb25zaGlwIiwiYXV0aG9yIjpbeyJmYW1pbHkiOiJaaGFuZyIsImdpdmVuIjoiSmluc29uZyIsInBhcnNlLW5hbWVzIjpmYWxzZSwiZHJvcHBpbmctcGFydGljbGUiOiIiLCJub24tZHJvcHBpbmctcGFydGljbGUiOiIifSx7ImZhbWlseSI6IldhbmciLCJnaXZlbiI6Ik1lbmdtZW5nIiwicGFyc2UtbmFtZXMiOmZhbHNlLCJkcm9wcGluZy1wYXJ0aWNsZSI6IiIsIm5vbi1kcm9wcGluZy1wYXJ0aWNsZSI6IiJ9XSwiY29udGFpbmVyLXRpdGxlIjoiRnJvbnRpZXJzIGluIEVjb2xvZ3kgYW5kIEV2b2x1dGlvbiIsImNvbnRhaW5lci10aXRsZS1zaG9ydCI6IkZyb250IEVjb2wgRXZvbCIsIkRPSSI6IjEwLjMzODkvZmV2by4yMDIzLjExODkwNTIiLCJJU1NOIjoiMjI5NjcwMVgiLCJpc3N1ZWQiOnsiZGF0ZS1wYXJ0cyI6W1syMDIzXV19LCJhYnN0cmFjdCI6IkR1ZSB0byB0aGUgaW5jcmVhc2luZyByYXRlIG9mIGVjb25vbWljIGRldmVsb3BtZW50IGFuZCB0aGUgaW5jcmVhc2luZ2x5IHNlcmlvdXMgcHJvYmxlbSBvZiBlbnZpcm9ubWVudGFsIGRlZ3JhZGF0aW9uLCBlbnZpcm9ubWVudGFsIGluZm9ybWF0aW9uIGRpc2Nsb3N1cmUgaGFzIGJlY29tZSBhbiBpbXBvcnRhbnQgYmFzaXMgZm9yIHByb21vdGluZyBjYXJib24gcGVha2luZyBhbmQgY2FyYm9uIG5ldXRyYWxpdHksIGFuZCBhbiBpbXBvcnRhbnQgd2F5IGZvciBlbnRlcnByaXNlcyB0byBjYXJyeSBvdXQgZ3JlZW4gZ292ZXJuYW5jZSB0byBhY2hpZXZlIHN1c3RhaW5hYmxlIGRldmVsb3BtZW50LiBUaGlzIHN0dWR5IHVzZXMgZW1waXJpY2FsIHJlc2VhcmNoIG1ldGhvZHMgdG8gYW5hbHl6ZSB0aGUgcmVsYXRpb25zaGlwIGJldHdlZW4gZW52aXJvbm1lbnRhbCBpbmZvcm1hdGlvbiBkaXNjbG9zdXJlIGFuZCBjb3Jwb3JhdGUgc3VzdGFpbmFibGUgZ3Jvd3RoIGluIHRoZSBjb250ZXh0IG9mIGdyZWVuIGdvdmVybmFuY2UgdXNpbmcgcGFuZWwgZGF0YSBvZiBDaGluZXNlIEEtc2hhcmUgbGlzdGVkIGNvbXBhbmllcyBpbiBTaGFuZ2hhaSBhbmQgU2hlbnpoZW4gZnJvbSAyMDEyIHRvIDIwMjEuIFRoZSBlbXBpcmljYWwgdGVzdHMgY29uY2x1ZGUgdGhhdCB0aGVyZSBpcyBhIFUtc2hhcGVkIHJlbGF0aW9uc2hpcCBiZXR3ZWVuIGVudmlyb25tZW50YWwgaW5mb3JtYXRpb24gZGlzY2xvc3VyZSBhbmQgY29ycG9yYXRlIHN1c3RhaW5hYmxlIGdyb3d0aCwgd2hpY2ggZGVjcmVhc2VzIGFuZCB0aGVuIGluY3JlYXNlcywgYW5kIHRoZSBVLXNoYXBlZCByZWxhdGlvbnNoaXAgaXMgdHJhbnNtaXR0ZWQgdGhyb3VnaCBpbm5vdmF0aW9uIGlucHV0cy4gVGhlIFUtc2hhcGVkIHJlbGF0aW9uc2hpcCBiZXR3ZWVuIGVudmlyb25tZW50YWwgaW5mb3JtYXRpb24gZGlzY2xvc3VyZSBhbmQgY29ycG9yYXRlIHN1c3RhaW5hYmxlIGdyb3d0aCBpcyB3ZWFrZW5lZCBieSBmaXJtIHNpemUgYW5kIGVuaGFuY2VkIGJ5IGVxdWl0eSBpbmNlbnRpdmVzLiBJbiBhZGRpdGlvbiwgZnVydGhlciBncm91cCBhbmFseXNpcyByZXZlYWxzIHRoYXQgdGhlIGFib3ZlIFUtc2hhcGVkIHJlbGF0aW9uc2hpcCBpcyBtb3JlIHNpZ25pZmljYW50IGluIG5vbi1zdGF0ZSBlbnRlcnByaXNlcyB0aGFuIGluIHN0YXRlLW93bmVkIGVudGVycHJpc2VzLiIsInB1Ymxpc2hlciI6IkZyb250aWVycyBNZWRpYSBTLkEuIiwidm9sdW1lIjoiMTEifSwiaXNUZW1wb3JhcnkiOmZhbHNlLCJzdXBwcmVzcy1hdXRob3IiOmZhbHNlLCJjb21wb3NpdGUiOmZhbHNlLCJhdXRob3Itb25seSI6ZmFsc2V9XX0=&quot;,&quot;citationItems&quot;:[{&quot;id&quot;:&quot;99780739-2080-352a-bf2d-39f94cf6a489&quot;,&quot;itemData&quot;:{&quot;type&quot;:&quot;article-journal&quot;,&quot;id&quot;:&quot;99780739-2080-352a-bf2d-39f94cf6a489&quot;,&quot;title&quot;:&quot;Does environmental information disclosure drive corporate sustainable growth? A new insight into U-shaped relationship&quot;,&quot;author&quot;:[{&quot;family&quot;:&quot;Zhang&quot;,&quot;given&quot;:&quot;Jinsong&quot;,&quot;parse-names&quot;:false,&quot;dropping-particle&quot;:&quot;&quot;,&quot;non-dropping-particle&quot;:&quot;&quot;},{&quot;family&quot;:&quot;Wang&quot;,&quot;given&quot;:&quot;Mengmeng&quot;,&quot;parse-names&quot;:false,&quot;dropping-particle&quot;:&quot;&quot;,&quot;non-dropping-particle&quot;:&quot;&quot;}],&quot;container-title&quot;:&quot;Frontiers in Ecology and Evolution&quot;,&quot;container-title-short&quot;:&quot;Front Ecol Evol&quot;,&quot;DOI&quot;:&quot;10.3389/fevo.2023.1189052&quot;,&quot;ISSN&quot;:&quot;2296701X&quot;,&quot;issued&quot;:{&quot;date-parts&quot;:[[2023]]},&quot;abstract&quot;:&quot;Due to the increasing rate of economic development and the increasingly serious problem of environmental degradation, environmental information disclosure has become an important basis for promoting carbon peaking and carbon neutrality, and an important way for enterprises to carry out green governance to achieve sustainable development. This study uses empirical research methods to analyze the relationship between environmental information disclosure and corporate sustainable growth in the context of green governance using panel data of Chinese A-share listed companies in Shanghai and Shenzhen from 2012 to 2021. The empirical tests conclude that there is a U-shaped relationship between environmental information disclosure and corporate sustainable growth, which decreases and then increases, and the U-shaped relationship is transmitted through innovation inputs. The U-shaped relationship between environmental information disclosure and corporate sustainable growth is weakened by firm size and enhanced by equity incentives. In addition, further group analysis reveals that the above U-shaped relationship is more significant in non-state enterprises than in state-owned enterprises.&quot;,&quot;publisher&quot;:&quot;Frontiers Media S.A.&quot;,&quot;volume&quot;:&quot;11&quot;},&quot;isTemporary&quot;:false,&quot;suppress-author&quot;:false,&quot;composite&quot;:false,&quot;author-only&quot;:false}]},{&quot;citationID&quot;:&quot;MENDELEY_CITATION_3f429112-369a-47de-9d36-58cc4159d952&quot;,&quot;properties&quot;:{&quot;noteIndex&quot;:0},&quot;isEdited&quot;:false,&quot;manualOverride&quot;:{&quot;isManuallyOverridden&quot;:false,&quot;citeprocText&quot;:&quot;(Benevene et al., 2021)&quot;,&quot;manualOverrideText&quot;:&quot;&quot;},&quot;citationTag&quot;:&quot;MENDELEY_CITATION_v3_eyJjaXRhdGlvbklEIjoiTUVOREVMRVlfQ0lUQVRJT05fM2Y0MjkxMTItMzY5YS00N2RlLTlkMzYtNThjYzQxNTlkOTUyIiwicHJvcGVydGllcyI6eyJub3RlSW5kZXgiOjB9LCJpc0VkaXRlZCI6ZmFsc2UsIm1hbnVhbE92ZXJyaWRlIjp7ImlzTWFudWFsbHlPdmVycmlkZGVuIjpmYWxzZSwiY2l0ZXByb2NUZXh0IjoiKEJlbmV2ZW5lIGV0IGFsLiwgMjAyMSkiLCJtYW51YWxPdmVycmlkZVRleHQiOiIifSwiY2l0YXRpb25JdGVtcyI6W3siaWQiOiI0YzE4Yjk5Ni0zYzM5LTNjMGQtYTU3Yi02Mjg0NjA1Y2E0YzciLCJpdGVtRGF0YSI6eyJ0eXBlIjoiYXJ0aWNsZSIsImlkIjoiNGMxOGI5OTYtM2MzOS0zYzBkLWE1N2ItNjI4NDYwNWNhNGM3IiwidGl0bGUiOiJNYW5hZ2VtZW50IG9mIGdyZWVuIGludGVsbGVjdHVhbCBjYXBpdGFsOiBFdmlkZW5jZS1iYXNlZCBsaXRlcmF0dXJlIHJldmlldyBhbmQgZnV0dXJlIGRpcmVjdGlvbnMiLCJhdXRob3IiOlt7ImZhbWlseSI6IkJlbmV2ZW5lIiwiZ2l2ZW4iOiJQYXVsYSIsInBhcnNlLW5hbWVzIjpmYWxzZSwiZHJvcHBpbmctcGFydGljbGUiOiIiLCJub24tZHJvcHBpbmctcGFydGljbGUiOiIifSx7ImZhbWlseSI6IkJ1b25vbW8iLCJnaXZlbiI6IklsYXJpYSIsInBhcnNlLW5hbWVzIjpmYWxzZSwiZHJvcHBpbmctcGFydGljbGUiOiIiLCJub24tZHJvcHBpbmctcGFydGljbGUiOiIifSx7ImZhbWlseSI6IktvbmciLCJnaXZlbiI6IkVyaWMiLCJwYXJzZS1uYW1lcyI6ZmFsc2UsImRyb3BwaW5nLXBhcnRpY2xlIjoiIiwibm9uLWRyb3BwaW5nLXBhcnRpY2xlIjoiIn0seyJmYW1pbHkiOiJQYW5zaW5pIiwiZ2l2ZW4iOiJNYXJ0aW5hIiwicGFyc2UtbmFtZXMiOmZhbHNlLCJkcm9wcGluZy1wYXJ0aWNsZSI6IiIsIm5vbi1kcm9wcGluZy1wYXJ0aWNsZSI6IiJ9LHsiZmFtaWx5IjoiRmFybmVzZSIsImdpdmVuIjoiTWFyaWEgTHVpc2EiLCJwYXJzZS1uYW1lcyI6ZmFsc2UsImRyb3BwaW5nLXBhcnRpY2xlIjoiIiwibm9uLWRyb3BwaW5nLXBhcnRpY2xlIjoiIn1dLCJjb250YWluZXItdGl0bGUiOiJTdXN0YWluYWJpbGl0eSAoU3dpdHplcmxhbmQpIiwiRE9JIjoiMTAuMzM5MC9zdTEzMTU4MzQ5IiwiSVNTTiI6IjIwNzExMDUwIiwiaXNzdWVkIjp7ImRhdGUtcGFydHMiOltbMjAyMSw4LDFdXX0sImFic3RyYWN0IjoiVGhpcyBwYXBlciBwcmVzZW50cyBhIHN5c3RlbWF0aWMsIGV2aWRlbmNlLWJhc2VkIHJldmlldyBvZiBHcmVlbiBJbnRlbGxlY3R1YWwgQ2FwaXRhbCAoR0lDKSBtYW5hZ2VtZW50LCBhIGNvbnN0cnVjdCBmaXJzdCBpbnRyb2R1Y2VkIGluIDIwMDggYW5kIGluY3JlYXNpbmdseSByZWNvZ25pemVkIGFzIGEgbWFuYWdlbWVudCBjb25jZXB0IGluIHJlY2VudCB5ZWFycy4gVGhpcyByZXZpZXcgY292ZXJzIHRoZSBsaXRlcmF0dXJlIG9uIEdJQyBmcm9tIDIwMDggdG8gMjAyMCBhbmQgYWRkcmVzc2VzIHRoZSByb2xlIHBsYXllZCBieSBpbnRlbGxlY3R1YWwgY2FwaXRhbCBhcyBhIGZyYW1ld29yayB0byBwcm9tb3RlIHN1c3RhaW5hYmlsaXR5IGluIG9yZ2FuaXphdGlvbnMuIFdpdGggdGhlIGFpbSBvZiBjbGFyaWZ5aW5nIG91ciBrbm93bGVkZ2Ugb24gdGhlIGFwcGxpY2F0aW9uIG9mIHRoZSBHSUMgcGFyYWRpZ20sIHRoaXMgcGFwZXIgcmV2aWV3cyB0aGUgZmluZGluZ3Mgb24gdGhlIG91dGNvbWVzIGFjaGlldmVkIGJ5IG9yZ2FuaXphdGlvbnMgdGhhdCBhZG9wdCB0aGUgR0lDIHBhcmFkaWdtLCB0aGUgYW50ZWNlZGVudHMgYW5kIHBvc3NpYmxlIG1lZGlhdGlvbi1tb2RlcmF0aW9uIGZhY3RvcnMgdGhhdCBlbmhhbmNlIHRoaXMgcHJvY2VzcywgYW5kIHRoZSBjb250ZXh0cyBpbiB3aGljaCBzdWNoIG91dGNvbWVzIGVtZXJnZS4gRmluZGluZ3Mgc2hvdyB0aGF0IEdJQyBvZmZlcnMgYSBzaWduaWZpY2FudCBmcmFtZXdvcmsgZm9yIHByb21vdGluZyBzdXN0YWluYWJpbGl0eSBpbiBvcmdhbml6YXRpb25zLiBIb3dldmVyLCBldmVuIHRob3VnaCB0aGlzIHN0dWR5IHVuZGVybGluZXMgdGhlIGluY3JlYXNpbmcgdHJlbmQgb2YgR0lDLCB0aGVyZSByZW1haW5zIHZlcnkgbGl0dGxlIHJlbGlhYmxlIGRhdGEgb24gdGhlIHN1YmplY3QsIHBhcnRpY3VsYXJseSBhZGRyZXNzaW5nIHRoZSByb2xlIHBsYXllZCBieSBHSUMgYXMgYSBmcmFtZXdvcmsgdG8gcHJvbW90ZSBzdXN0YWluYWJpbGl0eSBpbiBvcmdhbml6YXRpb25zLiBUaGlzIGxpdGVyYXR1cmUgcmV2aWV3IGlzIHZhbHVhYmxlIGZvciBib3RoIHJlc2VhcmNoZXJzIGFuZCBwcmFjdGl0aW9uZXJzLiBGcm9tIGEgdGhlb3JldGljYWwgcG9pbnQgb2YgdmlldywgaXQgYWxsb3dzIG9uZSB0byBzeW50aGVzaXplIHRoZSBvdXRjb21lcyBvZiBHSUMgdG8gYmV0dGVyIGRlbGluZWF0ZSBob3cgaXQgYWZmZWN0cyBvcmdhbml6YXRpb25zIGFuZCB0aGUgZW52aXJvbm1lbnQuIEZyb20gYSBwcmFjdGljYWwgcG9pbnQgb2Ygdmlldywgb3BlbmluZyBhIGRlYmF0ZSBhYm91dCB0aGUgYWN0dWFsIG91dGNvbWVzIG9mIEdJQyBhbGxvd3Mgb25lIHRvIG92ZXJjb21lIHRoZSB0aGVvcnnigJNwcmFjdGljZSBkaXZpZGUsIG1ha2luZyB0aGUgdmFsdWUgb2YgR0lDIG1vcmUgYWNjZXNzaWJsZSB0byBwcmFjdGl0aW9uZXJzIGFuZCBtYW5hZ2VycyBhbmQgcHVzaGluZyB0aGVtIHRvIG9wdCBmb3IgYSBncmVlbiBzaGlmdCBpbiB0aGVpciBvcmdhbml6YXRpb25zLiIsInB1Ymxpc2hlciI6Ik1EUEkgQUciLCJpc3N1ZSI6IjE1Iiwidm9sdW1lIjoiMTMiLCJjb250YWluZXItdGl0bGUtc2hvcnQiOiIifSwiaXNUZW1wb3JhcnkiOmZhbHNlLCJzdXBwcmVzcy1hdXRob3IiOmZhbHNlLCJjb21wb3NpdGUiOmZhbHNlLCJhdXRob3Itb25seSI6ZmFsc2V9XX0=&quot;,&quot;citationItems&quot;:[{&quot;id&quot;:&quot;4c18b996-3c39-3c0d-a57b-6284605ca4c7&quot;,&quot;itemData&quot;:{&quot;type&quot;:&quot;article&quot;,&quot;id&quot;:&quot;4c18b996-3c39-3c0d-a57b-6284605ca4c7&quot;,&quot;title&quot;:&quot;Management of green intellectual capital: Evidence-based literature review and future directions&quot;,&quot;author&quot;:[{&quot;family&quot;:&quot;Benevene&quot;,&quot;given&quot;:&quot;Paula&quot;,&quot;parse-names&quot;:false,&quot;dropping-particle&quot;:&quot;&quot;,&quot;non-dropping-particle&quot;:&quot;&quot;},{&quot;family&quot;:&quot;Buonomo&quot;,&quot;given&quot;:&quot;Ilaria&quot;,&quot;parse-names&quot;:false,&quot;dropping-particle&quot;:&quot;&quot;,&quot;non-dropping-particle&quot;:&quot;&quot;},{&quot;family&quot;:&quot;Kong&quot;,&quot;given&quot;:&quot;Eric&quot;,&quot;parse-names&quot;:false,&quot;dropping-particle&quot;:&quot;&quot;,&quot;non-dropping-particle&quot;:&quot;&quot;},{&quot;family&quot;:&quot;Pansini&quot;,&quot;given&quot;:&quot;Martina&quot;,&quot;parse-names&quot;:false,&quot;dropping-particle&quot;:&quot;&quot;,&quot;non-dropping-particle&quot;:&quot;&quot;},{&quot;family&quot;:&quot;Farnese&quot;,&quot;given&quot;:&quot;Maria Luisa&quot;,&quot;parse-names&quot;:false,&quot;dropping-particle&quot;:&quot;&quot;,&quot;non-dropping-particle&quot;:&quot;&quot;}],&quot;container-title&quot;:&quot;Sustainability (Switzerland)&quot;,&quot;DOI&quot;:&quot;10.3390/su13158349&quot;,&quot;ISSN&quot;:&quot;20711050&quot;,&quot;issued&quot;:{&quot;date-parts&quot;:[[2021,8,1]]},&quot;abstract&quot;:&quot;This paper presents a systematic, evidence-based review of Green Intellectual Capital (GIC) management, a construct first introduced in 2008 and increasingly recognized as a management concept in recent years. This review covers the literature on GIC from 2008 to 2020 and addresses the role played by intellectual capital as a framework to promote sustainability in organizations. With the aim of clarifying our knowledge on the application of the GIC paradigm, this paper reviews the findings on the outcomes achieved by organizations that adopt the GIC paradigm, the antecedents and possible mediation-moderation factors that enhance this process, and the contexts in which such outcomes emerge. Findings show that GIC offers a significant framework for promoting sustainability in organizations. However, even though this study underlines the increasing trend of GIC, there remains very little reliable data on the subject, particularly addressing the role played by GIC as a framework to promote sustainability in organizations. This literature review is valuable for both researchers and practitioners. From a theoretical point of view, it allows one to synthesize the outcomes of GIC to better delineate how it affects organizations and the environment. From a practical point of view, opening a debate about the actual outcomes of GIC allows one to overcome the theory–practice divide, making the value of GIC more accessible to practitioners and managers and pushing them to opt for a green shift in their organizations.&quot;,&quot;publisher&quot;:&quot;MDPI AG&quot;,&quot;issue&quot;:&quot;15&quot;,&quot;volume&quot;:&quot;13&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U1GR3+XRX5iXiKvgxMq+vlFdU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YKAjEzEiAKHggHQhoKD1RpbWVzIE5ldyBSb21hbhIHR3VuZ3N1aBomCgIxNBIgCh4IB0IaCg9UaW1lcyBOZXcgUm9tYW4SB0d1bmdzdWgaJgoCMTUSIAoeCAdCGgoPVGltZXMgTmV3IFJvbWFuEgdHdW5nc3VoMg5oLnN5ZzdqaDlqMmd2YzIOaC54MmJpcGlwcmQ1cjcyDmguNDh6NXZ2OHp5bTZsMg5oLmtlbXU5bHRpMzlkYTIOaC55YnZvYmg0enY0bjEyDmgueGo3dzQwajRtZHNuMg5oLjQyYTh3cm4xdW9nbzIOaC5xY2ZoZDBja3VnbHAyDmgubDlmdms0NGJvNDY1Mg5oLjhmemN1azI2YWY0cTIOaC41bGk3amNvMGRnbXIyDmgubTZsYjkza20xOWQwMg5oLm02bGI5M2ttMTlkMDIOaC42YWtvdWt3NXdvbDUyDmguOWNrMDI0YjNmemdiMg5oLnRhMjBuYjdycTF2cjIOaC5mNDB2cTRlMGw1YmYyDWguYXBmeWVmODdpN2oyDmguZGJ6Y2J2bG5rc2R4Mg5oLncwa2hxZXhodG5rbjIOaC5jNmwzcHFiMXplZnMyDmguOXpjMWpvdmI3bmE1Mg1oLjU1YXc4aDY5ZXdwMg5oLmZmbGZtaGNsaXA5YjINaC5xcXQ0ZHRnOWx5NTIOaC4xbXNlcW4ydXptYmEyDmguN2wxcnhta3gwczM5Mg5oLmcyYWY5djJ5cHU5dzIOaC43Z2xjcDY0djUwNzEyDmgudzR2MXhnZnQzcmplMg5oLjM0ejM1MGI4aGR2ejIOaC53aWVtajZucmx4MGkyDmgub2V0OGJ0anNxbnY0Mg1oLnk2dWowaGM4ZzJsMg5oLjFldm5xdDFmYmhpajIOaC5sdDdkbm9oYTJ1OGoyDmguODhzczF0cHdyY2hhMg5oLjExeGRsanNqdTk1MjIOaC5lMGdsOTA4ZjJoZnAyDmgudjRxNGJ2YXl0NThkMg5oLjhrN241YTdsbDJhYzIOaC5rZDZsZzZrbzBleDAyDmgubHJ2NDl0dTliejd5Mg5oLnk2MmN3eWZuNmpoeDIOaC42OG1zZjBjdGVmcDQyDmguOHNkcDNpYWpyMncyMg5oLmgxeTcxczE3ODR5dTIOaC5yMTl3MnQ3MnJ2NHoyDWguMzF4ZjV2Z3JiYzQyDmgubmptenU3czVkYzk2Mg5oLm1ncHgzY3lienN1NDIOaC56MnV1OWw4eHQ1dG4yDmguYmUyMXF5M2lqZGI3Mg1oLjlqZTU2c3J0a3kzMg5oLnFkY2xrOTMwMXFsNTIOaC53eGo2cmZyNWJhNGIyDmguMWlnY3llejQ4dTN2Mg5oLndoYTh0dDNhNjhpaTIOaC40ejV3YXRzeTljMG8yDmgueWRodzdrbXh3Y2d0Mg5oLmplampvMTRuMzg3bDIOaC50cW16ZG8yb2w5NG0yDmguZDBhaWF3ZGhzenR6Mg5oLjNvejZ3NnRnc2EwaDIOaC40MzJuMTN5d3VvZTgyDmguMmV6aHVkZmh0dXpzMg5oLmx6a3lvaWRzcDd0NjIOaC5jdHV5bGloY3dzNGsyDmguMWs5bHhnbG04MHJ6Mg5oLnU0ZzhiOXQzczE3bzIOaC4yc2RzNXV6OHo2dWcyDmgudDhsNHJ0YWNiN2NrMg5oLnhjdzFndmdhMHZ1NzIOaC5hZHZjemt3cmNmbHQyDmguajV5Y3o1eDg3OW16Mg5oLjFqY3ZrcHg5aHpqcjIOaC55ODBicmQ4dmxuY28yDmgueGp3MHR1MXE4bDZxMg5oLjN1bnd5cDk4MThtdjIOaC5qNGpzNGM3OHRzeXAyDmguODAyaDFlamk1Mzl6Mg5oLmMxc3c5ajRtODB0NjIOaC5oaTZhdXFsYm94aG4yDmgudHpsdGllN2Y1b2hmMg5oLm83NjM0MTliNDR1dzIOaC5xMzk3NzNiaWZnNjgyDWguZmRia2lsbzRsbmYyDmguZ2k3NDMyZ3d0bjU1Mg5oLnBuaXphazFmMXkxbTIOaC55eTZmNTl1emp2ancyDmguMXp3emZ2b3d5MWpjMg5oLjFkYm52bmU1a2I5dDIOaC4xNHdsb3kyMWd6cGkyDmguMW5kZHBkd3RkejUzMg5oLnB2cmxodWx2YjNueDIOaC54bGhhNmZpZ2M2ZWYyDmgudm16NTBtdjFveTRnMg1oLjY1c3M3ZHdoMWhjMg5oLmZ5Mm13a2h4ZzF4dDIOaC4xNnFzNXN4ZW51YXUyDmguc2UxNHZrNHQzemI2Mg5oLjFsZW9sdnVmcXMzaDIOaC5xcTRmbnZveHM1ZGgyDmguNXg5M2doaWhlZnRzMg5oLmJmazk2ZWpudHp2NDIOaC5pazMwN295bHp3d2oyDmguaDAyY21zZG8zanBlMg5oLmhmem9oYmgwZTlrODIOaC5kcTdzMXNzbTg4YjUyDmguZjJodWE0OGJkNGFoMg5oLmw4MGx5bDlua2pqeDIOaC5kcTl6ZmFlbGNiMm0yDmguNmtyMjZnb2ZneW45Mg5oLjMybXY2ejRseHo5YjIOaC5xOTA3cWdwOHczaWgyDmgudzZzaWE0bDVneG82Mg5oLnJxbTBpZHQybGZvdTIOaC44bXZpemZxMHY5b2wyDmguMzdqMGVvNG1rYXptMg5oLmc0bmYwbTRuNjlibzIOaC4zd2Zldml2eDB4ODEyDmgudW4yYnU4ejlsZjh5Mg5oLmxnd3dwNmM0aDRwbDIOaC5yazhobXF2d21jdHAyDmgub2R2Mm83cmN0ODIwMg5oLnVwY2pienZ4ejF0dzINaC5vcG83bWRlbWo1ZjIOaC4za2d4d3B6MzZ1bnUyDmgubGttenNsa2cwZWY0Mg5oLmhma2YyZmNpaWpucDIOaC5pZ2Z2cjZkaTcyY20yDmguZHo4ZTlkMWI5NWxsMg5oLmlkanhtNTJ1bW5scjIOaC5nenRkenlkb252Y2IyDmguZTF4OHFjc2x5aGtxMg5oLmF6ZHFheGk0NXE4ZDIOaC5ncWZtM3JyZzhxYzMyDmgudzg5OWFqNHZ3YnI4Mg5oLnl4YXBycm5qc2YzczIOaC4yb2Y0OW93OG5nazIyDmguZHlxM3ZobHp1NmljMg5oLm9zeG1lbTlwaGVzMDIOaC43eHY5amZqczQ0aXQyDmgucHVhc3hqamFsdHd4OAByITFqczFSU3E1WDh1SVkwOGtDRFFRU2dHclVydnhiSFQ3dw==</go:docsCustomData>
</go:gDocsCustomXmlDataStorage>
</file>

<file path=customXml/itemProps1.xml><?xml version="1.0" encoding="utf-8"?>
<ds:datastoreItem xmlns:ds="http://schemas.openxmlformats.org/officeDocument/2006/customXml" ds:itemID="{523DE9FF-A1E7-4E16-BB38-DE5497488E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4788</TotalTime>
  <Pages>1</Pages>
  <Words>22017</Words>
  <Characters>125503</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annisaasaraswatii@gmail.com</cp:lastModifiedBy>
  <cp:revision>35</cp:revision>
  <cp:lastPrinted>2025-10-20T04:00:00Z</cp:lastPrinted>
  <dcterms:created xsi:type="dcterms:W3CDTF">2025-03-05T05:05:00Z</dcterms:created>
  <dcterms:modified xsi:type="dcterms:W3CDTF">2025-10-20T04:00:00Z</dcterms:modified>
</cp:coreProperties>
</file>