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1"/>
        <w:rPr>
          <w:sz w:val="32"/>
        </w:rPr>
      </w:pPr>
    </w:p>
    <w:p>
      <w:pPr>
        <w:spacing w:line="259" w:lineRule="auto" w:before="0"/>
        <w:ind w:left="1743" w:right="1321" w:firstLine="0"/>
        <w:jc w:val="center"/>
        <w:rPr>
          <w:b/>
          <w:sz w:val="32"/>
        </w:rPr>
      </w:pPr>
      <w:bookmarkStart w:name="_bookmark0" w:id="1"/>
      <w:bookmarkEnd w:id="1"/>
      <w:r>
        <w:rPr/>
      </w:r>
      <w:r>
        <w:rPr>
          <w:b/>
          <w:sz w:val="32"/>
        </w:rPr>
        <w:t>PENGARUH</w:t>
      </w:r>
      <w:r>
        <w:rPr>
          <w:b/>
          <w:spacing w:val="-9"/>
          <w:sz w:val="32"/>
        </w:rPr>
        <w:t> </w:t>
      </w:r>
      <w:r>
        <w:rPr>
          <w:b/>
          <w:sz w:val="32"/>
        </w:rPr>
        <w:t>LEVERAGE,</w:t>
      </w:r>
      <w:r>
        <w:rPr>
          <w:b/>
          <w:spacing w:val="-7"/>
          <w:sz w:val="32"/>
        </w:rPr>
        <w:t> </w:t>
      </w:r>
      <w:r>
        <w:rPr>
          <w:b/>
          <w:sz w:val="32"/>
        </w:rPr>
        <w:t>DEBT</w:t>
      </w:r>
      <w:r>
        <w:rPr>
          <w:b/>
          <w:spacing w:val="-11"/>
          <w:sz w:val="32"/>
        </w:rPr>
        <w:t> </w:t>
      </w:r>
      <w:r>
        <w:rPr>
          <w:b/>
          <w:sz w:val="32"/>
        </w:rPr>
        <w:t>MATURITY,</w:t>
      </w:r>
      <w:r>
        <w:rPr>
          <w:b/>
          <w:spacing w:val="-9"/>
          <w:sz w:val="32"/>
        </w:rPr>
        <w:t> </w:t>
      </w:r>
      <w:r>
        <w:rPr>
          <w:b/>
          <w:sz w:val="32"/>
        </w:rPr>
        <w:t>DAN ASSURANCE TENURE TERHADAP SUSTAINABILTIY ASSURANCE QUALITY PERUSAHAAN SEKTOR ENERGI YANG TERDAFTAR DI BURSA EFEK INDONESIA PERIODE 2021-2024</w:t>
      </w:r>
    </w:p>
    <w:p>
      <w:pPr>
        <w:pStyle w:val="BodyText"/>
        <w:spacing w:before="86"/>
        <w:rPr>
          <w:b/>
          <w:sz w:val="32"/>
        </w:rPr>
      </w:pPr>
    </w:p>
    <w:p>
      <w:pPr>
        <w:pStyle w:val="Heading2"/>
        <w:ind w:left="1744"/>
      </w:pPr>
      <w:r>
        <w:rPr>
          <w:spacing w:val="-2"/>
        </w:rPr>
        <w:t>SKRIPSI</w:t>
      </w:r>
    </w:p>
    <w:p>
      <w:pPr>
        <w:pStyle w:val="BodyText"/>
        <w:spacing w:before="156"/>
        <w:ind w:left="1744" w:right="1321"/>
        <w:jc w:val="center"/>
      </w:pPr>
      <w:r>
        <w:rPr/>
        <w:t>UNTUK</w:t>
      </w:r>
      <w:r>
        <w:rPr>
          <w:spacing w:val="-8"/>
        </w:rPr>
        <w:t> </w:t>
      </w:r>
      <w:r>
        <w:rPr/>
        <w:t>SEMINAR</w:t>
      </w:r>
      <w:r>
        <w:rPr>
          <w:spacing w:val="1"/>
        </w:rPr>
        <w:t> </w:t>
      </w:r>
      <w:r>
        <w:rPr>
          <w:spacing w:val="-4"/>
        </w:rPr>
        <w:t>HASIL</w:t>
      </w:r>
    </w:p>
    <w:p>
      <w:pPr>
        <w:pStyle w:val="BodyText"/>
        <w:spacing w:before="188"/>
        <w:rPr>
          <w:sz w:val="20"/>
        </w:rPr>
      </w:pPr>
      <w:r>
        <w:rPr>
          <w:sz w:val="20"/>
        </w:rPr>
        <w:drawing>
          <wp:anchor distT="0" distB="0" distL="0" distR="0" allowOverlap="1" layoutInCell="1" locked="0" behindDoc="1" simplePos="0" relativeHeight="487587840">
            <wp:simplePos x="0" y="0"/>
            <wp:positionH relativeFrom="page">
              <wp:posOffset>3060700</wp:posOffset>
            </wp:positionH>
            <wp:positionV relativeFrom="paragraph">
              <wp:posOffset>281099</wp:posOffset>
            </wp:positionV>
            <wp:extent cx="1804225" cy="18042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04225" cy="1804225"/>
                    </a:xfrm>
                    <a:prstGeom prst="rect">
                      <a:avLst/>
                    </a:prstGeom>
                  </pic:spPr>
                </pic:pic>
              </a:graphicData>
            </a:graphic>
          </wp:anchor>
        </w:drawing>
      </w:r>
    </w:p>
    <w:p>
      <w:pPr>
        <w:pStyle w:val="BodyText"/>
        <w:spacing w:before="7"/>
      </w:pPr>
    </w:p>
    <w:p>
      <w:pPr>
        <w:spacing w:before="0"/>
        <w:ind w:left="2640" w:right="2216" w:firstLine="0"/>
        <w:jc w:val="center"/>
        <w:rPr>
          <w:sz w:val="28"/>
        </w:rPr>
      </w:pPr>
      <w:r>
        <w:rPr>
          <w:spacing w:val="-2"/>
          <w:sz w:val="28"/>
        </w:rPr>
        <w:t>Oleh:</w:t>
      </w:r>
    </w:p>
    <w:p>
      <w:pPr>
        <w:pStyle w:val="BodyText"/>
        <w:spacing w:before="4"/>
        <w:rPr>
          <w:sz w:val="28"/>
        </w:rPr>
      </w:pPr>
    </w:p>
    <w:p>
      <w:pPr>
        <w:pStyle w:val="Heading2"/>
        <w:spacing w:line="360" w:lineRule="auto"/>
        <w:ind w:left="2636" w:right="2216"/>
      </w:pPr>
      <w:r>
        <w:rPr/>
        <w:t>MUHAMMAD</w:t>
      </w:r>
      <w:r>
        <w:rPr>
          <w:spacing w:val="-14"/>
        </w:rPr>
        <w:t> </w:t>
      </w:r>
      <w:r>
        <w:rPr/>
        <w:t>ZENRAL</w:t>
      </w:r>
      <w:r>
        <w:rPr>
          <w:spacing w:val="-14"/>
        </w:rPr>
        <w:t> </w:t>
      </w:r>
      <w:r>
        <w:rPr/>
        <w:t>ALIF</w:t>
      </w:r>
      <w:r>
        <w:rPr>
          <w:spacing w:val="-14"/>
        </w:rPr>
        <w:t> </w:t>
      </w:r>
      <w:r>
        <w:rPr/>
        <w:t>REZKI </w:t>
      </w:r>
      <w:r>
        <w:rPr>
          <w:spacing w:val="-2"/>
        </w:rPr>
        <w:t>2201036060</w:t>
      </w:r>
    </w:p>
    <w:p>
      <w:pPr>
        <w:spacing w:line="321" w:lineRule="exact" w:before="0"/>
        <w:ind w:left="1747" w:right="1321" w:firstLine="0"/>
        <w:jc w:val="center"/>
        <w:rPr>
          <w:b/>
          <w:sz w:val="28"/>
        </w:rPr>
      </w:pPr>
      <w:r>
        <w:rPr>
          <w:b/>
          <w:sz w:val="28"/>
        </w:rPr>
        <w:t>S1</w:t>
      </w:r>
      <w:r>
        <w:rPr>
          <w:b/>
          <w:spacing w:val="2"/>
          <w:sz w:val="28"/>
        </w:rPr>
        <w:t> </w:t>
      </w:r>
      <w:r>
        <w:rPr>
          <w:b/>
          <w:spacing w:val="-2"/>
          <w:sz w:val="28"/>
        </w:rPr>
        <w:t>AKUNTANSI</w:t>
      </w:r>
    </w:p>
    <w:p>
      <w:pPr>
        <w:pStyle w:val="BodyText"/>
        <w:rPr>
          <w:b/>
          <w:sz w:val="28"/>
        </w:rPr>
      </w:pPr>
    </w:p>
    <w:p>
      <w:pPr>
        <w:pStyle w:val="BodyText"/>
        <w:spacing w:before="321"/>
        <w:rPr>
          <w:b/>
          <w:sz w:val="28"/>
        </w:rPr>
      </w:pPr>
    </w:p>
    <w:p>
      <w:pPr>
        <w:spacing w:line="345" w:lineRule="auto" w:before="0"/>
        <w:ind w:left="2641" w:right="2216" w:firstLine="0"/>
        <w:jc w:val="center"/>
        <w:rPr>
          <w:b/>
          <w:sz w:val="32"/>
        </w:rPr>
      </w:pPr>
      <w:r>
        <w:rPr>
          <w:b/>
          <w:sz w:val="32"/>
        </w:rPr>
        <w:t>FAKULTAS</w:t>
      </w:r>
      <w:r>
        <w:rPr>
          <w:b/>
          <w:spacing w:val="-14"/>
          <w:sz w:val="32"/>
        </w:rPr>
        <w:t> </w:t>
      </w:r>
      <w:r>
        <w:rPr>
          <w:b/>
          <w:sz w:val="32"/>
        </w:rPr>
        <w:t>EKONOMI</w:t>
      </w:r>
      <w:r>
        <w:rPr>
          <w:b/>
          <w:spacing w:val="-12"/>
          <w:sz w:val="32"/>
        </w:rPr>
        <w:t> </w:t>
      </w:r>
      <w:r>
        <w:rPr>
          <w:b/>
          <w:sz w:val="32"/>
        </w:rPr>
        <w:t>DAN</w:t>
      </w:r>
      <w:r>
        <w:rPr>
          <w:b/>
          <w:spacing w:val="-12"/>
          <w:sz w:val="32"/>
        </w:rPr>
        <w:t> </w:t>
      </w:r>
      <w:r>
        <w:rPr>
          <w:b/>
          <w:sz w:val="32"/>
        </w:rPr>
        <w:t>BISNIS UNIVERSITAS MULAWARMAN </w:t>
      </w:r>
      <w:r>
        <w:rPr>
          <w:b/>
          <w:spacing w:val="-2"/>
          <w:sz w:val="32"/>
        </w:rPr>
        <w:t>SAMARINDA</w:t>
      </w:r>
    </w:p>
    <w:p>
      <w:pPr>
        <w:spacing w:line="363" w:lineRule="exact" w:before="0"/>
        <w:ind w:left="1747" w:right="1321" w:firstLine="0"/>
        <w:jc w:val="center"/>
        <w:rPr>
          <w:b/>
          <w:sz w:val="32"/>
        </w:rPr>
      </w:pPr>
      <w:r>
        <w:rPr>
          <w:b/>
          <w:spacing w:val="-4"/>
          <w:sz w:val="32"/>
        </w:rPr>
        <w:t>2025</w:t>
      </w:r>
    </w:p>
    <w:p>
      <w:pPr>
        <w:spacing w:after="0" w:line="363" w:lineRule="exact"/>
        <w:jc w:val="center"/>
        <w:rPr>
          <w:b/>
          <w:sz w:val="32"/>
        </w:rPr>
        <w:sectPr>
          <w:type w:val="continuous"/>
          <w:pgSz w:w="11910" w:h="16840"/>
          <w:pgMar w:top="1940" w:bottom="280" w:left="566" w:right="425"/>
        </w:sectPr>
      </w:pPr>
    </w:p>
    <w:p>
      <w:pPr>
        <w:pStyle w:val="BodyText"/>
        <w:spacing w:before="5"/>
        <w:rPr>
          <w:b/>
          <w:sz w:val="28"/>
        </w:rPr>
      </w:pPr>
    </w:p>
    <w:p>
      <w:pPr>
        <w:pStyle w:val="Heading2"/>
        <w:ind w:left="1743" w:right="1322"/>
      </w:pPr>
      <w:bookmarkStart w:name="_bookmark1" w:id="2"/>
      <w:bookmarkEnd w:id="2"/>
      <w:r>
        <w:rPr>
          <w:b w:val="0"/>
        </w:rPr>
      </w:r>
      <w:r>
        <w:rPr/>
        <w:t>HALAMAN </w:t>
      </w:r>
      <w:r>
        <w:rPr>
          <w:spacing w:val="-2"/>
        </w:rPr>
        <w:t>PENGESAHAN</w:t>
      </w:r>
    </w:p>
    <w:p>
      <w:pPr>
        <w:pStyle w:val="BodyText"/>
        <w:spacing w:before="189"/>
        <w:rPr>
          <w:b/>
          <w:sz w:val="20"/>
        </w:rPr>
      </w:pPr>
      <w:r>
        <w:rPr>
          <w:b/>
          <w:sz w:val="20"/>
        </w:rPr>
        <w:drawing>
          <wp:anchor distT="0" distB="0" distL="0" distR="0" allowOverlap="1" layoutInCell="1" locked="0" behindDoc="1" simplePos="0" relativeHeight="487588352">
            <wp:simplePos x="0" y="0"/>
            <wp:positionH relativeFrom="page">
              <wp:posOffset>406400</wp:posOffset>
            </wp:positionH>
            <wp:positionV relativeFrom="paragraph">
              <wp:posOffset>281339</wp:posOffset>
            </wp:positionV>
            <wp:extent cx="6800339" cy="719632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800339" cy="7196328"/>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spacing w:before="95"/>
        <w:rPr>
          <w:b/>
        </w:rPr>
      </w:pPr>
    </w:p>
    <w:p>
      <w:pPr>
        <w:pStyle w:val="BodyText"/>
        <w:ind w:left="2650" w:right="2216"/>
        <w:jc w:val="center"/>
      </w:pPr>
      <w:r>
        <w:rPr>
          <w:spacing w:val="-5"/>
        </w:rPr>
        <w:t>ii</w:t>
      </w:r>
    </w:p>
    <w:p>
      <w:pPr>
        <w:pStyle w:val="BodyText"/>
        <w:spacing w:after="0"/>
        <w:jc w:val="center"/>
        <w:sectPr>
          <w:pgSz w:w="11910" w:h="16840"/>
          <w:pgMar w:top="1940" w:bottom="280" w:left="566" w:right="425"/>
        </w:sectPr>
      </w:pPr>
    </w:p>
    <w:p>
      <w:pPr>
        <w:pStyle w:val="BodyText"/>
        <w:spacing w:before="5"/>
        <w:rPr>
          <w:sz w:val="28"/>
        </w:rPr>
      </w:pPr>
    </w:p>
    <w:p>
      <w:pPr>
        <w:pStyle w:val="Heading2"/>
        <w:ind w:left="1743" w:right="1322"/>
      </w:pPr>
      <w:bookmarkStart w:name="_bookmark2" w:id="3"/>
      <w:bookmarkEnd w:id="3"/>
      <w:r>
        <w:rPr>
          <w:b w:val="0"/>
        </w:rPr>
      </w:r>
      <w:r>
        <w:rPr/>
        <w:t>DAFTAR</w:t>
      </w:r>
      <w:r>
        <w:rPr>
          <w:spacing w:val="-2"/>
        </w:rPr>
        <w:t> </w:t>
      </w:r>
      <w:r>
        <w:rPr>
          <w:spacing w:val="-5"/>
        </w:rPr>
        <w:t>ISI</w:t>
      </w:r>
    </w:p>
    <w:p>
      <w:pPr>
        <w:pStyle w:val="Heading3"/>
        <w:spacing w:before="27"/>
        <w:ind w:left="0" w:right="1277" w:firstLine="0"/>
        <w:jc w:val="right"/>
      </w:pPr>
      <w:r>
        <w:rPr>
          <w:spacing w:val="-2"/>
        </w:rPr>
        <w:t>Halaman</w:t>
      </w:r>
    </w:p>
    <w:p>
      <w:pPr>
        <w:tabs>
          <w:tab w:pos="9631" w:val="right" w:leader="dot"/>
        </w:tabs>
        <w:spacing w:before="177"/>
        <w:ind w:left="1702" w:right="0" w:firstLine="0"/>
        <w:jc w:val="left"/>
        <w:rPr>
          <w:sz w:val="24"/>
        </w:rPr>
      </w:pPr>
      <w:hyperlink w:history="true" w:anchor="_bookmark0">
        <w:r>
          <w:rPr>
            <w:b/>
            <w:sz w:val="24"/>
          </w:rPr>
          <w:t>HALAMAN</w:t>
        </w:r>
        <w:r>
          <w:rPr>
            <w:b/>
            <w:spacing w:val="-9"/>
            <w:sz w:val="24"/>
          </w:rPr>
          <w:t> </w:t>
        </w:r>
        <w:r>
          <w:rPr>
            <w:b/>
            <w:spacing w:val="-4"/>
            <w:sz w:val="24"/>
          </w:rPr>
          <w:t>JUDUL</w:t>
        </w:r>
        <w:r>
          <w:rPr>
            <w:b/>
            <w:sz w:val="24"/>
          </w:rPr>
          <w:tab/>
        </w:r>
        <w:r>
          <w:rPr>
            <w:spacing w:val="-10"/>
            <w:sz w:val="24"/>
          </w:rPr>
          <w:t>i</w:t>
        </w:r>
      </w:hyperlink>
    </w:p>
    <w:p>
      <w:pPr>
        <w:tabs>
          <w:tab w:pos="9636" w:val="right" w:leader="dot"/>
        </w:tabs>
        <w:spacing w:before="124"/>
        <w:ind w:left="1702" w:right="0" w:firstLine="0"/>
        <w:jc w:val="left"/>
        <w:rPr>
          <w:sz w:val="24"/>
        </w:rPr>
      </w:pPr>
      <w:hyperlink w:history="true" w:anchor="_bookmark1">
        <w:r>
          <w:rPr>
            <w:b/>
            <w:sz w:val="24"/>
          </w:rPr>
          <w:t>HALAMAN</w:t>
        </w:r>
        <w:r>
          <w:rPr>
            <w:b/>
            <w:spacing w:val="-7"/>
            <w:sz w:val="24"/>
          </w:rPr>
          <w:t> </w:t>
        </w:r>
        <w:r>
          <w:rPr>
            <w:b/>
            <w:spacing w:val="-2"/>
            <w:sz w:val="24"/>
          </w:rPr>
          <w:t>PENGESAHAN</w:t>
        </w:r>
        <w:r>
          <w:rPr>
            <w:b/>
            <w:sz w:val="24"/>
          </w:rPr>
          <w:tab/>
        </w:r>
        <w:r>
          <w:rPr>
            <w:spacing w:val="-5"/>
            <w:sz w:val="24"/>
          </w:rPr>
          <w:t>ii</w:t>
        </w:r>
      </w:hyperlink>
    </w:p>
    <w:p>
      <w:pPr>
        <w:tabs>
          <w:tab w:pos="9636" w:val="right" w:leader="dot"/>
        </w:tabs>
        <w:spacing w:before="120"/>
        <w:ind w:left="1702" w:right="0" w:firstLine="0"/>
        <w:jc w:val="left"/>
        <w:rPr>
          <w:sz w:val="24"/>
        </w:rPr>
      </w:pPr>
      <w:hyperlink w:history="true" w:anchor="_bookmark2">
        <w:r>
          <w:rPr>
            <w:b/>
            <w:sz w:val="24"/>
          </w:rPr>
          <w:t>DAFTAR</w:t>
        </w:r>
        <w:r>
          <w:rPr>
            <w:b/>
            <w:spacing w:val="-7"/>
            <w:sz w:val="24"/>
          </w:rPr>
          <w:t> </w:t>
        </w:r>
        <w:r>
          <w:rPr>
            <w:b/>
            <w:spacing w:val="-5"/>
            <w:sz w:val="24"/>
          </w:rPr>
          <w:t>ISI</w:t>
        </w:r>
        <w:r>
          <w:rPr>
            <w:b/>
            <w:sz w:val="24"/>
          </w:rPr>
          <w:tab/>
        </w:r>
        <w:r>
          <w:rPr>
            <w:spacing w:val="-5"/>
            <w:sz w:val="24"/>
          </w:rPr>
          <w:t>iii</w:t>
        </w:r>
      </w:hyperlink>
    </w:p>
    <w:p>
      <w:pPr>
        <w:tabs>
          <w:tab w:pos="9623" w:val="right" w:leader="dot"/>
        </w:tabs>
        <w:spacing w:before="124"/>
        <w:ind w:left="1702" w:right="0" w:firstLine="0"/>
        <w:jc w:val="left"/>
        <w:rPr>
          <w:sz w:val="24"/>
        </w:rPr>
      </w:pPr>
      <w:hyperlink w:history="true" w:anchor="_bookmark3">
        <w:r>
          <w:rPr>
            <w:b/>
            <w:sz w:val="24"/>
          </w:rPr>
          <w:t>DAFTAR</w:t>
        </w:r>
        <w:r>
          <w:rPr>
            <w:b/>
            <w:spacing w:val="-7"/>
            <w:sz w:val="24"/>
          </w:rPr>
          <w:t> </w:t>
        </w:r>
        <w:r>
          <w:rPr>
            <w:b/>
            <w:spacing w:val="-2"/>
            <w:sz w:val="24"/>
          </w:rPr>
          <w:t>TABEL</w:t>
        </w:r>
        <w:r>
          <w:rPr>
            <w:b/>
            <w:sz w:val="24"/>
          </w:rPr>
          <w:tab/>
        </w:r>
        <w:r>
          <w:rPr>
            <w:spacing w:val="-5"/>
            <w:sz w:val="24"/>
          </w:rPr>
          <w:t>vi</w:t>
        </w:r>
      </w:hyperlink>
    </w:p>
    <w:p>
      <w:pPr>
        <w:tabs>
          <w:tab w:pos="9631" w:val="right" w:leader="dot"/>
        </w:tabs>
        <w:spacing w:before="120"/>
        <w:ind w:left="1702" w:right="0" w:firstLine="0"/>
        <w:jc w:val="left"/>
        <w:rPr>
          <w:sz w:val="24"/>
        </w:rPr>
      </w:pPr>
      <w:hyperlink w:history="true" w:anchor="_bookmark4">
        <w:r>
          <w:rPr>
            <w:b/>
            <w:sz w:val="24"/>
          </w:rPr>
          <w:t>DAFTAR</w:t>
        </w:r>
        <w:r>
          <w:rPr>
            <w:b/>
            <w:spacing w:val="-3"/>
            <w:sz w:val="24"/>
          </w:rPr>
          <w:t> </w:t>
        </w:r>
        <w:r>
          <w:rPr>
            <w:b/>
            <w:spacing w:val="-2"/>
            <w:sz w:val="24"/>
          </w:rPr>
          <w:t>GAMBAR</w:t>
        </w:r>
        <w:r>
          <w:rPr>
            <w:b/>
            <w:sz w:val="24"/>
          </w:rPr>
          <w:tab/>
        </w:r>
        <w:r>
          <w:rPr>
            <w:spacing w:val="-5"/>
            <w:sz w:val="24"/>
          </w:rPr>
          <w:t>vii</w:t>
        </w:r>
      </w:hyperlink>
    </w:p>
    <w:p>
      <w:pPr>
        <w:tabs>
          <w:tab w:pos="9630" w:val="right" w:leader="dot"/>
        </w:tabs>
        <w:spacing w:before="124"/>
        <w:ind w:left="1702" w:right="0" w:firstLine="0"/>
        <w:jc w:val="left"/>
        <w:rPr>
          <w:sz w:val="24"/>
        </w:rPr>
      </w:pPr>
      <w:hyperlink w:history="true" w:anchor="_bookmark5">
        <w:r>
          <w:rPr>
            <w:b/>
            <w:sz w:val="24"/>
          </w:rPr>
          <w:t>DAFTAR</w:t>
        </w:r>
        <w:r>
          <w:rPr>
            <w:b/>
            <w:spacing w:val="-7"/>
            <w:sz w:val="24"/>
          </w:rPr>
          <w:t> </w:t>
        </w:r>
        <w:r>
          <w:rPr>
            <w:b/>
            <w:spacing w:val="-2"/>
            <w:sz w:val="24"/>
          </w:rPr>
          <w:t>SINGKATAN</w:t>
        </w:r>
        <w:r>
          <w:rPr>
            <w:b/>
            <w:sz w:val="24"/>
          </w:rPr>
          <w:tab/>
        </w:r>
        <w:r>
          <w:rPr>
            <w:spacing w:val="-4"/>
            <w:sz w:val="24"/>
          </w:rPr>
          <w:t>viii</w:t>
        </w:r>
      </w:hyperlink>
    </w:p>
    <w:p>
      <w:pPr>
        <w:tabs>
          <w:tab w:pos="9634" w:val="right" w:leader="dot"/>
        </w:tabs>
        <w:spacing w:before="120"/>
        <w:ind w:left="1702" w:right="0" w:firstLine="0"/>
        <w:jc w:val="left"/>
        <w:rPr>
          <w:sz w:val="24"/>
        </w:rPr>
      </w:pPr>
      <w:hyperlink w:history="true" w:anchor="_bookmark6">
        <w:r>
          <w:rPr>
            <w:b/>
            <w:sz w:val="24"/>
          </w:rPr>
          <w:t>DAFTAR</w:t>
        </w:r>
        <w:r>
          <w:rPr>
            <w:b/>
            <w:spacing w:val="-7"/>
            <w:sz w:val="24"/>
          </w:rPr>
          <w:t> </w:t>
        </w:r>
        <w:r>
          <w:rPr>
            <w:b/>
            <w:spacing w:val="-2"/>
            <w:sz w:val="24"/>
          </w:rPr>
          <w:t>LAMPIRAN</w:t>
        </w:r>
        <w:r>
          <w:rPr>
            <w:b/>
            <w:sz w:val="24"/>
          </w:rPr>
          <w:tab/>
        </w:r>
        <w:r>
          <w:rPr>
            <w:spacing w:val="-5"/>
            <w:sz w:val="24"/>
          </w:rPr>
          <w:t>ix</w:t>
        </w:r>
      </w:hyperlink>
    </w:p>
    <w:p>
      <w:pPr>
        <w:tabs>
          <w:tab w:pos="9632" w:val="right" w:leader="dot"/>
        </w:tabs>
        <w:spacing w:before="124"/>
        <w:ind w:left="1702" w:right="0" w:firstLine="0"/>
        <w:jc w:val="left"/>
        <w:rPr>
          <w:sz w:val="24"/>
        </w:rPr>
      </w:pPr>
      <w:hyperlink w:history="true" w:anchor="_bookmark7">
        <w:r>
          <w:rPr>
            <w:b/>
            <w:sz w:val="24"/>
          </w:rPr>
          <w:t>BAB</w:t>
        </w:r>
        <w:r>
          <w:rPr>
            <w:b/>
            <w:spacing w:val="-1"/>
            <w:sz w:val="24"/>
          </w:rPr>
          <w:t> </w:t>
        </w:r>
        <w:r>
          <w:rPr>
            <w:b/>
            <w:sz w:val="24"/>
          </w:rPr>
          <w:t>1</w:t>
        </w:r>
        <w:r>
          <w:rPr>
            <w:b/>
            <w:spacing w:val="-1"/>
            <w:sz w:val="24"/>
          </w:rPr>
          <w:t> </w:t>
        </w:r>
        <w:r>
          <w:rPr>
            <w:b/>
            <w:spacing w:val="-2"/>
            <w:sz w:val="24"/>
          </w:rPr>
          <w:t>PENDAHULUAN</w:t>
        </w:r>
        <w:r>
          <w:rPr>
            <w:b/>
            <w:sz w:val="24"/>
          </w:rPr>
          <w:tab/>
        </w:r>
        <w:r>
          <w:rPr>
            <w:spacing w:val="-10"/>
            <w:sz w:val="24"/>
          </w:rPr>
          <w:t>1</w:t>
        </w:r>
      </w:hyperlink>
    </w:p>
    <w:p>
      <w:pPr>
        <w:pStyle w:val="ListParagraph"/>
        <w:numPr>
          <w:ilvl w:val="1"/>
          <w:numId w:val="1"/>
        </w:numPr>
        <w:tabs>
          <w:tab w:pos="2802" w:val="left" w:leader="none"/>
          <w:tab w:pos="9640" w:val="right" w:leader="dot"/>
        </w:tabs>
        <w:spacing w:line="240" w:lineRule="auto" w:before="120" w:after="0"/>
        <w:ind w:left="2802" w:right="0" w:hanging="859"/>
        <w:jc w:val="left"/>
        <w:rPr>
          <w:sz w:val="24"/>
        </w:rPr>
      </w:pPr>
      <w:hyperlink w:history="true" w:anchor="_bookmark8">
        <w:r>
          <w:rPr>
            <w:sz w:val="24"/>
          </w:rPr>
          <w:t>Latar</w:t>
        </w:r>
        <w:r>
          <w:rPr>
            <w:spacing w:val="-2"/>
            <w:sz w:val="24"/>
          </w:rPr>
          <w:t> Belakang</w:t>
        </w:r>
        <w:r>
          <w:rPr>
            <w:sz w:val="24"/>
          </w:rPr>
          <w:tab/>
        </w:r>
        <w:r>
          <w:rPr>
            <w:spacing w:val="-10"/>
            <w:sz w:val="24"/>
          </w:rPr>
          <w:t>1</w:t>
        </w:r>
      </w:hyperlink>
    </w:p>
    <w:p>
      <w:pPr>
        <w:pStyle w:val="ListParagraph"/>
        <w:numPr>
          <w:ilvl w:val="1"/>
          <w:numId w:val="1"/>
        </w:numPr>
        <w:tabs>
          <w:tab w:pos="2802" w:val="left" w:leader="none"/>
          <w:tab w:pos="9640" w:val="right" w:leader="dot"/>
        </w:tabs>
        <w:spacing w:line="240" w:lineRule="auto" w:before="120" w:after="0"/>
        <w:ind w:left="2802" w:right="0" w:hanging="859"/>
        <w:jc w:val="left"/>
        <w:rPr>
          <w:sz w:val="24"/>
        </w:rPr>
      </w:pPr>
      <w:hyperlink w:history="true" w:anchor="_bookmark9">
        <w:r>
          <w:rPr>
            <w:sz w:val="24"/>
          </w:rPr>
          <w:t>Rumusan</w:t>
        </w:r>
        <w:r>
          <w:rPr>
            <w:spacing w:val="-1"/>
            <w:sz w:val="24"/>
          </w:rPr>
          <w:t> </w:t>
        </w:r>
        <w:r>
          <w:rPr>
            <w:spacing w:val="-2"/>
            <w:sz w:val="24"/>
          </w:rPr>
          <w:t>Masalah</w:t>
        </w:r>
        <w:r>
          <w:rPr>
            <w:sz w:val="24"/>
          </w:rPr>
          <w:tab/>
        </w:r>
        <w:r>
          <w:rPr>
            <w:spacing w:val="-10"/>
            <w:sz w:val="24"/>
          </w:rPr>
          <w:t>9</w:t>
        </w:r>
      </w:hyperlink>
    </w:p>
    <w:p>
      <w:pPr>
        <w:pStyle w:val="ListParagraph"/>
        <w:numPr>
          <w:ilvl w:val="1"/>
          <w:numId w:val="1"/>
        </w:numPr>
        <w:tabs>
          <w:tab w:pos="2802" w:val="left" w:leader="none"/>
          <w:tab w:pos="9640" w:val="right" w:leader="dot"/>
        </w:tabs>
        <w:spacing w:line="240" w:lineRule="auto" w:before="125" w:after="0"/>
        <w:ind w:left="2802" w:right="0" w:hanging="859"/>
        <w:jc w:val="left"/>
        <w:rPr>
          <w:sz w:val="24"/>
        </w:rPr>
      </w:pPr>
      <w:hyperlink w:history="true" w:anchor="_bookmark10">
        <w:r>
          <w:rPr>
            <w:sz w:val="24"/>
          </w:rPr>
          <w:t>Tujuan</w:t>
        </w:r>
        <w:r>
          <w:rPr>
            <w:spacing w:val="3"/>
            <w:sz w:val="24"/>
          </w:rPr>
          <w:t> </w:t>
        </w:r>
        <w:r>
          <w:rPr>
            <w:spacing w:val="-2"/>
            <w:sz w:val="24"/>
          </w:rPr>
          <w:t>Penelitian</w:t>
        </w:r>
        <w:r>
          <w:rPr>
            <w:sz w:val="24"/>
          </w:rPr>
          <w:tab/>
        </w:r>
        <w:r>
          <w:rPr>
            <w:spacing w:val="-10"/>
            <w:sz w:val="24"/>
          </w:rPr>
          <w:t>9</w:t>
        </w:r>
      </w:hyperlink>
    </w:p>
    <w:p>
      <w:pPr>
        <w:pStyle w:val="ListParagraph"/>
        <w:numPr>
          <w:ilvl w:val="1"/>
          <w:numId w:val="1"/>
        </w:numPr>
        <w:tabs>
          <w:tab w:pos="2802" w:val="left" w:leader="none"/>
          <w:tab w:pos="9640" w:val="right" w:leader="dot"/>
        </w:tabs>
        <w:spacing w:line="240" w:lineRule="auto" w:before="120" w:after="0"/>
        <w:ind w:left="2802" w:right="0" w:hanging="859"/>
        <w:jc w:val="left"/>
        <w:rPr>
          <w:sz w:val="24"/>
        </w:rPr>
      </w:pPr>
      <w:hyperlink w:history="true" w:anchor="_bookmark11">
        <w:r>
          <w:rPr>
            <w:sz w:val="24"/>
          </w:rPr>
          <w:t>Manfaat</w:t>
        </w:r>
        <w:r>
          <w:rPr>
            <w:spacing w:val="1"/>
            <w:sz w:val="24"/>
          </w:rPr>
          <w:t> </w:t>
        </w:r>
        <w:r>
          <w:rPr>
            <w:spacing w:val="-2"/>
            <w:sz w:val="24"/>
          </w:rPr>
          <w:t>Penelitian</w:t>
        </w:r>
        <w:r>
          <w:rPr>
            <w:sz w:val="24"/>
          </w:rPr>
          <w:tab/>
        </w:r>
        <w:r>
          <w:rPr>
            <w:spacing w:val="-10"/>
            <w:sz w:val="24"/>
          </w:rPr>
          <w:t>9</w:t>
        </w:r>
      </w:hyperlink>
    </w:p>
    <w:p>
      <w:pPr>
        <w:pStyle w:val="ListParagraph"/>
        <w:numPr>
          <w:ilvl w:val="2"/>
          <w:numId w:val="1"/>
        </w:numPr>
        <w:tabs>
          <w:tab w:pos="2802" w:val="left" w:leader="none"/>
          <w:tab w:pos="9640" w:val="right" w:leader="dot"/>
        </w:tabs>
        <w:spacing w:line="240" w:lineRule="auto" w:before="124" w:after="0"/>
        <w:ind w:left="2802" w:right="0" w:hanging="859"/>
        <w:jc w:val="left"/>
        <w:rPr>
          <w:sz w:val="24"/>
        </w:rPr>
      </w:pPr>
      <w:hyperlink w:history="true" w:anchor="_bookmark12">
        <w:r>
          <w:rPr>
            <w:sz w:val="24"/>
          </w:rPr>
          <w:t>Manfaat</w:t>
        </w:r>
        <w:r>
          <w:rPr>
            <w:spacing w:val="1"/>
            <w:sz w:val="24"/>
          </w:rPr>
          <w:t> </w:t>
        </w:r>
        <w:r>
          <w:rPr>
            <w:spacing w:val="-2"/>
            <w:sz w:val="24"/>
          </w:rPr>
          <w:t>Teoritis</w:t>
        </w:r>
        <w:r>
          <w:rPr>
            <w:sz w:val="24"/>
          </w:rPr>
          <w:tab/>
        </w:r>
        <w:r>
          <w:rPr>
            <w:spacing w:val="-10"/>
            <w:sz w:val="24"/>
          </w:rPr>
          <w:t>9</w:t>
        </w:r>
      </w:hyperlink>
    </w:p>
    <w:p>
      <w:pPr>
        <w:pStyle w:val="ListParagraph"/>
        <w:numPr>
          <w:ilvl w:val="2"/>
          <w:numId w:val="1"/>
        </w:numPr>
        <w:tabs>
          <w:tab w:pos="2802" w:val="left" w:leader="none"/>
          <w:tab w:pos="9640" w:val="right" w:leader="dot"/>
        </w:tabs>
        <w:spacing w:line="240" w:lineRule="auto" w:before="120" w:after="0"/>
        <w:ind w:left="2802" w:right="0" w:hanging="859"/>
        <w:jc w:val="left"/>
        <w:rPr>
          <w:sz w:val="24"/>
        </w:rPr>
      </w:pPr>
      <w:hyperlink w:history="true" w:anchor="_bookmark13">
        <w:r>
          <w:rPr>
            <w:sz w:val="24"/>
          </w:rPr>
          <w:t>Manfaat</w:t>
        </w:r>
        <w:r>
          <w:rPr>
            <w:spacing w:val="1"/>
            <w:sz w:val="24"/>
          </w:rPr>
          <w:t> </w:t>
        </w:r>
        <w:r>
          <w:rPr>
            <w:spacing w:val="-2"/>
            <w:sz w:val="24"/>
          </w:rPr>
          <w:t>Praktis</w:t>
        </w:r>
        <w:r>
          <w:rPr>
            <w:sz w:val="24"/>
          </w:rPr>
          <w:tab/>
        </w:r>
        <w:r>
          <w:rPr>
            <w:spacing w:val="-5"/>
            <w:sz w:val="24"/>
          </w:rPr>
          <w:t>10</w:t>
        </w:r>
      </w:hyperlink>
    </w:p>
    <w:p>
      <w:pPr>
        <w:tabs>
          <w:tab w:pos="9632" w:val="right" w:leader="dot"/>
        </w:tabs>
        <w:spacing w:before="124"/>
        <w:ind w:left="1702" w:right="0" w:firstLine="0"/>
        <w:jc w:val="left"/>
        <w:rPr>
          <w:sz w:val="24"/>
        </w:rPr>
      </w:pPr>
      <w:hyperlink w:history="true" w:anchor="_bookmark14">
        <w:r>
          <w:rPr>
            <w:b/>
            <w:sz w:val="24"/>
          </w:rPr>
          <w:t>BAB</w:t>
        </w:r>
        <w:r>
          <w:rPr>
            <w:b/>
            <w:spacing w:val="-3"/>
            <w:sz w:val="24"/>
          </w:rPr>
          <w:t> </w:t>
        </w:r>
        <w:r>
          <w:rPr>
            <w:b/>
            <w:sz w:val="24"/>
          </w:rPr>
          <w:t>II</w:t>
        </w:r>
        <w:r>
          <w:rPr>
            <w:b/>
            <w:spacing w:val="-1"/>
            <w:sz w:val="24"/>
          </w:rPr>
          <w:t> </w:t>
        </w:r>
        <w:r>
          <w:rPr>
            <w:b/>
            <w:sz w:val="24"/>
          </w:rPr>
          <w:t>KAJIAN</w:t>
        </w:r>
        <w:r>
          <w:rPr>
            <w:b/>
            <w:spacing w:val="-4"/>
            <w:sz w:val="24"/>
          </w:rPr>
          <w:t> </w:t>
        </w:r>
        <w:r>
          <w:rPr>
            <w:b/>
            <w:spacing w:val="-2"/>
            <w:sz w:val="24"/>
          </w:rPr>
          <w:t>PUSTAKA</w:t>
        </w:r>
        <w:r>
          <w:rPr>
            <w:b/>
            <w:sz w:val="24"/>
          </w:rPr>
          <w:tab/>
        </w:r>
        <w:r>
          <w:rPr>
            <w:spacing w:val="-5"/>
            <w:sz w:val="24"/>
          </w:rPr>
          <w:t>11</w:t>
        </w:r>
      </w:hyperlink>
    </w:p>
    <w:p>
      <w:pPr>
        <w:pStyle w:val="ListParagraph"/>
        <w:numPr>
          <w:ilvl w:val="1"/>
          <w:numId w:val="2"/>
        </w:numPr>
        <w:tabs>
          <w:tab w:pos="2802" w:val="left" w:leader="none"/>
          <w:tab w:pos="9640" w:val="right" w:leader="dot"/>
        </w:tabs>
        <w:spacing w:line="240" w:lineRule="auto" w:before="120" w:after="0"/>
        <w:ind w:left="2802" w:right="0" w:hanging="859"/>
        <w:jc w:val="left"/>
        <w:rPr>
          <w:sz w:val="24"/>
        </w:rPr>
      </w:pPr>
      <w:hyperlink w:history="true" w:anchor="_bookmark15">
        <w:r>
          <w:rPr>
            <w:sz w:val="24"/>
          </w:rPr>
          <w:t>Landasan</w:t>
        </w:r>
        <w:r>
          <w:rPr>
            <w:spacing w:val="-8"/>
            <w:sz w:val="24"/>
          </w:rPr>
          <w:t> </w:t>
        </w:r>
        <w:r>
          <w:rPr>
            <w:spacing w:val="-2"/>
            <w:sz w:val="24"/>
          </w:rPr>
          <w:t>Teori</w:t>
        </w:r>
        <w:r>
          <w:rPr>
            <w:sz w:val="24"/>
          </w:rPr>
          <w:tab/>
        </w:r>
        <w:r>
          <w:rPr>
            <w:spacing w:val="-5"/>
            <w:sz w:val="24"/>
          </w:rPr>
          <w:t>11</w:t>
        </w:r>
      </w:hyperlink>
    </w:p>
    <w:p>
      <w:pPr>
        <w:pStyle w:val="ListParagraph"/>
        <w:numPr>
          <w:ilvl w:val="2"/>
          <w:numId w:val="2"/>
        </w:numPr>
        <w:tabs>
          <w:tab w:pos="2802" w:val="left" w:leader="none"/>
          <w:tab w:pos="9640" w:val="right" w:leader="dot"/>
        </w:tabs>
        <w:spacing w:line="240" w:lineRule="auto" w:before="124" w:after="0"/>
        <w:ind w:left="2802" w:right="0" w:hanging="859"/>
        <w:jc w:val="left"/>
        <w:rPr>
          <w:sz w:val="24"/>
        </w:rPr>
      </w:pPr>
      <w:hyperlink w:history="true" w:anchor="_bookmark16">
        <w:r>
          <w:rPr>
            <w:sz w:val="24"/>
          </w:rPr>
          <w:t>Stakeholder</w:t>
        </w:r>
        <w:r>
          <w:rPr>
            <w:spacing w:val="-3"/>
            <w:sz w:val="24"/>
          </w:rPr>
          <w:t> </w:t>
        </w:r>
        <w:r>
          <w:rPr>
            <w:spacing w:val="-2"/>
            <w:sz w:val="24"/>
          </w:rPr>
          <w:t>Theory</w:t>
        </w:r>
        <w:r>
          <w:rPr>
            <w:sz w:val="24"/>
          </w:rPr>
          <w:tab/>
        </w:r>
        <w:r>
          <w:rPr>
            <w:spacing w:val="-5"/>
            <w:sz w:val="24"/>
          </w:rPr>
          <w:t>11</w:t>
        </w:r>
      </w:hyperlink>
    </w:p>
    <w:p>
      <w:pPr>
        <w:pStyle w:val="ListParagraph"/>
        <w:numPr>
          <w:ilvl w:val="2"/>
          <w:numId w:val="2"/>
        </w:numPr>
        <w:tabs>
          <w:tab w:pos="2802" w:val="left" w:leader="none"/>
          <w:tab w:pos="9640" w:val="right" w:leader="dot"/>
        </w:tabs>
        <w:spacing w:line="240" w:lineRule="auto" w:before="121" w:after="0"/>
        <w:ind w:left="2802" w:right="0" w:hanging="859"/>
        <w:jc w:val="left"/>
        <w:rPr>
          <w:sz w:val="24"/>
        </w:rPr>
      </w:pPr>
      <w:hyperlink w:history="true" w:anchor="_bookmark17">
        <w:r>
          <w:rPr>
            <w:sz w:val="24"/>
          </w:rPr>
          <w:t>Sustainability</w:t>
        </w:r>
        <w:r>
          <w:rPr>
            <w:spacing w:val="-10"/>
            <w:sz w:val="24"/>
          </w:rPr>
          <w:t> </w:t>
        </w:r>
        <w:r>
          <w:rPr>
            <w:sz w:val="24"/>
          </w:rPr>
          <w:t>Assurance</w:t>
        </w:r>
        <w:r>
          <w:rPr>
            <w:spacing w:val="-3"/>
            <w:sz w:val="24"/>
          </w:rPr>
          <w:t> </w:t>
        </w:r>
        <w:r>
          <w:rPr>
            <w:spacing w:val="-2"/>
            <w:sz w:val="24"/>
          </w:rPr>
          <w:t>Quality</w:t>
        </w:r>
        <w:r>
          <w:rPr>
            <w:sz w:val="24"/>
          </w:rPr>
          <w:tab/>
        </w:r>
        <w:r>
          <w:rPr>
            <w:spacing w:val="-5"/>
            <w:sz w:val="24"/>
          </w:rPr>
          <w:t>13</w:t>
        </w:r>
      </w:hyperlink>
    </w:p>
    <w:p>
      <w:pPr>
        <w:pStyle w:val="ListParagraph"/>
        <w:numPr>
          <w:ilvl w:val="2"/>
          <w:numId w:val="2"/>
        </w:numPr>
        <w:tabs>
          <w:tab w:pos="2802" w:val="left" w:leader="none"/>
          <w:tab w:pos="9640" w:val="right" w:leader="dot"/>
        </w:tabs>
        <w:spacing w:line="240" w:lineRule="auto" w:before="124" w:after="0"/>
        <w:ind w:left="2802" w:right="0" w:hanging="859"/>
        <w:jc w:val="left"/>
        <w:rPr>
          <w:sz w:val="24"/>
        </w:rPr>
      </w:pPr>
      <w:hyperlink w:history="true" w:anchor="_bookmark18">
        <w:r>
          <w:rPr>
            <w:spacing w:val="-2"/>
            <w:sz w:val="24"/>
          </w:rPr>
          <w:t>Leverage</w:t>
        </w:r>
        <w:r>
          <w:rPr>
            <w:sz w:val="24"/>
          </w:rPr>
          <w:tab/>
        </w:r>
        <w:r>
          <w:rPr>
            <w:spacing w:val="-5"/>
            <w:sz w:val="24"/>
          </w:rPr>
          <w:t>15</w:t>
        </w:r>
      </w:hyperlink>
    </w:p>
    <w:p>
      <w:pPr>
        <w:pStyle w:val="ListParagraph"/>
        <w:numPr>
          <w:ilvl w:val="2"/>
          <w:numId w:val="2"/>
        </w:numPr>
        <w:tabs>
          <w:tab w:pos="2802" w:val="left" w:leader="none"/>
          <w:tab w:pos="9640" w:val="right" w:leader="dot"/>
        </w:tabs>
        <w:spacing w:line="240" w:lineRule="auto" w:before="120" w:after="0"/>
        <w:ind w:left="2802" w:right="0" w:hanging="859"/>
        <w:jc w:val="left"/>
        <w:rPr>
          <w:sz w:val="24"/>
        </w:rPr>
      </w:pPr>
      <w:hyperlink w:history="true" w:anchor="_bookmark19">
        <w:r>
          <w:rPr>
            <w:sz w:val="24"/>
          </w:rPr>
          <w:t>Debt</w:t>
        </w:r>
        <w:r>
          <w:rPr>
            <w:spacing w:val="-1"/>
            <w:sz w:val="24"/>
          </w:rPr>
          <w:t> </w:t>
        </w:r>
        <w:r>
          <w:rPr>
            <w:spacing w:val="-2"/>
            <w:sz w:val="24"/>
          </w:rPr>
          <w:t>Maturity</w:t>
        </w:r>
        <w:r>
          <w:rPr>
            <w:sz w:val="24"/>
          </w:rPr>
          <w:tab/>
        </w:r>
        <w:r>
          <w:rPr>
            <w:spacing w:val="-5"/>
            <w:sz w:val="24"/>
          </w:rPr>
          <w:t>17</w:t>
        </w:r>
      </w:hyperlink>
    </w:p>
    <w:p>
      <w:pPr>
        <w:pStyle w:val="ListParagraph"/>
        <w:numPr>
          <w:ilvl w:val="2"/>
          <w:numId w:val="2"/>
        </w:numPr>
        <w:tabs>
          <w:tab w:pos="2802" w:val="left" w:leader="none"/>
          <w:tab w:pos="9640" w:val="right" w:leader="dot"/>
        </w:tabs>
        <w:spacing w:line="240" w:lineRule="auto" w:before="120" w:after="0"/>
        <w:ind w:left="2802" w:right="0" w:hanging="859"/>
        <w:jc w:val="left"/>
        <w:rPr>
          <w:sz w:val="24"/>
        </w:rPr>
      </w:pPr>
      <w:hyperlink w:history="true" w:anchor="_bookmark20">
        <w:r>
          <w:rPr>
            <w:sz w:val="24"/>
          </w:rPr>
          <w:t>Assurance</w:t>
        </w:r>
        <w:r>
          <w:rPr>
            <w:spacing w:val="-3"/>
            <w:sz w:val="24"/>
          </w:rPr>
          <w:t> </w:t>
        </w:r>
        <w:r>
          <w:rPr>
            <w:spacing w:val="-2"/>
            <w:sz w:val="24"/>
          </w:rPr>
          <w:t>tenure</w:t>
        </w:r>
        <w:r>
          <w:rPr>
            <w:sz w:val="24"/>
          </w:rPr>
          <w:tab/>
        </w:r>
        <w:r>
          <w:rPr>
            <w:spacing w:val="-5"/>
            <w:sz w:val="24"/>
          </w:rPr>
          <w:t>19</w:t>
        </w:r>
      </w:hyperlink>
    </w:p>
    <w:p>
      <w:pPr>
        <w:pStyle w:val="ListParagraph"/>
        <w:numPr>
          <w:ilvl w:val="1"/>
          <w:numId w:val="2"/>
        </w:numPr>
        <w:tabs>
          <w:tab w:pos="2802" w:val="left" w:leader="none"/>
          <w:tab w:pos="9640" w:val="right" w:leader="dot"/>
        </w:tabs>
        <w:spacing w:line="240" w:lineRule="auto" w:before="124" w:after="0"/>
        <w:ind w:left="2802" w:right="0" w:hanging="859"/>
        <w:jc w:val="left"/>
        <w:rPr>
          <w:sz w:val="24"/>
        </w:rPr>
      </w:pPr>
      <w:hyperlink w:history="true" w:anchor="_bookmark21">
        <w:r>
          <w:rPr>
            <w:sz w:val="24"/>
          </w:rPr>
          <w:t>Penelitian</w:t>
        </w:r>
        <w:r>
          <w:rPr>
            <w:spacing w:val="-2"/>
            <w:sz w:val="24"/>
          </w:rPr>
          <w:t> Terdahulu</w:t>
        </w:r>
        <w:r>
          <w:rPr>
            <w:sz w:val="24"/>
          </w:rPr>
          <w:tab/>
        </w:r>
        <w:r>
          <w:rPr>
            <w:spacing w:val="-5"/>
            <w:sz w:val="24"/>
          </w:rPr>
          <w:t>20</w:t>
        </w:r>
      </w:hyperlink>
    </w:p>
    <w:p>
      <w:pPr>
        <w:pStyle w:val="ListParagraph"/>
        <w:numPr>
          <w:ilvl w:val="1"/>
          <w:numId w:val="3"/>
        </w:numPr>
        <w:tabs>
          <w:tab w:pos="2802" w:val="left" w:leader="none"/>
          <w:tab w:pos="9640" w:val="right" w:leader="dot"/>
        </w:tabs>
        <w:spacing w:line="240" w:lineRule="auto" w:before="120" w:after="0"/>
        <w:ind w:left="2802" w:right="0" w:hanging="859"/>
        <w:jc w:val="left"/>
        <w:rPr>
          <w:sz w:val="24"/>
        </w:rPr>
      </w:pPr>
      <w:hyperlink w:history="true" w:anchor="_bookmark23">
        <w:r>
          <w:rPr>
            <w:sz w:val="24"/>
          </w:rPr>
          <w:t>Kerangka</w:t>
        </w:r>
        <w:r>
          <w:rPr>
            <w:spacing w:val="-1"/>
            <w:sz w:val="24"/>
          </w:rPr>
          <w:t> </w:t>
        </w:r>
        <w:r>
          <w:rPr>
            <w:spacing w:val="-2"/>
            <w:sz w:val="24"/>
          </w:rPr>
          <w:t>Konseptual</w:t>
        </w:r>
        <w:r>
          <w:rPr>
            <w:sz w:val="24"/>
          </w:rPr>
          <w:tab/>
        </w:r>
        <w:r>
          <w:rPr>
            <w:spacing w:val="-5"/>
            <w:sz w:val="24"/>
          </w:rPr>
          <w:t>21</w:t>
        </w:r>
      </w:hyperlink>
    </w:p>
    <w:p>
      <w:pPr>
        <w:pStyle w:val="ListParagraph"/>
        <w:numPr>
          <w:ilvl w:val="1"/>
          <w:numId w:val="3"/>
        </w:numPr>
        <w:tabs>
          <w:tab w:pos="2802" w:val="left" w:leader="none"/>
          <w:tab w:pos="9640" w:val="right" w:leader="dot"/>
        </w:tabs>
        <w:spacing w:line="240" w:lineRule="auto" w:before="124" w:after="0"/>
        <w:ind w:left="2802" w:right="0" w:hanging="859"/>
        <w:jc w:val="left"/>
        <w:rPr>
          <w:sz w:val="24"/>
        </w:rPr>
      </w:pPr>
      <w:hyperlink w:history="true" w:anchor="_bookmark25">
        <w:r>
          <w:rPr>
            <w:sz w:val="24"/>
          </w:rPr>
          <w:t>Pengembangan</w:t>
        </w:r>
        <w:r>
          <w:rPr>
            <w:spacing w:val="-5"/>
            <w:sz w:val="24"/>
          </w:rPr>
          <w:t> </w:t>
        </w:r>
        <w:r>
          <w:rPr>
            <w:spacing w:val="-2"/>
            <w:sz w:val="24"/>
          </w:rPr>
          <w:t>Hipotesis</w:t>
        </w:r>
        <w:r>
          <w:rPr>
            <w:sz w:val="24"/>
          </w:rPr>
          <w:tab/>
        </w:r>
        <w:r>
          <w:rPr>
            <w:spacing w:val="-5"/>
            <w:sz w:val="24"/>
          </w:rPr>
          <w:t>23</w:t>
        </w:r>
      </w:hyperlink>
    </w:p>
    <w:p>
      <w:pPr>
        <w:pStyle w:val="ListParagraph"/>
        <w:numPr>
          <w:ilvl w:val="2"/>
          <w:numId w:val="3"/>
        </w:numPr>
        <w:tabs>
          <w:tab w:pos="2802" w:val="left" w:leader="none"/>
          <w:tab w:pos="9640" w:val="right" w:leader="dot"/>
        </w:tabs>
        <w:spacing w:line="240" w:lineRule="auto" w:before="120" w:after="0"/>
        <w:ind w:left="2802" w:right="0" w:hanging="859"/>
        <w:jc w:val="left"/>
        <w:rPr>
          <w:sz w:val="24"/>
        </w:rPr>
      </w:pPr>
      <w:hyperlink w:history="true" w:anchor="_bookmark26">
        <w:r>
          <w:rPr>
            <w:sz w:val="24"/>
          </w:rPr>
          <w:t>Pengaruh</w:t>
        </w:r>
        <w:r>
          <w:rPr>
            <w:spacing w:val="-3"/>
            <w:sz w:val="24"/>
          </w:rPr>
          <w:t> </w:t>
        </w:r>
        <w:r>
          <w:rPr>
            <w:sz w:val="24"/>
          </w:rPr>
          <w:t>Leverage</w:t>
        </w:r>
        <w:r>
          <w:rPr>
            <w:spacing w:val="-5"/>
            <w:sz w:val="24"/>
          </w:rPr>
          <w:t> </w:t>
        </w:r>
        <w:r>
          <w:rPr>
            <w:sz w:val="24"/>
          </w:rPr>
          <w:t>terhadap</w:t>
        </w:r>
        <w:r>
          <w:rPr>
            <w:spacing w:val="-6"/>
            <w:sz w:val="24"/>
          </w:rPr>
          <w:t> </w:t>
        </w:r>
        <w:r>
          <w:rPr>
            <w:sz w:val="24"/>
          </w:rPr>
          <w:t>Sustainability</w:t>
        </w:r>
        <w:r>
          <w:rPr>
            <w:spacing w:val="-7"/>
            <w:sz w:val="24"/>
          </w:rPr>
          <w:t> </w:t>
        </w:r>
        <w:r>
          <w:rPr>
            <w:sz w:val="24"/>
          </w:rPr>
          <w:t>Assurance</w:t>
        </w:r>
        <w:r>
          <w:rPr>
            <w:spacing w:val="-4"/>
            <w:sz w:val="24"/>
          </w:rPr>
          <w:t> </w:t>
        </w:r>
        <w:r>
          <w:rPr>
            <w:spacing w:val="-2"/>
            <w:sz w:val="24"/>
          </w:rPr>
          <w:t>Quality</w:t>
        </w:r>
        <w:r>
          <w:rPr>
            <w:sz w:val="24"/>
          </w:rPr>
          <w:tab/>
        </w:r>
        <w:r>
          <w:rPr>
            <w:spacing w:val="-5"/>
            <w:sz w:val="24"/>
          </w:rPr>
          <w:t>23</w:t>
        </w:r>
      </w:hyperlink>
    </w:p>
    <w:p>
      <w:pPr>
        <w:pStyle w:val="ListParagraph"/>
        <w:numPr>
          <w:ilvl w:val="2"/>
          <w:numId w:val="3"/>
        </w:numPr>
        <w:tabs>
          <w:tab w:pos="2802" w:val="left" w:leader="none"/>
          <w:tab w:pos="9640" w:val="right" w:leader="dot"/>
        </w:tabs>
        <w:spacing w:line="240" w:lineRule="auto" w:before="124" w:after="0"/>
        <w:ind w:left="2802" w:right="0" w:hanging="859"/>
        <w:jc w:val="left"/>
        <w:rPr>
          <w:sz w:val="24"/>
        </w:rPr>
      </w:pPr>
      <w:hyperlink w:history="true" w:anchor="_bookmark27">
        <w:r>
          <w:rPr>
            <w:sz w:val="24"/>
          </w:rPr>
          <w:t>Pengaruh</w:t>
        </w:r>
        <w:r>
          <w:rPr>
            <w:spacing w:val="-3"/>
            <w:sz w:val="24"/>
          </w:rPr>
          <w:t> </w:t>
        </w:r>
        <w:r>
          <w:rPr>
            <w:sz w:val="24"/>
          </w:rPr>
          <w:t>Debt</w:t>
        </w:r>
        <w:r>
          <w:rPr>
            <w:spacing w:val="-2"/>
            <w:sz w:val="24"/>
          </w:rPr>
          <w:t> </w:t>
        </w:r>
        <w:r>
          <w:rPr>
            <w:sz w:val="24"/>
          </w:rPr>
          <w:t>Maturity</w:t>
        </w:r>
        <w:r>
          <w:rPr>
            <w:spacing w:val="-10"/>
            <w:sz w:val="24"/>
          </w:rPr>
          <w:t> </w:t>
        </w:r>
        <w:r>
          <w:rPr>
            <w:sz w:val="24"/>
          </w:rPr>
          <w:t>terhadap</w:t>
        </w:r>
        <w:r>
          <w:rPr>
            <w:spacing w:val="-2"/>
            <w:sz w:val="24"/>
          </w:rPr>
          <w:t> </w:t>
        </w:r>
        <w:r>
          <w:rPr>
            <w:sz w:val="24"/>
          </w:rPr>
          <w:t>Sustainability</w:t>
        </w:r>
        <w:r>
          <w:rPr>
            <w:spacing w:val="-7"/>
            <w:sz w:val="24"/>
          </w:rPr>
          <w:t> </w:t>
        </w:r>
        <w:r>
          <w:rPr>
            <w:sz w:val="24"/>
          </w:rPr>
          <w:t>Assurance</w:t>
        </w:r>
        <w:r>
          <w:rPr>
            <w:spacing w:val="-1"/>
            <w:sz w:val="24"/>
          </w:rPr>
          <w:t> </w:t>
        </w:r>
        <w:r>
          <w:rPr>
            <w:spacing w:val="-2"/>
            <w:sz w:val="24"/>
          </w:rPr>
          <w:t>Quality</w:t>
        </w:r>
        <w:r>
          <w:rPr>
            <w:sz w:val="24"/>
          </w:rPr>
          <w:tab/>
        </w:r>
        <w:r>
          <w:rPr>
            <w:spacing w:val="-5"/>
            <w:sz w:val="24"/>
          </w:rPr>
          <w:t>25</w:t>
        </w:r>
      </w:hyperlink>
    </w:p>
    <w:p>
      <w:pPr>
        <w:pStyle w:val="ListParagraph"/>
        <w:numPr>
          <w:ilvl w:val="2"/>
          <w:numId w:val="3"/>
        </w:numPr>
        <w:tabs>
          <w:tab w:pos="2798" w:val="left" w:leader="none"/>
        </w:tabs>
        <w:spacing w:line="240" w:lineRule="auto" w:before="121" w:after="0"/>
        <w:ind w:left="2798" w:right="0" w:hanging="855"/>
        <w:jc w:val="left"/>
        <w:rPr>
          <w:sz w:val="24"/>
        </w:rPr>
      </w:pPr>
      <w:hyperlink w:history="true" w:anchor="_bookmark28">
        <w:r>
          <w:rPr>
            <w:sz w:val="24"/>
          </w:rPr>
          <w:t>Pengaruh</w:t>
        </w:r>
        <w:r>
          <w:rPr>
            <w:spacing w:val="-3"/>
            <w:sz w:val="24"/>
          </w:rPr>
          <w:t> </w:t>
        </w:r>
        <w:r>
          <w:rPr>
            <w:sz w:val="24"/>
          </w:rPr>
          <w:t>Assurance</w:t>
        </w:r>
        <w:r>
          <w:rPr>
            <w:spacing w:val="-3"/>
            <w:sz w:val="24"/>
          </w:rPr>
          <w:t> </w:t>
        </w:r>
        <w:r>
          <w:rPr>
            <w:sz w:val="24"/>
          </w:rPr>
          <w:t>Tenure</w:t>
        </w:r>
        <w:r>
          <w:rPr>
            <w:spacing w:val="-3"/>
            <w:sz w:val="24"/>
          </w:rPr>
          <w:t> </w:t>
        </w:r>
        <w:r>
          <w:rPr>
            <w:sz w:val="24"/>
          </w:rPr>
          <w:t>terhadap</w:t>
        </w:r>
        <w:r>
          <w:rPr>
            <w:spacing w:val="-3"/>
            <w:sz w:val="24"/>
          </w:rPr>
          <w:t> </w:t>
        </w:r>
        <w:r>
          <w:rPr>
            <w:sz w:val="24"/>
          </w:rPr>
          <w:t>Sustainability</w:t>
        </w:r>
        <w:r>
          <w:rPr>
            <w:spacing w:val="-8"/>
            <w:sz w:val="24"/>
          </w:rPr>
          <w:t> </w:t>
        </w:r>
        <w:r>
          <w:rPr>
            <w:spacing w:val="-2"/>
            <w:sz w:val="24"/>
          </w:rPr>
          <w:t>Assurance</w:t>
        </w:r>
      </w:hyperlink>
    </w:p>
    <w:p>
      <w:pPr>
        <w:pStyle w:val="BodyText"/>
        <w:tabs>
          <w:tab w:pos="9640" w:val="right" w:leader="dot"/>
        </w:tabs>
        <w:spacing w:before="24"/>
        <w:ind w:left="2799"/>
      </w:pPr>
      <w:hyperlink w:history="true" w:anchor="_bookmark28">
        <w:r>
          <w:rPr>
            <w:spacing w:val="-2"/>
          </w:rPr>
          <w:t>Quality</w:t>
        </w:r>
        <w:r>
          <w:rPr/>
          <w:tab/>
        </w:r>
        <w:r>
          <w:rPr>
            <w:spacing w:val="-5"/>
          </w:rPr>
          <w:t>26</w:t>
        </w:r>
      </w:hyperlink>
    </w:p>
    <w:p>
      <w:pPr>
        <w:pStyle w:val="BodyText"/>
      </w:pPr>
    </w:p>
    <w:p>
      <w:pPr>
        <w:pStyle w:val="BodyText"/>
      </w:pPr>
    </w:p>
    <w:p>
      <w:pPr>
        <w:pStyle w:val="BodyText"/>
      </w:pPr>
    </w:p>
    <w:p>
      <w:pPr>
        <w:pStyle w:val="BodyText"/>
      </w:pPr>
    </w:p>
    <w:p>
      <w:pPr>
        <w:pStyle w:val="BodyText"/>
        <w:spacing w:before="192"/>
      </w:pPr>
    </w:p>
    <w:p>
      <w:pPr>
        <w:pStyle w:val="BodyText"/>
        <w:ind w:left="2646" w:right="2216"/>
        <w:jc w:val="center"/>
      </w:pPr>
      <w:r>
        <w:rPr>
          <w:spacing w:val="-5"/>
        </w:rPr>
        <w:t>iii</w:t>
      </w:r>
    </w:p>
    <w:p>
      <w:pPr>
        <w:pStyle w:val="BodyText"/>
        <w:spacing w:after="0"/>
        <w:jc w:val="center"/>
        <w:sectPr>
          <w:pgSz w:w="11910" w:h="16840"/>
          <w:pgMar w:top="1940" w:bottom="280" w:left="566" w:right="425"/>
        </w:sectPr>
      </w:pPr>
    </w:p>
    <w:sdt>
      <w:sdtPr>
        <w:docPartObj>
          <w:docPartGallery w:val="Table of Contents"/>
          <w:docPartUnique/>
        </w:docPartObj>
      </w:sdtPr>
      <w:sdtEndPr/>
      <w:sdtContent>
        <w:p>
          <w:pPr>
            <w:pStyle w:val="TOC1"/>
            <w:tabs>
              <w:tab w:pos="9632" w:val="right" w:leader="dot"/>
            </w:tabs>
            <w:spacing w:before="324"/>
            <w:rPr>
              <w:b w:val="0"/>
            </w:rPr>
          </w:pPr>
          <w:hyperlink w:history="true" w:anchor="_bookmark30">
            <w:r>
              <w:rPr/>
              <w:t>BAB</w:t>
            </w:r>
            <w:r>
              <w:rPr>
                <w:spacing w:val="-3"/>
              </w:rPr>
              <w:t> </w:t>
            </w:r>
            <w:r>
              <w:rPr/>
              <w:t>III</w:t>
            </w:r>
            <w:r>
              <w:rPr>
                <w:spacing w:val="-4"/>
              </w:rPr>
              <w:t> </w:t>
            </w:r>
            <w:r>
              <w:rPr/>
              <w:t>METODE</w:t>
            </w:r>
            <w:r>
              <w:rPr>
                <w:spacing w:val="-2"/>
              </w:rPr>
              <w:t> PENELITIAN</w:t>
            </w:r>
            <w:r>
              <w:rPr/>
              <w:tab/>
            </w:r>
            <w:r>
              <w:rPr>
                <w:b w:val="0"/>
                <w:spacing w:val="-5"/>
              </w:rPr>
              <w:t>28</w:t>
            </w:r>
          </w:hyperlink>
        </w:p>
        <w:p>
          <w:pPr>
            <w:pStyle w:val="TOC2"/>
            <w:numPr>
              <w:ilvl w:val="1"/>
              <w:numId w:val="4"/>
            </w:numPr>
            <w:tabs>
              <w:tab w:pos="2802" w:val="left" w:leader="none"/>
              <w:tab w:pos="9640" w:val="right" w:leader="dot"/>
            </w:tabs>
            <w:spacing w:line="240" w:lineRule="auto" w:before="120" w:after="0"/>
            <w:ind w:left="2802" w:right="0" w:hanging="859"/>
            <w:jc w:val="left"/>
          </w:pPr>
          <w:hyperlink w:history="true" w:anchor="_bookmark31">
            <w:r>
              <w:rPr/>
              <w:t>Definisi</w:t>
            </w:r>
            <w:r>
              <w:rPr>
                <w:spacing w:val="-2"/>
              </w:rPr>
              <w:t> Operasional</w:t>
            </w:r>
            <w:r>
              <w:rPr/>
              <w:tab/>
            </w:r>
            <w:r>
              <w:rPr>
                <w:spacing w:val="-5"/>
              </w:rPr>
              <w:t>28</w:t>
            </w:r>
          </w:hyperlink>
        </w:p>
        <w:p>
          <w:pPr>
            <w:pStyle w:val="TOC2"/>
            <w:numPr>
              <w:ilvl w:val="2"/>
              <w:numId w:val="4"/>
            </w:numPr>
            <w:tabs>
              <w:tab w:pos="2802" w:val="left" w:leader="none"/>
              <w:tab w:pos="9640" w:val="right" w:leader="dot"/>
            </w:tabs>
            <w:spacing w:line="240" w:lineRule="auto" w:before="125" w:after="0"/>
            <w:ind w:left="2802" w:right="0" w:hanging="859"/>
            <w:jc w:val="left"/>
          </w:pPr>
          <w:hyperlink w:history="true" w:anchor="_bookmark32">
            <w:r>
              <w:rPr/>
              <w:t>Variabel </w:t>
            </w:r>
            <w:r>
              <w:rPr>
                <w:spacing w:val="-2"/>
              </w:rPr>
              <w:t>Dependen</w:t>
            </w:r>
            <w:r>
              <w:rPr/>
              <w:tab/>
            </w:r>
            <w:r>
              <w:rPr>
                <w:spacing w:val="-5"/>
              </w:rPr>
              <w:t>28</w:t>
            </w:r>
          </w:hyperlink>
        </w:p>
        <w:p>
          <w:pPr>
            <w:pStyle w:val="TOC2"/>
            <w:numPr>
              <w:ilvl w:val="2"/>
              <w:numId w:val="4"/>
            </w:numPr>
            <w:tabs>
              <w:tab w:pos="2802" w:val="left" w:leader="none"/>
              <w:tab w:pos="9640" w:val="right" w:leader="dot"/>
            </w:tabs>
            <w:spacing w:line="240" w:lineRule="auto" w:before="120" w:after="0"/>
            <w:ind w:left="2802" w:right="0" w:hanging="859"/>
            <w:jc w:val="left"/>
          </w:pPr>
          <w:hyperlink w:history="true" w:anchor="_bookmark34">
            <w:r>
              <w:rPr/>
              <w:t>Variabel</w:t>
            </w:r>
            <w:r>
              <w:rPr>
                <w:spacing w:val="2"/>
              </w:rPr>
              <w:t> </w:t>
            </w:r>
            <w:r>
              <w:rPr>
                <w:spacing w:val="-2"/>
              </w:rPr>
              <w:t>Independen</w:t>
            </w:r>
            <w:r>
              <w:rPr/>
              <w:tab/>
            </w:r>
            <w:r>
              <w:rPr>
                <w:spacing w:val="-5"/>
              </w:rPr>
              <w:t>30</w:t>
            </w:r>
          </w:hyperlink>
        </w:p>
        <w:p>
          <w:pPr>
            <w:pStyle w:val="TOC2"/>
            <w:numPr>
              <w:ilvl w:val="3"/>
              <w:numId w:val="4"/>
            </w:numPr>
            <w:tabs>
              <w:tab w:pos="2803" w:val="left" w:leader="none"/>
              <w:tab w:pos="9640" w:val="right" w:leader="dot"/>
            </w:tabs>
            <w:spacing w:line="240" w:lineRule="auto" w:before="124" w:after="0"/>
            <w:ind w:left="2803" w:right="0" w:hanging="860"/>
            <w:jc w:val="left"/>
          </w:pPr>
          <w:hyperlink w:history="true" w:anchor="_bookmark35">
            <w:r>
              <w:rPr>
                <w:spacing w:val="-2"/>
              </w:rPr>
              <w:t>Leverage</w:t>
            </w:r>
            <w:r>
              <w:rPr/>
              <w:tab/>
            </w:r>
            <w:r>
              <w:rPr>
                <w:spacing w:val="-5"/>
              </w:rPr>
              <w:t>31</w:t>
            </w:r>
          </w:hyperlink>
        </w:p>
        <w:p>
          <w:pPr>
            <w:pStyle w:val="TOC2"/>
            <w:numPr>
              <w:ilvl w:val="3"/>
              <w:numId w:val="4"/>
            </w:numPr>
            <w:tabs>
              <w:tab w:pos="2803" w:val="left" w:leader="none"/>
              <w:tab w:pos="9640" w:val="right" w:leader="dot"/>
            </w:tabs>
            <w:spacing w:line="240" w:lineRule="auto" w:before="120" w:after="0"/>
            <w:ind w:left="2803" w:right="0" w:hanging="860"/>
            <w:jc w:val="left"/>
          </w:pPr>
          <w:hyperlink w:history="true" w:anchor="_bookmark36">
            <w:r>
              <w:rPr/>
              <w:t>Debt </w:t>
            </w:r>
            <w:r>
              <w:rPr>
                <w:spacing w:val="-2"/>
              </w:rPr>
              <w:t>Maturity</w:t>
            </w:r>
            <w:r>
              <w:rPr/>
              <w:tab/>
            </w:r>
            <w:r>
              <w:rPr>
                <w:spacing w:val="-5"/>
              </w:rPr>
              <w:t>31</w:t>
            </w:r>
          </w:hyperlink>
        </w:p>
        <w:p>
          <w:pPr>
            <w:pStyle w:val="TOC2"/>
            <w:numPr>
              <w:ilvl w:val="3"/>
              <w:numId w:val="5"/>
            </w:numPr>
            <w:tabs>
              <w:tab w:pos="2803" w:val="left" w:leader="none"/>
              <w:tab w:pos="9640" w:val="right" w:leader="dot"/>
            </w:tabs>
            <w:spacing w:line="240" w:lineRule="auto" w:before="124" w:after="0"/>
            <w:ind w:left="2803" w:right="0" w:hanging="860"/>
            <w:jc w:val="left"/>
          </w:pPr>
          <w:hyperlink w:history="true" w:anchor="_bookmark37">
            <w:r>
              <w:rPr/>
              <w:t>Assurance</w:t>
            </w:r>
            <w:r>
              <w:rPr>
                <w:spacing w:val="-3"/>
              </w:rPr>
              <w:t> </w:t>
            </w:r>
            <w:r>
              <w:rPr>
                <w:spacing w:val="-2"/>
              </w:rPr>
              <w:t>Tenure</w:t>
            </w:r>
            <w:r>
              <w:rPr/>
              <w:tab/>
            </w:r>
            <w:r>
              <w:rPr>
                <w:spacing w:val="-5"/>
              </w:rPr>
              <w:t>32</w:t>
            </w:r>
          </w:hyperlink>
        </w:p>
        <w:p>
          <w:pPr>
            <w:pStyle w:val="TOC2"/>
            <w:numPr>
              <w:ilvl w:val="1"/>
              <w:numId w:val="4"/>
            </w:numPr>
            <w:tabs>
              <w:tab w:pos="2802" w:val="left" w:leader="none"/>
              <w:tab w:pos="9640" w:val="right" w:leader="dot"/>
            </w:tabs>
            <w:spacing w:line="240" w:lineRule="auto" w:before="120" w:after="0"/>
            <w:ind w:left="2802" w:right="0" w:hanging="859"/>
            <w:jc w:val="left"/>
          </w:pPr>
          <w:hyperlink w:history="true" w:anchor="_bookmark38">
            <w:r>
              <w:rPr/>
              <w:t>Populasi</w:t>
            </w:r>
            <w:r>
              <w:rPr>
                <w:spacing w:val="-1"/>
              </w:rPr>
              <w:t> </w:t>
            </w:r>
            <w:r>
              <w:rPr/>
              <w:t>dan</w:t>
            </w:r>
            <w:r>
              <w:rPr>
                <w:spacing w:val="-1"/>
              </w:rPr>
              <w:t> </w:t>
            </w:r>
            <w:r>
              <w:rPr>
                <w:spacing w:val="-2"/>
              </w:rPr>
              <w:t>Sampel</w:t>
            </w:r>
            <w:r>
              <w:rPr/>
              <w:tab/>
            </w:r>
            <w:r>
              <w:rPr>
                <w:spacing w:val="-5"/>
              </w:rPr>
              <w:t>33</w:t>
            </w:r>
          </w:hyperlink>
        </w:p>
        <w:p>
          <w:pPr>
            <w:pStyle w:val="TOC2"/>
            <w:numPr>
              <w:ilvl w:val="2"/>
              <w:numId w:val="4"/>
            </w:numPr>
            <w:tabs>
              <w:tab w:pos="2802" w:val="left" w:leader="none"/>
              <w:tab w:pos="9640" w:val="right" w:leader="dot"/>
            </w:tabs>
            <w:spacing w:line="240" w:lineRule="auto" w:before="124" w:after="0"/>
            <w:ind w:left="2802" w:right="0" w:hanging="859"/>
            <w:jc w:val="left"/>
          </w:pPr>
          <w:hyperlink w:history="true" w:anchor="_bookmark39">
            <w:r>
              <w:rPr>
                <w:spacing w:val="-2"/>
              </w:rPr>
              <w:t>Populasi</w:t>
            </w:r>
            <w:r>
              <w:rPr/>
              <w:tab/>
            </w:r>
            <w:r>
              <w:rPr>
                <w:spacing w:val="-5"/>
              </w:rPr>
              <w:t>33</w:t>
            </w:r>
          </w:hyperlink>
        </w:p>
        <w:p>
          <w:pPr>
            <w:pStyle w:val="TOC2"/>
            <w:numPr>
              <w:ilvl w:val="2"/>
              <w:numId w:val="4"/>
            </w:numPr>
            <w:tabs>
              <w:tab w:pos="2802" w:val="left" w:leader="none"/>
              <w:tab w:pos="9640" w:val="right" w:leader="dot"/>
            </w:tabs>
            <w:spacing w:line="240" w:lineRule="auto" w:before="120" w:after="0"/>
            <w:ind w:left="2802" w:right="0" w:hanging="859"/>
            <w:jc w:val="left"/>
          </w:pPr>
          <w:hyperlink w:history="true" w:anchor="_bookmark40">
            <w:r>
              <w:rPr>
                <w:spacing w:val="-2"/>
              </w:rPr>
              <w:t>Sampel</w:t>
            </w:r>
            <w:r>
              <w:rPr/>
              <w:tab/>
            </w:r>
            <w:r>
              <w:rPr>
                <w:spacing w:val="-5"/>
              </w:rPr>
              <w:t>33</w:t>
            </w:r>
          </w:hyperlink>
        </w:p>
        <w:p>
          <w:pPr>
            <w:pStyle w:val="TOC2"/>
            <w:numPr>
              <w:ilvl w:val="1"/>
              <w:numId w:val="4"/>
            </w:numPr>
            <w:tabs>
              <w:tab w:pos="2802" w:val="left" w:leader="none"/>
              <w:tab w:pos="9640" w:val="right" w:leader="dot"/>
            </w:tabs>
            <w:spacing w:line="240" w:lineRule="auto" w:before="124" w:after="0"/>
            <w:ind w:left="2802" w:right="0" w:hanging="859"/>
            <w:jc w:val="left"/>
          </w:pPr>
          <w:hyperlink w:history="true" w:anchor="_bookmark42">
            <w:r>
              <w:rPr/>
              <w:t>Jenis</w:t>
            </w:r>
            <w:r>
              <w:rPr>
                <w:spacing w:val="-5"/>
              </w:rPr>
              <w:t> </w:t>
            </w:r>
            <w:r>
              <w:rPr/>
              <w:t>dan</w:t>
            </w:r>
            <w:r>
              <w:rPr>
                <w:spacing w:val="-1"/>
              </w:rPr>
              <w:t> </w:t>
            </w:r>
            <w:r>
              <w:rPr/>
              <w:t>Sumber </w:t>
            </w:r>
            <w:r>
              <w:rPr>
                <w:spacing w:val="-4"/>
              </w:rPr>
              <w:t>Data</w:t>
            </w:r>
            <w:r>
              <w:rPr/>
              <w:tab/>
            </w:r>
            <w:r>
              <w:rPr>
                <w:spacing w:val="-5"/>
              </w:rPr>
              <w:t>34</w:t>
            </w:r>
          </w:hyperlink>
        </w:p>
        <w:p>
          <w:pPr>
            <w:pStyle w:val="TOC2"/>
            <w:numPr>
              <w:ilvl w:val="1"/>
              <w:numId w:val="4"/>
            </w:numPr>
            <w:tabs>
              <w:tab w:pos="2802" w:val="left" w:leader="none"/>
              <w:tab w:pos="9640" w:val="right" w:leader="dot"/>
            </w:tabs>
            <w:spacing w:line="240" w:lineRule="auto" w:before="120" w:after="0"/>
            <w:ind w:left="2802" w:right="0" w:hanging="859"/>
            <w:jc w:val="left"/>
          </w:pPr>
          <w:hyperlink w:history="true" w:anchor="_bookmark43">
            <w:r>
              <w:rPr/>
              <w:t>Metode</w:t>
            </w:r>
            <w:r>
              <w:rPr>
                <w:spacing w:val="-3"/>
              </w:rPr>
              <w:t> </w:t>
            </w:r>
            <w:r>
              <w:rPr/>
              <w:t>Pengumpulan</w:t>
            </w:r>
            <w:r>
              <w:rPr>
                <w:spacing w:val="-2"/>
              </w:rPr>
              <w:t> </w:t>
            </w:r>
            <w:r>
              <w:rPr>
                <w:spacing w:val="-4"/>
              </w:rPr>
              <w:t>Data</w:t>
            </w:r>
            <w:r>
              <w:rPr/>
              <w:tab/>
            </w:r>
            <w:r>
              <w:rPr>
                <w:spacing w:val="-5"/>
              </w:rPr>
              <w:t>35</w:t>
            </w:r>
          </w:hyperlink>
        </w:p>
        <w:p>
          <w:pPr>
            <w:pStyle w:val="TOC2"/>
            <w:numPr>
              <w:ilvl w:val="1"/>
              <w:numId w:val="4"/>
            </w:numPr>
            <w:tabs>
              <w:tab w:pos="2802" w:val="left" w:leader="none"/>
              <w:tab w:pos="9640" w:val="right" w:leader="dot"/>
            </w:tabs>
            <w:spacing w:line="240" w:lineRule="auto" w:before="121" w:after="0"/>
            <w:ind w:left="2802" w:right="0" w:hanging="859"/>
            <w:jc w:val="left"/>
          </w:pPr>
          <w:hyperlink w:history="true" w:anchor="_bookmark44">
            <w:r>
              <w:rPr/>
              <w:t>Alat</w:t>
            </w:r>
            <w:r>
              <w:rPr>
                <w:spacing w:val="-5"/>
              </w:rPr>
              <w:t> </w:t>
            </w:r>
            <w:r>
              <w:rPr/>
              <w:t>Analisis</w:t>
            </w:r>
            <w:r>
              <w:rPr>
                <w:spacing w:val="-7"/>
              </w:rPr>
              <w:t> </w:t>
            </w:r>
            <w:r>
              <w:rPr>
                <w:spacing w:val="-4"/>
              </w:rPr>
              <w:t>Data</w:t>
            </w:r>
            <w:r>
              <w:rPr/>
              <w:tab/>
            </w:r>
            <w:r>
              <w:rPr>
                <w:spacing w:val="-5"/>
              </w:rPr>
              <w:t>35</w:t>
            </w:r>
          </w:hyperlink>
        </w:p>
        <w:p>
          <w:pPr>
            <w:pStyle w:val="TOC2"/>
            <w:numPr>
              <w:ilvl w:val="1"/>
              <w:numId w:val="4"/>
            </w:numPr>
            <w:tabs>
              <w:tab w:pos="2802" w:val="left" w:leader="none"/>
              <w:tab w:pos="9640" w:val="right" w:leader="dot"/>
            </w:tabs>
            <w:spacing w:line="240" w:lineRule="auto" w:before="124" w:after="0"/>
            <w:ind w:left="2802" w:right="0" w:hanging="859"/>
            <w:jc w:val="left"/>
          </w:pPr>
          <w:hyperlink w:history="true" w:anchor="_bookmark45">
            <w:r>
              <w:rPr/>
              <w:t>Teknik</w:t>
            </w:r>
            <w:r>
              <w:rPr>
                <w:spacing w:val="-3"/>
              </w:rPr>
              <w:t> </w:t>
            </w:r>
            <w:r>
              <w:rPr/>
              <w:t>Analisis</w:t>
            </w:r>
            <w:r>
              <w:rPr>
                <w:spacing w:val="-4"/>
              </w:rPr>
              <w:t> Data</w:t>
            </w:r>
            <w:r>
              <w:rPr/>
              <w:tab/>
            </w:r>
            <w:r>
              <w:rPr>
                <w:spacing w:val="-5"/>
              </w:rPr>
              <w:t>36</w:t>
            </w:r>
          </w:hyperlink>
        </w:p>
        <w:p>
          <w:pPr>
            <w:pStyle w:val="TOC2"/>
            <w:numPr>
              <w:ilvl w:val="2"/>
              <w:numId w:val="4"/>
            </w:numPr>
            <w:tabs>
              <w:tab w:pos="2802" w:val="left" w:leader="none"/>
              <w:tab w:pos="9640" w:val="right" w:leader="dot"/>
            </w:tabs>
            <w:spacing w:line="240" w:lineRule="auto" w:before="120" w:after="0"/>
            <w:ind w:left="2802" w:right="0" w:hanging="859"/>
            <w:jc w:val="left"/>
          </w:pPr>
          <w:hyperlink w:history="true" w:anchor="_bookmark46">
            <w:r>
              <w:rPr/>
              <w:t>Analisis</w:t>
            </w:r>
            <w:r>
              <w:rPr>
                <w:spacing w:val="-7"/>
              </w:rPr>
              <w:t> </w:t>
            </w:r>
            <w:r>
              <w:rPr/>
              <w:t>Statistik</w:t>
            </w:r>
            <w:r>
              <w:rPr>
                <w:spacing w:val="-5"/>
              </w:rPr>
              <w:t> </w:t>
            </w:r>
            <w:r>
              <w:rPr>
                <w:spacing w:val="-2"/>
              </w:rPr>
              <w:t>Deskriptif</w:t>
            </w:r>
            <w:r>
              <w:rPr/>
              <w:tab/>
            </w:r>
            <w:r>
              <w:rPr>
                <w:spacing w:val="-5"/>
              </w:rPr>
              <w:t>36</w:t>
            </w:r>
          </w:hyperlink>
        </w:p>
        <w:p>
          <w:pPr>
            <w:pStyle w:val="TOC2"/>
            <w:numPr>
              <w:ilvl w:val="2"/>
              <w:numId w:val="4"/>
            </w:numPr>
            <w:tabs>
              <w:tab w:pos="2802" w:val="left" w:leader="none"/>
              <w:tab w:pos="9640" w:val="right" w:leader="dot"/>
            </w:tabs>
            <w:spacing w:line="240" w:lineRule="auto" w:before="124" w:after="0"/>
            <w:ind w:left="2802" w:right="0" w:hanging="859"/>
            <w:jc w:val="left"/>
          </w:pPr>
          <w:hyperlink w:history="true" w:anchor="_bookmark47">
            <w:r>
              <w:rPr/>
              <w:t>Uji</w:t>
            </w:r>
            <w:r>
              <w:rPr>
                <w:spacing w:val="-6"/>
              </w:rPr>
              <w:t> </w:t>
            </w:r>
            <w:r>
              <w:rPr/>
              <w:t>Asumsi</w:t>
            </w:r>
            <w:r>
              <w:rPr>
                <w:spacing w:val="-2"/>
              </w:rPr>
              <w:t> Klasik</w:t>
            </w:r>
            <w:r>
              <w:rPr/>
              <w:tab/>
            </w:r>
            <w:r>
              <w:rPr>
                <w:spacing w:val="-5"/>
              </w:rPr>
              <w:t>36</w:t>
            </w:r>
          </w:hyperlink>
        </w:p>
        <w:p>
          <w:pPr>
            <w:pStyle w:val="TOC2"/>
            <w:numPr>
              <w:ilvl w:val="3"/>
              <w:numId w:val="4"/>
            </w:numPr>
            <w:tabs>
              <w:tab w:pos="2803" w:val="left" w:leader="none"/>
              <w:tab w:pos="9640" w:val="right" w:leader="dot"/>
            </w:tabs>
            <w:spacing w:line="240" w:lineRule="auto" w:before="120" w:after="0"/>
            <w:ind w:left="2803" w:right="0" w:hanging="860"/>
            <w:jc w:val="left"/>
          </w:pPr>
          <w:hyperlink w:history="true" w:anchor="_bookmark48">
            <w:r>
              <w:rPr/>
              <w:t>Uji</w:t>
            </w:r>
            <w:r>
              <w:rPr>
                <w:spacing w:val="-2"/>
              </w:rPr>
              <w:t> Normalitas</w:t>
            </w:r>
            <w:r>
              <w:rPr/>
              <w:tab/>
            </w:r>
            <w:r>
              <w:rPr>
                <w:spacing w:val="-5"/>
              </w:rPr>
              <w:t>37</w:t>
            </w:r>
          </w:hyperlink>
        </w:p>
        <w:p>
          <w:pPr>
            <w:pStyle w:val="TOC2"/>
            <w:numPr>
              <w:ilvl w:val="3"/>
              <w:numId w:val="4"/>
            </w:numPr>
            <w:tabs>
              <w:tab w:pos="2803" w:val="left" w:leader="none"/>
              <w:tab w:pos="9640" w:val="right" w:leader="dot"/>
            </w:tabs>
            <w:spacing w:line="240" w:lineRule="auto" w:before="124" w:after="0"/>
            <w:ind w:left="2803" w:right="0" w:hanging="860"/>
            <w:jc w:val="left"/>
          </w:pPr>
          <w:hyperlink w:history="true" w:anchor="_bookmark49">
            <w:r>
              <w:rPr/>
              <w:t>Uji</w:t>
            </w:r>
            <w:r>
              <w:rPr>
                <w:spacing w:val="-2"/>
              </w:rPr>
              <w:t> Multikolinieritas</w:t>
            </w:r>
            <w:r>
              <w:rPr/>
              <w:tab/>
            </w:r>
            <w:r>
              <w:rPr>
                <w:spacing w:val="-5"/>
              </w:rPr>
              <w:t>37</w:t>
            </w:r>
          </w:hyperlink>
        </w:p>
        <w:p>
          <w:pPr>
            <w:pStyle w:val="TOC2"/>
            <w:numPr>
              <w:ilvl w:val="3"/>
              <w:numId w:val="4"/>
            </w:numPr>
            <w:tabs>
              <w:tab w:pos="2803" w:val="left" w:leader="none"/>
              <w:tab w:pos="9640" w:val="right" w:leader="dot"/>
            </w:tabs>
            <w:spacing w:line="240" w:lineRule="auto" w:before="120" w:after="0"/>
            <w:ind w:left="2803" w:right="0" w:hanging="860"/>
            <w:jc w:val="left"/>
          </w:pPr>
          <w:hyperlink w:history="true" w:anchor="_bookmark50">
            <w:r>
              <w:rPr/>
              <w:t>Uji</w:t>
            </w:r>
            <w:r>
              <w:rPr>
                <w:spacing w:val="-2"/>
              </w:rPr>
              <w:t> Heteroskedastisitas</w:t>
            </w:r>
            <w:r>
              <w:rPr/>
              <w:tab/>
            </w:r>
            <w:r>
              <w:rPr>
                <w:spacing w:val="-5"/>
              </w:rPr>
              <w:t>37</w:t>
            </w:r>
          </w:hyperlink>
        </w:p>
        <w:p>
          <w:pPr>
            <w:pStyle w:val="TOC2"/>
            <w:numPr>
              <w:ilvl w:val="3"/>
              <w:numId w:val="4"/>
            </w:numPr>
            <w:tabs>
              <w:tab w:pos="2803" w:val="left" w:leader="none"/>
              <w:tab w:pos="9640" w:val="right" w:leader="dot"/>
            </w:tabs>
            <w:spacing w:line="240" w:lineRule="auto" w:before="125" w:after="0"/>
            <w:ind w:left="2803" w:right="0" w:hanging="860"/>
            <w:jc w:val="left"/>
          </w:pPr>
          <w:hyperlink w:history="true" w:anchor="_bookmark51">
            <w:r>
              <w:rPr/>
              <w:t>Uji</w:t>
            </w:r>
            <w:r>
              <w:rPr>
                <w:spacing w:val="-2"/>
              </w:rPr>
              <w:t> Autokorelasi</w:t>
            </w:r>
            <w:r>
              <w:rPr/>
              <w:tab/>
            </w:r>
            <w:r>
              <w:rPr>
                <w:spacing w:val="-5"/>
              </w:rPr>
              <w:t>38</w:t>
            </w:r>
          </w:hyperlink>
        </w:p>
        <w:p>
          <w:pPr>
            <w:pStyle w:val="TOC2"/>
            <w:numPr>
              <w:ilvl w:val="2"/>
              <w:numId w:val="4"/>
            </w:numPr>
            <w:tabs>
              <w:tab w:pos="2802" w:val="left" w:leader="none"/>
              <w:tab w:pos="9640" w:val="right" w:leader="dot"/>
            </w:tabs>
            <w:spacing w:line="240" w:lineRule="auto" w:before="120" w:after="0"/>
            <w:ind w:left="2802" w:right="0" w:hanging="859"/>
            <w:jc w:val="left"/>
          </w:pPr>
          <w:hyperlink w:history="true" w:anchor="_bookmark52">
            <w:r>
              <w:rPr/>
              <w:t>Analisis</w:t>
            </w:r>
            <w:r>
              <w:rPr>
                <w:spacing w:val="-9"/>
              </w:rPr>
              <w:t> </w:t>
            </w:r>
            <w:r>
              <w:rPr/>
              <w:t>Regresi</w:t>
            </w:r>
            <w:r>
              <w:rPr>
                <w:spacing w:val="1"/>
              </w:rPr>
              <w:t> </w:t>
            </w:r>
            <w:r>
              <w:rPr/>
              <w:t>Linear</w:t>
            </w:r>
            <w:r>
              <w:rPr>
                <w:spacing w:val="-4"/>
              </w:rPr>
              <w:t> </w:t>
            </w:r>
            <w:r>
              <w:rPr>
                <w:spacing w:val="-2"/>
              </w:rPr>
              <w:t>Berganda</w:t>
            </w:r>
            <w:r>
              <w:rPr/>
              <w:tab/>
            </w:r>
            <w:r>
              <w:rPr>
                <w:spacing w:val="-5"/>
              </w:rPr>
              <w:t>39</w:t>
            </w:r>
          </w:hyperlink>
        </w:p>
        <w:p>
          <w:pPr>
            <w:pStyle w:val="TOC2"/>
            <w:numPr>
              <w:ilvl w:val="2"/>
              <w:numId w:val="4"/>
            </w:numPr>
            <w:tabs>
              <w:tab w:pos="2802" w:val="left" w:leader="none"/>
              <w:tab w:pos="9640" w:val="right" w:leader="dot"/>
            </w:tabs>
            <w:spacing w:line="240" w:lineRule="auto" w:before="124" w:after="0"/>
            <w:ind w:left="2802" w:right="0" w:hanging="859"/>
            <w:jc w:val="left"/>
          </w:pPr>
          <w:hyperlink w:history="true" w:anchor="_bookmark53">
            <w:r>
              <w:rPr/>
              <w:t>Analisis</w:t>
            </w:r>
            <w:r>
              <w:rPr>
                <w:spacing w:val="-4"/>
              </w:rPr>
              <w:t> </w:t>
            </w:r>
            <w:r>
              <w:rPr/>
              <w:t>Koefisien</w:t>
            </w:r>
            <w:r>
              <w:rPr>
                <w:spacing w:val="-5"/>
              </w:rPr>
              <w:t> </w:t>
            </w:r>
            <w:r>
              <w:rPr/>
              <w:t>Determinan</w:t>
            </w:r>
            <w:r>
              <w:rPr>
                <w:spacing w:val="-4"/>
              </w:rPr>
              <w:t> (R</w:t>
            </w:r>
            <w:r>
              <w:rPr>
                <w:spacing w:val="-4"/>
                <w:vertAlign w:val="superscript"/>
              </w:rPr>
              <w:t>2</w:t>
            </w:r>
            <w:r>
              <w:rPr>
                <w:spacing w:val="-4"/>
                <w:vertAlign w:val="baseline"/>
              </w:rPr>
              <w:t>)</w:t>
            </w:r>
            <w:r>
              <w:rPr>
                <w:vertAlign w:val="baseline"/>
              </w:rPr>
              <w:tab/>
            </w:r>
            <w:r>
              <w:rPr>
                <w:spacing w:val="-5"/>
                <w:vertAlign w:val="baseline"/>
              </w:rPr>
              <w:t>39</w:t>
            </w:r>
          </w:hyperlink>
        </w:p>
        <w:p>
          <w:pPr>
            <w:pStyle w:val="TOC2"/>
            <w:numPr>
              <w:ilvl w:val="2"/>
              <w:numId w:val="4"/>
            </w:numPr>
            <w:tabs>
              <w:tab w:pos="2802" w:val="left" w:leader="none"/>
              <w:tab w:pos="9640" w:val="right" w:leader="dot"/>
            </w:tabs>
            <w:spacing w:line="240" w:lineRule="auto" w:before="120" w:after="0"/>
            <w:ind w:left="2802" w:right="0" w:hanging="859"/>
            <w:jc w:val="left"/>
          </w:pPr>
          <w:hyperlink w:history="true" w:anchor="_bookmark54">
            <w:r>
              <w:rPr/>
              <w:t>Uji</w:t>
            </w:r>
            <w:r>
              <w:rPr>
                <w:spacing w:val="-3"/>
              </w:rPr>
              <w:t> </w:t>
            </w:r>
            <w:r>
              <w:rPr/>
              <w:t>Kelayakan</w:t>
            </w:r>
            <w:r>
              <w:rPr>
                <w:spacing w:val="-3"/>
              </w:rPr>
              <w:t> </w:t>
            </w:r>
            <w:r>
              <w:rPr/>
              <w:t>Model</w:t>
            </w:r>
            <w:r>
              <w:rPr>
                <w:spacing w:val="-3"/>
              </w:rPr>
              <w:t> </w:t>
            </w:r>
            <w:r>
              <w:rPr/>
              <w:t>(Uji</w:t>
            </w:r>
            <w:r>
              <w:rPr>
                <w:spacing w:val="2"/>
              </w:rPr>
              <w:t> </w:t>
            </w:r>
            <w:r>
              <w:rPr>
                <w:spacing w:val="-5"/>
              </w:rPr>
              <w:t>F)</w:t>
            </w:r>
            <w:r>
              <w:rPr/>
              <w:tab/>
            </w:r>
            <w:r>
              <w:rPr>
                <w:spacing w:val="-5"/>
              </w:rPr>
              <w:t>40</w:t>
            </w:r>
          </w:hyperlink>
        </w:p>
        <w:p>
          <w:pPr>
            <w:pStyle w:val="TOC1"/>
            <w:tabs>
              <w:tab w:pos="9632" w:val="right" w:leader="dot"/>
            </w:tabs>
            <w:rPr>
              <w:b w:val="0"/>
            </w:rPr>
          </w:pPr>
          <w:hyperlink w:history="true" w:anchor="_bookmark55">
            <w:r>
              <w:rPr/>
              <w:t>BAB</w:t>
            </w:r>
            <w:r>
              <w:rPr>
                <w:spacing w:val="-2"/>
              </w:rPr>
              <w:t> </w:t>
            </w:r>
            <w:r>
              <w:rPr/>
              <w:t>IV</w:t>
            </w:r>
            <w:r>
              <w:rPr>
                <w:spacing w:val="-3"/>
              </w:rPr>
              <w:t> </w:t>
            </w:r>
            <w:r>
              <w:rPr/>
              <w:t>HASIL</w:t>
            </w:r>
            <w:r>
              <w:rPr>
                <w:spacing w:val="-2"/>
              </w:rPr>
              <w:t> </w:t>
            </w:r>
            <w:r>
              <w:rPr/>
              <w:t>DAN</w:t>
            </w:r>
            <w:r>
              <w:rPr>
                <w:spacing w:val="-3"/>
              </w:rPr>
              <w:t> </w:t>
            </w:r>
            <w:r>
              <w:rPr>
                <w:spacing w:val="-2"/>
              </w:rPr>
              <w:t>PEMBAHASAN</w:t>
            </w:r>
            <w:r>
              <w:rPr/>
              <w:tab/>
            </w:r>
            <w:r>
              <w:rPr>
                <w:b w:val="0"/>
                <w:spacing w:val="-5"/>
              </w:rPr>
              <w:t>41</w:t>
            </w:r>
          </w:hyperlink>
        </w:p>
        <w:p>
          <w:pPr>
            <w:pStyle w:val="TOC2"/>
            <w:numPr>
              <w:ilvl w:val="1"/>
              <w:numId w:val="6"/>
            </w:numPr>
            <w:tabs>
              <w:tab w:pos="2802" w:val="left" w:leader="none"/>
              <w:tab w:pos="9640" w:val="right" w:leader="dot"/>
            </w:tabs>
            <w:spacing w:line="240" w:lineRule="auto" w:before="120" w:after="0"/>
            <w:ind w:left="2802" w:right="0" w:hanging="859"/>
            <w:jc w:val="left"/>
          </w:pPr>
          <w:hyperlink w:history="true" w:anchor="_bookmark56">
            <w:r>
              <w:rPr/>
              <w:t>Hasil</w:t>
            </w:r>
            <w:r>
              <w:rPr>
                <w:spacing w:val="-7"/>
              </w:rPr>
              <w:t> </w:t>
            </w:r>
            <w:r>
              <w:rPr>
                <w:spacing w:val="-2"/>
              </w:rPr>
              <w:t>Penelitian</w:t>
            </w:r>
            <w:r>
              <w:rPr/>
              <w:tab/>
            </w:r>
            <w:r>
              <w:rPr>
                <w:spacing w:val="-5"/>
              </w:rPr>
              <w:t>41</w:t>
            </w:r>
          </w:hyperlink>
        </w:p>
        <w:p>
          <w:pPr>
            <w:pStyle w:val="TOC2"/>
            <w:numPr>
              <w:ilvl w:val="2"/>
              <w:numId w:val="6"/>
            </w:numPr>
            <w:tabs>
              <w:tab w:pos="2802" w:val="left" w:leader="none"/>
              <w:tab w:pos="9640" w:val="right" w:leader="dot"/>
            </w:tabs>
            <w:spacing w:line="240" w:lineRule="auto" w:before="120" w:after="0"/>
            <w:ind w:left="2802" w:right="0" w:hanging="859"/>
            <w:jc w:val="left"/>
          </w:pPr>
          <w:hyperlink w:history="true" w:anchor="_bookmark57">
            <w:r>
              <w:rPr/>
              <w:t>Gambaran</w:t>
            </w:r>
            <w:r>
              <w:rPr>
                <w:spacing w:val="-2"/>
              </w:rPr>
              <w:t> </w:t>
            </w:r>
            <w:r>
              <w:rPr/>
              <w:t>Data</w:t>
            </w:r>
            <w:r>
              <w:rPr>
                <w:spacing w:val="-1"/>
              </w:rPr>
              <w:t> </w:t>
            </w:r>
            <w:r>
              <w:rPr>
                <w:spacing w:val="-2"/>
              </w:rPr>
              <w:t>Penelitian</w:t>
            </w:r>
            <w:r>
              <w:rPr/>
              <w:tab/>
            </w:r>
            <w:r>
              <w:rPr>
                <w:spacing w:val="-5"/>
              </w:rPr>
              <w:t>41</w:t>
            </w:r>
          </w:hyperlink>
        </w:p>
        <w:p>
          <w:pPr>
            <w:pStyle w:val="TOC2"/>
            <w:numPr>
              <w:ilvl w:val="2"/>
              <w:numId w:val="6"/>
            </w:numPr>
            <w:tabs>
              <w:tab w:pos="2802" w:val="left" w:leader="none"/>
              <w:tab w:pos="9640" w:val="right" w:leader="dot"/>
            </w:tabs>
            <w:spacing w:line="240" w:lineRule="auto" w:before="124" w:after="0"/>
            <w:ind w:left="2802" w:right="0" w:hanging="859"/>
            <w:jc w:val="left"/>
          </w:pPr>
          <w:hyperlink w:history="true" w:anchor="_bookmark58">
            <w:r>
              <w:rPr/>
              <w:t>Hasil</w:t>
            </w:r>
            <w:r>
              <w:rPr>
                <w:spacing w:val="-2"/>
              </w:rPr>
              <w:t> </w:t>
            </w:r>
            <w:r>
              <w:rPr/>
              <w:t>Analisis</w:t>
            </w:r>
            <w:r>
              <w:rPr>
                <w:spacing w:val="-8"/>
              </w:rPr>
              <w:t> </w:t>
            </w:r>
            <w:r>
              <w:rPr/>
              <w:t>Statistik</w:t>
            </w:r>
            <w:r>
              <w:rPr>
                <w:spacing w:val="-5"/>
              </w:rPr>
              <w:t> </w:t>
            </w:r>
            <w:r>
              <w:rPr>
                <w:spacing w:val="-2"/>
              </w:rPr>
              <w:t>Deskriptif</w:t>
            </w:r>
            <w:r>
              <w:rPr/>
              <w:tab/>
            </w:r>
            <w:r>
              <w:rPr>
                <w:spacing w:val="-5"/>
              </w:rPr>
              <w:t>42</w:t>
            </w:r>
          </w:hyperlink>
        </w:p>
        <w:p>
          <w:pPr>
            <w:pStyle w:val="TOC2"/>
            <w:numPr>
              <w:ilvl w:val="2"/>
              <w:numId w:val="6"/>
            </w:numPr>
            <w:tabs>
              <w:tab w:pos="2802" w:val="left" w:leader="none"/>
              <w:tab w:pos="9640" w:val="right" w:leader="dot"/>
            </w:tabs>
            <w:spacing w:line="240" w:lineRule="auto" w:before="120" w:after="0"/>
            <w:ind w:left="2802" w:right="0" w:hanging="859"/>
            <w:jc w:val="left"/>
          </w:pPr>
          <w:hyperlink w:history="true" w:anchor="_bookmark59">
            <w:r>
              <w:rPr/>
              <w:t>Hasil</w:t>
            </w:r>
            <w:r>
              <w:rPr>
                <w:spacing w:val="-7"/>
              </w:rPr>
              <w:t> </w:t>
            </w:r>
            <w:r>
              <w:rPr/>
              <w:t>Uji</w:t>
            </w:r>
            <w:r>
              <w:rPr>
                <w:spacing w:val="-2"/>
              </w:rPr>
              <w:t> </w:t>
            </w:r>
            <w:r>
              <w:rPr/>
              <w:t>Asumsi</w:t>
            </w:r>
            <w:r>
              <w:rPr>
                <w:spacing w:val="-2"/>
              </w:rPr>
              <w:t> Klasik</w:t>
            </w:r>
            <w:r>
              <w:rPr/>
              <w:tab/>
            </w:r>
            <w:r>
              <w:rPr>
                <w:spacing w:val="-5"/>
              </w:rPr>
              <w:t>43</w:t>
            </w:r>
          </w:hyperlink>
        </w:p>
        <w:p>
          <w:pPr>
            <w:pStyle w:val="TOC2"/>
            <w:numPr>
              <w:ilvl w:val="3"/>
              <w:numId w:val="6"/>
            </w:numPr>
            <w:tabs>
              <w:tab w:pos="2803" w:val="left" w:leader="none"/>
              <w:tab w:pos="9640" w:val="right" w:leader="dot"/>
            </w:tabs>
            <w:spacing w:line="240" w:lineRule="auto" w:before="125" w:after="0"/>
            <w:ind w:left="2803" w:right="0" w:hanging="860"/>
            <w:jc w:val="left"/>
          </w:pPr>
          <w:hyperlink w:history="true" w:anchor="_bookmark60">
            <w:r>
              <w:rPr/>
              <w:t>Uji</w:t>
            </w:r>
            <w:r>
              <w:rPr>
                <w:spacing w:val="-2"/>
              </w:rPr>
              <w:t> Normalitas</w:t>
            </w:r>
            <w:r>
              <w:rPr/>
              <w:tab/>
            </w:r>
            <w:r>
              <w:rPr>
                <w:spacing w:val="-5"/>
              </w:rPr>
              <w:t>43</w:t>
            </w:r>
          </w:hyperlink>
        </w:p>
        <w:p>
          <w:pPr>
            <w:pStyle w:val="TOC2"/>
            <w:numPr>
              <w:ilvl w:val="3"/>
              <w:numId w:val="6"/>
            </w:numPr>
            <w:tabs>
              <w:tab w:pos="2803" w:val="left" w:leader="none"/>
              <w:tab w:pos="9640" w:val="right" w:leader="dot"/>
            </w:tabs>
            <w:spacing w:line="240" w:lineRule="auto" w:before="120" w:after="0"/>
            <w:ind w:left="2803" w:right="0" w:hanging="860"/>
            <w:jc w:val="left"/>
          </w:pPr>
          <w:hyperlink w:history="true" w:anchor="_bookmark61">
            <w:r>
              <w:rPr/>
              <w:t>Uji</w:t>
            </w:r>
            <w:r>
              <w:rPr>
                <w:spacing w:val="-2"/>
              </w:rPr>
              <w:t> Multikolinearitas</w:t>
            </w:r>
            <w:r>
              <w:rPr/>
              <w:tab/>
            </w:r>
            <w:r>
              <w:rPr>
                <w:spacing w:val="-5"/>
              </w:rPr>
              <w:t>44</w:t>
            </w:r>
          </w:hyperlink>
        </w:p>
        <w:p>
          <w:pPr>
            <w:pStyle w:val="TOC2"/>
            <w:numPr>
              <w:ilvl w:val="3"/>
              <w:numId w:val="6"/>
            </w:numPr>
            <w:tabs>
              <w:tab w:pos="2803" w:val="left" w:leader="none"/>
              <w:tab w:pos="9640" w:val="right" w:leader="dot"/>
            </w:tabs>
            <w:spacing w:line="240" w:lineRule="auto" w:before="124" w:after="0"/>
            <w:ind w:left="2803" w:right="0" w:hanging="860"/>
            <w:jc w:val="left"/>
          </w:pPr>
          <w:hyperlink w:history="true" w:anchor="_bookmark62">
            <w:r>
              <w:rPr/>
              <w:t>Uji</w:t>
            </w:r>
            <w:r>
              <w:rPr>
                <w:spacing w:val="-2"/>
              </w:rPr>
              <w:t> Heterokedastisitas</w:t>
            </w:r>
            <w:r>
              <w:rPr/>
              <w:tab/>
            </w:r>
            <w:r>
              <w:rPr>
                <w:spacing w:val="-5"/>
              </w:rPr>
              <w:t>45</w:t>
            </w:r>
          </w:hyperlink>
        </w:p>
        <w:p>
          <w:pPr>
            <w:pStyle w:val="TOC2"/>
            <w:numPr>
              <w:ilvl w:val="3"/>
              <w:numId w:val="6"/>
            </w:numPr>
            <w:tabs>
              <w:tab w:pos="2803" w:val="left" w:leader="none"/>
              <w:tab w:pos="9640" w:val="right" w:leader="dot"/>
            </w:tabs>
            <w:spacing w:line="240" w:lineRule="auto" w:before="120" w:after="0"/>
            <w:ind w:left="2803" w:right="0" w:hanging="860"/>
            <w:jc w:val="left"/>
          </w:pPr>
          <w:hyperlink w:history="true" w:anchor="_bookmark63">
            <w:r>
              <w:rPr/>
              <w:t>Uji</w:t>
            </w:r>
            <w:r>
              <w:rPr>
                <w:spacing w:val="-2"/>
              </w:rPr>
              <w:t> Autokorelasi</w:t>
            </w:r>
            <w:r>
              <w:rPr/>
              <w:tab/>
            </w:r>
            <w:r>
              <w:rPr>
                <w:spacing w:val="-5"/>
              </w:rPr>
              <w:t>46</w:t>
            </w:r>
          </w:hyperlink>
        </w:p>
        <w:p>
          <w:pPr>
            <w:pStyle w:val="TOC4"/>
          </w:pPr>
          <w:r>
            <w:rPr>
              <w:spacing w:val="-5"/>
            </w:rPr>
            <w:t>iv</w:t>
          </w:r>
        </w:p>
        <w:p>
          <w:pPr>
            <w:pStyle w:val="TOC2"/>
            <w:numPr>
              <w:ilvl w:val="2"/>
              <w:numId w:val="6"/>
            </w:numPr>
            <w:tabs>
              <w:tab w:pos="2802" w:val="left" w:leader="none"/>
              <w:tab w:pos="9640" w:val="right" w:leader="dot"/>
            </w:tabs>
            <w:spacing w:line="240" w:lineRule="auto" w:before="324" w:after="0"/>
            <w:ind w:left="2802" w:right="0" w:hanging="859"/>
            <w:jc w:val="left"/>
          </w:pPr>
          <w:hyperlink w:history="true" w:anchor="_bookmark64">
            <w:r>
              <w:rPr/>
              <w:t>Hasil</w:t>
            </w:r>
            <w:r>
              <w:rPr>
                <w:spacing w:val="-3"/>
              </w:rPr>
              <w:t> </w:t>
            </w:r>
            <w:r>
              <w:rPr/>
              <w:t>Analisis</w:t>
            </w:r>
            <w:r>
              <w:rPr>
                <w:spacing w:val="-4"/>
              </w:rPr>
              <w:t> </w:t>
            </w:r>
            <w:r>
              <w:rPr/>
              <w:t>Linear</w:t>
            </w:r>
            <w:r>
              <w:rPr>
                <w:spacing w:val="-6"/>
              </w:rPr>
              <w:t> </w:t>
            </w:r>
            <w:r>
              <w:rPr>
                <w:spacing w:val="-2"/>
              </w:rPr>
              <w:t>Berganda</w:t>
            </w:r>
            <w:r>
              <w:rPr/>
              <w:tab/>
            </w:r>
            <w:r>
              <w:rPr>
                <w:spacing w:val="-5"/>
              </w:rPr>
              <w:t>47</w:t>
            </w:r>
          </w:hyperlink>
        </w:p>
        <w:p>
          <w:pPr>
            <w:pStyle w:val="TOC2"/>
            <w:numPr>
              <w:ilvl w:val="2"/>
              <w:numId w:val="6"/>
            </w:numPr>
            <w:tabs>
              <w:tab w:pos="2802" w:val="left" w:leader="none"/>
              <w:tab w:pos="9640" w:val="right" w:leader="dot"/>
            </w:tabs>
            <w:spacing w:line="240" w:lineRule="auto" w:before="120" w:after="0"/>
            <w:ind w:left="2802" w:right="0" w:hanging="859"/>
            <w:jc w:val="left"/>
          </w:pPr>
          <w:hyperlink w:history="true" w:anchor="_bookmark65">
            <w:r>
              <w:rPr/>
              <w:t>Hasil</w:t>
            </w:r>
            <w:r>
              <w:rPr>
                <w:spacing w:val="-2"/>
              </w:rPr>
              <w:t> </w:t>
            </w:r>
            <w:r>
              <w:rPr/>
              <w:t>Analisis</w:t>
            </w:r>
            <w:r>
              <w:rPr>
                <w:spacing w:val="-1"/>
              </w:rPr>
              <w:t> </w:t>
            </w:r>
            <w:r>
              <w:rPr/>
              <w:t>Koefisien</w:t>
            </w:r>
            <w:r>
              <w:rPr>
                <w:spacing w:val="-5"/>
              </w:rPr>
              <w:t> </w:t>
            </w:r>
            <w:r>
              <w:rPr/>
              <w:t>Determinan</w:t>
            </w:r>
            <w:r>
              <w:rPr>
                <w:spacing w:val="-5"/>
              </w:rPr>
              <w:t> </w:t>
            </w:r>
            <w:r>
              <w:rPr>
                <w:spacing w:val="-4"/>
              </w:rPr>
              <w:t>(R</w:t>
            </w:r>
            <w:r>
              <w:rPr>
                <w:spacing w:val="-4"/>
                <w:vertAlign w:val="superscript"/>
              </w:rPr>
              <w:t>2</w:t>
            </w:r>
            <w:r>
              <w:rPr>
                <w:spacing w:val="-4"/>
                <w:vertAlign w:val="baseline"/>
              </w:rPr>
              <w:t>)</w:t>
            </w:r>
            <w:r>
              <w:rPr>
                <w:vertAlign w:val="baseline"/>
              </w:rPr>
              <w:tab/>
            </w:r>
            <w:r>
              <w:rPr>
                <w:spacing w:val="-5"/>
                <w:vertAlign w:val="baseline"/>
              </w:rPr>
              <w:t>48</w:t>
            </w:r>
          </w:hyperlink>
        </w:p>
        <w:p>
          <w:pPr>
            <w:pStyle w:val="TOC2"/>
            <w:numPr>
              <w:ilvl w:val="2"/>
              <w:numId w:val="6"/>
            </w:numPr>
            <w:tabs>
              <w:tab w:pos="2802" w:val="left" w:leader="none"/>
              <w:tab w:pos="9640" w:val="right" w:leader="dot"/>
            </w:tabs>
            <w:spacing w:line="240" w:lineRule="auto" w:before="125" w:after="0"/>
            <w:ind w:left="2802" w:right="0" w:hanging="859"/>
            <w:jc w:val="left"/>
          </w:pPr>
          <w:hyperlink w:history="true" w:anchor="_bookmark66">
            <w:r>
              <w:rPr/>
              <w:t>Hasil</w:t>
            </w:r>
            <w:r>
              <w:rPr>
                <w:spacing w:val="-4"/>
              </w:rPr>
              <w:t> </w:t>
            </w:r>
            <w:r>
              <w:rPr/>
              <w:t>Uji Kelayakan</w:t>
            </w:r>
            <w:r>
              <w:rPr>
                <w:spacing w:val="-3"/>
              </w:rPr>
              <w:t> </w:t>
            </w:r>
            <w:r>
              <w:rPr/>
              <w:t>Model</w:t>
            </w:r>
            <w:r>
              <w:rPr>
                <w:spacing w:val="-4"/>
              </w:rPr>
              <w:t> </w:t>
            </w:r>
            <w:r>
              <w:rPr/>
              <w:t>(Uji</w:t>
            </w:r>
            <w:r>
              <w:rPr>
                <w:spacing w:val="1"/>
              </w:rPr>
              <w:t> </w:t>
            </w:r>
            <w:r>
              <w:rPr>
                <w:spacing w:val="-5"/>
              </w:rPr>
              <w:t>F)</w:t>
            </w:r>
            <w:r>
              <w:rPr/>
              <w:tab/>
            </w:r>
            <w:r>
              <w:rPr>
                <w:spacing w:val="-5"/>
              </w:rPr>
              <w:t>49</w:t>
            </w:r>
          </w:hyperlink>
        </w:p>
        <w:p>
          <w:pPr>
            <w:pStyle w:val="TOC2"/>
            <w:numPr>
              <w:ilvl w:val="2"/>
              <w:numId w:val="6"/>
            </w:numPr>
            <w:tabs>
              <w:tab w:pos="2802" w:val="left" w:leader="none"/>
              <w:tab w:pos="9640" w:val="right" w:leader="dot"/>
            </w:tabs>
            <w:spacing w:line="240" w:lineRule="auto" w:before="120" w:after="0"/>
            <w:ind w:left="2802" w:right="0" w:hanging="859"/>
            <w:jc w:val="left"/>
          </w:pPr>
          <w:hyperlink w:history="true" w:anchor="_bookmark67">
            <w:r>
              <w:rPr/>
              <w:t>Hasil</w:t>
            </w:r>
            <w:r>
              <w:rPr>
                <w:spacing w:val="-7"/>
              </w:rPr>
              <w:t> </w:t>
            </w:r>
            <w:r>
              <w:rPr/>
              <w:t>Uji</w:t>
            </w:r>
            <w:r>
              <w:rPr>
                <w:spacing w:val="-4"/>
              </w:rPr>
              <w:t> </w:t>
            </w:r>
            <w:r>
              <w:rPr/>
              <w:t>Signifikan</w:t>
            </w:r>
            <w:r>
              <w:rPr>
                <w:spacing w:val="-4"/>
              </w:rPr>
              <w:t> </w:t>
            </w:r>
            <w:r>
              <w:rPr/>
              <w:t>Pengaruh</w:t>
            </w:r>
            <w:r>
              <w:rPr>
                <w:spacing w:val="-4"/>
              </w:rPr>
              <w:t> </w:t>
            </w:r>
            <w:r>
              <w:rPr/>
              <w:t>(Uji</w:t>
            </w:r>
            <w:r>
              <w:rPr>
                <w:spacing w:val="-4"/>
              </w:rPr>
              <w:t> </w:t>
            </w:r>
            <w:r>
              <w:rPr>
                <w:spacing w:val="-5"/>
              </w:rPr>
              <w:t>t)</w:t>
            </w:r>
            <w:r>
              <w:rPr/>
              <w:tab/>
            </w:r>
            <w:r>
              <w:rPr>
                <w:spacing w:val="-5"/>
              </w:rPr>
              <w:t>50</w:t>
            </w:r>
          </w:hyperlink>
        </w:p>
        <w:p>
          <w:pPr>
            <w:pStyle w:val="TOC2"/>
            <w:numPr>
              <w:ilvl w:val="1"/>
              <w:numId w:val="6"/>
            </w:numPr>
            <w:tabs>
              <w:tab w:pos="2802" w:val="left" w:leader="none"/>
              <w:tab w:pos="9640" w:val="right" w:leader="dot"/>
            </w:tabs>
            <w:spacing w:line="240" w:lineRule="auto" w:before="124" w:after="0"/>
            <w:ind w:left="2802" w:right="0" w:hanging="859"/>
            <w:jc w:val="left"/>
          </w:pPr>
          <w:hyperlink w:history="true" w:anchor="_bookmark68">
            <w:r>
              <w:rPr>
                <w:spacing w:val="-2"/>
              </w:rPr>
              <w:t>Pembahasan</w:t>
            </w:r>
            <w:r>
              <w:rPr/>
              <w:tab/>
            </w:r>
            <w:r>
              <w:rPr>
                <w:spacing w:val="-5"/>
              </w:rPr>
              <w:t>51</w:t>
            </w:r>
          </w:hyperlink>
        </w:p>
        <w:p>
          <w:pPr>
            <w:pStyle w:val="TOC3"/>
            <w:numPr>
              <w:ilvl w:val="2"/>
              <w:numId w:val="6"/>
            </w:numPr>
            <w:tabs>
              <w:tab w:pos="2802" w:val="left" w:leader="none"/>
              <w:tab w:pos="9640" w:val="right" w:leader="dot"/>
            </w:tabs>
            <w:spacing w:line="240" w:lineRule="auto" w:before="120" w:after="0"/>
            <w:ind w:left="2802" w:right="0" w:hanging="859"/>
            <w:jc w:val="left"/>
            <w:rPr>
              <w:b w:val="0"/>
              <w:i w:val="0"/>
              <w:sz w:val="24"/>
            </w:rPr>
          </w:pPr>
          <w:hyperlink w:history="true" w:anchor="_bookmark69">
            <w:r>
              <w:rPr>
                <w:b w:val="0"/>
                <w:i w:val="0"/>
                <w:sz w:val="24"/>
              </w:rPr>
              <w:t>Pengaruh</w:t>
            </w:r>
            <w:r>
              <w:rPr>
                <w:b w:val="0"/>
                <w:i w:val="0"/>
                <w:spacing w:val="-3"/>
                <w:sz w:val="24"/>
              </w:rPr>
              <w:t> </w:t>
            </w:r>
            <w:r>
              <w:rPr>
                <w:b w:val="0"/>
                <w:sz w:val="24"/>
              </w:rPr>
              <w:t>Leverage</w:t>
            </w:r>
            <w:r>
              <w:rPr>
                <w:b w:val="0"/>
                <w:spacing w:val="-3"/>
                <w:sz w:val="24"/>
              </w:rPr>
              <w:t> </w:t>
            </w:r>
            <w:r>
              <w:rPr>
                <w:b w:val="0"/>
                <w:i w:val="0"/>
                <w:sz w:val="24"/>
              </w:rPr>
              <w:t>terhadap</w:t>
            </w:r>
            <w:r>
              <w:rPr>
                <w:b w:val="0"/>
                <w:i w:val="0"/>
                <w:spacing w:val="-3"/>
                <w:sz w:val="24"/>
              </w:rPr>
              <w:t> </w:t>
            </w:r>
            <w:r>
              <w:rPr>
                <w:b w:val="0"/>
                <w:sz w:val="24"/>
              </w:rPr>
              <w:t>Sustainability</w:t>
            </w:r>
            <w:r>
              <w:rPr>
                <w:b w:val="0"/>
                <w:spacing w:val="-3"/>
                <w:sz w:val="24"/>
              </w:rPr>
              <w:t> </w:t>
            </w:r>
            <w:r>
              <w:rPr>
                <w:b w:val="0"/>
                <w:sz w:val="24"/>
              </w:rPr>
              <w:t>Assurance</w:t>
            </w:r>
            <w:r>
              <w:rPr>
                <w:b w:val="0"/>
                <w:spacing w:val="-2"/>
                <w:sz w:val="24"/>
              </w:rPr>
              <w:t> Quality</w:t>
            </w:r>
            <w:r>
              <w:rPr>
                <w:b w:val="0"/>
                <w:sz w:val="24"/>
              </w:rPr>
              <w:tab/>
            </w:r>
            <w:r>
              <w:rPr>
                <w:b w:val="0"/>
                <w:i w:val="0"/>
                <w:spacing w:val="-5"/>
                <w:sz w:val="24"/>
              </w:rPr>
              <w:t>51</w:t>
            </w:r>
          </w:hyperlink>
        </w:p>
        <w:p>
          <w:pPr>
            <w:pStyle w:val="TOC3"/>
            <w:numPr>
              <w:ilvl w:val="2"/>
              <w:numId w:val="6"/>
            </w:numPr>
            <w:tabs>
              <w:tab w:pos="2798" w:val="left" w:leader="none"/>
              <w:tab w:pos="9640" w:val="right" w:leader="dot"/>
            </w:tabs>
            <w:spacing w:line="240" w:lineRule="auto" w:before="124" w:after="0"/>
            <w:ind w:left="2798" w:right="0" w:hanging="855"/>
            <w:jc w:val="left"/>
            <w:rPr>
              <w:b w:val="0"/>
              <w:i w:val="0"/>
              <w:sz w:val="24"/>
            </w:rPr>
          </w:pPr>
          <w:hyperlink w:history="true" w:anchor="_bookmark70">
            <w:r>
              <w:rPr>
                <w:b w:val="0"/>
                <w:i w:val="0"/>
                <w:sz w:val="24"/>
              </w:rPr>
              <w:t>Pengaruh</w:t>
            </w:r>
            <w:r>
              <w:rPr>
                <w:b w:val="0"/>
                <w:i w:val="0"/>
                <w:spacing w:val="-4"/>
                <w:sz w:val="24"/>
              </w:rPr>
              <w:t> </w:t>
            </w:r>
            <w:r>
              <w:rPr>
                <w:b w:val="0"/>
                <w:sz w:val="24"/>
              </w:rPr>
              <w:t>Debt</w:t>
            </w:r>
            <w:r>
              <w:rPr>
                <w:b w:val="0"/>
                <w:spacing w:val="-4"/>
                <w:sz w:val="24"/>
              </w:rPr>
              <w:t> </w:t>
            </w:r>
            <w:r>
              <w:rPr>
                <w:b w:val="0"/>
                <w:sz w:val="24"/>
              </w:rPr>
              <w:t>Maturity</w:t>
            </w:r>
            <w:r>
              <w:rPr>
                <w:b w:val="0"/>
                <w:spacing w:val="-2"/>
                <w:sz w:val="24"/>
              </w:rPr>
              <w:t> </w:t>
            </w:r>
            <w:r>
              <w:rPr>
                <w:b w:val="0"/>
                <w:i w:val="0"/>
                <w:sz w:val="24"/>
              </w:rPr>
              <w:t>terhadap</w:t>
            </w:r>
            <w:r>
              <w:rPr>
                <w:b w:val="0"/>
                <w:i w:val="0"/>
                <w:spacing w:val="-4"/>
                <w:sz w:val="24"/>
              </w:rPr>
              <w:t> </w:t>
            </w:r>
            <w:r>
              <w:rPr>
                <w:b w:val="0"/>
                <w:sz w:val="24"/>
              </w:rPr>
              <w:t>Sustainability</w:t>
            </w:r>
            <w:r>
              <w:rPr>
                <w:b w:val="0"/>
                <w:spacing w:val="-3"/>
                <w:sz w:val="24"/>
              </w:rPr>
              <w:t> </w:t>
            </w:r>
            <w:r>
              <w:rPr>
                <w:b w:val="0"/>
                <w:sz w:val="24"/>
              </w:rPr>
              <w:t>Assurance</w:t>
            </w:r>
            <w:r>
              <w:rPr>
                <w:b w:val="0"/>
                <w:spacing w:val="-3"/>
                <w:sz w:val="24"/>
              </w:rPr>
              <w:t> </w:t>
            </w:r>
            <w:r>
              <w:rPr>
                <w:b w:val="0"/>
                <w:spacing w:val="-2"/>
                <w:sz w:val="24"/>
              </w:rPr>
              <w:t>Quality</w:t>
            </w:r>
            <w:r>
              <w:rPr>
                <w:b w:val="0"/>
                <w:sz w:val="24"/>
              </w:rPr>
              <w:tab/>
            </w:r>
            <w:r>
              <w:rPr>
                <w:b w:val="0"/>
                <w:i w:val="0"/>
                <w:spacing w:val="-5"/>
                <w:sz w:val="24"/>
              </w:rPr>
              <w:t>52</w:t>
            </w:r>
          </w:hyperlink>
        </w:p>
        <w:p>
          <w:pPr>
            <w:pStyle w:val="TOC3"/>
            <w:numPr>
              <w:ilvl w:val="2"/>
              <w:numId w:val="6"/>
            </w:numPr>
            <w:tabs>
              <w:tab w:pos="2798" w:val="left" w:leader="none"/>
            </w:tabs>
            <w:spacing w:line="240" w:lineRule="auto" w:before="120" w:after="0"/>
            <w:ind w:left="2798" w:right="0" w:hanging="855"/>
            <w:jc w:val="left"/>
            <w:rPr>
              <w:b w:val="0"/>
              <w:sz w:val="24"/>
            </w:rPr>
          </w:pPr>
          <w:hyperlink w:history="true" w:anchor="_bookmark71">
            <w:r>
              <w:rPr>
                <w:b w:val="0"/>
                <w:i w:val="0"/>
                <w:sz w:val="24"/>
              </w:rPr>
              <w:t>Pengaruh</w:t>
            </w:r>
            <w:r>
              <w:rPr>
                <w:b w:val="0"/>
                <w:i w:val="0"/>
                <w:spacing w:val="-5"/>
                <w:sz w:val="24"/>
              </w:rPr>
              <w:t> </w:t>
            </w:r>
            <w:r>
              <w:rPr>
                <w:b w:val="0"/>
                <w:sz w:val="24"/>
              </w:rPr>
              <w:t>Assurance</w:t>
            </w:r>
            <w:r>
              <w:rPr>
                <w:b w:val="0"/>
                <w:spacing w:val="-2"/>
                <w:sz w:val="24"/>
              </w:rPr>
              <w:t> </w:t>
            </w:r>
            <w:r>
              <w:rPr>
                <w:b w:val="0"/>
                <w:sz w:val="24"/>
              </w:rPr>
              <w:t>Tenure</w:t>
            </w:r>
            <w:r>
              <w:rPr>
                <w:b w:val="0"/>
                <w:spacing w:val="-1"/>
                <w:sz w:val="24"/>
              </w:rPr>
              <w:t> </w:t>
            </w:r>
            <w:r>
              <w:rPr>
                <w:b w:val="0"/>
                <w:i w:val="0"/>
                <w:sz w:val="24"/>
              </w:rPr>
              <w:t>terhadap</w:t>
            </w:r>
            <w:r>
              <w:rPr>
                <w:b w:val="0"/>
                <w:i w:val="0"/>
                <w:spacing w:val="-2"/>
                <w:sz w:val="24"/>
              </w:rPr>
              <w:t> </w:t>
            </w:r>
            <w:r>
              <w:rPr>
                <w:b w:val="0"/>
                <w:sz w:val="24"/>
              </w:rPr>
              <w:t>Sustainability</w:t>
            </w:r>
            <w:r>
              <w:rPr>
                <w:b w:val="0"/>
                <w:spacing w:val="-2"/>
                <w:sz w:val="24"/>
              </w:rPr>
              <w:t> Assurance</w:t>
            </w:r>
          </w:hyperlink>
        </w:p>
        <w:p>
          <w:pPr>
            <w:pStyle w:val="TOC5"/>
            <w:tabs>
              <w:tab w:pos="9640" w:val="right" w:leader="dot"/>
            </w:tabs>
            <w:rPr>
              <w:i w:val="0"/>
            </w:rPr>
          </w:pPr>
          <w:hyperlink w:history="true" w:anchor="_bookmark71">
            <w:r>
              <w:rPr>
                <w:spacing w:val="-2"/>
              </w:rPr>
              <w:t>Quality</w:t>
            </w:r>
            <w:r>
              <w:rPr/>
              <w:tab/>
            </w:r>
            <w:r>
              <w:rPr>
                <w:i w:val="0"/>
                <w:spacing w:val="-5"/>
              </w:rPr>
              <w:t>54</w:t>
            </w:r>
          </w:hyperlink>
        </w:p>
        <w:p>
          <w:pPr>
            <w:pStyle w:val="TOC1"/>
            <w:tabs>
              <w:tab w:pos="9632" w:val="right" w:leader="dot"/>
            </w:tabs>
            <w:spacing w:before="120"/>
            <w:rPr>
              <w:b w:val="0"/>
            </w:rPr>
          </w:pPr>
          <w:hyperlink w:history="true" w:anchor="_bookmark72">
            <w:r>
              <w:rPr/>
              <w:t>BAB</w:t>
            </w:r>
            <w:r>
              <w:rPr>
                <w:spacing w:val="-3"/>
              </w:rPr>
              <w:t> </w:t>
            </w:r>
            <w:r>
              <w:rPr/>
              <w:t>V</w:t>
            </w:r>
            <w:r>
              <w:rPr>
                <w:spacing w:val="-4"/>
              </w:rPr>
              <w:t> </w:t>
            </w:r>
            <w:r>
              <w:rPr/>
              <w:t>KESIMPULAN DAN</w:t>
            </w:r>
            <w:r>
              <w:rPr>
                <w:spacing w:val="-1"/>
              </w:rPr>
              <w:t> </w:t>
            </w:r>
            <w:r>
              <w:rPr>
                <w:spacing w:val="-4"/>
              </w:rPr>
              <w:t>SARAN</w:t>
            </w:r>
            <w:r>
              <w:rPr/>
              <w:tab/>
            </w:r>
            <w:r>
              <w:rPr>
                <w:b w:val="0"/>
                <w:spacing w:val="-5"/>
              </w:rPr>
              <w:t>56</w:t>
            </w:r>
          </w:hyperlink>
        </w:p>
        <w:p>
          <w:pPr>
            <w:pStyle w:val="TOC2"/>
            <w:numPr>
              <w:ilvl w:val="1"/>
              <w:numId w:val="7"/>
            </w:numPr>
            <w:tabs>
              <w:tab w:pos="2802" w:val="left" w:leader="none"/>
              <w:tab w:pos="9640" w:val="right" w:leader="dot"/>
            </w:tabs>
            <w:spacing w:line="240" w:lineRule="auto" w:before="124" w:after="0"/>
            <w:ind w:left="2802" w:right="0" w:hanging="859"/>
            <w:jc w:val="left"/>
          </w:pPr>
          <w:hyperlink w:history="true" w:anchor="_bookmark73">
            <w:r>
              <w:rPr>
                <w:spacing w:val="-2"/>
              </w:rPr>
              <w:t>Kesimpulan</w:t>
            </w:r>
            <w:r>
              <w:rPr/>
              <w:tab/>
            </w:r>
            <w:r>
              <w:rPr>
                <w:spacing w:val="-5"/>
              </w:rPr>
              <w:t>56</w:t>
            </w:r>
          </w:hyperlink>
        </w:p>
        <w:p>
          <w:pPr>
            <w:pStyle w:val="TOC2"/>
            <w:numPr>
              <w:ilvl w:val="1"/>
              <w:numId w:val="7"/>
            </w:numPr>
            <w:tabs>
              <w:tab w:pos="2802" w:val="left" w:leader="none"/>
              <w:tab w:pos="9640" w:val="right" w:leader="dot"/>
            </w:tabs>
            <w:spacing w:line="240" w:lineRule="auto" w:before="120" w:after="0"/>
            <w:ind w:left="2802" w:right="0" w:hanging="859"/>
            <w:jc w:val="left"/>
          </w:pPr>
          <w:hyperlink w:history="true" w:anchor="_bookmark74">
            <w:r>
              <w:rPr>
                <w:spacing w:val="-2"/>
              </w:rPr>
              <w:t>Saran</w:t>
            </w:r>
            <w:r>
              <w:rPr/>
              <w:tab/>
            </w:r>
            <w:r>
              <w:rPr>
                <w:spacing w:val="-5"/>
              </w:rPr>
              <w:t>57</w:t>
            </w:r>
          </w:hyperlink>
        </w:p>
        <w:p>
          <w:pPr>
            <w:pStyle w:val="TOC2"/>
            <w:numPr>
              <w:ilvl w:val="2"/>
              <w:numId w:val="7"/>
            </w:numPr>
            <w:tabs>
              <w:tab w:pos="2802" w:val="left" w:leader="none"/>
              <w:tab w:pos="9640" w:val="right" w:leader="dot"/>
            </w:tabs>
            <w:spacing w:line="240" w:lineRule="auto" w:before="120" w:after="0"/>
            <w:ind w:left="2802" w:right="0" w:hanging="859"/>
            <w:jc w:val="left"/>
          </w:pPr>
          <w:hyperlink w:history="true" w:anchor="_bookmark75">
            <w:r>
              <w:rPr/>
              <w:t>Saran</w:t>
            </w:r>
            <w:r>
              <w:rPr>
                <w:spacing w:val="-2"/>
              </w:rPr>
              <w:t> </w:t>
            </w:r>
            <w:r>
              <w:rPr/>
              <w:t>bagi</w:t>
            </w:r>
            <w:r>
              <w:rPr>
                <w:spacing w:val="-2"/>
              </w:rPr>
              <w:t> Perusahaan</w:t>
            </w:r>
            <w:r>
              <w:rPr/>
              <w:tab/>
            </w:r>
            <w:r>
              <w:rPr>
                <w:spacing w:val="-5"/>
              </w:rPr>
              <w:t>57</w:t>
            </w:r>
          </w:hyperlink>
        </w:p>
        <w:p>
          <w:pPr>
            <w:pStyle w:val="TOC2"/>
            <w:numPr>
              <w:ilvl w:val="2"/>
              <w:numId w:val="7"/>
            </w:numPr>
            <w:tabs>
              <w:tab w:pos="2802" w:val="left" w:leader="none"/>
              <w:tab w:pos="9640" w:val="right" w:leader="dot"/>
            </w:tabs>
            <w:spacing w:line="240" w:lineRule="auto" w:before="125" w:after="0"/>
            <w:ind w:left="2802" w:right="0" w:hanging="859"/>
            <w:jc w:val="left"/>
          </w:pPr>
          <w:hyperlink w:history="true" w:anchor="_bookmark76">
            <w:r>
              <w:rPr/>
              <w:t>Saran</w:t>
            </w:r>
            <w:r>
              <w:rPr>
                <w:spacing w:val="-2"/>
              </w:rPr>
              <w:t> </w:t>
            </w:r>
            <w:r>
              <w:rPr/>
              <w:t>bagi</w:t>
            </w:r>
            <w:r>
              <w:rPr>
                <w:spacing w:val="-2"/>
              </w:rPr>
              <w:t> Regulator</w:t>
            </w:r>
            <w:r>
              <w:rPr/>
              <w:tab/>
            </w:r>
            <w:r>
              <w:rPr>
                <w:spacing w:val="-5"/>
              </w:rPr>
              <w:t>58</w:t>
            </w:r>
          </w:hyperlink>
        </w:p>
        <w:p>
          <w:pPr>
            <w:pStyle w:val="TOC2"/>
            <w:numPr>
              <w:ilvl w:val="2"/>
              <w:numId w:val="7"/>
            </w:numPr>
            <w:tabs>
              <w:tab w:pos="2802" w:val="left" w:leader="none"/>
              <w:tab w:pos="9640" w:val="right" w:leader="dot"/>
            </w:tabs>
            <w:spacing w:line="240" w:lineRule="auto" w:before="120" w:after="0"/>
            <w:ind w:left="2802" w:right="0" w:hanging="859"/>
            <w:jc w:val="left"/>
          </w:pPr>
          <w:hyperlink w:history="true" w:anchor="_bookmark77">
            <w:r>
              <w:rPr/>
              <w:t>Saran</w:t>
            </w:r>
            <w:r>
              <w:rPr>
                <w:spacing w:val="-3"/>
              </w:rPr>
              <w:t> </w:t>
            </w:r>
            <w:r>
              <w:rPr/>
              <w:t>bagi</w:t>
            </w:r>
            <w:r>
              <w:rPr>
                <w:spacing w:val="-2"/>
              </w:rPr>
              <w:t> </w:t>
            </w:r>
            <w:r>
              <w:rPr/>
              <w:t>Praktisi</w:t>
            </w:r>
            <w:r>
              <w:rPr>
                <w:spacing w:val="-2"/>
              </w:rPr>
              <w:t> Assurance</w:t>
            </w:r>
            <w:r>
              <w:rPr/>
              <w:tab/>
            </w:r>
            <w:r>
              <w:rPr>
                <w:spacing w:val="-5"/>
              </w:rPr>
              <w:t>58</w:t>
            </w:r>
          </w:hyperlink>
        </w:p>
        <w:p>
          <w:pPr>
            <w:pStyle w:val="TOC2"/>
            <w:numPr>
              <w:ilvl w:val="2"/>
              <w:numId w:val="7"/>
            </w:numPr>
            <w:tabs>
              <w:tab w:pos="2802" w:val="left" w:leader="none"/>
              <w:tab w:pos="9640" w:val="right" w:leader="dot"/>
            </w:tabs>
            <w:spacing w:line="240" w:lineRule="auto" w:before="124" w:after="0"/>
            <w:ind w:left="2802" w:right="0" w:hanging="859"/>
            <w:jc w:val="left"/>
          </w:pPr>
          <w:hyperlink w:history="true" w:anchor="_bookmark78">
            <w:r>
              <w:rPr/>
              <w:t>Saran</w:t>
            </w:r>
            <w:r>
              <w:rPr>
                <w:spacing w:val="-3"/>
              </w:rPr>
              <w:t> </w:t>
            </w:r>
            <w:r>
              <w:rPr/>
              <w:t>bagi</w:t>
            </w:r>
            <w:r>
              <w:rPr>
                <w:spacing w:val="-2"/>
              </w:rPr>
              <w:t> </w:t>
            </w:r>
            <w:r>
              <w:rPr/>
              <w:t>Peneliti</w:t>
            </w:r>
            <w:r>
              <w:rPr>
                <w:spacing w:val="-2"/>
              </w:rPr>
              <w:t> Selanjutnya</w:t>
            </w:r>
            <w:r>
              <w:rPr/>
              <w:tab/>
            </w:r>
            <w:r>
              <w:rPr>
                <w:spacing w:val="-5"/>
              </w:rPr>
              <w:t>58</w:t>
            </w:r>
          </w:hyperlink>
        </w:p>
        <w:p>
          <w:pPr>
            <w:pStyle w:val="TOC1"/>
            <w:tabs>
              <w:tab w:pos="9632" w:val="right" w:leader="dot"/>
            </w:tabs>
            <w:spacing w:before="120"/>
            <w:rPr>
              <w:b w:val="0"/>
            </w:rPr>
          </w:pPr>
          <w:hyperlink w:history="true" w:anchor="_bookmark79">
            <w:r>
              <w:rPr/>
              <w:t>DAFTAR</w:t>
            </w:r>
            <w:r>
              <w:rPr>
                <w:spacing w:val="-7"/>
              </w:rPr>
              <w:t> </w:t>
            </w:r>
            <w:r>
              <w:rPr>
                <w:spacing w:val="-2"/>
              </w:rPr>
              <w:t>PUSTAKA</w:t>
            </w:r>
            <w:r>
              <w:rPr/>
              <w:tab/>
            </w:r>
            <w:r>
              <w:rPr>
                <w:b w:val="0"/>
                <w:spacing w:val="-5"/>
              </w:rPr>
              <w:t>59</w:t>
            </w:r>
          </w:hyperlink>
        </w:p>
        <w:p>
          <w:pPr>
            <w:pStyle w:val="TOC1"/>
            <w:tabs>
              <w:tab w:pos="9632" w:val="right" w:leader="dot"/>
            </w:tabs>
            <w:rPr>
              <w:b w:val="0"/>
            </w:rPr>
          </w:pPr>
          <w:hyperlink w:history="true" w:anchor="_bookmark80">
            <w:r>
              <w:rPr>
                <w:spacing w:val="-2"/>
              </w:rPr>
              <w:t>LAMPIRAN</w:t>
            </w:r>
            <w:r>
              <w:rPr/>
              <w:tab/>
            </w:r>
            <w:r>
              <w:rPr>
                <w:b w:val="0"/>
                <w:spacing w:val="-5"/>
              </w:rPr>
              <w:t>64</w:t>
            </w:r>
          </w:hyperlink>
        </w:p>
      </w:sdtContent>
    </w:sdt>
    <w:p>
      <w:pPr>
        <w:pStyle w:val="TOC1"/>
        <w:spacing w:after="0"/>
        <w:rPr>
          <w:b w:val="0"/>
        </w:rPr>
        <w:sectPr>
          <w:pgSz w:w="11910" w:h="16840"/>
          <w:pgMar w:top="1940" w:bottom="980" w:left="566" w:right="42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p>
    <w:p>
      <w:pPr>
        <w:pStyle w:val="BodyText"/>
        <w:spacing w:before="1"/>
        <w:ind w:left="1747" w:right="1321"/>
        <w:jc w:val="center"/>
      </w:pPr>
      <w:r>
        <w:rPr>
          <w:spacing w:val="-10"/>
        </w:rPr>
        <w:t>v</w:t>
      </w:r>
    </w:p>
    <w:p>
      <w:pPr>
        <w:pStyle w:val="BodyText"/>
        <w:spacing w:after="0"/>
        <w:jc w:val="center"/>
        <w:sectPr>
          <w:type w:val="continuous"/>
          <w:pgSz w:w="11910" w:h="16840"/>
          <w:pgMar w:top="1940" w:bottom="280" w:left="566" w:right="425"/>
        </w:sectPr>
      </w:pPr>
    </w:p>
    <w:p>
      <w:pPr>
        <w:pStyle w:val="BodyText"/>
        <w:spacing w:before="5"/>
        <w:rPr>
          <w:sz w:val="28"/>
        </w:rPr>
      </w:pPr>
    </w:p>
    <w:p>
      <w:pPr>
        <w:pStyle w:val="Heading2"/>
      </w:pPr>
      <w:bookmarkStart w:name="_bookmark3" w:id="4"/>
      <w:bookmarkEnd w:id="4"/>
      <w:r>
        <w:rPr>
          <w:b w:val="0"/>
        </w:rPr>
      </w:r>
      <w:r>
        <w:rPr/>
        <w:t>DAFTAR</w:t>
      </w:r>
      <w:r>
        <w:rPr>
          <w:spacing w:val="-4"/>
        </w:rPr>
        <w:t> TABEL</w:t>
      </w:r>
    </w:p>
    <w:p>
      <w:pPr>
        <w:pStyle w:val="BodyText"/>
        <w:tabs>
          <w:tab w:pos="9640" w:val="right" w:leader="dot"/>
        </w:tabs>
        <w:spacing w:before="316"/>
        <w:ind w:left="1702"/>
      </w:pPr>
      <w:hyperlink w:history="true" w:anchor="_bookmark22">
        <w:r>
          <w:rPr/>
          <w:t>Tabel</w:t>
        </w:r>
        <w:r>
          <w:rPr>
            <w:spacing w:val="-2"/>
          </w:rPr>
          <w:t> </w:t>
        </w:r>
        <w:r>
          <w:rPr/>
          <w:t>2.1</w:t>
        </w:r>
        <w:r>
          <w:rPr>
            <w:spacing w:val="-1"/>
          </w:rPr>
          <w:t> </w:t>
        </w:r>
        <w:r>
          <w:rPr/>
          <w:t>Penelitian</w:t>
        </w:r>
        <w:r>
          <w:rPr>
            <w:spacing w:val="-6"/>
          </w:rPr>
          <w:t> </w:t>
        </w:r>
        <w:r>
          <w:rPr>
            <w:spacing w:val="-2"/>
          </w:rPr>
          <w:t>Terdahulu</w:t>
        </w:r>
      </w:hyperlink>
      <w:r>
        <w:rPr/>
        <w:tab/>
      </w:r>
      <w:r>
        <w:rPr>
          <w:spacing w:val="-5"/>
        </w:rPr>
        <w:t>20</w:t>
      </w:r>
    </w:p>
    <w:p>
      <w:pPr>
        <w:tabs>
          <w:tab w:pos="9640" w:val="right" w:leader="dot"/>
        </w:tabs>
        <w:spacing w:before="276"/>
        <w:ind w:left="1702" w:right="0" w:firstLine="0"/>
        <w:jc w:val="left"/>
        <w:rPr>
          <w:sz w:val="24"/>
        </w:rPr>
      </w:pPr>
      <w:hyperlink w:history="true" w:anchor="_bookmark33">
        <w:r>
          <w:rPr>
            <w:sz w:val="24"/>
          </w:rPr>
          <w:t>Tabel</w:t>
        </w:r>
        <w:r>
          <w:rPr>
            <w:spacing w:val="-3"/>
            <w:sz w:val="24"/>
          </w:rPr>
          <w:t> </w:t>
        </w:r>
        <w:r>
          <w:rPr>
            <w:sz w:val="24"/>
          </w:rPr>
          <w:t>3.1</w:t>
        </w:r>
        <w:r>
          <w:rPr>
            <w:spacing w:val="-2"/>
            <w:sz w:val="24"/>
          </w:rPr>
          <w:t> </w:t>
        </w:r>
        <w:r>
          <w:rPr>
            <w:sz w:val="24"/>
          </w:rPr>
          <w:t>Penilaian</w:t>
        </w:r>
        <w:r>
          <w:rPr>
            <w:spacing w:val="2"/>
            <w:sz w:val="24"/>
          </w:rPr>
          <w:t> </w:t>
        </w:r>
        <w:r>
          <w:rPr>
            <w:i/>
            <w:sz w:val="24"/>
          </w:rPr>
          <w:t>Assurance</w:t>
        </w:r>
        <w:r>
          <w:rPr>
            <w:i/>
            <w:spacing w:val="-1"/>
            <w:sz w:val="24"/>
          </w:rPr>
          <w:t> </w:t>
        </w:r>
        <w:r>
          <w:rPr>
            <w:i/>
            <w:spacing w:val="-2"/>
            <w:sz w:val="24"/>
          </w:rPr>
          <w:t>Quality</w:t>
        </w:r>
      </w:hyperlink>
      <w:r>
        <w:rPr>
          <w:i/>
          <w:sz w:val="24"/>
        </w:rPr>
        <w:tab/>
      </w:r>
      <w:r>
        <w:rPr>
          <w:spacing w:val="-5"/>
          <w:sz w:val="24"/>
        </w:rPr>
        <w:t>29</w:t>
      </w:r>
    </w:p>
    <w:p>
      <w:pPr>
        <w:pStyle w:val="BodyText"/>
        <w:tabs>
          <w:tab w:pos="9640" w:val="right" w:leader="dot"/>
        </w:tabs>
        <w:spacing w:before="276"/>
        <w:ind w:left="1702"/>
      </w:pPr>
      <w:hyperlink w:history="true" w:anchor="_bookmark41">
        <w:r>
          <w:rPr/>
          <w:t>Tabel</w:t>
        </w:r>
        <w:r>
          <w:rPr>
            <w:spacing w:val="-2"/>
          </w:rPr>
          <w:t> </w:t>
        </w:r>
        <w:r>
          <w:rPr/>
          <w:t>3.2</w:t>
        </w:r>
        <w:r>
          <w:rPr>
            <w:spacing w:val="-1"/>
          </w:rPr>
          <w:t> </w:t>
        </w:r>
        <w:r>
          <w:rPr/>
          <w:t>Hasil</w:t>
        </w:r>
        <w:r>
          <w:rPr>
            <w:spacing w:val="-2"/>
          </w:rPr>
          <w:t> </w:t>
        </w:r>
        <w:r>
          <w:rPr/>
          <w:t>Pemilihan</w:t>
        </w:r>
        <w:r>
          <w:rPr>
            <w:spacing w:val="-1"/>
          </w:rPr>
          <w:t> </w:t>
        </w:r>
        <w:r>
          <w:rPr>
            <w:spacing w:val="-2"/>
          </w:rPr>
          <w:t>Sampel</w:t>
        </w:r>
      </w:hyperlink>
      <w:r>
        <w:rPr/>
        <w:tab/>
      </w:r>
      <w:r>
        <w:rPr>
          <w:spacing w:val="-5"/>
        </w:rPr>
        <w:t>32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0"/>
      </w:pPr>
    </w:p>
    <w:p>
      <w:pPr>
        <w:pStyle w:val="BodyText"/>
        <w:ind w:left="1743" w:right="1322"/>
        <w:jc w:val="center"/>
      </w:pPr>
      <w:r>
        <w:rPr>
          <w:spacing w:val="-5"/>
        </w:rPr>
        <w:t>vi</w:t>
      </w:r>
    </w:p>
    <w:p>
      <w:pPr>
        <w:pStyle w:val="BodyText"/>
        <w:spacing w:after="0"/>
        <w:jc w:val="center"/>
        <w:sectPr>
          <w:pgSz w:w="11910" w:h="16840"/>
          <w:pgMar w:top="1940" w:bottom="280" w:left="566" w:right="425"/>
        </w:sectPr>
      </w:pPr>
    </w:p>
    <w:p>
      <w:pPr>
        <w:pStyle w:val="BodyText"/>
        <w:spacing w:before="5"/>
        <w:rPr>
          <w:sz w:val="28"/>
        </w:rPr>
      </w:pPr>
    </w:p>
    <w:p>
      <w:pPr>
        <w:pStyle w:val="Heading2"/>
      </w:pPr>
      <w:bookmarkStart w:name="_bookmark4" w:id="5"/>
      <w:bookmarkEnd w:id="5"/>
      <w:r>
        <w:rPr>
          <w:b w:val="0"/>
        </w:rPr>
      </w:r>
      <w:r>
        <w:rPr/>
        <w:t>DAFTAR</w:t>
      </w:r>
      <w:r>
        <w:rPr>
          <w:spacing w:val="-2"/>
        </w:rPr>
        <w:t> GAMBAR</w:t>
      </w:r>
    </w:p>
    <w:p>
      <w:pPr>
        <w:tabs>
          <w:tab w:pos="9640" w:val="right" w:leader="dot"/>
        </w:tabs>
        <w:spacing w:before="316"/>
        <w:ind w:left="1702" w:right="0" w:firstLine="0"/>
        <w:jc w:val="left"/>
        <w:rPr>
          <w:sz w:val="24"/>
        </w:rPr>
      </w:pPr>
      <w:hyperlink r:id="rId7">
        <w:r>
          <w:rPr>
            <w:sz w:val="24"/>
          </w:rPr>
          <w:t>Gambar</w:t>
        </w:r>
        <w:r>
          <w:rPr>
            <w:spacing w:val="-2"/>
            <w:sz w:val="24"/>
          </w:rPr>
          <w:t> </w:t>
        </w:r>
        <w:r>
          <w:rPr>
            <w:sz w:val="24"/>
          </w:rPr>
          <w:t>2.1</w:t>
        </w:r>
        <w:r>
          <w:rPr>
            <w:spacing w:val="-2"/>
            <w:sz w:val="24"/>
          </w:rPr>
          <w:t> </w:t>
        </w:r>
        <w:r>
          <w:rPr>
            <w:sz w:val="24"/>
          </w:rPr>
          <w:t>Penilaian</w:t>
        </w:r>
        <w:r>
          <w:rPr>
            <w:spacing w:val="-2"/>
            <w:sz w:val="24"/>
          </w:rPr>
          <w:t> </w:t>
        </w:r>
        <w:r>
          <w:rPr>
            <w:i/>
            <w:sz w:val="24"/>
          </w:rPr>
          <w:t>Assurance </w:t>
        </w:r>
        <w:r>
          <w:rPr>
            <w:i/>
            <w:spacing w:val="-2"/>
            <w:sz w:val="24"/>
          </w:rPr>
          <w:t>Quality</w:t>
        </w:r>
      </w:hyperlink>
      <w:r>
        <w:rPr>
          <w:i/>
          <w:sz w:val="24"/>
        </w:rPr>
        <w:tab/>
      </w:r>
      <w:r>
        <w:rPr>
          <w:spacing w:val="-5"/>
          <w:sz w:val="24"/>
        </w:rPr>
        <w:t>15</w:t>
      </w:r>
    </w:p>
    <w:p>
      <w:pPr>
        <w:pStyle w:val="BodyText"/>
        <w:tabs>
          <w:tab w:pos="9640" w:val="right" w:leader="dot"/>
        </w:tabs>
        <w:spacing w:before="276"/>
        <w:ind w:left="1702"/>
      </w:pPr>
      <w:hyperlink w:history="true" w:anchor="_bookmark24">
        <w:r>
          <w:rPr/>
          <w:t>Gambar</w:t>
        </w:r>
        <w:r>
          <w:rPr>
            <w:spacing w:val="-4"/>
          </w:rPr>
          <w:t> </w:t>
        </w:r>
        <w:r>
          <w:rPr/>
          <w:t>2.2 Kerangka</w:t>
        </w:r>
        <w:r>
          <w:rPr>
            <w:spacing w:val="1"/>
          </w:rPr>
          <w:t> </w:t>
        </w:r>
        <w:r>
          <w:rPr>
            <w:spacing w:val="-2"/>
          </w:rPr>
          <w:t>Konseptual</w:t>
        </w:r>
      </w:hyperlink>
      <w:r>
        <w:rPr/>
        <w:tab/>
      </w:r>
      <w:r>
        <w:rPr>
          <w:spacing w:val="-5"/>
        </w:rPr>
        <w:t>23</w:t>
      </w:r>
    </w:p>
    <w:p>
      <w:pPr>
        <w:pStyle w:val="BodyText"/>
        <w:tabs>
          <w:tab w:pos="9640" w:val="right" w:leader="dot"/>
        </w:tabs>
        <w:spacing w:before="276"/>
        <w:ind w:left="1702"/>
      </w:pPr>
      <w:hyperlink w:history="true" w:anchor="_bookmark29">
        <w:r>
          <w:rPr/>
          <w:t>Gambar</w:t>
        </w:r>
        <w:r>
          <w:rPr>
            <w:spacing w:val="-2"/>
          </w:rPr>
          <w:t> </w:t>
        </w:r>
        <w:r>
          <w:rPr/>
          <w:t>2.3</w:t>
        </w:r>
        <w:r>
          <w:rPr>
            <w:spacing w:val="-2"/>
          </w:rPr>
          <w:t> </w:t>
        </w:r>
        <w:r>
          <w:rPr/>
          <w:t>Model</w:t>
        </w:r>
        <w:r>
          <w:rPr>
            <w:spacing w:val="-1"/>
          </w:rPr>
          <w:t> </w:t>
        </w:r>
        <w:r>
          <w:rPr>
            <w:spacing w:val="-2"/>
          </w:rPr>
          <w:t>Penelitian</w:t>
        </w:r>
      </w:hyperlink>
      <w:r>
        <w:rPr/>
        <w:tab/>
      </w:r>
      <w:r>
        <w:rPr>
          <w:spacing w:val="-5"/>
        </w:rPr>
        <w:t>26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0"/>
      </w:pPr>
    </w:p>
    <w:p>
      <w:pPr>
        <w:pStyle w:val="BodyText"/>
        <w:ind w:left="2645" w:right="2216"/>
        <w:jc w:val="center"/>
      </w:pPr>
      <w:r>
        <w:rPr>
          <w:spacing w:val="-5"/>
        </w:rPr>
        <w:t>vii</w:t>
      </w:r>
    </w:p>
    <w:p>
      <w:pPr>
        <w:pStyle w:val="BodyText"/>
        <w:spacing w:after="0"/>
        <w:jc w:val="center"/>
        <w:sectPr>
          <w:pgSz w:w="11910" w:h="16840"/>
          <w:pgMar w:top="1940" w:bottom="280" w:left="566" w:right="425"/>
        </w:sectPr>
      </w:pPr>
    </w:p>
    <w:p>
      <w:pPr>
        <w:pStyle w:val="BodyText"/>
        <w:spacing w:before="5"/>
        <w:rPr>
          <w:sz w:val="28"/>
        </w:rPr>
      </w:pPr>
    </w:p>
    <w:p>
      <w:pPr>
        <w:pStyle w:val="Heading2"/>
        <w:ind w:left="2638" w:right="2216"/>
      </w:pPr>
      <w:bookmarkStart w:name="_bookmark5" w:id="6"/>
      <w:bookmarkEnd w:id="6"/>
      <w:r>
        <w:rPr>
          <w:b w:val="0"/>
        </w:rPr>
      </w:r>
      <w:r>
        <w:rPr/>
        <w:t>DAFTAR</w:t>
      </w:r>
      <w:r>
        <w:rPr>
          <w:spacing w:val="-2"/>
        </w:rPr>
        <w:t> SINGKATAN</w:t>
      </w:r>
    </w:p>
    <w:p>
      <w:pPr>
        <w:pStyle w:val="BodyText"/>
        <w:spacing w:before="158"/>
        <w:rPr>
          <w:b/>
          <w:sz w:val="28"/>
        </w:rPr>
      </w:pPr>
    </w:p>
    <w:p>
      <w:pPr>
        <w:pStyle w:val="BodyText"/>
        <w:tabs>
          <w:tab w:pos="3863" w:val="left" w:leader="none"/>
        </w:tabs>
        <w:ind w:left="1702"/>
      </w:pPr>
      <w:r>
        <w:rPr>
          <w:spacing w:val="-5"/>
        </w:rPr>
        <w:t>BEI</w:t>
      </w:r>
      <w:r>
        <w:rPr/>
        <w:tab/>
        <w:t>:</w:t>
      </w:r>
      <w:r>
        <w:rPr>
          <w:spacing w:val="-1"/>
        </w:rPr>
        <w:t> </w:t>
      </w:r>
      <w:r>
        <w:rPr/>
        <w:t>Bursa</w:t>
      </w:r>
      <w:r>
        <w:rPr>
          <w:spacing w:val="-1"/>
        </w:rPr>
        <w:t> </w:t>
      </w:r>
      <w:r>
        <w:rPr/>
        <w:t>Efek</w:t>
      </w:r>
      <w:r>
        <w:rPr>
          <w:spacing w:val="-1"/>
        </w:rPr>
        <w:t> </w:t>
      </w:r>
      <w:r>
        <w:rPr>
          <w:spacing w:val="-2"/>
        </w:rPr>
        <w:t>Indonesia</w:t>
      </w:r>
    </w:p>
    <w:p>
      <w:pPr>
        <w:pStyle w:val="BodyText"/>
        <w:tabs>
          <w:tab w:pos="3863" w:val="left" w:leader="none"/>
        </w:tabs>
        <w:spacing w:before="184"/>
        <w:ind w:left="1702"/>
      </w:pPr>
      <w:r>
        <w:rPr>
          <w:spacing w:val="-5"/>
        </w:rPr>
        <w:t>CSR</w:t>
      </w:r>
      <w:r>
        <w:rPr/>
        <w:tab/>
        <w:t>:</w:t>
      </w:r>
      <w:r>
        <w:rPr>
          <w:spacing w:val="-3"/>
        </w:rPr>
        <w:t> </w:t>
      </w:r>
      <w:r>
        <w:rPr/>
        <w:t>Corporate</w:t>
      </w:r>
      <w:r>
        <w:rPr>
          <w:spacing w:val="1"/>
        </w:rPr>
        <w:t> </w:t>
      </w:r>
      <w:r>
        <w:rPr/>
        <w:t>Social</w:t>
      </w:r>
      <w:r>
        <w:rPr>
          <w:spacing w:val="1"/>
        </w:rPr>
        <w:t> </w:t>
      </w:r>
      <w:r>
        <w:rPr>
          <w:spacing w:val="-2"/>
        </w:rPr>
        <w:t>Responsibility</w:t>
      </w:r>
    </w:p>
    <w:p>
      <w:pPr>
        <w:pStyle w:val="BodyText"/>
        <w:tabs>
          <w:tab w:pos="3863" w:val="left" w:leader="none"/>
        </w:tabs>
        <w:spacing w:before="180"/>
        <w:ind w:left="1702"/>
      </w:pPr>
      <w:r>
        <w:rPr>
          <w:spacing w:val="-5"/>
        </w:rPr>
        <w:t>DAR</w:t>
      </w:r>
      <w:r>
        <w:rPr/>
        <w:tab/>
        <w:t>:</w:t>
      </w:r>
      <w:r>
        <w:rPr>
          <w:spacing w:val="-5"/>
        </w:rPr>
        <w:t> </w:t>
      </w:r>
      <w:r>
        <w:rPr/>
        <w:t>Debt</w:t>
      </w:r>
      <w:r>
        <w:rPr>
          <w:spacing w:val="-1"/>
        </w:rPr>
        <w:t> </w:t>
      </w:r>
      <w:r>
        <w:rPr/>
        <w:t>to</w:t>
      </w:r>
      <w:r>
        <w:rPr>
          <w:spacing w:val="-2"/>
        </w:rPr>
        <w:t> </w:t>
      </w:r>
      <w:r>
        <w:rPr/>
        <w:t>Asset</w:t>
      </w:r>
      <w:r>
        <w:rPr>
          <w:spacing w:val="-1"/>
        </w:rPr>
        <w:t> </w:t>
      </w:r>
      <w:r>
        <w:rPr>
          <w:spacing w:val="-2"/>
        </w:rPr>
        <w:t>Ratio</w:t>
      </w:r>
    </w:p>
    <w:p>
      <w:pPr>
        <w:pStyle w:val="BodyText"/>
        <w:tabs>
          <w:tab w:pos="3863" w:val="left" w:leader="none"/>
        </w:tabs>
        <w:spacing w:before="184"/>
        <w:ind w:left="1702"/>
      </w:pPr>
      <w:r>
        <w:rPr>
          <w:spacing w:val="-5"/>
        </w:rPr>
        <w:t>DER</w:t>
      </w:r>
      <w:r>
        <w:rPr/>
        <w:tab/>
        <w:t>:</w:t>
      </w:r>
      <w:r>
        <w:rPr>
          <w:spacing w:val="-3"/>
        </w:rPr>
        <w:t> </w:t>
      </w:r>
      <w:r>
        <w:rPr/>
        <w:t>Debt to Equity</w:t>
      </w:r>
      <w:r>
        <w:rPr>
          <w:spacing w:val="-8"/>
        </w:rPr>
        <w:t> </w:t>
      </w:r>
      <w:r>
        <w:rPr>
          <w:spacing w:val="-2"/>
        </w:rPr>
        <w:t>Ratio</w:t>
      </w:r>
    </w:p>
    <w:p>
      <w:pPr>
        <w:pStyle w:val="BodyText"/>
        <w:tabs>
          <w:tab w:pos="3863" w:val="left" w:leader="none"/>
        </w:tabs>
        <w:spacing w:before="180"/>
        <w:ind w:left="1702"/>
      </w:pPr>
      <w:r>
        <w:rPr>
          <w:spacing w:val="-5"/>
        </w:rPr>
        <w:t>ESG</w:t>
      </w:r>
      <w:r>
        <w:rPr/>
        <w:tab/>
        <w:t>:</w:t>
      </w:r>
      <w:r>
        <w:rPr>
          <w:spacing w:val="-5"/>
        </w:rPr>
        <w:t> </w:t>
      </w:r>
      <w:r>
        <w:rPr/>
        <w:t>Environmental,</w:t>
      </w:r>
      <w:r>
        <w:rPr>
          <w:spacing w:val="-2"/>
        </w:rPr>
        <w:t> </w:t>
      </w:r>
      <w:r>
        <w:rPr/>
        <w:t>Social,</w:t>
      </w:r>
      <w:r>
        <w:rPr>
          <w:spacing w:val="-1"/>
        </w:rPr>
        <w:t> </w:t>
      </w:r>
      <w:r>
        <w:rPr>
          <w:spacing w:val="-2"/>
        </w:rPr>
        <w:t>Goverance</w:t>
      </w:r>
    </w:p>
    <w:p>
      <w:pPr>
        <w:pStyle w:val="BodyText"/>
        <w:tabs>
          <w:tab w:pos="3863" w:val="left" w:leader="none"/>
        </w:tabs>
        <w:spacing w:before="184"/>
        <w:ind w:left="1702"/>
      </w:pPr>
      <w:r>
        <w:rPr>
          <w:spacing w:val="-5"/>
        </w:rPr>
        <w:t>GRI</w:t>
      </w:r>
      <w:r>
        <w:rPr/>
        <w:tab/>
        <w:t>:</w:t>
      </w:r>
      <w:r>
        <w:rPr>
          <w:spacing w:val="-1"/>
        </w:rPr>
        <w:t> </w:t>
      </w:r>
      <w:r>
        <w:rPr/>
        <w:t>Global</w:t>
      </w:r>
      <w:r>
        <w:rPr>
          <w:spacing w:val="-1"/>
        </w:rPr>
        <w:t> </w:t>
      </w:r>
      <w:r>
        <w:rPr/>
        <w:t>Reporting</w:t>
      </w:r>
      <w:r>
        <w:rPr>
          <w:spacing w:val="-5"/>
        </w:rPr>
        <w:t> </w:t>
      </w:r>
      <w:r>
        <w:rPr>
          <w:spacing w:val="-2"/>
        </w:rPr>
        <w:t>Initiative</w:t>
      </w:r>
    </w:p>
    <w:p>
      <w:pPr>
        <w:pStyle w:val="BodyText"/>
        <w:tabs>
          <w:tab w:pos="3863" w:val="left" w:leader="none"/>
        </w:tabs>
        <w:spacing w:before="180"/>
        <w:ind w:left="1702"/>
      </w:pPr>
      <w:r>
        <w:rPr>
          <w:spacing w:val="-5"/>
        </w:rPr>
        <w:t>GRK</w:t>
      </w:r>
      <w:r>
        <w:rPr/>
        <w:tab/>
        <w:t>:</w:t>
      </w:r>
      <w:r>
        <w:rPr>
          <w:spacing w:val="-1"/>
        </w:rPr>
        <w:t> </w:t>
      </w:r>
      <w:r>
        <w:rPr/>
        <w:t>Gas</w:t>
      </w:r>
      <w:r>
        <w:rPr>
          <w:spacing w:val="-3"/>
        </w:rPr>
        <w:t> </w:t>
      </w:r>
      <w:r>
        <w:rPr/>
        <w:t>Rumah</w:t>
      </w:r>
      <w:r>
        <w:rPr>
          <w:spacing w:val="2"/>
        </w:rPr>
        <w:t> </w:t>
      </w:r>
      <w:r>
        <w:rPr>
          <w:spacing w:val="-4"/>
        </w:rPr>
        <w:t>Kaca</w:t>
      </w:r>
    </w:p>
    <w:p>
      <w:pPr>
        <w:pStyle w:val="BodyText"/>
        <w:tabs>
          <w:tab w:pos="3863" w:val="left" w:leader="none"/>
        </w:tabs>
        <w:spacing w:before="184"/>
        <w:ind w:left="1702"/>
      </w:pPr>
      <w:r>
        <w:rPr>
          <w:spacing w:val="-2"/>
        </w:rPr>
        <w:t>LTDER</w:t>
      </w:r>
      <w:r>
        <w:rPr/>
        <w:tab/>
        <w:t>: Long</w:t>
      </w:r>
      <w:r>
        <w:rPr>
          <w:spacing w:val="-5"/>
        </w:rPr>
        <w:t> </w:t>
      </w:r>
      <w:r>
        <w:rPr/>
        <w:t>Term Debt to Equity</w:t>
      </w:r>
      <w:r>
        <w:rPr>
          <w:spacing w:val="-8"/>
        </w:rPr>
        <w:t> </w:t>
      </w:r>
      <w:r>
        <w:rPr>
          <w:spacing w:val="-2"/>
        </w:rPr>
        <w:t>Ratio</w:t>
      </w:r>
    </w:p>
    <w:p>
      <w:pPr>
        <w:pStyle w:val="BodyText"/>
        <w:tabs>
          <w:tab w:pos="3863" w:val="left" w:leader="none"/>
        </w:tabs>
        <w:spacing w:before="180"/>
        <w:ind w:left="1702"/>
      </w:pPr>
      <w:r>
        <w:rPr>
          <w:spacing w:val="-5"/>
        </w:rPr>
        <w:t>NDC</w:t>
      </w:r>
      <w:r>
        <w:rPr/>
        <w:tab/>
        <w:t>:</w:t>
      </w:r>
      <w:r>
        <w:rPr>
          <w:spacing w:val="-3"/>
        </w:rPr>
        <w:t> </w:t>
      </w:r>
      <w:r>
        <w:rPr/>
        <w:t>Nationally</w:t>
      </w:r>
      <w:r>
        <w:rPr>
          <w:spacing w:val="-7"/>
        </w:rPr>
        <w:t> </w:t>
      </w:r>
      <w:r>
        <w:rPr/>
        <w:t>Determined</w:t>
      </w:r>
      <w:r>
        <w:rPr>
          <w:spacing w:val="1"/>
        </w:rPr>
        <w:t> </w:t>
      </w:r>
      <w:r>
        <w:rPr>
          <w:spacing w:val="-2"/>
        </w:rPr>
        <w:t>Contribution</w:t>
      </w:r>
    </w:p>
    <w:p>
      <w:pPr>
        <w:pStyle w:val="BodyText"/>
        <w:tabs>
          <w:tab w:pos="3863" w:val="left" w:leader="none"/>
        </w:tabs>
        <w:spacing w:before="181"/>
        <w:ind w:left="1702"/>
      </w:pPr>
      <w:r>
        <w:rPr>
          <w:spacing w:val="-5"/>
        </w:rPr>
        <w:t>NZE</w:t>
      </w:r>
      <w:r>
        <w:rPr/>
        <w:tab/>
        <w:t>:</w:t>
      </w:r>
      <w:r>
        <w:rPr>
          <w:spacing w:val="-4"/>
        </w:rPr>
        <w:t> </w:t>
      </w:r>
      <w:r>
        <w:rPr/>
        <w:t>Net</w:t>
      </w:r>
      <w:r>
        <w:rPr>
          <w:spacing w:val="-1"/>
        </w:rPr>
        <w:t> </w:t>
      </w:r>
      <w:r>
        <w:rPr/>
        <w:t>Zero</w:t>
      </w:r>
      <w:r>
        <w:rPr>
          <w:spacing w:val="-1"/>
        </w:rPr>
        <w:t> </w:t>
      </w:r>
      <w:r>
        <w:rPr>
          <w:spacing w:val="-2"/>
        </w:rPr>
        <w:t>Emission</w:t>
      </w:r>
    </w:p>
    <w:p>
      <w:pPr>
        <w:pStyle w:val="BodyText"/>
        <w:tabs>
          <w:tab w:pos="3863" w:val="left" w:leader="none"/>
        </w:tabs>
        <w:spacing w:before="184"/>
        <w:ind w:left="1702"/>
      </w:pPr>
      <w:r>
        <w:rPr>
          <w:spacing w:val="-5"/>
        </w:rPr>
        <w:t>VIF</w:t>
      </w:r>
      <w:r>
        <w:rPr/>
        <w:tab/>
        <w:t>:</w:t>
      </w:r>
      <w:r>
        <w:rPr>
          <w:spacing w:val="-3"/>
        </w:rPr>
        <w:t> </w:t>
      </w:r>
      <w:r>
        <w:rPr/>
        <w:t>Variance</w:t>
      </w:r>
      <w:r>
        <w:rPr>
          <w:spacing w:val="1"/>
        </w:rPr>
        <w:t> </w:t>
      </w:r>
      <w:r>
        <w:rPr/>
        <w:t>Inflation </w:t>
      </w:r>
      <w:r>
        <w:rPr>
          <w:spacing w:val="-2"/>
        </w:rPr>
        <w:t>Factor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6"/>
      </w:pPr>
    </w:p>
    <w:p>
      <w:pPr>
        <w:pStyle w:val="BodyText"/>
        <w:spacing w:before="1"/>
        <w:ind w:left="2640" w:right="2216"/>
        <w:jc w:val="center"/>
      </w:pPr>
      <w:r>
        <w:rPr>
          <w:spacing w:val="-4"/>
        </w:rPr>
        <w:t>viii</w:t>
      </w:r>
    </w:p>
    <w:p>
      <w:pPr>
        <w:pStyle w:val="BodyText"/>
        <w:spacing w:after="0"/>
        <w:jc w:val="center"/>
        <w:sectPr>
          <w:pgSz w:w="11910" w:h="16840"/>
          <w:pgMar w:top="1940" w:bottom="280" w:left="566" w:right="425"/>
        </w:sectPr>
      </w:pPr>
    </w:p>
    <w:p>
      <w:pPr>
        <w:pStyle w:val="BodyText"/>
        <w:spacing w:before="5"/>
        <w:rPr>
          <w:sz w:val="28"/>
        </w:rPr>
      </w:pPr>
    </w:p>
    <w:p>
      <w:pPr>
        <w:pStyle w:val="Heading2"/>
      </w:pPr>
      <w:bookmarkStart w:name="_bookmark6" w:id="7"/>
      <w:bookmarkEnd w:id="7"/>
      <w:r>
        <w:rPr>
          <w:b w:val="0"/>
        </w:rPr>
      </w:r>
      <w:r>
        <w:rPr/>
        <w:t>DAFTAR</w:t>
      </w:r>
      <w:r>
        <w:rPr>
          <w:spacing w:val="-2"/>
        </w:rPr>
        <w:t> LAMPIRAN</w:t>
      </w:r>
    </w:p>
    <w:p>
      <w:pPr>
        <w:pStyle w:val="BodyText"/>
        <w:tabs>
          <w:tab w:pos="8364" w:val="right" w:leader="dot"/>
        </w:tabs>
        <w:spacing w:before="320"/>
        <w:ind w:left="426"/>
        <w:jc w:val="center"/>
      </w:pPr>
      <w:hyperlink w:history="true" w:anchor="_bookmark81">
        <w:r>
          <w:rPr/>
          <w:t>Lampiran</w:t>
        </w:r>
        <w:r>
          <w:rPr>
            <w:spacing w:val="-2"/>
          </w:rPr>
          <w:t> </w:t>
        </w:r>
        <w:r>
          <w:rPr/>
          <w:t>1</w:t>
        </w:r>
        <w:r>
          <w:rPr>
            <w:spacing w:val="-2"/>
          </w:rPr>
          <w:t> </w:t>
        </w:r>
        <w:r>
          <w:rPr/>
          <w:t>Sampel</w:t>
        </w:r>
        <w:r>
          <w:rPr>
            <w:spacing w:val="-2"/>
          </w:rPr>
          <w:t> </w:t>
        </w:r>
        <w:r>
          <w:rPr/>
          <w:t>Perusahaan</w:t>
        </w:r>
        <w:r>
          <w:rPr>
            <w:spacing w:val="-2"/>
          </w:rPr>
          <w:t> </w:t>
        </w:r>
        <w:r>
          <w:rPr/>
          <w:t>Sektor</w:t>
        </w:r>
        <w:r>
          <w:rPr>
            <w:spacing w:val="-2"/>
          </w:rPr>
          <w:t> Energi</w:t>
        </w:r>
      </w:hyperlink>
      <w:r>
        <w:rPr/>
        <w:tab/>
      </w:r>
      <w:r>
        <w:rPr>
          <w:spacing w:val="-5"/>
        </w:rPr>
        <w:t>44</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6"/>
      </w:pPr>
    </w:p>
    <w:p>
      <w:pPr>
        <w:pStyle w:val="BodyText"/>
        <w:ind w:left="2648" w:right="2216"/>
        <w:jc w:val="center"/>
      </w:pPr>
      <w:r>
        <w:rPr>
          <w:spacing w:val="-5"/>
        </w:rPr>
        <w:t>ix</w:t>
      </w:r>
    </w:p>
    <w:p>
      <w:pPr>
        <w:pStyle w:val="BodyText"/>
        <w:spacing w:after="0"/>
        <w:jc w:val="center"/>
        <w:sectPr>
          <w:pgSz w:w="11910" w:h="16840"/>
          <w:pgMar w:top="1940" w:bottom="280" w:left="566" w:right="425"/>
        </w:sectPr>
      </w:pPr>
    </w:p>
    <w:p>
      <w:pPr>
        <w:pStyle w:val="BodyText"/>
        <w:spacing w:before="85"/>
        <w:rPr>
          <w:sz w:val="28"/>
        </w:rPr>
      </w:pPr>
    </w:p>
    <w:p>
      <w:pPr>
        <w:pStyle w:val="Heading2"/>
        <w:spacing w:line="360" w:lineRule="auto"/>
        <w:ind w:left="4583" w:right="4154" w:firstLine="2"/>
      </w:pPr>
      <w:bookmarkStart w:name="_bookmark7" w:id="8"/>
      <w:bookmarkEnd w:id="8"/>
      <w:r>
        <w:rPr>
          <w:b w:val="0"/>
        </w:rPr>
      </w:r>
      <w:r>
        <w:rPr/>
        <w:t>BAB 1 </w:t>
      </w:r>
      <w:r>
        <w:rPr>
          <w:spacing w:val="-2"/>
        </w:rPr>
        <w:t>PENDAHULUAN</w:t>
      </w:r>
    </w:p>
    <w:p>
      <w:pPr>
        <w:pStyle w:val="Heading3"/>
        <w:numPr>
          <w:ilvl w:val="1"/>
          <w:numId w:val="8"/>
        </w:numPr>
        <w:tabs>
          <w:tab w:pos="2410" w:val="left" w:leader="none"/>
        </w:tabs>
        <w:spacing w:line="240" w:lineRule="auto" w:before="160" w:after="0"/>
        <w:ind w:left="2410" w:right="0" w:hanging="708"/>
        <w:jc w:val="both"/>
      </w:pPr>
      <w:bookmarkStart w:name="_bookmark8" w:id="9"/>
      <w:bookmarkEnd w:id="9"/>
      <w:r>
        <w:rPr>
          <w:b w:val="0"/>
        </w:rPr>
      </w:r>
      <w:r>
        <w:rPr/>
        <w:t>Latar</w:t>
      </w:r>
      <w:r>
        <w:rPr>
          <w:spacing w:val="1"/>
        </w:rPr>
        <w:t> </w:t>
      </w:r>
      <w:r>
        <w:rPr>
          <w:spacing w:val="-2"/>
        </w:rPr>
        <w:t>Belakang</w:t>
      </w:r>
    </w:p>
    <w:p>
      <w:pPr>
        <w:pStyle w:val="BodyText"/>
        <w:spacing w:line="480" w:lineRule="auto" w:before="212"/>
        <w:ind w:left="1702" w:right="1272" w:firstLine="708"/>
        <w:jc w:val="both"/>
      </w:pPr>
      <w:r>
        <w:rPr/>
        <w:t>Di era digital saat ini, perusahaan memiliki peluang untuk tumbuh dan menghasilkan berbagai macam produk industri. Perkembangan dunia usaha ini dapat</w:t>
      </w:r>
      <w:r>
        <w:rPr>
          <w:spacing w:val="-15"/>
        </w:rPr>
        <w:t> </w:t>
      </w:r>
      <w:r>
        <w:rPr/>
        <w:t>memberikan</w:t>
      </w:r>
      <w:r>
        <w:rPr>
          <w:spacing w:val="-15"/>
        </w:rPr>
        <w:t> </w:t>
      </w:r>
      <w:r>
        <w:rPr/>
        <w:t>manfaat</w:t>
      </w:r>
      <w:r>
        <w:rPr>
          <w:spacing w:val="-15"/>
        </w:rPr>
        <w:t> </w:t>
      </w:r>
      <w:r>
        <w:rPr/>
        <w:t>positif,</w:t>
      </w:r>
      <w:r>
        <w:rPr>
          <w:spacing w:val="-15"/>
        </w:rPr>
        <w:t> </w:t>
      </w:r>
      <w:r>
        <w:rPr/>
        <w:t>seperti</w:t>
      </w:r>
      <w:r>
        <w:rPr>
          <w:spacing w:val="-15"/>
        </w:rPr>
        <w:t> </w:t>
      </w:r>
      <w:r>
        <w:rPr/>
        <w:t>membuka</w:t>
      </w:r>
      <w:r>
        <w:rPr>
          <w:spacing w:val="-15"/>
        </w:rPr>
        <w:t> </w:t>
      </w:r>
      <w:r>
        <w:rPr/>
        <w:t>peluang</w:t>
      </w:r>
      <w:r>
        <w:rPr>
          <w:spacing w:val="-15"/>
        </w:rPr>
        <w:t> </w:t>
      </w:r>
      <w:r>
        <w:rPr/>
        <w:t>kerja</w:t>
      </w:r>
      <w:r>
        <w:rPr>
          <w:spacing w:val="-13"/>
        </w:rPr>
        <w:t> </w:t>
      </w:r>
      <w:r>
        <w:rPr/>
        <w:t>bagi</w:t>
      </w:r>
      <w:r>
        <w:rPr>
          <w:spacing w:val="-15"/>
        </w:rPr>
        <w:t> </w:t>
      </w:r>
      <w:r>
        <w:rPr/>
        <w:t>masyarakat dan mendorong pertumbuhan ekonomi. Namun, kemajuan perusahaan juga dapat menimbulkan dampak negatif, salah satunya adalah kerusakan lingkungan yang menjadi perhatian banyak pihak. Terlebih lagi, persaingan yang intens antarperusahaan dalam memperebutkan sumber daya alam sering kali memperburuk kondisi tersebut. Hal itu dilakukan dengan mengabaikan keseimbangan lingkungan, ekosistem ataupun perusahaan</w:t>
      </w:r>
      <w:r>
        <w:rPr>
          <w:spacing w:val="-1"/>
        </w:rPr>
        <w:t> </w:t>
      </w:r>
      <w:r>
        <w:rPr/>
        <w:t>itu</w:t>
      </w:r>
      <w:r>
        <w:rPr>
          <w:spacing w:val="-1"/>
        </w:rPr>
        <w:t> </w:t>
      </w:r>
      <w:r>
        <w:rPr/>
        <w:t>sendiri (Gunawan &amp; Mayangsari, 2015). Dalam kaitannya, kontrol sosial sangatlah penting terhadap perusahaan serta peran masyarakat untuk meningkatkan kesadaran lingkungan. Perusahaan yang beroperasi dianjurkan tidak hanya mementingkan pendapatan yang didapatkan atau peningkatan laba namun perusahaan juga harus memperhatikan pengelolaan lingkungan disekitar perusahaan sebagai prospek di masa mendatang (Hastawati &amp; Sarsiti, 2016). Oleh sebab itu, </w:t>
      </w:r>
      <w:r>
        <w:rPr>
          <w:i/>
        </w:rPr>
        <w:t>Global Reporting Initiative </w:t>
      </w:r>
      <w:r>
        <w:rPr/>
        <w:t>(GRI) merilis kerangka laporan tentang tanggung jawab sosial dan lingkungan agar suatu perusahaan dapat menunjukkan akuntabilitas dan transparansinya melalui laporan keberlanjutan </w:t>
      </w:r>
      <w:r>
        <w:rPr>
          <w:i/>
        </w:rPr>
        <w:t>(sustainability report)</w:t>
      </w:r>
      <w:r>
        <w:rPr/>
        <w:t>.</w:t>
      </w:r>
    </w:p>
    <w:p>
      <w:pPr>
        <w:spacing w:line="480" w:lineRule="auto" w:before="163"/>
        <w:ind w:left="1702" w:right="1281" w:firstLine="708"/>
        <w:jc w:val="both"/>
        <w:rPr>
          <w:i/>
          <w:sz w:val="24"/>
        </w:rPr>
      </w:pPr>
      <w:r>
        <w:rPr>
          <w:sz w:val="24"/>
        </w:rPr>
        <w:t>“</w:t>
      </w:r>
      <w:r>
        <w:rPr>
          <w:i/>
          <w:sz w:val="24"/>
        </w:rPr>
        <w:t>Sustainability report merupakan praktik pelaporan organisasi secara terbuka</w:t>
      </w:r>
      <w:r>
        <w:rPr>
          <w:i/>
          <w:spacing w:val="15"/>
          <w:sz w:val="24"/>
        </w:rPr>
        <w:t> </w:t>
      </w:r>
      <w:r>
        <w:rPr>
          <w:i/>
          <w:sz w:val="24"/>
        </w:rPr>
        <w:t>mengenai</w:t>
      </w:r>
      <w:r>
        <w:rPr>
          <w:i/>
          <w:spacing w:val="19"/>
          <w:sz w:val="24"/>
        </w:rPr>
        <w:t> </w:t>
      </w:r>
      <w:r>
        <w:rPr>
          <w:i/>
          <w:sz w:val="24"/>
        </w:rPr>
        <w:t>dampak</w:t>
      </w:r>
      <w:r>
        <w:rPr>
          <w:i/>
          <w:spacing w:val="19"/>
          <w:sz w:val="24"/>
        </w:rPr>
        <w:t> </w:t>
      </w:r>
      <w:r>
        <w:rPr>
          <w:i/>
          <w:sz w:val="24"/>
        </w:rPr>
        <w:t>ekonomi,</w:t>
      </w:r>
      <w:r>
        <w:rPr>
          <w:i/>
          <w:spacing w:val="18"/>
          <w:sz w:val="24"/>
        </w:rPr>
        <w:t> </w:t>
      </w:r>
      <w:r>
        <w:rPr>
          <w:i/>
          <w:sz w:val="24"/>
        </w:rPr>
        <w:t>lingkungan,</w:t>
      </w:r>
      <w:r>
        <w:rPr>
          <w:i/>
          <w:spacing w:val="18"/>
          <w:sz w:val="24"/>
        </w:rPr>
        <w:t> </w:t>
      </w:r>
      <w:r>
        <w:rPr>
          <w:i/>
          <w:sz w:val="24"/>
        </w:rPr>
        <w:t>dan/atau</w:t>
      </w:r>
      <w:r>
        <w:rPr>
          <w:i/>
          <w:spacing w:val="18"/>
          <w:sz w:val="24"/>
        </w:rPr>
        <w:t> </w:t>
      </w:r>
      <w:r>
        <w:rPr>
          <w:i/>
          <w:sz w:val="24"/>
        </w:rPr>
        <w:t>sosialnya,</w:t>
      </w:r>
      <w:r>
        <w:rPr>
          <w:i/>
          <w:spacing w:val="18"/>
          <w:sz w:val="24"/>
        </w:rPr>
        <w:t> </w:t>
      </w:r>
      <w:r>
        <w:rPr>
          <w:i/>
          <w:sz w:val="24"/>
        </w:rPr>
        <w:t>dan</w:t>
      </w:r>
      <w:r>
        <w:rPr>
          <w:i/>
          <w:spacing w:val="18"/>
          <w:sz w:val="24"/>
        </w:rPr>
        <w:t> </w:t>
      </w:r>
      <w:r>
        <w:rPr>
          <w:i/>
          <w:spacing w:val="-2"/>
          <w:sz w:val="24"/>
        </w:rPr>
        <w:t>karena</w:t>
      </w:r>
    </w:p>
    <w:p>
      <w:pPr>
        <w:pStyle w:val="BodyText"/>
        <w:spacing w:before="125"/>
        <w:rPr>
          <w:i/>
        </w:rPr>
      </w:pPr>
    </w:p>
    <w:p>
      <w:pPr>
        <w:pStyle w:val="BodyText"/>
        <w:ind w:left="1747" w:right="1321"/>
        <w:jc w:val="center"/>
      </w:pPr>
      <w:r>
        <w:rPr>
          <w:spacing w:val="-10"/>
        </w:rPr>
        <w:t>1</w:t>
      </w:r>
    </w:p>
    <w:p>
      <w:pPr>
        <w:pStyle w:val="BodyText"/>
        <w:spacing w:after="0"/>
        <w:jc w:val="center"/>
        <w:sectPr>
          <w:pgSz w:w="11910" w:h="16840"/>
          <w:pgMar w:top="1940" w:bottom="280" w:left="566" w:right="425"/>
        </w:sectPr>
      </w:pPr>
    </w:p>
    <w:p>
      <w:pPr>
        <w:pStyle w:val="BodyText"/>
        <w:spacing w:before="44"/>
      </w:pPr>
    </w:p>
    <w:p>
      <w:pPr>
        <w:pStyle w:val="BodyText"/>
        <w:spacing w:line="480" w:lineRule="auto"/>
        <w:ind w:left="1702" w:right="1270"/>
        <w:jc w:val="both"/>
      </w:pPr>
      <w:r>
        <w:rPr>
          <w:i/>
        </w:rPr>
        <w:t>itu</w:t>
      </w:r>
      <w:r>
        <w:rPr>
          <w:i/>
          <w:spacing w:val="-4"/>
        </w:rPr>
        <w:t> </w:t>
      </w:r>
      <w:r>
        <w:rPr>
          <w:i/>
        </w:rPr>
        <w:t>juga</w:t>
      </w:r>
      <w:r>
        <w:rPr>
          <w:i/>
          <w:spacing w:val="-9"/>
        </w:rPr>
        <w:t> </w:t>
      </w:r>
      <w:r>
        <w:rPr>
          <w:i/>
        </w:rPr>
        <w:t>termasuk</w:t>
      </w:r>
      <w:r>
        <w:rPr>
          <w:i/>
          <w:spacing w:val="-3"/>
        </w:rPr>
        <w:t> </w:t>
      </w:r>
      <w:r>
        <w:rPr>
          <w:i/>
        </w:rPr>
        <w:t>kontribusinya</w:t>
      </w:r>
      <w:r>
        <w:rPr>
          <w:i/>
          <w:spacing w:val="-9"/>
        </w:rPr>
        <w:t> </w:t>
      </w:r>
      <w:r>
        <w:rPr>
          <w:i/>
        </w:rPr>
        <w:t>positif</w:t>
      </w:r>
      <w:r>
        <w:rPr>
          <w:i/>
          <w:spacing w:val="-4"/>
        </w:rPr>
        <w:t> </w:t>
      </w:r>
      <w:r>
        <w:rPr>
          <w:i/>
        </w:rPr>
        <w:t>atau</w:t>
      </w:r>
      <w:r>
        <w:rPr>
          <w:i/>
          <w:spacing w:val="-4"/>
        </w:rPr>
        <w:t> </w:t>
      </w:r>
      <w:r>
        <w:rPr>
          <w:i/>
        </w:rPr>
        <w:t>negatif</w:t>
      </w:r>
      <w:r>
        <w:rPr>
          <w:i/>
          <w:spacing w:val="-8"/>
        </w:rPr>
        <w:t> </w:t>
      </w:r>
      <w:r>
        <w:rPr>
          <w:i/>
        </w:rPr>
        <w:t>terhadap</w:t>
      </w:r>
      <w:r>
        <w:rPr>
          <w:i/>
          <w:spacing w:val="-4"/>
        </w:rPr>
        <w:t> </w:t>
      </w:r>
      <w:r>
        <w:rPr>
          <w:i/>
        </w:rPr>
        <w:t>tujuan</w:t>
      </w:r>
      <w:r>
        <w:rPr>
          <w:i/>
          <w:spacing w:val="-4"/>
        </w:rPr>
        <w:t> </w:t>
      </w:r>
      <w:r>
        <w:rPr>
          <w:i/>
        </w:rPr>
        <w:t>pembangunan berkelanjutan</w:t>
      </w:r>
      <w:r>
        <w:rPr/>
        <w:t>” (Global Sustainability Standards Board, 2016). </w:t>
      </w:r>
      <w:r>
        <w:rPr>
          <w:i/>
        </w:rPr>
        <w:t>Sustainability report </w:t>
      </w:r>
      <w:r>
        <w:rPr/>
        <w:t>memperkenankan perusahaan dalam memenuhi tanggung jawab etis pada lingkungan tempat operasi dan tanggung jawab etis pada sosial (Syeliya et al., 2018). Selain itu, laporan keberlanjutan diharapkan oleh perusahaan dapat meningkatkan</w:t>
      </w:r>
      <w:r>
        <w:rPr>
          <w:spacing w:val="-3"/>
        </w:rPr>
        <w:t> </w:t>
      </w:r>
      <w:r>
        <w:rPr/>
        <w:t>nilai</w:t>
      </w:r>
      <w:r>
        <w:rPr>
          <w:spacing w:val="-3"/>
        </w:rPr>
        <w:t> </w:t>
      </w:r>
      <w:r>
        <w:rPr/>
        <w:t>perusahaan</w:t>
      </w:r>
      <w:r>
        <w:rPr>
          <w:spacing w:val="-3"/>
        </w:rPr>
        <w:t> </w:t>
      </w:r>
      <w:r>
        <w:rPr/>
        <w:t>dan</w:t>
      </w:r>
      <w:r>
        <w:rPr>
          <w:spacing w:val="-3"/>
        </w:rPr>
        <w:t> </w:t>
      </w:r>
      <w:r>
        <w:rPr/>
        <w:t>mempermudah</w:t>
      </w:r>
      <w:r>
        <w:rPr>
          <w:spacing w:val="-3"/>
        </w:rPr>
        <w:t> </w:t>
      </w:r>
      <w:r>
        <w:rPr/>
        <w:t>para</w:t>
      </w:r>
      <w:r>
        <w:rPr>
          <w:spacing w:val="-2"/>
        </w:rPr>
        <w:t> </w:t>
      </w:r>
      <w:r>
        <w:rPr/>
        <w:t>investor,</w:t>
      </w:r>
      <w:r>
        <w:rPr>
          <w:spacing w:val="-3"/>
        </w:rPr>
        <w:t> </w:t>
      </w:r>
      <w:r>
        <w:rPr/>
        <w:t>karena</w:t>
      </w:r>
      <w:r>
        <w:rPr>
          <w:spacing w:val="-2"/>
        </w:rPr>
        <w:t> </w:t>
      </w:r>
      <w:r>
        <w:rPr/>
        <w:t>tingginya nilai perusahaan mencerminkan kinerja perusahaan yang positif. </w:t>
      </w:r>
      <w:r>
        <w:rPr>
          <w:i/>
        </w:rPr>
        <w:t>Sustainability report </w:t>
      </w:r>
      <w:r>
        <w:rPr/>
        <w:t>dinilai mampu memberikan informasi yang komprehensif tentang kinerja perusahaan,</w:t>
      </w:r>
      <w:r>
        <w:rPr>
          <w:spacing w:val="-1"/>
        </w:rPr>
        <w:t> </w:t>
      </w:r>
      <w:r>
        <w:rPr/>
        <w:t>di mana sustainability</w:t>
      </w:r>
      <w:r>
        <w:rPr>
          <w:spacing w:val="-9"/>
        </w:rPr>
        <w:t> </w:t>
      </w:r>
      <w:r>
        <w:rPr/>
        <w:t>report tersebut berimbang</w:t>
      </w:r>
      <w:r>
        <w:rPr>
          <w:spacing w:val="-5"/>
        </w:rPr>
        <w:t> </w:t>
      </w:r>
      <w:r>
        <w:rPr/>
        <w:t>antara </w:t>
      </w:r>
      <w:r>
        <w:rPr>
          <w:i/>
        </w:rPr>
        <w:t>people</w:t>
      </w:r>
      <w:r>
        <w:rPr/>
        <w:t>,</w:t>
      </w:r>
      <w:r>
        <w:rPr>
          <w:spacing w:val="-4"/>
        </w:rPr>
        <w:t> </w:t>
      </w:r>
      <w:r>
        <w:rPr>
          <w:i/>
        </w:rPr>
        <w:t>planet </w:t>
      </w:r>
      <w:r>
        <w:rPr/>
        <w:t>dan </w:t>
      </w:r>
      <w:r>
        <w:rPr>
          <w:i/>
        </w:rPr>
        <w:t>profit </w:t>
      </w:r>
      <w:r>
        <w:rPr/>
        <w:t>(</w:t>
      </w:r>
      <w:r>
        <w:rPr>
          <w:i/>
        </w:rPr>
        <w:t>Triple Bottom-Line</w:t>
      </w:r>
      <w:r>
        <w:rPr/>
        <w:t>) yang diperkenalkan oleh (Elkington, 1998). Oleh karena itu, penyampaian informasi yang tercantum dalam laporan keberlanjutan, yang menjelaskan pencapaian perusahaan dalam menjalankan tanggung jawab sosial</w:t>
      </w:r>
      <w:r>
        <w:rPr>
          <w:spacing w:val="-11"/>
        </w:rPr>
        <w:t> </w:t>
      </w:r>
      <w:r>
        <w:rPr/>
        <w:t>dan</w:t>
      </w:r>
      <w:r>
        <w:rPr>
          <w:spacing w:val="-12"/>
        </w:rPr>
        <w:t> </w:t>
      </w:r>
      <w:r>
        <w:rPr/>
        <w:t>lingkungan,</w:t>
      </w:r>
      <w:r>
        <w:rPr>
          <w:spacing w:val="-12"/>
        </w:rPr>
        <w:t> </w:t>
      </w:r>
      <w:r>
        <w:rPr/>
        <w:t>menjadi</w:t>
      </w:r>
      <w:r>
        <w:rPr>
          <w:spacing w:val="-11"/>
        </w:rPr>
        <w:t> </w:t>
      </w:r>
      <w:r>
        <w:rPr/>
        <w:t>sangat</w:t>
      </w:r>
      <w:r>
        <w:rPr>
          <w:spacing w:val="-11"/>
        </w:rPr>
        <w:t> </w:t>
      </w:r>
      <w:r>
        <w:rPr/>
        <w:t>krusial..</w:t>
      </w:r>
      <w:r>
        <w:rPr>
          <w:spacing w:val="-12"/>
        </w:rPr>
        <w:t> </w:t>
      </w:r>
      <w:r>
        <w:rPr/>
        <w:t>Selain</w:t>
      </w:r>
      <w:r>
        <w:rPr>
          <w:spacing w:val="-12"/>
        </w:rPr>
        <w:t> </w:t>
      </w:r>
      <w:r>
        <w:rPr/>
        <w:t>itu,</w:t>
      </w:r>
      <w:r>
        <w:rPr>
          <w:spacing w:val="-10"/>
        </w:rPr>
        <w:t> </w:t>
      </w:r>
      <w:r>
        <w:rPr>
          <w:i/>
        </w:rPr>
        <w:t>sustainability</w:t>
      </w:r>
      <w:r>
        <w:rPr>
          <w:i/>
          <w:spacing w:val="-11"/>
        </w:rPr>
        <w:t> </w:t>
      </w:r>
      <w:r>
        <w:rPr>
          <w:i/>
        </w:rPr>
        <w:t>report</w:t>
      </w:r>
      <w:r>
        <w:rPr>
          <w:i/>
          <w:spacing w:val="-9"/>
        </w:rPr>
        <w:t> </w:t>
      </w:r>
      <w:r>
        <w:rPr/>
        <w:t>juga merupakan agent etis sebuah perusahaan yang aktivitas dan interaksinya dengan masyarakat harus bertanggung jawab terhadap lingkungan (Hapsari, 2023).</w:t>
      </w:r>
    </w:p>
    <w:p>
      <w:pPr>
        <w:pStyle w:val="BodyText"/>
        <w:spacing w:line="480" w:lineRule="auto" w:before="163"/>
        <w:ind w:left="1702" w:right="1272" w:firstLine="708"/>
        <w:jc w:val="both"/>
      </w:pPr>
      <w:r>
        <w:rPr/>
        <w:t>Perusahaan dapat menjadikan pelaporan keberlanjutan mereka sebagai bagian dari strategi untuk meningkatkan kepercayaan investor, yang pada gilirannya berdampak positif terhadap peningkatan nilai perusahaan. Perusahaan yang bertanggung jawab diharapkan mampu mengelola risiko dan peluang, baik yang</w:t>
      </w:r>
      <w:r>
        <w:rPr>
          <w:spacing w:val="-8"/>
        </w:rPr>
        <w:t> </w:t>
      </w:r>
      <w:r>
        <w:rPr/>
        <w:t>bersifat</w:t>
      </w:r>
      <w:r>
        <w:rPr>
          <w:spacing w:val="-4"/>
        </w:rPr>
        <w:t> </w:t>
      </w:r>
      <w:r>
        <w:rPr/>
        <w:t>finansial</w:t>
      </w:r>
      <w:r>
        <w:rPr>
          <w:spacing w:val="-4"/>
        </w:rPr>
        <w:t> </w:t>
      </w:r>
      <w:r>
        <w:rPr/>
        <w:t>maupun</w:t>
      </w:r>
      <w:r>
        <w:rPr>
          <w:spacing w:val="-4"/>
        </w:rPr>
        <w:t> </w:t>
      </w:r>
      <w:r>
        <w:rPr/>
        <w:t>non-finasial,</w:t>
      </w:r>
      <w:r>
        <w:rPr>
          <w:spacing w:val="-4"/>
        </w:rPr>
        <w:t> </w:t>
      </w:r>
      <w:r>
        <w:rPr/>
        <w:t>guna</w:t>
      </w:r>
      <w:r>
        <w:rPr>
          <w:spacing w:val="-3"/>
        </w:rPr>
        <w:t> </w:t>
      </w:r>
      <w:r>
        <w:rPr/>
        <w:t>mendukung</w:t>
      </w:r>
      <w:r>
        <w:rPr>
          <w:spacing w:val="-8"/>
        </w:rPr>
        <w:t> </w:t>
      </w:r>
      <w:r>
        <w:rPr/>
        <w:t>kelangsungan</w:t>
      </w:r>
      <w:r>
        <w:rPr>
          <w:spacing w:val="-4"/>
        </w:rPr>
        <w:t> </w:t>
      </w:r>
      <w:r>
        <w:rPr/>
        <w:t>usaha dalam</w:t>
      </w:r>
      <w:r>
        <w:rPr>
          <w:spacing w:val="-2"/>
        </w:rPr>
        <w:t> </w:t>
      </w:r>
      <w:r>
        <w:rPr/>
        <w:t>jangka panjang. Optimalisasi nilai</w:t>
      </w:r>
      <w:r>
        <w:rPr>
          <w:spacing w:val="-3"/>
        </w:rPr>
        <w:t> </w:t>
      </w:r>
      <w:r>
        <w:rPr/>
        <w:t>perusahaan</w:t>
      </w:r>
      <w:r>
        <w:rPr>
          <w:spacing w:val="-3"/>
        </w:rPr>
        <w:t> </w:t>
      </w:r>
      <w:r>
        <w:rPr/>
        <w:t>menjadi</w:t>
      </w:r>
      <w:r>
        <w:rPr>
          <w:spacing w:val="-3"/>
        </w:rPr>
        <w:t> </w:t>
      </w:r>
      <w:r>
        <w:rPr/>
        <w:t>aspek yang</w:t>
      </w:r>
      <w:r>
        <w:rPr>
          <w:spacing w:val="-4"/>
        </w:rPr>
        <w:t> </w:t>
      </w:r>
      <w:r>
        <w:rPr/>
        <w:t>esensial, karena</w:t>
      </w:r>
      <w:r>
        <w:rPr>
          <w:spacing w:val="40"/>
        </w:rPr>
        <w:t>  </w:t>
      </w:r>
      <w:r>
        <w:rPr/>
        <w:t>secara</w:t>
      </w:r>
      <w:r>
        <w:rPr>
          <w:spacing w:val="40"/>
        </w:rPr>
        <w:t>  </w:t>
      </w:r>
      <w:r>
        <w:rPr/>
        <w:t>teoritis</w:t>
      </w:r>
      <w:r>
        <w:rPr>
          <w:spacing w:val="40"/>
        </w:rPr>
        <w:t>  </w:t>
      </w:r>
      <w:r>
        <w:rPr/>
        <w:t>sejalan</w:t>
      </w:r>
      <w:r>
        <w:rPr>
          <w:spacing w:val="40"/>
        </w:rPr>
        <w:t>  </w:t>
      </w:r>
      <w:r>
        <w:rPr/>
        <w:t>dengan</w:t>
      </w:r>
      <w:r>
        <w:rPr>
          <w:spacing w:val="40"/>
        </w:rPr>
        <w:t>  </w:t>
      </w:r>
      <w:r>
        <w:rPr/>
        <w:t>tujuan</w:t>
      </w:r>
      <w:r>
        <w:rPr>
          <w:spacing w:val="40"/>
        </w:rPr>
        <w:t>  </w:t>
      </w:r>
      <w:r>
        <w:rPr/>
        <w:t>utama</w:t>
      </w:r>
      <w:r>
        <w:rPr>
          <w:spacing w:val="40"/>
        </w:rPr>
        <w:t>  </w:t>
      </w:r>
      <w:r>
        <w:rPr/>
        <w:t>perusahaan,</w:t>
      </w:r>
      <w:r>
        <w:rPr>
          <w:spacing w:val="40"/>
        </w:rPr>
        <w:t>  </w:t>
      </w:r>
      <w:r>
        <w:rPr/>
        <w:t>yakni</w:t>
      </w:r>
    </w:p>
    <w:p>
      <w:pPr>
        <w:pStyle w:val="BodyText"/>
        <w:spacing w:after="0" w:line="480" w:lineRule="auto"/>
        <w:jc w:val="both"/>
        <w:sectPr>
          <w:headerReference w:type="default" r:id="rId8"/>
          <w:pgSz w:w="11910" w:h="16840"/>
          <w:pgMar w:header="722" w:footer="0" w:top="1940" w:bottom="280" w:left="566" w:right="425"/>
          <w:pgNumType w:start="2"/>
        </w:sectPr>
      </w:pPr>
    </w:p>
    <w:p>
      <w:pPr>
        <w:pStyle w:val="BodyText"/>
        <w:spacing w:before="44"/>
      </w:pPr>
    </w:p>
    <w:p>
      <w:pPr>
        <w:pStyle w:val="BodyText"/>
        <w:spacing w:line="480" w:lineRule="auto"/>
        <w:ind w:left="1702" w:right="1271"/>
        <w:jc w:val="both"/>
      </w:pPr>
      <w:r>
        <w:rPr/>
        <w:t>memaksimalkan kesejahteraan pemegang saham (</w:t>
      </w:r>
      <w:r>
        <w:rPr>
          <w:i/>
        </w:rPr>
        <w:t>Shareholder). </w:t>
      </w:r>
      <w:r>
        <w:rPr/>
        <w:t>Dengan nilai perusahaan yang tinggi maka dapat meningkatkan kepercayaan investor pada perusahaan</w:t>
      </w:r>
      <w:r>
        <w:rPr>
          <w:spacing w:val="-15"/>
        </w:rPr>
        <w:t> </w:t>
      </w:r>
      <w:r>
        <w:rPr/>
        <w:t>di</w:t>
      </w:r>
      <w:r>
        <w:rPr>
          <w:spacing w:val="-15"/>
        </w:rPr>
        <w:t> </w:t>
      </w:r>
      <w:r>
        <w:rPr/>
        <w:t>masa</w:t>
      </w:r>
      <w:r>
        <w:rPr>
          <w:spacing w:val="-15"/>
        </w:rPr>
        <w:t> </w:t>
      </w:r>
      <w:r>
        <w:rPr/>
        <w:t>yang</w:t>
      </w:r>
      <w:r>
        <w:rPr>
          <w:spacing w:val="-15"/>
        </w:rPr>
        <w:t> </w:t>
      </w:r>
      <w:r>
        <w:rPr/>
        <w:t>akan</w:t>
      </w:r>
      <w:r>
        <w:rPr>
          <w:spacing w:val="-15"/>
        </w:rPr>
        <w:t> </w:t>
      </w:r>
      <w:r>
        <w:rPr/>
        <w:t>datang,</w:t>
      </w:r>
      <w:r>
        <w:rPr>
          <w:spacing w:val="-15"/>
        </w:rPr>
        <w:t> </w:t>
      </w:r>
      <w:r>
        <w:rPr/>
        <w:t>akibatnya</w:t>
      </w:r>
      <w:r>
        <w:rPr>
          <w:spacing w:val="-15"/>
        </w:rPr>
        <w:t> </w:t>
      </w:r>
      <w:r>
        <w:rPr/>
        <w:t>investor</w:t>
      </w:r>
      <w:r>
        <w:rPr>
          <w:spacing w:val="-15"/>
        </w:rPr>
        <w:t> </w:t>
      </w:r>
      <w:r>
        <w:rPr/>
        <w:t>akan</w:t>
      </w:r>
      <w:r>
        <w:rPr>
          <w:spacing w:val="-15"/>
        </w:rPr>
        <w:t> </w:t>
      </w:r>
      <w:r>
        <w:rPr/>
        <w:t>memilih</w:t>
      </w:r>
      <w:r>
        <w:rPr>
          <w:spacing w:val="-15"/>
        </w:rPr>
        <w:t> </w:t>
      </w:r>
      <w:r>
        <w:rPr/>
        <w:t>berinvestasi pada</w:t>
      </w:r>
      <w:r>
        <w:rPr>
          <w:spacing w:val="-3"/>
        </w:rPr>
        <w:t> </w:t>
      </w:r>
      <w:r>
        <w:rPr/>
        <w:t>perusahaan</w:t>
      </w:r>
      <w:r>
        <w:rPr>
          <w:spacing w:val="-9"/>
        </w:rPr>
        <w:t> </w:t>
      </w:r>
      <w:r>
        <w:rPr/>
        <w:t>tersebut</w:t>
      </w:r>
      <w:r>
        <w:rPr>
          <w:spacing w:val="-4"/>
        </w:rPr>
        <w:t> </w:t>
      </w:r>
      <w:r>
        <w:rPr/>
        <w:t>(Abdul</w:t>
      </w:r>
      <w:r>
        <w:rPr>
          <w:spacing w:val="-4"/>
        </w:rPr>
        <w:t> </w:t>
      </w:r>
      <w:r>
        <w:rPr/>
        <w:t>et.</w:t>
      </w:r>
      <w:r>
        <w:rPr>
          <w:spacing w:val="-4"/>
        </w:rPr>
        <w:t> </w:t>
      </w:r>
      <w:r>
        <w:rPr/>
        <w:t>al.,</w:t>
      </w:r>
      <w:r>
        <w:rPr>
          <w:spacing w:val="-4"/>
        </w:rPr>
        <w:t> </w:t>
      </w:r>
      <w:r>
        <w:rPr/>
        <w:t>2021).</w:t>
      </w:r>
      <w:r>
        <w:rPr>
          <w:spacing w:val="40"/>
        </w:rPr>
        <w:t> </w:t>
      </w:r>
      <w:r>
        <w:rPr/>
        <w:t>Untuk</w:t>
      </w:r>
      <w:r>
        <w:rPr>
          <w:spacing w:val="-9"/>
        </w:rPr>
        <w:t> </w:t>
      </w:r>
      <w:r>
        <w:rPr/>
        <w:t>itu,</w:t>
      </w:r>
      <w:r>
        <w:rPr>
          <w:spacing w:val="-8"/>
        </w:rPr>
        <w:t> </w:t>
      </w:r>
      <w:r>
        <w:rPr>
          <w:i/>
        </w:rPr>
        <w:t>sustainability</w:t>
      </w:r>
      <w:r>
        <w:rPr>
          <w:i/>
          <w:spacing w:val="-5"/>
        </w:rPr>
        <w:t> </w:t>
      </w:r>
      <w:r>
        <w:rPr>
          <w:i/>
        </w:rPr>
        <w:t>assurance </w:t>
      </w:r>
      <w:r>
        <w:rPr/>
        <w:t>sebagai proses independen untuk memberikan keyakinan atas informasi keberlanjutan</w:t>
      </w:r>
      <w:r>
        <w:rPr>
          <w:spacing w:val="-15"/>
        </w:rPr>
        <w:t> </w:t>
      </w:r>
      <w:r>
        <w:rPr/>
        <w:t>memegang</w:t>
      </w:r>
      <w:r>
        <w:rPr>
          <w:spacing w:val="-15"/>
        </w:rPr>
        <w:t> </w:t>
      </w:r>
      <w:r>
        <w:rPr/>
        <w:t>peranan</w:t>
      </w:r>
      <w:r>
        <w:rPr>
          <w:spacing w:val="-15"/>
        </w:rPr>
        <w:t> </w:t>
      </w:r>
      <w:r>
        <w:rPr/>
        <w:t>penting</w:t>
      </w:r>
      <w:r>
        <w:rPr>
          <w:spacing w:val="-15"/>
        </w:rPr>
        <w:t> </w:t>
      </w:r>
      <w:r>
        <w:rPr/>
        <w:t>dalam</w:t>
      </w:r>
      <w:r>
        <w:rPr>
          <w:spacing w:val="-14"/>
        </w:rPr>
        <w:t> </w:t>
      </w:r>
      <w:r>
        <w:rPr/>
        <w:t>meningkatkan</w:t>
      </w:r>
      <w:r>
        <w:rPr>
          <w:spacing w:val="-12"/>
        </w:rPr>
        <w:t> </w:t>
      </w:r>
      <w:r>
        <w:rPr/>
        <w:t>kredibilitas</w:t>
      </w:r>
      <w:r>
        <w:rPr>
          <w:spacing w:val="-14"/>
        </w:rPr>
        <w:t> </w:t>
      </w:r>
      <w:r>
        <w:rPr/>
        <w:t>laporan </w:t>
      </w:r>
      <w:r>
        <w:rPr>
          <w:spacing w:val="-2"/>
        </w:rPr>
        <w:t>keberlanjutan.</w:t>
      </w:r>
    </w:p>
    <w:p>
      <w:pPr>
        <w:pStyle w:val="BodyText"/>
        <w:spacing w:line="480" w:lineRule="auto" w:before="161"/>
        <w:ind w:left="1702" w:right="1270" w:firstLine="708"/>
        <w:jc w:val="both"/>
      </w:pPr>
      <w:r>
        <w:rPr/>
        <w:t>Selain kinerja ekonomi, kekhawatiran tentang kinerja lingkungan, sosial, dan etika (</w:t>
      </w:r>
      <w:r>
        <w:rPr>
          <w:i/>
        </w:rPr>
        <w:t>Enviromental, Social, &amp; Goverance</w:t>
      </w:r>
      <w:r>
        <w:rPr/>
        <w:t>/ESG</w:t>
      </w:r>
      <w:r>
        <w:rPr>
          <w:i/>
        </w:rPr>
        <w:t>) </w:t>
      </w:r>
      <w:r>
        <w:rPr/>
        <w:t>perusahaan telah meningkat pesat selama beberapa tahun terakhir, yang mengarah pada meningkatnya kebutuhan akan informasi tanggung jawab sosial perusahaan (</w:t>
      </w:r>
      <w:r>
        <w:rPr>
          <w:i/>
        </w:rPr>
        <w:t>Corporate Social Goversnce/</w:t>
      </w:r>
      <w:r>
        <w:rPr/>
        <w:t>CSR) yang lebih kredibel dan dapat diandalkan (Khan et al., 2019). Untuk memperkuat kepercayaan </w:t>
      </w:r>
      <w:r>
        <w:rPr>
          <w:i/>
        </w:rPr>
        <w:t>Stakeholder </w:t>
      </w:r>
      <w:r>
        <w:rPr/>
        <w:t>terhadap informasi keberlanjutan, serta untuk memverifikasi kelengkapannya dan mengurangi skeptisisme </w:t>
      </w:r>
      <w:r>
        <w:rPr>
          <w:i/>
        </w:rPr>
        <w:t>Stakeholder</w:t>
      </w:r>
      <w:r>
        <w:rPr/>
        <w:t>, perusahaan dengan insentif untuk terlibat dalam aktivitas yang bertanggung jawab secara sosial juga secara sukarela mulai memberikan jaminan eksternal</w:t>
      </w:r>
      <w:r>
        <w:rPr>
          <w:spacing w:val="-15"/>
        </w:rPr>
        <w:t> </w:t>
      </w:r>
      <w:r>
        <w:rPr/>
        <w:t>atas</w:t>
      </w:r>
      <w:r>
        <w:rPr>
          <w:spacing w:val="-15"/>
        </w:rPr>
        <w:t> </w:t>
      </w:r>
      <w:r>
        <w:rPr/>
        <w:t>pelaporan</w:t>
      </w:r>
      <w:r>
        <w:rPr>
          <w:spacing w:val="-15"/>
        </w:rPr>
        <w:t> </w:t>
      </w:r>
      <w:r>
        <w:rPr/>
        <w:t>CSR</w:t>
      </w:r>
      <w:r>
        <w:rPr>
          <w:spacing w:val="-15"/>
        </w:rPr>
        <w:t> </w:t>
      </w:r>
      <w:r>
        <w:rPr/>
        <w:t>(Simnett</w:t>
      </w:r>
      <w:r>
        <w:rPr>
          <w:spacing w:val="-15"/>
        </w:rPr>
        <w:t> </w:t>
      </w:r>
      <w:r>
        <w:rPr/>
        <w:t>et</w:t>
      </w:r>
      <w:r>
        <w:rPr>
          <w:spacing w:val="-15"/>
        </w:rPr>
        <w:t> </w:t>
      </w:r>
      <w:r>
        <w:rPr/>
        <w:t>al.,</w:t>
      </w:r>
      <w:r>
        <w:rPr>
          <w:spacing w:val="-15"/>
        </w:rPr>
        <w:t> </w:t>
      </w:r>
      <w:r>
        <w:rPr/>
        <w:t>2009).</w:t>
      </w:r>
      <w:r>
        <w:rPr>
          <w:spacing w:val="-15"/>
        </w:rPr>
        <w:t> </w:t>
      </w:r>
      <w:r>
        <w:rPr/>
        <w:t>Sebagai</w:t>
      </w:r>
      <w:r>
        <w:rPr>
          <w:spacing w:val="-15"/>
        </w:rPr>
        <w:t> </w:t>
      </w:r>
      <w:r>
        <w:rPr/>
        <w:t>dampaknya,</w:t>
      </w:r>
      <w:r>
        <w:rPr>
          <w:spacing w:val="-15"/>
        </w:rPr>
        <w:t> </w:t>
      </w:r>
      <w:r>
        <w:rPr/>
        <w:t>kebutuhan akan jasa assurance atas laporan keberlanjutan menunjukkan peningkatan yang signifikan, seiring dengan meningkatnya tuntutan </w:t>
      </w:r>
      <w:r>
        <w:rPr>
          <w:i/>
        </w:rPr>
        <w:t>Stakeholder </w:t>
      </w:r>
      <w:r>
        <w:rPr/>
        <w:t>terhadap transparansi</w:t>
      </w:r>
      <w:r>
        <w:rPr>
          <w:spacing w:val="-3"/>
        </w:rPr>
        <w:t> </w:t>
      </w:r>
      <w:r>
        <w:rPr/>
        <w:t>dan</w:t>
      </w:r>
      <w:r>
        <w:rPr>
          <w:spacing w:val="-3"/>
        </w:rPr>
        <w:t> </w:t>
      </w:r>
      <w:r>
        <w:rPr/>
        <w:t>akuntabilitas</w:t>
      </w:r>
      <w:r>
        <w:rPr>
          <w:spacing w:val="-5"/>
        </w:rPr>
        <w:t> </w:t>
      </w:r>
      <w:r>
        <w:rPr/>
        <w:t>informasi</w:t>
      </w:r>
      <w:r>
        <w:rPr>
          <w:spacing w:val="-3"/>
        </w:rPr>
        <w:t> </w:t>
      </w:r>
      <w:r>
        <w:rPr/>
        <w:t>non-keuangan yang</w:t>
      </w:r>
      <w:r>
        <w:rPr>
          <w:spacing w:val="-8"/>
        </w:rPr>
        <w:t> </w:t>
      </w:r>
      <w:r>
        <w:rPr/>
        <w:t>setara</w:t>
      </w:r>
      <w:r>
        <w:rPr>
          <w:spacing w:val="-2"/>
        </w:rPr>
        <w:t> </w:t>
      </w:r>
      <w:r>
        <w:rPr/>
        <w:t>dengan</w:t>
      </w:r>
      <w:r>
        <w:rPr>
          <w:spacing w:val="-3"/>
        </w:rPr>
        <w:t> </w:t>
      </w:r>
      <w:r>
        <w:rPr/>
        <w:t>laporan keuangan. Peningkatan permintaan terhadap layanan jaminan atas laporan keberlanjutan</w:t>
      </w:r>
      <w:r>
        <w:rPr>
          <w:spacing w:val="-8"/>
        </w:rPr>
        <w:t> </w:t>
      </w:r>
      <w:r>
        <w:rPr/>
        <w:t>dapat</w:t>
      </w:r>
      <w:r>
        <w:rPr>
          <w:spacing w:val="-7"/>
        </w:rPr>
        <w:t> </w:t>
      </w:r>
      <w:r>
        <w:rPr/>
        <w:t>dikaitkan</w:t>
      </w:r>
      <w:r>
        <w:rPr>
          <w:spacing w:val="-8"/>
        </w:rPr>
        <w:t> </w:t>
      </w:r>
      <w:r>
        <w:rPr/>
        <w:t>dengan</w:t>
      </w:r>
      <w:r>
        <w:rPr>
          <w:spacing w:val="-8"/>
        </w:rPr>
        <w:t> </w:t>
      </w:r>
      <w:r>
        <w:rPr/>
        <w:t>sejumlah</w:t>
      </w:r>
      <w:r>
        <w:rPr>
          <w:spacing w:val="-8"/>
        </w:rPr>
        <w:t> </w:t>
      </w:r>
      <w:r>
        <w:rPr/>
        <w:t>faktor</w:t>
      </w:r>
      <w:r>
        <w:rPr>
          <w:spacing w:val="-7"/>
        </w:rPr>
        <w:t> </w:t>
      </w:r>
      <w:r>
        <w:rPr/>
        <w:t>penting.</w:t>
      </w:r>
      <w:r>
        <w:rPr>
          <w:spacing w:val="-8"/>
        </w:rPr>
        <w:t> </w:t>
      </w:r>
      <w:r>
        <w:rPr/>
        <w:t>Di</w:t>
      </w:r>
      <w:r>
        <w:rPr>
          <w:spacing w:val="-7"/>
        </w:rPr>
        <w:t> </w:t>
      </w:r>
      <w:r>
        <w:rPr/>
        <w:t>antaranya</w:t>
      </w:r>
      <w:r>
        <w:rPr>
          <w:spacing w:val="-6"/>
        </w:rPr>
        <w:t> </w:t>
      </w:r>
      <w:r>
        <w:rPr/>
        <w:t>adalah peran</w:t>
      </w:r>
      <w:r>
        <w:rPr>
          <w:spacing w:val="18"/>
        </w:rPr>
        <w:t> </w:t>
      </w:r>
      <w:r>
        <w:rPr/>
        <w:t>jaminan</w:t>
      </w:r>
      <w:r>
        <w:rPr>
          <w:spacing w:val="21"/>
        </w:rPr>
        <w:t> </w:t>
      </w:r>
      <w:r>
        <w:rPr/>
        <w:t>dalam</w:t>
      </w:r>
      <w:r>
        <w:rPr>
          <w:spacing w:val="18"/>
        </w:rPr>
        <w:t> </w:t>
      </w:r>
      <w:r>
        <w:rPr/>
        <w:t>memperkuat</w:t>
      </w:r>
      <w:r>
        <w:rPr>
          <w:spacing w:val="22"/>
        </w:rPr>
        <w:t> </w:t>
      </w:r>
      <w:r>
        <w:rPr/>
        <w:t>kepercayaan</w:t>
      </w:r>
      <w:r>
        <w:rPr>
          <w:spacing w:val="31"/>
        </w:rPr>
        <w:t> </w:t>
      </w:r>
      <w:r>
        <w:rPr>
          <w:i/>
        </w:rPr>
        <w:t>Stakeholder</w:t>
      </w:r>
      <w:r>
        <w:rPr>
          <w:i/>
          <w:spacing w:val="22"/>
        </w:rPr>
        <w:t> </w:t>
      </w:r>
      <w:r>
        <w:rPr/>
        <w:t>terhadap</w:t>
      </w:r>
      <w:r>
        <w:rPr>
          <w:spacing w:val="21"/>
        </w:rPr>
        <w:t> </w:t>
      </w:r>
      <w:r>
        <w:rPr>
          <w:spacing w:val="-2"/>
        </w:rPr>
        <w:t>kredibilitas</w:t>
      </w:r>
    </w:p>
    <w:p>
      <w:pPr>
        <w:pStyle w:val="BodyText"/>
        <w:spacing w:after="0" w:line="480" w:lineRule="auto"/>
        <w:jc w:val="both"/>
        <w:sectPr>
          <w:pgSz w:w="11910" w:h="16840"/>
          <w:pgMar w:header="722" w:footer="0" w:top="1940" w:bottom="280" w:left="566" w:right="425"/>
        </w:sectPr>
      </w:pPr>
    </w:p>
    <w:p>
      <w:pPr>
        <w:pStyle w:val="BodyText"/>
        <w:spacing w:before="44"/>
      </w:pPr>
    </w:p>
    <w:p>
      <w:pPr>
        <w:pStyle w:val="BodyText"/>
        <w:spacing w:line="480" w:lineRule="auto"/>
        <w:ind w:left="1702" w:right="1271"/>
        <w:jc w:val="both"/>
      </w:pPr>
      <w:r>
        <w:rPr/>
        <w:t>informasi keberlanjutan (Ballou et al., 2018), mengurangi ketimpangan informasi antara perusahaan dan </w:t>
      </w:r>
      <w:r>
        <w:rPr>
          <w:i/>
        </w:rPr>
        <w:t>Stakeholder </w:t>
      </w:r>
      <w:r>
        <w:rPr/>
        <w:t>(Cuadrado-Ballesteros et al., 2017), serta berkontribusi terhadap peningkatan legitimasi sosial dan reputasi perusahaan di mata</w:t>
      </w:r>
      <w:r>
        <w:rPr>
          <w:spacing w:val="-15"/>
        </w:rPr>
        <w:t> </w:t>
      </w:r>
      <w:r>
        <w:rPr/>
        <w:t>publik</w:t>
      </w:r>
      <w:r>
        <w:rPr>
          <w:spacing w:val="-15"/>
        </w:rPr>
        <w:t> </w:t>
      </w:r>
      <w:r>
        <w:rPr/>
        <w:t>(Casey</w:t>
      </w:r>
      <w:r>
        <w:rPr>
          <w:spacing w:val="-15"/>
        </w:rPr>
        <w:t> </w:t>
      </w:r>
      <w:r>
        <w:rPr/>
        <w:t>&amp;</w:t>
      </w:r>
      <w:r>
        <w:rPr>
          <w:spacing w:val="-15"/>
        </w:rPr>
        <w:t> </w:t>
      </w:r>
      <w:r>
        <w:rPr/>
        <w:t>Grenier,</w:t>
      </w:r>
      <w:r>
        <w:rPr>
          <w:spacing w:val="-15"/>
        </w:rPr>
        <w:t> </w:t>
      </w:r>
      <w:r>
        <w:rPr/>
        <w:t>2015).</w:t>
      </w:r>
      <w:r>
        <w:rPr>
          <w:spacing w:val="-15"/>
        </w:rPr>
        <w:t> </w:t>
      </w:r>
      <w:r>
        <w:rPr/>
        <w:t>Selain</w:t>
      </w:r>
      <w:r>
        <w:rPr>
          <w:spacing w:val="-15"/>
        </w:rPr>
        <w:t> </w:t>
      </w:r>
      <w:r>
        <w:rPr/>
        <w:t>itu,</w:t>
      </w:r>
      <w:r>
        <w:rPr>
          <w:spacing w:val="-15"/>
        </w:rPr>
        <w:t> </w:t>
      </w:r>
      <w:r>
        <w:rPr/>
        <w:t>jaminan</w:t>
      </w:r>
      <w:r>
        <w:rPr>
          <w:spacing w:val="-15"/>
        </w:rPr>
        <w:t> </w:t>
      </w:r>
      <w:r>
        <w:rPr/>
        <w:t>atas</w:t>
      </w:r>
      <w:r>
        <w:rPr>
          <w:spacing w:val="-15"/>
        </w:rPr>
        <w:t> </w:t>
      </w:r>
      <w:r>
        <w:rPr/>
        <w:t>laporan</w:t>
      </w:r>
      <w:r>
        <w:rPr>
          <w:spacing w:val="-15"/>
        </w:rPr>
        <w:t> </w:t>
      </w:r>
      <w:r>
        <w:rPr/>
        <w:t>keberlanjutan juga terbukti membantu perusahaan dalam mengelola risiko nonfinansial secara lebih efektif (Braam et al., 2016).</w:t>
      </w:r>
    </w:p>
    <w:p>
      <w:pPr>
        <w:pStyle w:val="BodyText"/>
        <w:spacing w:line="480" w:lineRule="auto" w:before="161"/>
        <w:ind w:left="1702" w:right="1270" w:firstLine="708"/>
        <w:jc w:val="both"/>
      </w:pPr>
      <w:r>
        <w:rPr>
          <w:i/>
        </w:rPr>
        <w:t>Leverage </w:t>
      </w:r>
      <w:r>
        <w:rPr/>
        <w:t>(struktur utang) merupakan rasio yang menunjukkan besarnya utang yang dimiliki oleh perusahaan untuk membiayai kegiatan operasionalnya, dengan bertambahnya jumlah utang</w:t>
      </w:r>
      <w:r>
        <w:rPr>
          <w:spacing w:val="-3"/>
        </w:rPr>
        <w:t> </w:t>
      </w:r>
      <w:r>
        <w:rPr/>
        <w:t>mengakibatkan munculnya beban bunga yang harus dibayarkan oleh Perusahaan (Mariam &amp; Ramli, 2020). Leverage timbul karena perusahaan menggunakan kombinasi sumber dana yaitu utang untuk memaksimalkan nilai perusahaan. Perusahaan dengan leverage tinggi memiliki kebutuhan yang lebih besar untuk meyakinkan kreditur dan investor bahwa kegiatan bisnisnya berkelanjutan secara jangka panjang dan tidak menimbulkan risiko</w:t>
      </w:r>
      <w:r>
        <w:rPr>
          <w:spacing w:val="-15"/>
        </w:rPr>
        <w:t> </w:t>
      </w:r>
      <w:r>
        <w:rPr/>
        <w:t>lingkungan,</w:t>
      </w:r>
      <w:r>
        <w:rPr>
          <w:spacing w:val="-15"/>
        </w:rPr>
        <w:t> </w:t>
      </w:r>
      <w:r>
        <w:rPr/>
        <w:t>sosial,</w:t>
      </w:r>
      <w:r>
        <w:rPr>
          <w:spacing w:val="-15"/>
        </w:rPr>
        <w:t> </w:t>
      </w:r>
      <w:r>
        <w:rPr/>
        <w:t>atau</w:t>
      </w:r>
      <w:r>
        <w:rPr>
          <w:spacing w:val="-15"/>
        </w:rPr>
        <w:t> </w:t>
      </w:r>
      <w:r>
        <w:rPr/>
        <w:t>tata</w:t>
      </w:r>
      <w:r>
        <w:rPr>
          <w:spacing w:val="-15"/>
        </w:rPr>
        <w:t> </w:t>
      </w:r>
      <w:r>
        <w:rPr/>
        <w:t>kelola</w:t>
      </w:r>
      <w:r>
        <w:rPr>
          <w:spacing w:val="-15"/>
        </w:rPr>
        <w:t> </w:t>
      </w:r>
      <w:r>
        <w:rPr/>
        <w:t>(ESG).</w:t>
      </w:r>
      <w:r>
        <w:rPr>
          <w:spacing w:val="-15"/>
        </w:rPr>
        <w:t> </w:t>
      </w:r>
      <w:r>
        <w:rPr/>
        <w:t>Oleh</w:t>
      </w:r>
      <w:r>
        <w:rPr>
          <w:spacing w:val="-15"/>
        </w:rPr>
        <w:t> </w:t>
      </w:r>
      <w:r>
        <w:rPr/>
        <w:t>karena</w:t>
      </w:r>
      <w:r>
        <w:rPr>
          <w:spacing w:val="-15"/>
        </w:rPr>
        <w:t> </w:t>
      </w:r>
      <w:r>
        <w:rPr/>
        <w:t>itu,</w:t>
      </w:r>
      <w:r>
        <w:rPr>
          <w:spacing w:val="-15"/>
        </w:rPr>
        <w:t> </w:t>
      </w:r>
      <w:r>
        <w:rPr/>
        <w:t>mereka</w:t>
      </w:r>
      <w:r>
        <w:rPr>
          <w:spacing w:val="-15"/>
        </w:rPr>
        <w:t> </w:t>
      </w:r>
      <w:r>
        <w:rPr/>
        <w:t>cenderung mencari penjaminan (</w:t>
      </w:r>
      <w:r>
        <w:rPr>
          <w:i/>
        </w:rPr>
        <w:t>assurance</w:t>
      </w:r>
      <w:r>
        <w:rPr/>
        <w:t>) sustainability report dari pihak ketiga yang independen untuk meningkatkan kredibilitas laporan tersebut. Sementara itu, perusahaan</w:t>
      </w:r>
      <w:r>
        <w:rPr>
          <w:spacing w:val="-8"/>
        </w:rPr>
        <w:t> </w:t>
      </w:r>
      <w:r>
        <w:rPr/>
        <w:t>dengan</w:t>
      </w:r>
      <w:r>
        <w:rPr>
          <w:spacing w:val="-6"/>
        </w:rPr>
        <w:t> </w:t>
      </w:r>
      <w:r>
        <w:rPr>
          <w:i/>
        </w:rPr>
        <w:t>leverage</w:t>
      </w:r>
      <w:r>
        <w:rPr>
          <w:i/>
          <w:spacing w:val="-9"/>
        </w:rPr>
        <w:t> </w:t>
      </w:r>
      <w:r>
        <w:rPr/>
        <w:t>rendah</w:t>
      </w:r>
      <w:r>
        <w:rPr>
          <w:spacing w:val="-11"/>
        </w:rPr>
        <w:t> </w:t>
      </w:r>
      <w:r>
        <w:rPr/>
        <w:t>memiliki</w:t>
      </w:r>
      <w:r>
        <w:rPr>
          <w:spacing w:val="-7"/>
        </w:rPr>
        <w:t> </w:t>
      </w:r>
      <w:r>
        <w:rPr/>
        <w:t>tekanan</w:t>
      </w:r>
      <w:r>
        <w:rPr>
          <w:spacing w:val="-8"/>
        </w:rPr>
        <w:t> </w:t>
      </w:r>
      <w:r>
        <w:rPr/>
        <w:t>pembiayaan</w:t>
      </w:r>
      <w:r>
        <w:rPr>
          <w:spacing w:val="-4"/>
        </w:rPr>
        <w:t> </w:t>
      </w:r>
      <w:r>
        <w:rPr/>
        <w:t>yang</w:t>
      </w:r>
      <w:r>
        <w:rPr>
          <w:spacing w:val="-12"/>
        </w:rPr>
        <w:t> </w:t>
      </w:r>
      <w:r>
        <w:rPr/>
        <w:t>lebih</w:t>
      </w:r>
      <w:r>
        <w:rPr>
          <w:spacing w:val="-8"/>
        </w:rPr>
        <w:t> </w:t>
      </w:r>
      <w:r>
        <w:rPr/>
        <w:t>kecil dari kreditur sehingga kebutuhan untuk meyakinkan pihak eksternal mengenai keberlanjutan operasi dan risiko ESG relatif rendah. Dengan struktur modal yang lebih konservatif, perusahaan tersebut tidak memiliki insentif kuat untuk memanfaatkan </w:t>
      </w:r>
      <w:r>
        <w:rPr>
          <w:i/>
        </w:rPr>
        <w:t>assurance sustainability </w:t>
      </w:r>
      <w:r>
        <w:rPr/>
        <w:t>report sebagai mekanisme pengurangan asimetri informasi</w:t>
      </w:r>
    </w:p>
    <w:p>
      <w:pPr>
        <w:pStyle w:val="BodyText"/>
        <w:spacing w:after="0" w:line="480" w:lineRule="auto"/>
        <w:jc w:val="both"/>
        <w:sectPr>
          <w:pgSz w:w="11910" w:h="16840"/>
          <w:pgMar w:header="722" w:footer="0" w:top="1940" w:bottom="280" w:left="566" w:right="425"/>
        </w:sectPr>
      </w:pPr>
    </w:p>
    <w:p>
      <w:pPr>
        <w:pStyle w:val="BodyText"/>
        <w:spacing w:before="44"/>
      </w:pPr>
    </w:p>
    <w:p>
      <w:pPr>
        <w:pStyle w:val="BodyText"/>
        <w:spacing w:line="480" w:lineRule="auto"/>
        <w:ind w:left="1702" w:right="1270" w:firstLine="708"/>
        <w:jc w:val="both"/>
      </w:pPr>
      <w:r>
        <w:rPr>
          <w:i/>
        </w:rPr>
        <w:t>Debt Maturity </w:t>
      </w:r>
      <w:r>
        <w:rPr/>
        <w:t>(Jatuh tempo utang) merujuk kepada struktur jatuh tempo utang perusahaan, yang menunjukkan proporsi utang jangka pendek dan jangka panjang yang dimiliki perusahaan. Perusahaan dengan kualitas pelaporan yang tinggi cenderung memperoleh kepercayaan lebih besar dari kreditur, sehingga memiliki akses yang lebih luas terhadap pendanaan jangka panjang (Diamond, 1991). Kualitas </w:t>
      </w:r>
      <w:r>
        <w:rPr>
          <w:i/>
        </w:rPr>
        <w:t>assurance </w:t>
      </w:r>
      <w:r>
        <w:rPr/>
        <w:t>yang tinggi digunakan sebagai alat untuk mengurangi asimetri informasi dan meyakinkan </w:t>
      </w:r>
      <w:r>
        <w:rPr>
          <w:i/>
        </w:rPr>
        <w:t>Stakeholder</w:t>
      </w:r>
      <w:r>
        <w:rPr/>
        <w:t>, terutama dalam menunjukkan komitmen</w:t>
      </w:r>
      <w:r>
        <w:rPr>
          <w:spacing w:val="-2"/>
        </w:rPr>
        <w:t> </w:t>
      </w:r>
      <w:r>
        <w:rPr/>
        <w:t>perusahaan</w:t>
      </w:r>
      <w:r>
        <w:rPr>
          <w:spacing w:val="-2"/>
        </w:rPr>
        <w:t> </w:t>
      </w:r>
      <w:r>
        <w:rPr/>
        <w:t>terhadap</w:t>
      </w:r>
      <w:r>
        <w:rPr>
          <w:spacing w:val="-2"/>
        </w:rPr>
        <w:t> </w:t>
      </w:r>
      <w:r>
        <w:rPr/>
        <w:t>praktik</w:t>
      </w:r>
      <w:r>
        <w:rPr>
          <w:spacing w:val="-2"/>
        </w:rPr>
        <w:t> </w:t>
      </w:r>
      <w:r>
        <w:rPr/>
        <w:t>keberlanjutan dan</w:t>
      </w:r>
      <w:r>
        <w:rPr>
          <w:spacing w:val="-2"/>
        </w:rPr>
        <w:t> </w:t>
      </w:r>
      <w:r>
        <w:rPr/>
        <w:t>pengelolaan</w:t>
      </w:r>
      <w:r>
        <w:rPr>
          <w:spacing w:val="-2"/>
        </w:rPr>
        <w:t> </w:t>
      </w:r>
      <w:r>
        <w:rPr/>
        <w:t>risiko</w:t>
      </w:r>
      <w:r>
        <w:rPr>
          <w:spacing w:val="-2"/>
        </w:rPr>
        <w:t> </w:t>
      </w:r>
      <w:r>
        <w:rPr/>
        <w:t>ESG.</w:t>
      </w:r>
    </w:p>
    <w:p>
      <w:pPr>
        <w:pStyle w:val="BodyText"/>
        <w:spacing w:before="5"/>
      </w:pPr>
    </w:p>
    <w:p>
      <w:pPr>
        <w:pStyle w:val="BodyText"/>
        <w:spacing w:line="480" w:lineRule="auto"/>
        <w:ind w:left="1702" w:right="1270" w:firstLine="720"/>
        <w:jc w:val="both"/>
      </w:pPr>
      <w:r>
        <w:rPr>
          <w:i/>
        </w:rPr>
        <w:t>Assurance tenure </w:t>
      </w:r>
      <w:r>
        <w:rPr/>
        <w:t>merupakan lamanya hubungan kontraktual antara penyedia assurance dengan</w:t>
      </w:r>
      <w:r>
        <w:rPr>
          <w:spacing w:val="-1"/>
        </w:rPr>
        <w:t> </w:t>
      </w:r>
      <w:r>
        <w:rPr/>
        <w:t>perusahaan</w:t>
      </w:r>
      <w:r>
        <w:rPr>
          <w:spacing w:val="-1"/>
        </w:rPr>
        <w:t> </w:t>
      </w:r>
      <w:r>
        <w:rPr/>
        <w:t>klien. </w:t>
      </w:r>
      <w:r>
        <w:rPr>
          <w:i/>
        </w:rPr>
        <w:t>Tenure </w:t>
      </w:r>
      <w:r>
        <w:rPr/>
        <w:t>diyakini dapat memengaruhi kualitas assurance, baik secara positif maupun negatif. Di satu sisi, hubungan jangka panjang antara assuror dan klien berpotensi menimbulkan risiko independensi akibat kedekatan berlebihan sehingga mengurangi sikap skeptis profesional, yang pada akhirnya dapat menurunkan nilai komunikatif dari laporan </w:t>
      </w:r>
      <w:r>
        <w:rPr>
          <w:i/>
        </w:rPr>
        <w:t>assurance </w:t>
      </w:r>
      <w:r>
        <w:rPr/>
        <w:t>(Ruiz-Barbadillo &amp; Martínez-Ferrero, 2023). Di sisi lain, </w:t>
      </w:r>
      <w:r>
        <w:rPr>
          <w:i/>
        </w:rPr>
        <w:t>tenure </w:t>
      </w:r>
      <w:r>
        <w:rPr/>
        <w:t>yang panjang</w:t>
      </w:r>
      <w:r>
        <w:rPr>
          <w:spacing w:val="-15"/>
        </w:rPr>
        <w:t> </w:t>
      </w:r>
      <w:r>
        <w:rPr/>
        <w:t>justru</w:t>
      </w:r>
      <w:r>
        <w:rPr>
          <w:spacing w:val="-15"/>
        </w:rPr>
        <w:t> </w:t>
      </w:r>
      <w:r>
        <w:rPr/>
        <w:t>dapat</w:t>
      </w:r>
      <w:r>
        <w:rPr>
          <w:spacing w:val="-15"/>
        </w:rPr>
        <w:t> </w:t>
      </w:r>
      <w:r>
        <w:rPr/>
        <w:t>memberikan</w:t>
      </w:r>
      <w:r>
        <w:rPr>
          <w:spacing w:val="-15"/>
        </w:rPr>
        <w:t> </w:t>
      </w:r>
      <w:r>
        <w:rPr/>
        <w:t>efek</w:t>
      </w:r>
      <w:r>
        <w:rPr>
          <w:spacing w:val="-15"/>
        </w:rPr>
        <w:t> </w:t>
      </w:r>
      <w:r>
        <w:rPr/>
        <w:t>pembelajaran</w:t>
      </w:r>
      <w:r>
        <w:rPr>
          <w:spacing w:val="-15"/>
        </w:rPr>
        <w:t> </w:t>
      </w:r>
      <w:r>
        <w:rPr/>
        <w:t>(</w:t>
      </w:r>
      <w:r>
        <w:rPr>
          <w:i/>
        </w:rPr>
        <w:t>learning</w:t>
      </w:r>
      <w:r>
        <w:rPr>
          <w:i/>
          <w:spacing w:val="-15"/>
        </w:rPr>
        <w:t> </w:t>
      </w:r>
      <w:r>
        <w:rPr>
          <w:i/>
        </w:rPr>
        <w:t>effect</w:t>
      </w:r>
      <w:r>
        <w:rPr/>
        <w:t>)</w:t>
      </w:r>
      <w:r>
        <w:rPr>
          <w:spacing w:val="-15"/>
        </w:rPr>
        <w:t> </w:t>
      </w:r>
      <w:r>
        <w:rPr/>
        <w:t>bagi</w:t>
      </w:r>
      <w:r>
        <w:rPr>
          <w:spacing w:val="-15"/>
        </w:rPr>
        <w:t> </w:t>
      </w:r>
      <w:r>
        <w:rPr/>
        <w:t>penyedia </w:t>
      </w:r>
      <w:r>
        <w:rPr>
          <w:i/>
        </w:rPr>
        <w:t>assurance</w:t>
      </w:r>
      <w:r>
        <w:rPr/>
        <w:t>. Melalui pengalaman berulang, penyedia assurance memperoleh pengetahuan spesifik mengenai perusahaan, industri, serta praktik keberlanjutannya. Hal ini berpotensi meningkatkan pemahaman, efektivitas, dan efisiensi proses </w:t>
      </w:r>
      <w:r>
        <w:rPr>
          <w:i/>
        </w:rPr>
        <w:t>assurance</w:t>
      </w:r>
      <w:r>
        <w:rPr/>
        <w:t>, yang kemudian berdampak pada kualitas assurance report yang lebih tinggi (Martínez-Ferrero, García-Sánchez, &amp; Ruiz-Barbadillo, </w:t>
      </w:r>
      <w:r>
        <w:rPr>
          <w:spacing w:val="-2"/>
        </w:rPr>
        <w:t>2018).</w:t>
      </w:r>
    </w:p>
    <w:p>
      <w:pPr>
        <w:pStyle w:val="BodyText"/>
        <w:spacing w:after="0" w:line="480" w:lineRule="auto"/>
        <w:jc w:val="both"/>
        <w:sectPr>
          <w:pgSz w:w="11910" w:h="16840"/>
          <w:pgMar w:header="722" w:footer="0" w:top="1940" w:bottom="280" w:left="566" w:right="425"/>
        </w:sectPr>
      </w:pPr>
    </w:p>
    <w:p>
      <w:pPr>
        <w:pStyle w:val="BodyText"/>
        <w:spacing w:before="44"/>
      </w:pPr>
    </w:p>
    <w:p>
      <w:pPr>
        <w:pStyle w:val="BodyText"/>
        <w:spacing w:line="480" w:lineRule="auto"/>
        <w:ind w:left="1702" w:right="1270" w:firstLine="708"/>
        <w:jc w:val="both"/>
      </w:pPr>
      <w:r>
        <w:rPr/>
        <w:t>Penelitian</w:t>
      </w:r>
      <w:r>
        <w:rPr>
          <w:spacing w:val="-10"/>
        </w:rPr>
        <w:t> </w:t>
      </w:r>
      <w:r>
        <w:rPr/>
        <w:t>Bugshan</w:t>
      </w:r>
      <w:r>
        <w:rPr>
          <w:spacing w:val="-10"/>
        </w:rPr>
        <w:t> </w:t>
      </w:r>
      <w:r>
        <w:rPr/>
        <w:t>et</w:t>
      </w:r>
      <w:r>
        <w:rPr>
          <w:spacing w:val="-9"/>
        </w:rPr>
        <w:t> </w:t>
      </w:r>
      <w:r>
        <w:rPr/>
        <w:t>al.</w:t>
      </w:r>
      <w:r>
        <w:rPr>
          <w:spacing w:val="-13"/>
        </w:rPr>
        <w:t> </w:t>
      </w:r>
      <w:r>
        <w:rPr/>
        <w:t>(2024)</w:t>
      </w:r>
      <w:r>
        <w:rPr>
          <w:spacing w:val="-9"/>
        </w:rPr>
        <w:t> </w:t>
      </w:r>
      <w:r>
        <w:rPr/>
        <w:t>menunjukkan</w:t>
      </w:r>
      <w:r>
        <w:rPr>
          <w:spacing w:val="-10"/>
        </w:rPr>
        <w:t> </w:t>
      </w:r>
      <w:r>
        <w:rPr/>
        <w:t>bahwa</w:t>
      </w:r>
      <w:r>
        <w:rPr>
          <w:spacing w:val="-8"/>
        </w:rPr>
        <w:t> </w:t>
      </w:r>
      <w:r>
        <w:rPr/>
        <w:t>verifikasi</w:t>
      </w:r>
      <w:r>
        <w:rPr>
          <w:spacing w:val="-9"/>
        </w:rPr>
        <w:t> </w:t>
      </w:r>
      <w:r>
        <w:rPr/>
        <w:t>independen atas laporan keberlanjutan secara signifikan mengurangi asimetri informasi, meningkatkan struktur </w:t>
      </w:r>
      <w:r>
        <w:rPr>
          <w:i/>
        </w:rPr>
        <w:t>leverage</w:t>
      </w:r>
      <w:r>
        <w:rPr/>
        <w:t>, dan memperpanjang </w:t>
      </w:r>
      <w:r>
        <w:rPr>
          <w:i/>
        </w:rPr>
        <w:t>debt maturity </w:t>
      </w:r>
      <w:r>
        <w:rPr/>
        <w:t>(Shu et al., 2023; Lemma et al., 2020). Temuan ini mengindikasikan bahwa </w:t>
      </w:r>
      <w:r>
        <w:rPr>
          <w:i/>
        </w:rPr>
        <w:t>sustainability assurance</w:t>
      </w:r>
      <w:r>
        <w:rPr>
          <w:i/>
          <w:spacing w:val="-7"/>
        </w:rPr>
        <w:t> </w:t>
      </w:r>
      <w:r>
        <w:rPr/>
        <w:t>tidak</w:t>
      </w:r>
      <w:r>
        <w:rPr>
          <w:spacing w:val="-13"/>
        </w:rPr>
        <w:t> </w:t>
      </w:r>
      <w:r>
        <w:rPr/>
        <w:t>hanya</w:t>
      </w:r>
      <w:r>
        <w:rPr>
          <w:spacing w:val="-8"/>
        </w:rPr>
        <w:t> </w:t>
      </w:r>
      <w:r>
        <w:rPr/>
        <w:t>meningkatkan</w:t>
      </w:r>
      <w:r>
        <w:rPr>
          <w:spacing w:val="-12"/>
        </w:rPr>
        <w:t> </w:t>
      </w:r>
      <w:r>
        <w:rPr/>
        <w:t>transparansi</w:t>
      </w:r>
      <w:r>
        <w:rPr>
          <w:spacing w:val="-9"/>
        </w:rPr>
        <w:t> </w:t>
      </w:r>
      <w:r>
        <w:rPr/>
        <w:t>dan</w:t>
      </w:r>
      <w:r>
        <w:rPr>
          <w:spacing w:val="-9"/>
        </w:rPr>
        <w:t> </w:t>
      </w:r>
      <w:r>
        <w:rPr/>
        <w:t>akuntabilitas</w:t>
      </w:r>
      <w:r>
        <w:rPr>
          <w:spacing w:val="-10"/>
        </w:rPr>
        <w:t> </w:t>
      </w:r>
      <w:r>
        <w:rPr/>
        <w:t>pelaporan</w:t>
      </w:r>
      <w:r>
        <w:rPr>
          <w:spacing w:val="-13"/>
        </w:rPr>
        <w:t> </w:t>
      </w:r>
      <w:r>
        <w:rPr/>
        <w:t>non- keuangan, tetapi juga berdampak ekonomi bagi perusahaan. Rasional ini berakar pada kebutuhan perusahaan berutang besar untuk memberi sinyal kredibilitas kepada</w:t>
      </w:r>
      <w:r>
        <w:rPr>
          <w:spacing w:val="-2"/>
        </w:rPr>
        <w:t> </w:t>
      </w:r>
      <w:r>
        <w:rPr/>
        <w:t>kreditor</w:t>
      </w:r>
      <w:r>
        <w:rPr>
          <w:spacing w:val="-2"/>
        </w:rPr>
        <w:t> </w:t>
      </w:r>
      <w:r>
        <w:rPr/>
        <w:t>(Lemma</w:t>
      </w:r>
      <w:r>
        <w:rPr>
          <w:spacing w:val="-2"/>
        </w:rPr>
        <w:t> </w:t>
      </w:r>
      <w:r>
        <w:rPr/>
        <w:t>et</w:t>
      </w:r>
      <w:r>
        <w:rPr>
          <w:spacing w:val="-2"/>
        </w:rPr>
        <w:t> </w:t>
      </w:r>
      <w:r>
        <w:rPr/>
        <w:t>al.,</w:t>
      </w:r>
      <w:r>
        <w:rPr>
          <w:spacing w:val="-2"/>
        </w:rPr>
        <w:t> </w:t>
      </w:r>
      <w:r>
        <w:rPr/>
        <w:t>2020).</w:t>
      </w:r>
      <w:r>
        <w:rPr>
          <w:spacing w:val="-2"/>
        </w:rPr>
        <w:t> </w:t>
      </w:r>
      <w:r>
        <w:rPr/>
        <w:t>Namun</w:t>
      </w:r>
      <w:r>
        <w:rPr>
          <w:spacing w:val="-2"/>
        </w:rPr>
        <w:t> </w:t>
      </w:r>
      <w:r>
        <w:rPr/>
        <w:t>pada</w:t>
      </w:r>
      <w:r>
        <w:rPr>
          <w:spacing w:val="-2"/>
        </w:rPr>
        <w:t> </w:t>
      </w:r>
      <w:r>
        <w:rPr/>
        <w:t>penelitian</w:t>
      </w:r>
      <w:r>
        <w:rPr>
          <w:spacing w:val="-2"/>
        </w:rPr>
        <w:t> </w:t>
      </w:r>
      <w:r>
        <w:rPr/>
        <w:t>yang</w:t>
      </w:r>
      <w:r>
        <w:rPr>
          <w:spacing w:val="-7"/>
        </w:rPr>
        <w:t> </w:t>
      </w:r>
      <w:r>
        <w:rPr/>
        <w:t>dilakukan</w:t>
      </w:r>
      <w:r>
        <w:rPr>
          <w:spacing w:val="-2"/>
        </w:rPr>
        <w:t> </w:t>
      </w:r>
      <w:r>
        <w:rPr/>
        <w:t>oleh Sari dan Priyadi (2020), menemukan bahwa </w:t>
      </w:r>
      <w:r>
        <w:rPr>
          <w:i/>
        </w:rPr>
        <w:t>leverage </w:t>
      </w:r>
      <w:r>
        <w:rPr/>
        <w:t>berpengaruh negatif namun tidak signifikan terhadap CSR perusahaan dalam laporan keberlanjutan, sehingga struktur pendanaan perusahaan, baik utang</w:t>
      </w:r>
      <w:r>
        <w:rPr>
          <w:spacing w:val="-4"/>
        </w:rPr>
        <w:t> </w:t>
      </w:r>
      <w:r>
        <w:rPr/>
        <w:t>jangka pendek maupun jangka panjang (</w:t>
      </w:r>
      <w:r>
        <w:rPr>
          <w:i/>
        </w:rPr>
        <w:t>Debt Maturity)</w:t>
      </w:r>
      <w:r>
        <w:rPr/>
        <w:t>,</w:t>
      </w:r>
      <w:r>
        <w:rPr>
          <w:spacing w:val="-1"/>
        </w:rPr>
        <w:t> </w:t>
      </w:r>
      <w:r>
        <w:rPr/>
        <w:t>bukan</w:t>
      </w:r>
      <w:r>
        <w:rPr>
          <w:spacing w:val="-1"/>
        </w:rPr>
        <w:t> </w:t>
      </w:r>
      <w:r>
        <w:rPr/>
        <w:t>menjadi faktor</w:t>
      </w:r>
      <w:r>
        <w:rPr>
          <w:spacing w:val="-1"/>
        </w:rPr>
        <w:t> </w:t>
      </w:r>
      <w:r>
        <w:rPr/>
        <w:t>penentu</w:t>
      </w:r>
      <w:r>
        <w:rPr>
          <w:spacing w:val="-1"/>
        </w:rPr>
        <w:t> </w:t>
      </w:r>
      <w:r>
        <w:rPr/>
        <w:t>aktivitas keberlanjutan;</w:t>
      </w:r>
      <w:r>
        <w:rPr>
          <w:spacing w:val="-4"/>
        </w:rPr>
        <w:t> </w:t>
      </w:r>
      <w:r>
        <w:rPr/>
        <w:t>temuan</w:t>
      </w:r>
      <w:r>
        <w:rPr>
          <w:spacing w:val="-1"/>
        </w:rPr>
        <w:t> </w:t>
      </w:r>
      <w:r>
        <w:rPr/>
        <w:t>ini menunjukkan bahwa hubungan leverage dengan aspek keberlanjutan cenderung bergantung pada jenis informasi ESG yang diungkapkan, kedalaman mekanisme assurance yang digunakan, serta konteks pasar dan regulasi yang melingkupi perusahaan. Penelitian Ruiz-Barbadillo dan Martínez-Ferrero (2023) menemukan bahwa meskipun assurance statements mampu menurunkan asimetri informasi, efek</w:t>
      </w:r>
      <w:r>
        <w:rPr>
          <w:spacing w:val="-2"/>
        </w:rPr>
        <w:t> </w:t>
      </w:r>
      <w:r>
        <w:rPr/>
        <w:t>positif</w:t>
      </w:r>
      <w:r>
        <w:rPr>
          <w:spacing w:val="-2"/>
        </w:rPr>
        <w:t> </w:t>
      </w:r>
      <w:r>
        <w:rPr/>
        <w:t>tersebut</w:t>
      </w:r>
      <w:r>
        <w:rPr>
          <w:spacing w:val="-3"/>
        </w:rPr>
        <w:t> </w:t>
      </w:r>
      <w:r>
        <w:rPr/>
        <w:t>dapat</w:t>
      </w:r>
      <w:r>
        <w:rPr>
          <w:spacing w:val="-2"/>
        </w:rPr>
        <w:t> </w:t>
      </w:r>
      <w:r>
        <w:rPr/>
        <w:t>melemah</w:t>
      </w:r>
      <w:r>
        <w:rPr>
          <w:spacing w:val="-2"/>
        </w:rPr>
        <w:t> </w:t>
      </w:r>
      <w:r>
        <w:rPr/>
        <w:t>apabila</w:t>
      </w:r>
      <w:r>
        <w:rPr>
          <w:spacing w:val="-2"/>
        </w:rPr>
        <w:t> </w:t>
      </w:r>
      <w:r>
        <w:rPr/>
        <w:t>independensi</w:t>
      </w:r>
      <w:r>
        <w:rPr>
          <w:spacing w:val="-2"/>
        </w:rPr>
        <w:t> </w:t>
      </w:r>
      <w:r>
        <w:rPr/>
        <w:t>assuror</w:t>
      </w:r>
      <w:r>
        <w:rPr>
          <w:spacing w:val="-2"/>
        </w:rPr>
        <w:t> </w:t>
      </w:r>
      <w:r>
        <w:rPr/>
        <w:t>terganggu</w:t>
      </w:r>
      <w:r>
        <w:rPr>
          <w:spacing w:val="-3"/>
        </w:rPr>
        <w:t> </w:t>
      </w:r>
      <w:r>
        <w:rPr/>
        <w:t>akibat hubungan kontraktual yang terlalu panjang, sehingga menimbulkan risiko </w:t>
      </w:r>
      <w:r>
        <w:rPr>
          <w:i/>
        </w:rPr>
        <w:t>complacency</w:t>
      </w:r>
      <w:r>
        <w:rPr/>
        <w:t>. Sebaliknya, Martínez-Ferrero et al. (2018) menunjukkan bahwa pengalaman jangka panjang dan spesialisasi industri justru dapat meningkatkan kualitas laporan </w:t>
      </w:r>
      <w:r>
        <w:rPr>
          <w:i/>
        </w:rPr>
        <w:t>assurance </w:t>
      </w:r>
      <w:r>
        <w:rPr/>
        <w:t>karena memperdalam pemahaman assuror atas isu keberlanjutan spesifik perusahaan.</w:t>
      </w:r>
    </w:p>
    <w:p>
      <w:pPr>
        <w:pStyle w:val="BodyText"/>
        <w:spacing w:after="0" w:line="480" w:lineRule="auto"/>
        <w:jc w:val="both"/>
        <w:sectPr>
          <w:pgSz w:w="11910" w:h="16840"/>
          <w:pgMar w:header="722" w:footer="0" w:top="1940" w:bottom="280" w:left="566" w:right="425"/>
        </w:sectPr>
      </w:pPr>
    </w:p>
    <w:p>
      <w:pPr>
        <w:pStyle w:val="BodyText"/>
        <w:spacing w:before="44"/>
      </w:pPr>
    </w:p>
    <w:p>
      <w:pPr>
        <w:pStyle w:val="BodyText"/>
        <w:spacing w:line="480" w:lineRule="auto"/>
        <w:ind w:left="1702" w:right="1269" w:firstLine="708"/>
        <w:jc w:val="both"/>
        <w:rPr>
          <w:b/>
        </w:rPr>
      </w:pPr>
      <w:r>
        <w:rPr/>
        <w:t>Namun, di Indonesia, fenomena ini masih jarang diteliti, khususnya pada sektor energi yang memiliki tingkat urgensi tinggi terhadap isu keberlanjutan. Sektor energi menjadi fokus utama pemerintah dalam mencapai target </w:t>
      </w:r>
      <w:r>
        <w:rPr>
          <w:i/>
        </w:rPr>
        <w:t>Net Zero Emission </w:t>
      </w:r>
      <w:r>
        <w:rPr/>
        <w:t>(NZE) tahun 2060 sebagaimana komitmen Indonesia dalam </w:t>
      </w:r>
      <w:r>
        <w:rPr>
          <w:i/>
        </w:rPr>
        <w:t>Paris Agreement </w:t>
      </w:r>
      <w:r>
        <w:rPr/>
        <w:t>dan </w:t>
      </w:r>
      <w:r>
        <w:rPr>
          <w:i/>
        </w:rPr>
        <w:t>Nationally Determined Contribution </w:t>
      </w:r>
      <w:r>
        <w:rPr/>
        <w:t>(NDC). Berdasarkan kebijakan fiskal dan pajak lingkungan yang diterapkan, sektor energi merupakan penyumbang emisi gas rumah kaca (GRK) terbesar namun juga memiliki potensi paling signifikan untuk melakukan transisi menuju energi baru dan terbarukan (Wibowo &amp; Rasji, 2023). Kebijakan ini menunjukkan bahwa sektor energi tidak hanya berperan penting dalam perekonomian nasional, tetapi juga menjadi kunci dalam</w:t>
      </w:r>
      <w:r>
        <w:rPr>
          <w:spacing w:val="-4"/>
        </w:rPr>
        <w:t> </w:t>
      </w:r>
      <w:r>
        <w:rPr/>
        <w:t>upaya</w:t>
      </w:r>
      <w:r>
        <w:rPr>
          <w:spacing w:val="-1"/>
        </w:rPr>
        <w:t> </w:t>
      </w:r>
      <w:r>
        <w:rPr/>
        <w:t>dekarbonisasi</w:t>
      </w:r>
      <w:r>
        <w:rPr>
          <w:spacing w:val="-4"/>
        </w:rPr>
        <w:t> </w:t>
      </w:r>
      <w:r>
        <w:rPr/>
        <w:t>dan</w:t>
      </w:r>
      <w:r>
        <w:rPr>
          <w:spacing w:val="-3"/>
        </w:rPr>
        <w:t> </w:t>
      </w:r>
      <w:r>
        <w:rPr/>
        <w:t>pembangunan</w:t>
      </w:r>
      <w:r>
        <w:rPr>
          <w:spacing w:val="-3"/>
        </w:rPr>
        <w:t> </w:t>
      </w:r>
      <w:r>
        <w:rPr/>
        <w:t>ekonomi</w:t>
      </w:r>
      <w:r>
        <w:rPr>
          <w:spacing w:val="-2"/>
        </w:rPr>
        <w:t> </w:t>
      </w:r>
      <w:r>
        <w:rPr/>
        <w:t>hijau</w:t>
      </w:r>
      <w:r>
        <w:rPr>
          <w:spacing w:val="-6"/>
        </w:rPr>
        <w:t> </w:t>
      </w:r>
      <w:r>
        <w:rPr/>
        <w:t>di</w:t>
      </w:r>
      <w:r>
        <w:rPr>
          <w:spacing w:val="-4"/>
        </w:rPr>
        <w:t> </w:t>
      </w:r>
      <w:r>
        <w:rPr/>
        <w:t>Indonesia. Faktor- faktor keuangan seperti </w:t>
      </w:r>
      <w:r>
        <w:rPr>
          <w:i/>
        </w:rPr>
        <w:t>leverage </w:t>
      </w:r>
      <w:r>
        <w:rPr/>
        <w:t>dan </w:t>
      </w:r>
      <w:r>
        <w:rPr>
          <w:i/>
        </w:rPr>
        <w:t>debt maturity</w:t>
      </w:r>
      <w:r>
        <w:rPr/>
        <w:t>, serta </w:t>
      </w:r>
      <w:r>
        <w:rPr>
          <w:i/>
        </w:rPr>
        <w:t>Assurance tenure</w:t>
      </w:r>
      <w:r>
        <w:rPr>
          <w:b/>
          <w:i/>
        </w:rPr>
        <w:t>, </w:t>
      </w:r>
      <w:r>
        <w:rPr/>
        <w:t>dapat menjadi indikator komitmen perusahaan terhadap praktik keberlanjutan, yang tercermin</w:t>
      </w:r>
      <w:r>
        <w:rPr>
          <w:spacing w:val="-7"/>
        </w:rPr>
        <w:t> </w:t>
      </w:r>
      <w:r>
        <w:rPr/>
        <w:t>melalui tingkat</w:t>
      </w:r>
      <w:r>
        <w:rPr>
          <w:spacing w:val="-2"/>
        </w:rPr>
        <w:t> </w:t>
      </w:r>
      <w:r>
        <w:rPr/>
        <w:t>kualitas</w:t>
      </w:r>
      <w:r>
        <w:rPr>
          <w:spacing w:val="-1"/>
        </w:rPr>
        <w:t> </w:t>
      </w:r>
      <w:r>
        <w:rPr>
          <w:i/>
        </w:rPr>
        <w:t>sustainability</w:t>
      </w:r>
      <w:r>
        <w:rPr>
          <w:i/>
          <w:spacing w:val="-1"/>
        </w:rPr>
        <w:t> </w:t>
      </w:r>
      <w:r>
        <w:rPr>
          <w:i/>
        </w:rPr>
        <w:t>assurance </w:t>
      </w:r>
      <w:r>
        <w:rPr/>
        <w:t>di</w:t>
      </w:r>
      <w:r>
        <w:rPr>
          <w:spacing w:val="-5"/>
        </w:rPr>
        <w:t> </w:t>
      </w:r>
      <w:r>
        <w:rPr/>
        <w:t>tengah</w:t>
      </w:r>
      <w:r>
        <w:rPr>
          <w:spacing w:val="-3"/>
        </w:rPr>
        <w:t> </w:t>
      </w:r>
      <w:r>
        <w:rPr/>
        <w:t>implementasi kebijakan transisi energi nasional</w:t>
      </w:r>
      <w:r>
        <w:rPr>
          <w:b/>
        </w:rPr>
        <w:t>.</w:t>
      </w:r>
    </w:p>
    <w:p>
      <w:pPr>
        <w:pStyle w:val="BodyText"/>
        <w:spacing w:line="480" w:lineRule="auto" w:before="163"/>
        <w:ind w:left="1702" w:right="1271" w:firstLine="780"/>
        <w:jc w:val="both"/>
      </w:pPr>
      <w:r>
        <w:rPr/>
        <w:t>Namun</w:t>
      </w:r>
      <w:r>
        <w:rPr>
          <w:spacing w:val="-6"/>
        </w:rPr>
        <w:t> </w:t>
      </w:r>
      <w:r>
        <w:rPr/>
        <w:t>demikian,</w:t>
      </w:r>
      <w:r>
        <w:rPr>
          <w:spacing w:val="-6"/>
        </w:rPr>
        <w:t> </w:t>
      </w:r>
      <w:r>
        <w:rPr/>
        <w:t>terdapat</w:t>
      </w:r>
      <w:r>
        <w:rPr>
          <w:spacing w:val="-6"/>
        </w:rPr>
        <w:t> </w:t>
      </w:r>
      <w:r>
        <w:rPr/>
        <w:t>sejumlah</w:t>
      </w:r>
      <w:r>
        <w:rPr>
          <w:spacing w:val="-6"/>
        </w:rPr>
        <w:t> </w:t>
      </w:r>
      <w:r>
        <w:rPr/>
        <w:t>kesenjangan</w:t>
      </w:r>
      <w:r>
        <w:rPr>
          <w:spacing w:val="-6"/>
        </w:rPr>
        <w:t> </w:t>
      </w:r>
      <w:r>
        <w:rPr/>
        <w:t>dalam</w:t>
      </w:r>
      <w:r>
        <w:rPr>
          <w:spacing w:val="-10"/>
        </w:rPr>
        <w:t> </w:t>
      </w:r>
      <w:r>
        <w:rPr/>
        <w:t>literatur terdahulu yang perlu mendapat perhatian lebih lanjut:</w:t>
      </w:r>
    </w:p>
    <w:p>
      <w:pPr>
        <w:pStyle w:val="ListParagraph"/>
        <w:numPr>
          <w:ilvl w:val="0"/>
          <w:numId w:val="9"/>
        </w:numPr>
        <w:tabs>
          <w:tab w:pos="2422" w:val="left" w:leader="none"/>
        </w:tabs>
        <w:spacing w:line="480" w:lineRule="auto" w:before="160" w:after="0"/>
        <w:ind w:left="2422" w:right="1271" w:hanging="360"/>
        <w:jc w:val="both"/>
        <w:rPr>
          <w:sz w:val="24"/>
        </w:rPr>
      </w:pPr>
      <w:r>
        <w:rPr>
          <w:sz w:val="24"/>
        </w:rPr>
        <w:t>Dimensi Keuangan Keberlanjutan : Sebagian besar penelitian sebelumnya (misalnya Kheireddine et al., 2024) lebih menitikberatkan pada pengaruh </w:t>
      </w:r>
      <w:r>
        <w:rPr>
          <w:i/>
          <w:sz w:val="24"/>
        </w:rPr>
        <w:t>Sustainability Assurance </w:t>
      </w:r>
      <w:r>
        <w:rPr>
          <w:sz w:val="24"/>
        </w:rPr>
        <w:t>terhadap kinerja keuangan perusahaan. Sebaliknya, pengaruh struktur permodalan, khususnya </w:t>
      </w:r>
      <w:r>
        <w:rPr>
          <w:i/>
          <w:sz w:val="24"/>
        </w:rPr>
        <w:t>leverage </w:t>
      </w:r>
      <w:r>
        <w:rPr>
          <w:sz w:val="24"/>
        </w:rPr>
        <w:t>dan </w:t>
      </w:r>
      <w:r>
        <w:rPr>
          <w:i/>
          <w:sz w:val="24"/>
        </w:rPr>
        <w:t>debt maturity </w:t>
      </w:r>
      <w:r>
        <w:rPr>
          <w:sz w:val="24"/>
        </w:rPr>
        <w:t>terhadap kualitas </w:t>
      </w:r>
      <w:r>
        <w:rPr>
          <w:i/>
          <w:sz w:val="24"/>
        </w:rPr>
        <w:t>Sustainability Assurance </w:t>
      </w:r>
      <w:r>
        <w:rPr>
          <w:sz w:val="24"/>
        </w:rPr>
        <w:t>masih relatif kurang </w:t>
      </w:r>
      <w:r>
        <w:rPr>
          <w:spacing w:val="-2"/>
          <w:sz w:val="24"/>
        </w:rPr>
        <w:t>dieksplorasi.</w:t>
      </w:r>
    </w:p>
    <w:p>
      <w:pPr>
        <w:pStyle w:val="ListParagraph"/>
        <w:spacing w:after="0" w:line="480" w:lineRule="auto"/>
        <w:jc w:val="both"/>
        <w:rPr>
          <w:sz w:val="24"/>
        </w:rPr>
        <w:sectPr>
          <w:pgSz w:w="11910" w:h="16840"/>
          <w:pgMar w:header="722" w:footer="0" w:top="1940" w:bottom="280" w:left="566" w:right="425"/>
        </w:sectPr>
      </w:pPr>
    </w:p>
    <w:p>
      <w:pPr>
        <w:pStyle w:val="BodyText"/>
        <w:spacing w:before="44"/>
      </w:pPr>
    </w:p>
    <w:p>
      <w:pPr>
        <w:pStyle w:val="ListParagraph"/>
        <w:numPr>
          <w:ilvl w:val="0"/>
          <w:numId w:val="9"/>
        </w:numPr>
        <w:tabs>
          <w:tab w:pos="2422" w:val="left" w:leader="none"/>
        </w:tabs>
        <w:spacing w:line="480" w:lineRule="auto" w:before="0" w:after="0"/>
        <w:ind w:left="2422" w:right="1273" w:hanging="360"/>
        <w:jc w:val="both"/>
        <w:rPr>
          <w:sz w:val="24"/>
        </w:rPr>
      </w:pPr>
      <w:r>
        <w:rPr>
          <w:sz w:val="24"/>
        </w:rPr>
        <w:t>Konteks Sektor Spesifik : Kajian </w:t>
      </w:r>
      <w:r>
        <w:rPr>
          <w:i/>
          <w:sz w:val="24"/>
        </w:rPr>
        <w:t>Sustainability Assurance </w:t>
      </w:r>
      <w:r>
        <w:rPr>
          <w:sz w:val="24"/>
        </w:rPr>
        <w:t>di sektor</w:t>
      </w:r>
      <w:r>
        <w:rPr>
          <w:spacing w:val="-1"/>
          <w:sz w:val="24"/>
        </w:rPr>
        <w:t> </w:t>
      </w:r>
      <w:r>
        <w:rPr>
          <w:sz w:val="24"/>
        </w:rPr>
        <w:t>energi Indonesia masih jarang dilakukan, padahal sektor ini berperan penting dalam transisi menuju energi berkelanjutan dan sangat rentan terhadap isu lingkungan serta tekanan dari regulator maupun investor global.</w:t>
      </w:r>
    </w:p>
    <w:p>
      <w:pPr>
        <w:pStyle w:val="ListParagraph"/>
        <w:numPr>
          <w:ilvl w:val="0"/>
          <w:numId w:val="9"/>
        </w:numPr>
        <w:tabs>
          <w:tab w:pos="2422" w:val="left" w:leader="none"/>
        </w:tabs>
        <w:spacing w:line="480" w:lineRule="auto" w:before="1" w:after="0"/>
        <w:ind w:left="2422" w:right="1271" w:hanging="360"/>
        <w:jc w:val="both"/>
        <w:rPr>
          <w:sz w:val="24"/>
        </w:rPr>
      </w:pPr>
      <w:r>
        <w:rPr>
          <w:sz w:val="24"/>
        </w:rPr>
        <w:t>Dimensi Geografis Penelitian Terdahulu: Sebagian besar penelitian sebelumnya berfokus pada perusahaan-perusahaan di negara maju, sementara bukti empiris di negara berkembang, seperti Indonesia, masih minim. Hal ini membuka ruang penelitian untuk memahami bagaimana </w:t>
      </w:r>
      <w:r>
        <w:rPr>
          <w:i/>
          <w:sz w:val="24"/>
        </w:rPr>
        <w:t>Assurance tenure </w:t>
      </w:r>
      <w:r>
        <w:rPr>
          <w:sz w:val="24"/>
        </w:rPr>
        <w:t>memengaruhi kualitas Sustainability Assurance dalam konteks pasar negara berkembang.</w:t>
      </w:r>
    </w:p>
    <w:p>
      <w:pPr>
        <w:spacing w:line="480" w:lineRule="auto" w:before="161"/>
        <w:ind w:left="1702" w:right="1266" w:firstLine="720"/>
        <w:jc w:val="both"/>
        <w:rPr>
          <w:sz w:val="24"/>
        </w:rPr>
      </w:pPr>
      <w:r>
        <w:rPr>
          <w:sz w:val="24"/>
        </w:rPr>
        <w:t>Berdasarkan latar belakang dan research gap yang telah diidentifikasi, peneliti tertarik untuk melakukan penelitian dengan judul “Pengaruh </w:t>
      </w:r>
      <w:r>
        <w:rPr>
          <w:i/>
          <w:sz w:val="24"/>
        </w:rPr>
        <w:t>Leverage</w:t>
      </w:r>
      <w:r>
        <w:rPr>
          <w:sz w:val="24"/>
        </w:rPr>
        <w:t>, </w:t>
      </w:r>
      <w:r>
        <w:rPr>
          <w:i/>
          <w:sz w:val="24"/>
        </w:rPr>
        <w:t>Debt Maturity, </w:t>
      </w:r>
      <w:r>
        <w:rPr>
          <w:sz w:val="24"/>
        </w:rPr>
        <w:t>dan </w:t>
      </w:r>
      <w:r>
        <w:rPr>
          <w:i/>
          <w:sz w:val="24"/>
        </w:rPr>
        <w:t>Assurance tenure </w:t>
      </w:r>
      <w:r>
        <w:rPr>
          <w:sz w:val="24"/>
        </w:rPr>
        <w:t>terhadap </w:t>
      </w:r>
      <w:r>
        <w:rPr>
          <w:i/>
          <w:sz w:val="24"/>
        </w:rPr>
        <w:t>Sustainability Assurance Quality </w:t>
      </w:r>
      <w:r>
        <w:rPr>
          <w:sz w:val="24"/>
        </w:rPr>
        <w:t>Perusahaan Sektor Energi yang Terdaftar di Bursa Efek Indonesia Periode 2021- </w:t>
      </w:r>
      <w:r>
        <w:rPr>
          <w:spacing w:val="-2"/>
          <w:sz w:val="24"/>
        </w:rPr>
        <w:t>2024.</w:t>
      </w:r>
    </w:p>
    <w:p>
      <w:pPr>
        <w:spacing w:after="0" w:line="480" w:lineRule="auto"/>
        <w:jc w:val="both"/>
        <w:rPr>
          <w:sz w:val="24"/>
        </w:rPr>
        <w:sectPr>
          <w:pgSz w:w="11910" w:h="16840"/>
          <w:pgMar w:header="722" w:footer="0" w:top="1940" w:bottom="280" w:left="566" w:right="425"/>
        </w:sectPr>
      </w:pPr>
    </w:p>
    <w:p>
      <w:pPr>
        <w:pStyle w:val="BodyText"/>
        <w:spacing w:before="52"/>
      </w:pPr>
    </w:p>
    <w:p>
      <w:pPr>
        <w:pStyle w:val="Heading3"/>
        <w:numPr>
          <w:ilvl w:val="1"/>
          <w:numId w:val="8"/>
        </w:numPr>
        <w:tabs>
          <w:tab w:pos="2270" w:val="left" w:leader="none"/>
        </w:tabs>
        <w:spacing w:line="240" w:lineRule="auto" w:before="0" w:after="0"/>
        <w:ind w:left="2270" w:right="0" w:hanging="568"/>
        <w:jc w:val="left"/>
      </w:pPr>
      <w:bookmarkStart w:name="_bookmark9" w:id="10"/>
      <w:bookmarkEnd w:id="10"/>
      <w:r>
        <w:rPr>
          <w:b w:val="0"/>
        </w:rPr>
      </w:r>
      <w:r>
        <w:rPr/>
        <w:t>Rumusan</w:t>
      </w:r>
      <w:r>
        <w:rPr>
          <w:spacing w:val="-7"/>
        </w:rPr>
        <w:t> </w:t>
      </w:r>
      <w:r>
        <w:rPr>
          <w:spacing w:val="-2"/>
        </w:rPr>
        <w:t>Masalah</w:t>
      </w:r>
    </w:p>
    <w:p>
      <w:pPr>
        <w:pStyle w:val="BodyText"/>
        <w:spacing w:line="480" w:lineRule="auto" w:before="208"/>
        <w:ind w:left="1702" w:right="838" w:firstLine="568"/>
      </w:pPr>
      <w:r>
        <w:rPr/>
        <w:t>Berdasarkan uraian latar belakang tersebut, rumusan masalah penelitian ini adalah sebagai berikut:</w:t>
      </w:r>
    </w:p>
    <w:p>
      <w:pPr>
        <w:pStyle w:val="ListParagraph"/>
        <w:numPr>
          <w:ilvl w:val="0"/>
          <w:numId w:val="10"/>
        </w:numPr>
        <w:tabs>
          <w:tab w:pos="2270" w:val="left" w:leader="none"/>
        </w:tabs>
        <w:spacing w:line="240" w:lineRule="auto" w:before="5" w:after="0"/>
        <w:ind w:left="2270" w:right="0" w:hanging="568"/>
        <w:jc w:val="left"/>
        <w:rPr>
          <w:i/>
          <w:sz w:val="24"/>
        </w:rPr>
      </w:pPr>
      <w:r>
        <w:rPr>
          <w:sz w:val="24"/>
        </w:rPr>
        <w:t>Apakah</w:t>
      </w:r>
      <w:r>
        <w:rPr>
          <w:spacing w:val="49"/>
          <w:sz w:val="24"/>
        </w:rPr>
        <w:t> </w:t>
      </w:r>
      <w:r>
        <w:rPr>
          <w:i/>
          <w:sz w:val="24"/>
        </w:rPr>
        <w:t>Leverage</w:t>
      </w:r>
      <w:r>
        <w:rPr>
          <w:i/>
          <w:spacing w:val="51"/>
          <w:sz w:val="24"/>
        </w:rPr>
        <w:t> </w:t>
      </w:r>
      <w:r>
        <w:rPr>
          <w:sz w:val="24"/>
        </w:rPr>
        <w:t>berpengaruh</w:t>
      </w:r>
      <w:r>
        <w:rPr>
          <w:spacing w:val="49"/>
          <w:sz w:val="24"/>
        </w:rPr>
        <w:t> </w:t>
      </w:r>
      <w:r>
        <w:rPr>
          <w:sz w:val="24"/>
        </w:rPr>
        <w:t>terhadap</w:t>
      </w:r>
      <w:r>
        <w:rPr>
          <w:spacing w:val="47"/>
          <w:sz w:val="24"/>
        </w:rPr>
        <w:t> </w:t>
      </w:r>
      <w:r>
        <w:rPr>
          <w:i/>
          <w:sz w:val="24"/>
        </w:rPr>
        <w:t>Sustainability</w:t>
      </w:r>
      <w:r>
        <w:rPr>
          <w:i/>
          <w:spacing w:val="42"/>
          <w:sz w:val="24"/>
        </w:rPr>
        <w:t> </w:t>
      </w:r>
      <w:r>
        <w:rPr>
          <w:i/>
          <w:sz w:val="24"/>
        </w:rPr>
        <w:t>Assurance</w:t>
      </w:r>
      <w:r>
        <w:rPr>
          <w:i/>
          <w:spacing w:val="51"/>
          <w:sz w:val="24"/>
        </w:rPr>
        <w:t> </w:t>
      </w:r>
      <w:r>
        <w:rPr>
          <w:i/>
          <w:spacing w:val="-2"/>
          <w:sz w:val="24"/>
        </w:rPr>
        <w:t>Quality</w:t>
      </w:r>
    </w:p>
    <w:p>
      <w:pPr>
        <w:pStyle w:val="BodyText"/>
        <w:spacing w:before="140"/>
        <w:ind w:left="2271"/>
        <w:jc w:val="both"/>
      </w:pPr>
      <w:r>
        <w:rPr/>
        <w:t>pada</w:t>
      </w:r>
      <w:r>
        <w:rPr>
          <w:spacing w:val="57"/>
        </w:rPr>
        <w:t> </w:t>
      </w:r>
      <w:r>
        <w:rPr/>
        <w:t>perusahaaan</w:t>
      </w:r>
      <w:r>
        <w:rPr>
          <w:spacing w:val="-1"/>
        </w:rPr>
        <w:t> </w:t>
      </w:r>
      <w:r>
        <w:rPr/>
        <w:t>sektor</w:t>
      </w:r>
      <w:r>
        <w:rPr>
          <w:spacing w:val="-2"/>
        </w:rPr>
        <w:t> </w:t>
      </w:r>
      <w:r>
        <w:rPr/>
        <w:t>energi</w:t>
      </w:r>
      <w:r>
        <w:rPr>
          <w:spacing w:val="3"/>
        </w:rPr>
        <w:t> </w:t>
      </w:r>
      <w:r>
        <w:rPr/>
        <w:t>yang</w:t>
      </w:r>
      <w:r>
        <w:rPr>
          <w:spacing w:val="-7"/>
        </w:rPr>
        <w:t> </w:t>
      </w:r>
      <w:r>
        <w:rPr/>
        <w:t>terdaftar</w:t>
      </w:r>
      <w:r>
        <w:rPr>
          <w:spacing w:val="-1"/>
        </w:rPr>
        <w:t> </w:t>
      </w:r>
      <w:r>
        <w:rPr/>
        <w:t>di</w:t>
      </w:r>
      <w:r>
        <w:rPr>
          <w:spacing w:val="-1"/>
        </w:rPr>
        <w:t> </w:t>
      </w:r>
      <w:r>
        <w:rPr/>
        <w:t>BEI</w:t>
      </w:r>
      <w:r>
        <w:rPr>
          <w:spacing w:val="-5"/>
        </w:rPr>
        <w:t> </w:t>
      </w:r>
      <w:r>
        <w:rPr/>
        <w:t>periode</w:t>
      </w:r>
      <w:r>
        <w:rPr>
          <w:spacing w:val="-1"/>
        </w:rPr>
        <w:t> </w:t>
      </w:r>
      <w:r>
        <w:rPr/>
        <w:t>2021-2024</w:t>
      </w:r>
      <w:r>
        <w:rPr>
          <w:spacing w:val="-1"/>
        </w:rPr>
        <w:t> </w:t>
      </w:r>
      <w:r>
        <w:rPr>
          <w:spacing w:val="-5"/>
        </w:rPr>
        <w:t>?.</w:t>
      </w:r>
    </w:p>
    <w:p>
      <w:pPr>
        <w:pStyle w:val="ListParagraph"/>
        <w:numPr>
          <w:ilvl w:val="0"/>
          <w:numId w:val="10"/>
        </w:numPr>
        <w:tabs>
          <w:tab w:pos="2271" w:val="left" w:leader="none"/>
        </w:tabs>
        <w:spacing w:line="360" w:lineRule="auto" w:before="136" w:after="0"/>
        <w:ind w:left="2271" w:right="1270" w:hanging="569"/>
        <w:jc w:val="both"/>
        <w:rPr>
          <w:sz w:val="24"/>
        </w:rPr>
      </w:pPr>
      <w:r>
        <w:rPr>
          <w:sz w:val="24"/>
        </w:rPr>
        <w:t>Apakah </w:t>
      </w:r>
      <w:r>
        <w:rPr>
          <w:i/>
          <w:sz w:val="24"/>
        </w:rPr>
        <w:t>Debt Maturity </w:t>
      </w:r>
      <w:r>
        <w:rPr>
          <w:sz w:val="24"/>
        </w:rPr>
        <w:t>berpengaruh terhadap </w:t>
      </w:r>
      <w:r>
        <w:rPr>
          <w:i/>
          <w:sz w:val="24"/>
        </w:rPr>
        <w:t>Sustainability Assurance Quality </w:t>
      </w:r>
      <w:r>
        <w:rPr>
          <w:sz w:val="24"/>
        </w:rPr>
        <w:t>pada</w:t>
      </w:r>
      <w:r>
        <w:rPr>
          <w:spacing w:val="40"/>
          <w:sz w:val="24"/>
        </w:rPr>
        <w:t> </w:t>
      </w:r>
      <w:r>
        <w:rPr>
          <w:sz w:val="24"/>
        </w:rPr>
        <w:t>perusahaaan</w:t>
      </w:r>
      <w:r>
        <w:rPr>
          <w:spacing w:val="-1"/>
          <w:sz w:val="24"/>
        </w:rPr>
        <w:t> </w:t>
      </w:r>
      <w:r>
        <w:rPr>
          <w:sz w:val="24"/>
        </w:rPr>
        <w:t>sektor</w:t>
      </w:r>
      <w:r>
        <w:rPr>
          <w:spacing w:val="-4"/>
          <w:sz w:val="24"/>
        </w:rPr>
        <w:t> </w:t>
      </w:r>
      <w:r>
        <w:rPr>
          <w:sz w:val="24"/>
        </w:rPr>
        <w:t>energi yang</w:t>
      </w:r>
      <w:r>
        <w:rPr>
          <w:spacing w:val="-5"/>
          <w:sz w:val="24"/>
        </w:rPr>
        <w:t> </w:t>
      </w:r>
      <w:r>
        <w:rPr>
          <w:sz w:val="24"/>
        </w:rPr>
        <w:t>terdaftar</w:t>
      </w:r>
      <w:r>
        <w:rPr>
          <w:spacing w:val="-1"/>
          <w:sz w:val="24"/>
        </w:rPr>
        <w:t> </w:t>
      </w:r>
      <w:r>
        <w:rPr>
          <w:sz w:val="24"/>
        </w:rPr>
        <w:t>di BEI</w:t>
      </w:r>
      <w:r>
        <w:rPr>
          <w:spacing w:val="-4"/>
          <w:sz w:val="24"/>
        </w:rPr>
        <w:t> </w:t>
      </w:r>
      <w:r>
        <w:rPr>
          <w:sz w:val="24"/>
        </w:rPr>
        <w:t>periode 2021- 2024 ?.</w:t>
      </w:r>
    </w:p>
    <w:p>
      <w:pPr>
        <w:pStyle w:val="ListParagraph"/>
        <w:numPr>
          <w:ilvl w:val="0"/>
          <w:numId w:val="10"/>
        </w:numPr>
        <w:tabs>
          <w:tab w:pos="2271" w:val="left" w:leader="none"/>
        </w:tabs>
        <w:spacing w:line="360" w:lineRule="auto" w:before="2" w:after="0"/>
        <w:ind w:left="2271" w:right="1270" w:hanging="569"/>
        <w:jc w:val="both"/>
        <w:rPr>
          <w:sz w:val="24"/>
        </w:rPr>
      </w:pPr>
      <w:r>
        <w:rPr>
          <w:sz w:val="24"/>
        </w:rPr>
        <w:t>Apakah </w:t>
      </w:r>
      <w:r>
        <w:rPr>
          <w:i/>
          <w:sz w:val="24"/>
        </w:rPr>
        <w:t>Assurance tenure </w:t>
      </w:r>
      <w:r>
        <w:rPr>
          <w:sz w:val="24"/>
        </w:rPr>
        <w:t>berpengaruh terhadap </w:t>
      </w:r>
      <w:r>
        <w:rPr>
          <w:i/>
          <w:sz w:val="24"/>
        </w:rPr>
        <w:t>Sustainability Assurance Quality </w:t>
      </w:r>
      <w:r>
        <w:rPr>
          <w:sz w:val="24"/>
        </w:rPr>
        <w:t>pada</w:t>
      </w:r>
      <w:r>
        <w:rPr>
          <w:spacing w:val="40"/>
          <w:sz w:val="24"/>
        </w:rPr>
        <w:t> </w:t>
      </w:r>
      <w:r>
        <w:rPr>
          <w:sz w:val="24"/>
        </w:rPr>
        <w:t>perusahaaan</w:t>
      </w:r>
      <w:r>
        <w:rPr>
          <w:spacing w:val="-1"/>
          <w:sz w:val="24"/>
        </w:rPr>
        <w:t> </w:t>
      </w:r>
      <w:r>
        <w:rPr>
          <w:sz w:val="24"/>
        </w:rPr>
        <w:t>sektor</w:t>
      </w:r>
      <w:r>
        <w:rPr>
          <w:spacing w:val="-4"/>
          <w:sz w:val="24"/>
        </w:rPr>
        <w:t> </w:t>
      </w:r>
      <w:r>
        <w:rPr>
          <w:sz w:val="24"/>
        </w:rPr>
        <w:t>energi yang</w:t>
      </w:r>
      <w:r>
        <w:rPr>
          <w:spacing w:val="-5"/>
          <w:sz w:val="24"/>
        </w:rPr>
        <w:t> </w:t>
      </w:r>
      <w:r>
        <w:rPr>
          <w:sz w:val="24"/>
        </w:rPr>
        <w:t>terdaftar di BEI</w:t>
      </w:r>
      <w:r>
        <w:rPr>
          <w:spacing w:val="-4"/>
          <w:sz w:val="24"/>
        </w:rPr>
        <w:t> </w:t>
      </w:r>
      <w:r>
        <w:rPr>
          <w:sz w:val="24"/>
        </w:rPr>
        <w:t>periode 2021- 2024 ?.</w:t>
      </w:r>
    </w:p>
    <w:p>
      <w:pPr>
        <w:pStyle w:val="Heading3"/>
        <w:numPr>
          <w:ilvl w:val="1"/>
          <w:numId w:val="8"/>
        </w:numPr>
        <w:tabs>
          <w:tab w:pos="2270" w:val="left" w:leader="none"/>
        </w:tabs>
        <w:spacing w:line="240" w:lineRule="auto" w:before="163" w:after="0"/>
        <w:ind w:left="2270" w:right="0" w:hanging="568"/>
        <w:jc w:val="both"/>
      </w:pPr>
      <w:bookmarkStart w:name="_bookmark10" w:id="11"/>
      <w:bookmarkEnd w:id="11"/>
      <w:r>
        <w:rPr>
          <w:b w:val="0"/>
        </w:rPr>
      </w:r>
      <w:r>
        <w:rPr/>
        <w:t>Tujuan</w:t>
      </w:r>
      <w:r>
        <w:rPr>
          <w:spacing w:val="-8"/>
        </w:rPr>
        <w:t> </w:t>
      </w:r>
      <w:r>
        <w:rPr>
          <w:spacing w:val="-2"/>
        </w:rPr>
        <w:t>Penelitian</w:t>
      </w:r>
    </w:p>
    <w:p>
      <w:pPr>
        <w:pStyle w:val="ListParagraph"/>
        <w:numPr>
          <w:ilvl w:val="0"/>
          <w:numId w:val="11"/>
        </w:numPr>
        <w:tabs>
          <w:tab w:pos="2271" w:val="left" w:leader="none"/>
        </w:tabs>
        <w:spacing w:line="360" w:lineRule="auto" w:before="216" w:after="0"/>
        <w:ind w:left="2271" w:right="1270" w:hanging="569"/>
        <w:jc w:val="both"/>
        <w:rPr>
          <w:sz w:val="24"/>
        </w:rPr>
      </w:pPr>
      <w:r>
        <w:rPr>
          <w:sz w:val="24"/>
        </w:rPr>
        <w:t>Untuk mengetahui pengaruh </w:t>
      </w:r>
      <w:r>
        <w:rPr>
          <w:i/>
          <w:sz w:val="24"/>
        </w:rPr>
        <w:t>Leverage </w:t>
      </w:r>
      <w:r>
        <w:rPr>
          <w:sz w:val="24"/>
        </w:rPr>
        <w:t>terhadap </w:t>
      </w:r>
      <w:r>
        <w:rPr>
          <w:i/>
          <w:sz w:val="24"/>
        </w:rPr>
        <w:t>Sustainability Assurance Quality </w:t>
      </w:r>
      <w:r>
        <w:rPr>
          <w:sz w:val="24"/>
        </w:rPr>
        <w:t>pada</w:t>
      </w:r>
      <w:r>
        <w:rPr>
          <w:spacing w:val="40"/>
          <w:sz w:val="24"/>
        </w:rPr>
        <w:t> </w:t>
      </w:r>
      <w:r>
        <w:rPr>
          <w:sz w:val="24"/>
        </w:rPr>
        <w:t>perusahaaan</w:t>
      </w:r>
      <w:r>
        <w:rPr>
          <w:spacing w:val="-1"/>
          <w:sz w:val="24"/>
        </w:rPr>
        <w:t> </w:t>
      </w:r>
      <w:r>
        <w:rPr>
          <w:sz w:val="24"/>
        </w:rPr>
        <w:t>sektor</w:t>
      </w:r>
      <w:r>
        <w:rPr>
          <w:spacing w:val="-4"/>
          <w:sz w:val="24"/>
        </w:rPr>
        <w:t> </w:t>
      </w:r>
      <w:r>
        <w:rPr>
          <w:sz w:val="24"/>
        </w:rPr>
        <w:t>energi yang</w:t>
      </w:r>
      <w:r>
        <w:rPr>
          <w:spacing w:val="-5"/>
          <w:sz w:val="24"/>
        </w:rPr>
        <w:t> </w:t>
      </w:r>
      <w:r>
        <w:rPr>
          <w:sz w:val="24"/>
        </w:rPr>
        <w:t>terdaftar</w:t>
      </w:r>
      <w:r>
        <w:rPr>
          <w:spacing w:val="-1"/>
          <w:sz w:val="24"/>
        </w:rPr>
        <w:t> </w:t>
      </w:r>
      <w:r>
        <w:rPr>
          <w:sz w:val="24"/>
        </w:rPr>
        <w:t>di BEI</w:t>
      </w:r>
      <w:r>
        <w:rPr>
          <w:spacing w:val="-4"/>
          <w:sz w:val="24"/>
        </w:rPr>
        <w:t> </w:t>
      </w:r>
      <w:r>
        <w:rPr>
          <w:sz w:val="24"/>
        </w:rPr>
        <w:t>periode 2021- </w:t>
      </w:r>
      <w:r>
        <w:rPr>
          <w:spacing w:val="-2"/>
          <w:sz w:val="24"/>
        </w:rPr>
        <w:t>2024.</w:t>
      </w:r>
    </w:p>
    <w:p>
      <w:pPr>
        <w:pStyle w:val="ListParagraph"/>
        <w:numPr>
          <w:ilvl w:val="0"/>
          <w:numId w:val="11"/>
        </w:numPr>
        <w:tabs>
          <w:tab w:pos="2271" w:val="left" w:leader="none"/>
        </w:tabs>
        <w:spacing w:line="360" w:lineRule="auto" w:before="0" w:after="0"/>
        <w:ind w:left="2271" w:right="1272" w:hanging="569"/>
        <w:jc w:val="both"/>
        <w:rPr>
          <w:sz w:val="24"/>
        </w:rPr>
      </w:pPr>
      <w:r>
        <w:rPr>
          <w:sz w:val="24"/>
        </w:rPr>
        <w:t>Untuk mengetahui pengaruh </w:t>
      </w:r>
      <w:r>
        <w:rPr>
          <w:i/>
          <w:sz w:val="24"/>
        </w:rPr>
        <w:t>Debt Maturity </w:t>
      </w:r>
      <w:r>
        <w:rPr>
          <w:sz w:val="24"/>
        </w:rPr>
        <w:t>terhadap </w:t>
      </w:r>
      <w:r>
        <w:rPr>
          <w:i/>
          <w:sz w:val="24"/>
        </w:rPr>
        <w:t>Sustainability Assurance Quality </w:t>
      </w:r>
      <w:r>
        <w:rPr>
          <w:sz w:val="24"/>
        </w:rPr>
        <w:t>pada</w:t>
      </w:r>
      <w:r>
        <w:rPr>
          <w:spacing w:val="40"/>
          <w:sz w:val="24"/>
        </w:rPr>
        <w:t> </w:t>
      </w:r>
      <w:r>
        <w:rPr>
          <w:sz w:val="24"/>
        </w:rPr>
        <w:t>perusahaaan sektor energi yang terdaftar di BEI periode 2021-2024.</w:t>
      </w:r>
    </w:p>
    <w:p>
      <w:pPr>
        <w:pStyle w:val="ListParagraph"/>
        <w:numPr>
          <w:ilvl w:val="0"/>
          <w:numId w:val="11"/>
        </w:numPr>
        <w:tabs>
          <w:tab w:pos="2271" w:val="left" w:leader="none"/>
        </w:tabs>
        <w:spacing w:line="360" w:lineRule="auto" w:before="1" w:after="0"/>
        <w:ind w:left="2271" w:right="1272" w:hanging="569"/>
        <w:jc w:val="both"/>
        <w:rPr>
          <w:sz w:val="24"/>
        </w:rPr>
      </w:pPr>
      <w:r>
        <w:rPr>
          <w:sz w:val="24"/>
        </w:rPr>
        <w:t>Untuk mengetahui pengaruh </w:t>
      </w:r>
      <w:r>
        <w:rPr>
          <w:i/>
          <w:sz w:val="24"/>
        </w:rPr>
        <w:t>Assurance tenure </w:t>
      </w:r>
      <w:r>
        <w:rPr>
          <w:sz w:val="24"/>
        </w:rPr>
        <w:t>terhadap </w:t>
      </w:r>
      <w:r>
        <w:rPr>
          <w:i/>
          <w:sz w:val="24"/>
        </w:rPr>
        <w:t>Sustainability Assurance Quality </w:t>
      </w:r>
      <w:r>
        <w:rPr>
          <w:sz w:val="24"/>
        </w:rPr>
        <w:t>pada</w:t>
      </w:r>
      <w:r>
        <w:rPr>
          <w:spacing w:val="40"/>
          <w:sz w:val="24"/>
        </w:rPr>
        <w:t> </w:t>
      </w:r>
      <w:r>
        <w:rPr>
          <w:sz w:val="24"/>
        </w:rPr>
        <w:t>perusahaaan sektor energi yang terdaftar di BEI periode 2021-2024.</w:t>
      </w:r>
    </w:p>
    <w:p>
      <w:pPr>
        <w:pStyle w:val="Heading3"/>
        <w:numPr>
          <w:ilvl w:val="1"/>
          <w:numId w:val="8"/>
        </w:numPr>
        <w:tabs>
          <w:tab w:pos="2270" w:val="left" w:leader="none"/>
        </w:tabs>
        <w:spacing w:line="240" w:lineRule="auto" w:before="162" w:after="0"/>
        <w:ind w:left="2270" w:right="0" w:hanging="568"/>
        <w:jc w:val="both"/>
      </w:pPr>
      <w:bookmarkStart w:name="_bookmark11" w:id="12"/>
      <w:bookmarkEnd w:id="12"/>
      <w:r>
        <w:rPr>
          <w:b w:val="0"/>
        </w:rPr>
      </w:r>
      <w:r>
        <w:rPr/>
        <w:t>Manfaat</w:t>
      </w:r>
      <w:r>
        <w:rPr>
          <w:spacing w:val="-1"/>
        </w:rPr>
        <w:t> </w:t>
      </w:r>
      <w:r>
        <w:rPr>
          <w:spacing w:val="-2"/>
        </w:rPr>
        <w:t>Penelitian</w:t>
      </w:r>
    </w:p>
    <w:p>
      <w:pPr>
        <w:pStyle w:val="BodyText"/>
        <w:spacing w:before="216"/>
        <w:ind w:left="2271"/>
        <w:jc w:val="both"/>
      </w:pPr>
      <w:r>
        <w:rPr/>
        <w:t>Penelitian</w:t>
      </w:r>
      <w:r>
        <w:rPr>
          <w:spacing w:val="-4"/>
        </w:rPr>
        <w:t> </w:t>
      </w:r>
      <w:r>
        <w:rPr/>
        <w:t>ini</w:t>
      </w:r>
      <w:r>
        <w:rPr>
          <w:spacing w:val="-4"/>
        </w:rPr>
        <w:t> </w:t>
      </w:r>
      <w:r>
        <w:rPr/>
        <w:t>diharapkan</w:t>
      </w:r>
      <w:r>
        <w:rPr>
          <w:spacing w:val="-4"/>
        </w:rPr>
        <w:t> </w:t>
      </w:r>
      <w:r>
        <w:rPr/>
        <w:t>dapat</w:t>
      </w:r>
      <w:r>
        <w:rPr>
          <w:spacing w:val="-8"/>
        </w:rPr>
        <w:t> </w:t>
      </w:r>
      <w:r>
        <w:rPr/>
        <w:t>memberikan</w:t>
      </w:r>
      <w:r>
        <w:rPr>
          <w:spacing w:val="-4"/>
        </w:rPr>
        <w:t> </w:t>
      </w:r>
      <w:r>
        <w:rPr/>
        <w:t>manfaat</w:t>
      </w:r>
      <w:r>
        <w:rPr>
          <w:spacing w:val="-4"/>
        </w:rPr>
        <w:t> </w:t>
      </w:r>
      <w:r>
        <w:rPr/>
        <w:t>sebagai</w:t>
      </w:r>
      <w:r>
        <w:rPr>
          <w:spacing w:val="-3"/>
        </w:rPr>
        <w:t> </w:t>
      </w:r>
      <w:r>
        <w:rPr>
          <w:spacing w:val="-2"/>
        </w:rPr>
        <w:t>berikut:</w:t>
      </w:r>
    </w:p>
    <w:p>
      <w:pPr>
        <w:pStyle w:val="BodyText"/>
        <w:spacing w:before="24"/>
      </w:pPr>
    </w:p>
    <w:p>
      <w:pPr>
        <w:pStyle w:val="Heading3"/>
        <w:numPr>
          <w:ilvl w:val="2"/>
          <w:numId w:val="8"/>
        </w:numPr>
        <w:tabs>
          <w:tab w:pos="2270" w:val="left" w:leader="none"/>
        </w:tabs>
        <w:spacing w:line="240" w:lineRule="auto" w:before="0" w:after="0"/>
        <w:ind w:left="2270" w:right="0" w:hanging="568"/>
        <w:jc w:val="both"/>
      </w:pPr>
      <w:bookmarkStart w:name="_bookmark12" w:id="13"/>
      <w:bookmarkEnd w:id="13"/>
      <w:r>
        <w:rPr>
          <w:b w:val="0"/>
        </w:rPr>
      </w:r>
      <w:r>
        <w:rPr/>
        <w:t>Manfaat</w:t>
      </w:r>
      <w:r>
        <w:rPr>
          <w:spacing w:val="-1"/>
        </w:rPr>
        <w:t> </w:t>
      </w:r>
      <w:r>
        <w:rPr>
          <w:spacing w:val="-2"/>
        </w:rPr>
        <w:t>Teoritis</w:t>
      </w:r>
    </w:p>
    <w:p>
      <w:pPr>
        <w:pStyle w:val="ListParagraph"/>
        <w:numPr>
          <w:ilvl w:val="0"/>
          <w:numId w:val="12"/>
        </w:numPr>
        <w:tabs>
          <w:tab w:pos="2271" w:val="left" w:leader="none"/>
        </w:tabs>
        <w:spacing w:line="360" w:lineRule="auto" w:before="136" w:after="0"/>
        <w:ind w:left="2271" w:right="1274" w:hanging="569"/>
        <w:jc w:val="both"/>
        <w:rPr>
          <w:sz w:val="24"/>
        </w:rPr>
      </w:pPr>
      <w:r>
        <w:rPr>
          <w:sz w:val="24"/>
        </w:rPr>
        <w:t>Memberikan kontribusi terhadap pengembangan literatur di bidang akuntansi, khususnya dalam topik assurance sustainability dan faktor-faktor yang memengaruhinya.</w:t>
      </w:r>
    </w:p>
    <w:p>
      <w:pPr>
        <w:pStyle w:val="ListParagraph"/>
        <w:spacing w:after="0" w:line="360" w:lineRule="auto"/>
        <w:jc w:val="both"/>
        <w:rPr>
          <w:sz w:val="24"/>
        </w:rPr>
        <w:sectPr>
          <w:pgSz w:w="11910" w:h="16840"/>
          <w:pgMar w:header="722" w:footer="0" w:top="1940" w:bottom="280" w:left="566" w:right="425"/>
        </w:sectPr>
      </w:pPr>
    </w:p>
    <w:p>
      <w:pPr>
        <w:pStyle w:val="BodyText"/>
        <w:spacing w:before="48"/>
      </w:pPr>
    </w:p>
    <w:p>
      <w:pPr>
        <w:pStyle w:val="ListParagraph"/>
        <w:numPr>
          <w:ilvl w:val="0"/>
          <w:numId w:val="12"/>
        </w:numPr>
        <w:tabs>
          <w:tab w:pos="2271" w:val="left" w:leader="none"/>
        </w:tabs>
        <w:spacing w:line="360" w:lineRule="auto" w:before="0" w:after="0"/>
        <w:ind w:left="2271" w:right="1284" w:hanging="569"/>
        <w:jc w:val="both"/>
        <w:rPr>
          <w:sz w:val="24"/>
        </w:rPr>
      </w:pPr>
      <w:r>
        <w:rPr>
          <w:sz w:val="24"/>
        </w:rPr>
        <w:t>Menjadi referensi bagi peneliti selanjutnya yang ingin meneliti hubungan antara struktur keuangan (leverage dan debt maturity), kinerja lingkungan perusahaan, dan kualitas sustainability assurance.</w:t>
      </w:r>
    </w:p>
    <w:p>
      <w:pPr>
        <w:pStyle w:val="ListParagraph"/>
        <w:numPr>
          <w:ilvl w:val="0"/>
          <w:numId w:val="12"/>
        </w:numPr>
        <w:tabs>
          <w:tab w:pos="2271" w:val="left" w:leader="none"/>
        </w:tabs>
        <w:spacing w:line="362" w:lineRule="auto" w:before="0" w:after="0"/>
        <w:ind w:left="2271" w:right="1271" w:hanging="569"/>
        <w:jc w:val="both"/>
        <w:rPr>
          <w:sz w:val="24"/>
        </w:rPr>
      </w:pPr>
      <w:r>
        <w:rPr>
          <w:sz w:val="24"/>
        </w:rPr>
        <w:t>Menyediakan pemahaman empiris baru mengenai </w:t>
      </w:r>
      <w:r>
        <w:rPr>
          <w:i/>
          <w:sz w:val="24"/>
        </w:rPr>
        <w:t>Assurance tenure </w:t>
      </w:r>
      <w:r>
        <w:rPr>
          <w:sz w:val="24"/>
        </w:rPr>
        <w:t>dalam meningkatkan kualitas pelaporan keberlanjutan perusahaan di sektor energi.</w:t>
      </w:r>
    </w:p>
    <w:p>
      <w:pPr>
        <w:pStyle w:val="Heading3"/>
        <w:numPr>
          <w:ilvl w:val="2"/>
          <w:numId w:val="8"/>
        </w:numPr>
        <w:tabs>
          <w:tab w:pos="2270" w:val="left" w:leader="none"/>
        </w:tabs>
        <w:spacing w:line="240" w:lineRule="auto" w:before="157" w:after="0"/>
        <w:ind w:left="2270" w:right="0" w:hanging="568"/>
        <w:jc w:val="both"/>
      </w:pPr>
      <w:bookmarkStart w:name="_bookmark13" w:id="14"/>
      <w:bookmarkEnd w:id="14"/>
      <w:r>
        <w:rPr>
          <w:b w:val="0"/>
        </w:rPr>
      </w:r>
      <w:r>
        <w:rPr/>
        <w:t>Manfaat</w:t>
      </w:r>
      <w:r>
        <w:rPr>
          <w:spacing w:val="-1"/>
        </w:rPr>
        <w:t> </w:t>
      </w:r>
      <w:r>
        <w:rPr>
          <w:spacing w:val="-2"/>
        </w:rPr>
        <w:t>Praktis</w:t>
      </w:r>
    </w:p>
    <w:p>
      <w:pPr>
        <w:pStyle w:val="ListParagraph"/>
        <w:numPr>
          <w:ilvl w:val="0"/>
          <w:numId w:val="13"/>
        </w:numPr>
        <w:tabs>
          <w:tab w:pos="2271" w:val="left" w:leader="none"/>
        </w:tabs>
        <w:spacing w:line="360" w:lineRule="auto" w:before="136" w:after="0"/>
        <w:ind w:left="2271" w:right="1271" w:hanging="569"/>
        <w:jc w:val="both"/>
        <w:rPr>
          <w:sz w:val="24"/>
        </w:rPr>
      </w:pPr>
      <w:r>
        <w:rPr>
          <w:sz w:val="24"/>
        </w:rPr>
        <w:t>Menjadi pertimbangan bagi auditor atau penyedia jasa assurance dalam menilai faktor-faktor yang dapat memengaruhi kualitas assurance sustainability yang diberikan.</w:t>
      </w:r>
    </w:p>
    <w:p>
      <w:pPr>
        <w:pStyle w:val="ListParagraph"/>
        <w:numPr>
          <w:ilvl w:val="0"/>
          <w:numId w:val="13"/>
        </w:numPr>
        <w:tabs>
          <w:tab w:pos="2271" w:val="left" w:leader="none"/>
        </w:tabs>
        <w:spacing w:line="360" w:lineRule="auto" w:before="0" w:after="0"/>
        <w:ind w:left="2271" w:right="1276" w:hanging="569"/>
        <w:jc w:val="both"/>
        <w:rPr>
          <w:sz w:val="24"/>
        </w:rPr>
      </w:pPr>
      <w:r>
        <w:rPr>
          <w:sz w:val="24"/>
        </w:rPr>
        <w:t>Membantu investor dan </w:t>
      </w:r>
      <w:r>
        <w:rPr>
          <w:i/>
          <w:sz w:val="24"/>
        </w:rPr>
        <w:t>Stakeholder </w:t>
      </w:r>
      <w:r>
        <w:rPr>
          <w:sz w:val="24"/>
        </w:rPr>
        <w:t>lainnya dalam menilai transparansi dan akuntabilitas perusahaan melalui kualitas assurance atas laporan keberlanjutan, yang dapat mencerminkan komitmen terhadap praktik bisnis </w:t>
      </w:r>
      <w:r>
        <w:rPr>
          <w:spacing w:val="-2"/>
          <w:sz w:val="24"/>
        </w:rPr>
        <w:t>berkelanjutan.</w:t>
      </w:r>
    </w:p>
    <w:p>
      <w:pPr>
        <w:pStyle w:val="ListParagraph"/>
        <w:spacing w:after="0" w:line="360" w:lineRule="auto"/>
        <w:jc w:val="both"/>
        <w:rPr>
          <w:sz w:val="24"/>
        </w:rPr>
        <w:sectPr>
          <w:pgSz w:w="11910" w:h="16840"/>
          <w:pgMar w:header="722" w:footer="0" w:top="1940" w:bottom="280" w:left="566" w:right="425"/>
        </w:sectPr>
      </w:pPr>
    </w:p>
    <w:p>
      <w:pPr>
        <w:pStyle w:val="BodyText"/>
        <w:spacing w:before="89"/>
        <w:rPr>
          <w:sz w:val="28"/>
        </w:rPr>
      </w:pPr>
    </w:p>
    <w:p>
      <w:pPr>
        <w:pStyle w:val="Heading2"/>
        <w:spacing w:line="480" w:lineRule="auto"/>
        <w:ind w:left="3297" w:right="3054" w:firstLine="808"/>
        <w:jc w:val="left"/>
      </w:pPr>
      <w:bookmarkStart w:name="_bookmark14" w:id="15"/>
      <w:bookmarkEnd w:id="15"/>
      <w:r>
        <w:rPr>
          <w:b w:val="0"/>
        </w:rPr>
      </w:r>
      <w:r>
        <w:rPr/>
        <w:t>BAB II KAJIAN</w:t>
      </w:r>
      <w:r>
        <w:rPr>
          <w:spacing w:val="-18"/>
        </w:rPr>
        <w:t> </w:t>
      </w:r>
      <w:r>
        <w:rPr/>
        <w:t>PUSTAKA</w:t>
      </w:r>
    </w:p>
    <w:p>
      <w:pPr>
        <w:pStyle w:val="Heading3"/>
        <w:numPr>
          <w:ilvl w:val="1"/>
          <w:numId w:val="13"/>
        </w:numPr>
        <w:tabs>
          <w:tab w:pos="1288" w:val="left" w:leader="none"/>
        </w:tabs>
        <w:spacing w:line="240" w:lineRule="auto" w:before="162" w:after="0"/>
        <w:ind w:left="1288" w:right="0" w:hanging="720"/>
        <w:jc w:val="both"/>
      </w:pPr>
      <w:bookmarkStart w:name="_bookmark15" w:id="16"/>
      <w:bookmarkEnd w:id="16"/>
      <w:r>
        <w:rPr/>
        <w:t>La</w:t>
      </w:r>
      <w:r>
        <w:rPr/>
        <w:t>ndasan</w:t>
      </w:r>
      <w:r>
        <w:rPr>
          <w:spacing w:val="-10"/>
        </w:rPr>
        <w:t> </w:t>
      </w:r>
      <w:r>
        <w:rPr>
          <w:spacing w:val="-4"/>
        </w:rPr>
        <w:t>Teori</w:t>
      </w:r>
    </w:p>
    <w:p>
      <w:pPr>
        <w:pStyle w:val="Heading3"/>
        <w:numPr>
          <w:ilvl w:val="2"/>
          <w:numId w:val="13"/>
        </w:numPr>
        <w:tabs>
          <w:tab w:pos="1288" w:val="left" w:leader="none"/>
        </w:tabs>
        <w:spacing w:line="240" w:lineRule="auto" w:before="212" w:after="0"/>
        <w:ind w:left="1288" w:right="0" w:hanging="720"/>
        <w:jc w:val="both"/>
      </w:pPr>
      <w:bookmarkStart w:name="_bookmark16" w:id="17"/>
      <w:bookmarkEnd w:id="17"/>
      <w:r>
        <w:rPr>
          <w:b w:val="0"/>
        </w:rPr>
      </w:r>
      <w:r>
        <w:rPr/>
        <w:t>Stakeholder</w:t>
      </w:r>
      <w:r>
        <w:rPr>
          <w:spacing w:val="-6"/>
        </w:rPr>
        <w:t> </w:t>
      </w:r>
      <w:r>
        <w:rPr>
          <w:spacing w:val="-2"/>
        </w:rPr>
        <w:t>Theory</w:t>
      </w:r>
    </w:p>
    <w:p>
      <w:pPr>
        <w:pStyle w:val="BodyText"/>
        <w:spacing w:line="480" w:lineRule="auto" w:before="272"/>
        <w:ind w:left="568" w:right="563" w:firstLine="720"/>
        <w:jc w:val="both"/>
      </w:pPr>
      <w:r>
        <w:rPr/>
        <w:t>Freeman (1984) menjelaskan bahwa </w:t>
      </w:r>
      <w:r>
        <w:rPr>
          <w:i/>
        </w:rPr>
        <w:t>Stakeholder Theory </w:t>
      </w:r>
      <w:r>
        <w:rPr/>
        <w:t>menyatakan bahwa suatu perusahaan memiliki tanggung jawab tidak hanya kepada pemegang saham,</w:t>
      </w:r>
      <w:r>
        <w:rPr>
          <w:spacing w:val="-7"/>
        </w:rPr>
        <w:t> </w:t>
      </w:r>
      <w:r>
        <w:rPr/>
        <w:t>tetapi</w:t>
      </w:r>
      <w:r>
        <w:rPr>
          <w:spacing w:val="-6"/>
        </w:rPr>
        <w:t> </w:t>
      </w:r>
      <w:r>
        <w:rPr/>
        <w:t>juga</w:t>
      </w:r>
      <w:r>
        <w:rPr>
          <w:spacing w:val="-5"/>
        </w:rPr>
        <w:t> </w:t>
      </w:r>
      <w:r>
        <w:rPr/>
        <w:t>kepada</w:t>
      </w:r>
      <w:r>
        <w:rPr>
          <w:spacing w:val="-9"/>
        </w:rPr>
        <w:t> </w:t>
      </w:r>
      <w:r>
        <w:rPr/>
        <w:t>seluruh</w:t>
      </w:r>
      <w:r>
        <w:rPr>
          <w:spacing w:val="-6"/>
        </w:rPr>
        <w:t> </w:t>
      </w:r>
      <w:r>
        <w:rPr/>
        <w:t>pihak</w:t>
      </w:r>
      <w:r>
        <w:rPr>
          <w:spacing w:val="-7"/>
        </w:rPr>
        <w:t> </w:t>
      </w:r>
      <w:r>
        <w:rPr/>
        <w:t>yang</w:t>
      </w:r>
      <w:r>
        <w:rPr>
          <w:spacing w:val="-11"/>
        </w:rPr>
        <w:t> </w:t>
      </w:r>
      <w:r>
        <w:rPr/>
        <w:t>terlibat</w:t>
      </w:r>
      <w:r>
        <w:rPr>
          <w:spacing w:val="-6"/>
        </w:rPr>
        <w:t> </w:t>
      </w:r>
      <w:r>
        <w:rPr/>
        <w:t>atau</w:t>
      </w:r>
      <w:r>
        <w:rPr>
          <w:spacing w:val="-7"/>
        </w:rPr>
        <w:t> </w:t>
      </w:r>
      <w:r>
        <w:rPr/>
        <w:t>terdampak</w:t>
      </w:r>
      <w:r>
        <w:rPr>
          <w:spacing w:val="-11"/>
        </w:rPr>
        <w:t> </w:t>
      </w:r>
      <w:r>
        <w:rPr/>
        <w:t>oleh</w:t>
      </w:r>
      <w:r>
        <w:rPr>
          <w:spacing w:val="-10"/>
        </w:rPr>
        <w:t> </w:t>
      </w:r>
      <w:r>
        <w:rPr/>
        <w:t>aktivitas perusahaan,</w:t>
      </w:r>
      <w:r>
        <w:rPr>
          <w:spacing w:val="-15"/>
        </w:rPr>
        <w:t> </w:t>
      </w:r>
      <w:r>
        <w:rPr/>
        <w:t>seperti</w:t>
      </w:r>
      <w:r>
        <w:rPr>
          <w:spacing w:val="-15"/>
        </w:rPr>
        <w:t> </w:t>
      </w:r>
      <w:r>
        <w:rPr/>
        <w:t>karyawan,</w:t>
      </w:r>
      <w:r>
        <w:rPr>
          <w:spacing w:val="-15"/>
        </w:rPr>
        <w:t> </w:t>
      </w:r>
      <w:r>
        <w:rPr/>
        <w:t>pelanggan,</w:t>
      </w:r>
      <w:r>
        <w:rPr>
          <w:spacing w:val="-15"/>
        </w:rPr>
        <w:t> </w:t>
      </w:r>
      <w:r>
        <w:rPr/>
        <w:t>masyarakat,</w:t>
      </w:r>
      <w:r>
        <w:rPr>
          <w:spacing w:val="-15"/>
        </w:rPr>
        <w:t> </w:t>
      </w:r>
      <w:r>
        <w:rPr/>
        <w:t>pemerintah,</w:t>
      </w:r>
      <w:r>
        <w:rPr>
          <w:spacing w:val="-15"/>
        </w:rPr>
        <w:t> </w:t>
      </w:r>
      <w:r>
        <w:rPr/>
        <w:t>dan</w:t>
      </w:r>
      <w:r>
        <w:rPr>
          <w:spacing w:val="-15"/>
        </w:rPr>
        <w:t> </w:t>
      </w:r>
      <w:r>
        <w:rPr/>
        <w:t>lingkungan. </w:t>
      </w:r>
      <w:r>
        <w:rPr>
          <w:i/>
        </w:rPr>
        <w:t>Stakeholder Theory </w:t>
      </w:r>
      <w:r>
        <w:rPr/>
        <w:t>menyatakan bahwa nilai merupakan bagian penting dan eksplisit dari menjalankan bisnis. Teori ini mengharuskan para manajer untuk mengartikulasikan rasa bersama tentang nilai yang mereka ciptakan dan apa yang menyatukan</w:t>
      </w:r>
      <w:r>
        <w:rPr>
          <w:spacing w:val="-3"/>
        </w:rPr>
        <w:t> </w:t>
      </w:r>
      <w:r>
        <w:rPr/>
        <w:t>para </w:t>
      </w:r>
      <w:r>
        <w:rPr>
          <w:i/>
        </w:rPr>
        <w:t>Stakeholder</w:t>
      </w:r>
      <w:r>
        <w:rPr>
          <w:i/>
          <w:spacing w:val="-3"/>
        </w:rPr>
        <w:t> </w:t>
      </w:r>
      <w:r>
        <w:rPr/>
        <w:t>inti</w:t>
      </w:r>
      <w:r>
        <w:rPr>
          <w:spacing w:val="-3"/>
        </w:rPr>
        <w:t> </w:t>
      </w:r>
      <w:r>
        <w:rPr/>
        <w:t>mereka.</w:t>
      </w:r>
      <w:r>
        <w:rPr>
          <w:spacing w:val="-7"/>
        </w:rPr>
        <w:t> </w:t>
      </w:r>
      <w:r>
        <w:rPr/>
        <w:t>Meskipun</w:t>
      </w:r>
      <w:r>
        <w:rPr>
          <w:spacing w:val="-3"/>
        </w:rPr>
        <w:t> </w:t>
      </w:r>
      <w:r>
        <w:rPr/>
        <w:t>organisasi</w:t>
      </w:r>
      <w:r>
        <w:rPr>
          <w:spacing w:val="-3"/>
        </w:rPr>
        <w:t> </w:t>
      </w:r>
      <w:r>
        <w:rPr/>
        <w:t>memiliki</w:t>
      </w:r>
      <w:r>
        <w:rPr>
          <w:spacing w:val="-3"/>
        </w:rPr>
        <w:t> </w:t>
      </w:r>
      <w:r>
        <w:rPr/>
        <w:t>beragam kelompok </w:t>
      </w:r>
      <w:r>
        <w:rPr>
          <w:i/>
        </w:rPr>
        <w:t>Stakeholder </w:t>
      </w:r>
      <w:r>
        <w:rPr/>
        <w:t>dengan kepentingan yang</w:t>
      </w:r>
      <w:r>
        <w:rPr>
          <w:spacing w:val="-3"/>
        </w:rPr>
        <w:t> </w:t>
      </w:r>
      <w:r>
        <w:rPr/>
        <w:t>berbeda dan saling</w:t>
      </w:r>
      <w:r>
        <w:rPr>
          <w:spacing w:val="-3"/>
        </w:rPr>
        <w:t> </w:t>
      </w:r>
      <w:r>
        <w:rPr/>
        <w:t>bertentangan, mereka harus memilih kebijakan dan praktik bisnis yang menguntungkan semua </w:t>
      </w:r>
      <w:r>
        <w:rPr>
          <w:i/>
        </w:rPr>
        <w:t>Stakeholder</w:t>
      </w:r>
      <w:r>
        <w:rPr/>
        <w:t>. Teori ini menunjukkan bahwa organisasi harus memenuhi kepentingan</w:t>
      </w:r>
      <w:r>
        <w:rPr>
          <w:spacing w:val="-7"/>
        </w:rPr>
        <w:t> </w:t>
      </w:r>
      <w:r>
        <w:rPr/>
        <w:t>kelas</w:t>
      </w:r>
      <w:r>
        <w:rPr>
          <w:spacing w:val="-4"/>
        </w:rPr>
        <w:t> </w:t>
      </w:r>
      <w:r>
        <w:rPr>
          <w:i/>
        </w:rPr>
        <w:t>Stakeholder</w:t>
      </w:r>
      <w:r>
        <w:rPr>
          <w:i/>
          <w:spacing w:val="-2"/>
        </w:rPr>
        <w:t> </w:t>
      </w:r>
      <w:r>
        <w:rPr/>
        <w:t>yang</w:t>
      </w:r>
      <w:r>
        <w:rPr>
          <w:spacing w:val="-11"/>
        </w:rPr>
        <w:t> </w:t>
      </w:r>
      <w:r>
        <w:rPr/>
        <w:t>lebih</w:t>
      </w:r>
      <w:r>
        <w:rPr>
          <w:spacing w:val="-7"/>
        </w:rPr>
        <w:t> </w:t>
      </w:r>
      <w:r>
        <w:rPr/>
        <w:t>luas</w:t>
      </w:r>
      <w:r>
        <w:rPr>
          <w:spacing w:val="-8"/>
        </w:rPr>
        <w:t> </w:t>
      </w:r>
      <w:r>
        <w:rPr/>
        <w:t>untuk</w:t>
      </w:r>
      <w:r>
        <w:rPr>
          <w:spacing w:val="-7"/>
        </w:rPr>
        <w:t> </w:t>
      </w:r>
      <w:r>
        <w:rPr/>
        <w:t>meraih</w:t>
      </w:r>
      <w:r>
        <w:rPr>
          <w:spacing w:val="-7"/>
        </w:rPr>
        <w:t> </w:t>
      </w:r>
      <w:r>
        <w:rPr/>
        <w:t>kesuksesan</w:t>
      </w:r>
      <w:r>
        <w:rPr>
          <w:spacing w:val="-7"/>
        </w:rPr>
        <w:t> </w:t>
      </w:r>
      <w:r>
        <w:rPr/>
        <w:t>(Jadoon</w:t>
      </w:r>
      <w:r>
        <w:rPr>
          <w:spacing w:val="-7"/>
        </w:rPr>
        <w:t> </w:t>
      </w:r>
      <w:r>
        <w:rPr/>
        <w:t>et al., 2020).</w:t>
      </w:r>
    </w:p>
    <w:p>
      <w:pPr>
        <w:pStyle w:val="BodyText"/>
        <w:spacing w:line="480" w:lineRule="auto" w:before="162"/>
        <w:ind w:left="568" w:right="571" w:firstLine="720"/>
        <w:jc w:val="both"/>
      </w:pPr>
      <w:r>
        <w:rPr>
          <w:i/>
        </w:rPr>
        <w:t>Stakeholder </w:t>
      </w:r>
      <w:r>
        <w:rPr/>
        <w:t>yaitu pihak yang memiliki hubungan baik dengan perusahaan secara langsung atau tidak langsung dan bersifat mempengaruhi atau dipengaruhi. Pihak-pihak yang dimaksud adalah pemerintah, masyarakat sekitar, lembaga pengamat lingkungan sosial, karyawan, konsumen, dan perusahaan lainnya yang keberadaannya bersifat mempengaruhi dan dipengaruhi oleh perusahaan (Sari &amp;</w:t>
      </w:r>
    </w:p>
    <w:p>
      <w:pPr>
        <w:pStyle w:val="BodyText"/>
      </w:pPr>
    </w:p>
    <w:p>
      <w:pPr>
        <w:pStyle w:val="BodyText"/>
        <w:spacing w:before="94"/>
      </w:pPr>
    </w:p>
    <w:p>
      <w:pPr>
        <w:pStyle w:val="BodyText"/>
        <w:ind w:left="358" w:right="358"/>
        <w:jc w:val="center"/>
      </w:pPr>
      <w:r>
        <w:rPr>
          <w:spacing w:val="-5"/>
        </w:rPr>
        <w:t>11</w:t>
      </w:r>
    </w:p>
    <w:p>
      <w:pPr>
        <w:pStyle w:val="BodyText"/>
        <w:spacing w:after="0"/>
        <w:jc w:val="center"/>
        <w:sectPr>
          <w:headerReference w:type="default" r:id="rId9"/>
          <w:pgSz w:w="11910" w:h="16840"/>
          <w:pgMar w:header="0" w:footer="0" w:top="1920" w:bottom="280" w:left="1700" w:right="1133"/>
        </w:sectPr>
      </w:pPr>
    </w:p>
    <w:p>
      <w:pPr>
        <w:pStyle w:val="BodyText"/>
        <w:spacing w:before="48"/>
      </w:pPr>
    </w:p>
    <w:p>
      <w:pPr>
        <w:pStyle w:val="BodyText"/>
        <w:spacing w:line="480" w:lineRule="auto"/>
        <w:ind w:left="568" w:right="564"/>
        <w:jc w:val="both"/>
      </w:pPr>
      <w:r>
        <w:rPr/>
        <w:t>Priyadi, 2020). Menurut </w:t>
      </w:r>
      <w:r>
        <w:rPr>
          <w:i/>
        </w:rPr>
        <w:t>Stakeholder</w:t>
      </w:r>
      <w:r>
        <w:rPr>
          <w:i/>
          <w:spacing w:val="-1"/>
        </w:rPr>
        <w:t> </w:t>
      </w:r>
      <w:r>
        <w:rPr>
          <w:i/>
        </w:rPr>
        <w:t>Theory</w:t>
      </w:r>
      <w:r>
        <w:rPr/>
        <w:t>, perusahaan tidak hanya bertanggung jawab kepada pemegang saham, tetapi juga kepada seluruh pihak yang berkepentingan terhadap operasional perusahaan. Dalam hal ini, akuntansi berfungsi untuk menyediakan informasi yang relevan, transparan, dan dapat dipercaya mengenai kinerja keuangan maupun non-keuangan perusahaan, seperti pada laporan keberlanjutan.</w:t>
      </w:r>
    </w:p>
    <w:p>
      <w:pPr>
        <w:pStyle w:val="BodyText"/>
        <w:spacing w:line="480" w:lineRule="auto" w:before="162"/>
        <w:ind w:left="568" w:right="564" w:firstLine="720"/>
        <w:jc w:val="both"/>
      </w:pPr>
      <w:r>
        <w:rPr>
          <w:i/>
        </w:rPr>
        <w:t>Stakeholder theory </w:t>
      </w:r>
      <w:r>
        <w:rPr/>
        <w:t>sangat mendasari dalam praktek </w:t>
      </w:r>
      <w:r>
        <w:rPr>
          <w:i/>
        </w:rPr>
        <w:t>corporate social responsibilit</w:t>
      </w:r>
      <w:r>
        <w:rPr/>
        <w:t>y (CSR) hal ini dikarenakan informasi dalam CSR berisi pengungkapan</w:t>
      </w:r>
      <w:r>
        <w:rPr>
          <w:spacing w:val="-15"/>
        </w:rPr>
        <w:t> </w:t>
      </w:r>
      <w:r>
        <w:rPr/>
        <w:t>tanggung</w:t>
      </w:r>
      <w:r>
        <w:rPr>
          <w:spacing w:val="-15"/>
        </w:rPr>
        <w:t> </w:t>
      </w:r>
      <w:r>
        <w:rPr/>
        <w:t>jawab</w:t>
      </w:r>
      <w:r>
        <w:rPr>
          <w:spacing w:val="-15"/>
        </w:rPr>
        <w:t> </w:t>
      </w:r>
      <w:r>
        <w:rPr/>
        <w:t>sosial</w:t>
      </w:r>
      <w:r>
        <w:rPr>
          <w:spacing w:val="-15"/>
        </w:rPr>
        <w:t> </w:t>
      </w:r>
      <w:r>
        <w:rPr/>
        <w:t>perusahaan</w:t>
      </w:r>
      <w:r>
        <w:rPr>
          <w:spacing w:val="-15"/>
        </w:rPr>
        <w:t> </w:t>
      </w:r>
      <w:r>
        <w:rPr/>
        <w:t>yang</w:t>
      </w:r>
      <w:r>
        <w:rPr>
          <w:spacing w:val="-15"/>
        </w:rPr>
        <w:t> </w:t>
      </w:r>
      <w:r>
        <w:rPr/>
        <w:t>dibutuhkan</w:t>
      </w:r>
      <w:r>
        <w:rPr>
          <w:spacing w:val="-15"/>
        </w:rPr>
        <w:t> </w:t>
      </w:r>
      <w:r>
        <w:rPr/>
        <w:t>oleh</w:t>
      </w:r>
      <w:r>
        <w:rPr>
          <w:spacing w:val="-15"/>
        </w:rPr>
        <w:t> </w:t>
      </w:r>
      <w:r>
        <w:rPr>
          <w:i/>
        </w:rPr>
        <w:t>stakeholder </w:t>
      </w:r>
      <w:r>
        <w:rPr/>
        <w:t>dan masyarakat sekitar (Damayanti &amp; Astuti, 2022). Pengungkapan tanggung jawab sosial perusahaan pada hakikatnya bertujuan untuk menginformasikan kepada publik mengenai aktivitas sosial yang dilaksanakan oleh perusahaan serta dampaknya terhadap masyarakat. Meskipun laba tetap menjadi prioritas utama, perhatian terhadap seluruh </w:t>
      </w:r>
      <w:r>
        <w:rPr>
          <w:i/>
        </w:rPr>
        <w:t>Stakeholder </w:t>
      </w:r>
      <w:r>
        <w:rPr/>
        <w:t>termasuk aspek sosial, lingkungan, dan karyawan mampu meningkatkan citra dan daya tarik perusahaan di mata investor.</w:t>
      </w:r>
    </w:p>
    <w:p>
      <w:pPr>
        <w:pStyle w:val="BodyText"/>
        <w:spacing w:line="480" w:lineRule="auto" w:before="161"/>
        <w:ind w:left="568" w:right="565" w:firstLine="720"/>
        <w:jc w:val="both"/>
      </w:pPr>
      <w:r>
        <w:rPr/>
        <w:t>Menurut Meutia et al. (2019), </w:t>
      </w:r>
      <w:r>
        <w:rPr>
          <w:i/>
        </w:rPr>
        <w:t>Stakeholder </w:t>
      </w:r>
      <w:r>
        <w:rPr/>
        <w:t>semakin terlibat dalam </w:t>
      </w:r>
      <w:r>
        <w:rPr>
          <w:i/>
        </w:rPr>
        <w:t>Sustainability</w:t>
      </w:r>
      <w:r>
        <w:rPr>
          <w:i/>
          <w:spacing w:val="-8"/>
        </w:rPr>
        <w:t> </w:t>
      </w:r>
      <w:r>
        <w:rPr>
          <w:i/>
        </w:rPr>
        <w:t>Performance</w:t>
      </w:r>
      <w:r>
        <w:rPr>
          <w:i/>
          <w:spacing w:val="-4"/>
        </w:rPr>
        <w:t> </w:t>
      </w:r>
      <w:r>
        <w:rPr/>
        <w:t>dan</w:t>
      </w:r>
      <w:r>
        <w:rPr>
          <w:spacing w:val="-8"/>
        </w:rPr>
        <w:t> </w:t>
      </w:r>
      <w:r>
        <w:rPr>
          <w:i/>
        </w:rPr>
        <w:t>External</w:t>
      </w:r>
      <w:r>
        <w:rPr>
          <w:i/>
          <w:spacing w:val="-11"/>
        </w:rPr>
        <w:t> </w:t>
      </w:r>
      <w:r>
        <w:rPr>
          <w:i/>
        </w:rPr>
        <w:t>Assurance</w:t>
      </w:r>
      <w:r>
        <w:rPr>
          <w:i/>
          <w:spacing w:val="-5"/>
        </w:rPr>
        <w:t> </w:t>
      </w:r>
      <w:r>
        <w:rPr/>
        <w:t>karena</w:t>
      </w:r>
      <w:r>
        <w:rPr>
          <w:spacing w:val="-8"/>
        </w:rPr>
        <w:t> </w:t>
      </w:r>
      <w:r>
        <w:rPr/>
        <w:t>meningkatnya</w:t>
      </w:r>
      <w:r>
        <w:rPr>
          <w:spacing w:val="-8"/>
        </w:rPr>
        <w:t> </w:t>
      </w:r>
      <w:r>
        <w:rPr/>
        <w:t>tuntutan transparansi</w:t>
      </w:r>
      <w:r>
        <w:rPr>
          <w:spacing w:val="-15"/>
        </w:rPr>
        <w:t> </w:t>
      </w:r>
      <w:r>
        <w:rPr/>
        <w:t>informasi</w:t>
      </w:r>
      <w:r>
        <w:rPr>
          <w:spacing w:val="-15"/>
        </w:rPr>
        <w:t> </w:t>
      </w:r>
      <w:r>
        <w:rPr/>
        <w:t>bisnis.</w:t>
      </w:r>
      <w:r>
        <w:rPr>
          <w:spacing w:val="-13"/>
        </w:rPr>
        <w:t> </w:t>
      </w:r>
      <w:r>
        <w:rPr/>
        <w:t>Menurut</w:t>
      </w:r>
      <w:r>
        <w:rPr>
          <w:spacing w:val="-11"/>
        </w:rPr>
        <w:t> </w:t>
      </w:r>
      <w:r>
        <w:rPr/>
        <w:t>Huang</w:t>
      </w:r>
      <w:r>
        <w:rPr>
          <w:spacing w:val="-15"/>
        </w:rPr>
        <w:t> </w:t>
      </w:r>
      <w:r>
        <w:rPr/>
        <w:t>(2022),</w:t>
      </w:r>
      <w:r>
        <w:rPr>
          <w:spacing w:val="-12"/>
        </w:rPr>
        <w:t> </w:t>
      </w:r>
      <w:r>
        <w:rPr/>
        <w:t>seruan</w:t>
      </w:r>
      <w:r>
        <w:rPr>
          <w:spacing w:val="-12"/>
        </w:rPr>
        <w:t> </w:t>
      </w:r>
      <w:r>
        <w:rPr/>
        <w:t>terhadap</w:t>
      </w:r>
      <w:r>
        <w:rPr>
          <w:spacing w:val="-12"/>
        </w:rPr>
        <w:t> </w:t>
      </w:r>
      <w:r>
        <w:rPr/>
        <w:t>norma</w:t>
      </w:r>
      <w:r>
        <w:rPr>
          <w:spacing w:val="-11"/>
        </w:rPr>
        <w:t> </w:t>
      </w:r>
      <w:r>
        <w:rPr/>
        <w:t>sosial sebagai</w:t>
      </w:r>
      <w:r>
        <w:rPr>
          <w:spacing w:val="-15"/>
        </w:rPr>
        <w:t> </w:t>
      </w:r>
      <w:r>
        <w:rPr/>
        <w:t>panduan</w:t>
      </w:r>
      <w:r>
        <w:rPr>
          <w:spacing w:val="-15"/>
        </w:rPr>
        <w:t> </w:t>
      </w:r>
      <w:r>
        <w:rPr/>
        <w:t>bagi</w:t>
      </w:r>
      <w:r>
        <w:rPr>
          <w:spacing w:val="-15"/>
        </w:rPr>
        <w:t> </w:t>
      </w:r>
      <w:r>
        <w:rPr/>
        <w:t>aktivitas</w:t>
      </w:r>
      <w:r>
        <w:rPr>
          <w:spacing w:val="-15"/>
        </w:rPr>
        <w:t> </w:t>
      </w:r>
      <w:r>
        <w:rPr/>
        <w:t>lingkungan,</w:t>
      </w:r>
      <w:r>
        <w:rPr>
          <w:spacing w:val="-15"/>
        </w:rPr>
        <w:t> </w:t>
      </w:r>
      <w:r>
        <w:rPr/>
        <w:t>sosial,</w:t>
      </w:r>
      <w:r>
        <w:rPr>
          <w:spacing w:val="-15"/>
        </w:rPr>
        <w:t> </w:t>
      </w:r>
      <w:r>
        <w:rPr/>
        <w:t>dan</w:t>
      </w:r>
      <w:r>
        <w:rPr>
          <w:spacing w:val="-15"/>
        </w:rPr>
        <w:t> </w:t>
      </w:r>
      <w:r>
        <w:rPr/>
        <w:t>tata</w:t>
      </w:r>
      <w:r>
        <w:rPr>
          <w:spacing w:val="-15"/>
        </w:rPr>
        <w:t> </w:t>
      </w:r>
      <w:r>
        <w:rPr/>
        <w:t>kelola</w:t>
      </w:r>
      <w:r>
        <w:rPr>
          <w:spacing w:val="-15"/>
        </w:rPr>
        <w:t> </w:t>
      </w:r>
      <w:r>
        <w:rPr/>
        <w:t>(ESG)</w:t>
      </w:r>
      <w:r>
        <w:rPr>
          <w:spacing w:val="-15"/>
        </w:rPr>
        <w:t> </w:t>
      </w:r>
      <w:r>
        <w:rPr/>
        <w:t>perusahaan menurut </w:t>
      </w:r>
      <w:r>
        <w:rPr>
          <w:i/>
        </w:rPr>
        <w:t>Stakeholder Theory</w:t>
      </w:r>
      <w:r>
        <w:rPr>
          <w:i/>
          <w:spacing w:val="40"/>
        </w:rPr>
        <w:t> </w:t>
      </w:r>
      <w:r>
        <w:rPr/>
        <w:t>harus dilengkapi dengan motivasi untuk melakukan aktivitas ESG</w:t>
      </w:r>
      <w:r>
        <w:rPr>
          <w:spacing w:val="-4"/>
        </w:rPr>
        <w:t> </w:t>
      </w:r>
      <w:r>
        <w:rPr/>
        <w:t>dan melibatkan hubungan antara tingkat individu dan kelembagaan. Perusahaan berupaya mengurangi asimetri informasi sebagai bentuk tanggung jawab</w:t>
      </w:r>
      <w:r>
        <w:rPr>
          <w:spacing w:val="-17"/>
        </w:rPr>
        <w:t> </w:t>
      </w:r>
      <w:r>
        <w:rPr/>
        <w:t>dan</w:t>
      </w:r>
      <w:r>
        <w:rPr>
          <w:spacing w:val="-12"/>
        </w:rPr>
        <w:t> </w:t>
      </w:r>
      <w:r>
        <w:rPr/>
        <w:t>akuntabilitas</w:t>
      </w:r>
      <w:r>
        <w:rPr>
          <w:spacing w:val="-15"/>
        </w:rPr>
        <w:t> </w:t>
      </w:r>
      <w:r>
        <w:rPr/>
        <w:t>kepada</w:t>
      </w:r>
      <w:r>
        <w:rPr>
          <w:spacing w:val="-7"/>
        </w:rPr>
        <w:t> </w:t>
      </w:r>
      <w:r>
        <w:rPr>
          <w:i/>
        </w:rPr>
        <w:t>stakeholder</w:t>
      </w:r>
      <w:r>
        <w:rPr/>
        <w:t>.</w:t>
      </w:r>
      <w:r>
        <w:rPr>
          <w:spacing w:val="-13"/>
        </w:rPr>
        <w:t> </w:t>
      </w:r>
      <w:r>
        <w:rPr/>
        <w:t>Salah</w:t>
      </w:r>
      <w:r>
        <w:rPr>
          <w:spacing w:val="-13"/>
        </w:rPr>
        <w:t> </w:t>
      </w:r>
      <w:r>
        <w:rPr/>
        <w:t>satu</w:t>
      </w:r>
      <w:r>
        <w:rPr>
          <w:spacing w:val="-13"/>
        </w:rPr>
        <w:t> </w:t>
      </w:r>
      <w:r>
        <w:rPr/>
        <w:t>mekanisme</w:t>
      </w:r>
      <w:r>
        <w:rPr>
          <w:spacing w:val="-11"/>
        </w:rPr>
        <w:t> </w:t>
      </w:r>
      <w:r>
        <w:rPr/>
        <w:t>yang</w:t>
      </w:r>
      <w:r>
        <w:rPr>
          <w:spacing w:val="-15"/>
        </w:rPr>
        <w:t> </w:t>
      </w:r>
      <w:r>
        <w:rPr>
          <w:spacing w:val="-2"/>
        </w:rPr>
        <w:t>digunakan</w:t>
      </w:r>
    </w:p>
    <w:p>
      <w:pPr>
        <w:pStyle w:val="BodyText"/>
        <w:spacing w:after="0" w:line="480" w:lineRule="auto"/>
        <w:jc w:val="both"/>
        <w:sectPr>
          <w:headerReference w:type="default" r:id="rId10"/>
          <w:pgSz w:w="11910" w:h="16840"/>
          <w:pgMar w:header="710" w:footer="0" w:top="1920" w:bottom="280" w:left="1700" w:right="1133"/>
          <w:pgNumType w:start="12"/>
        </w:sectPr>
      </w:pPr>
    </w:p>
    <w:p>
      <w:pPr>
        <w:pStyle w:val="BodyText"/>
        <w:spacing w:before="48"/>
      </w:pPr>
    </w:p>
    <w:p>
      <w:pPr>
        <w:pStyle w:val="BodyText"/>
        <w:spacing w:line="480" w:lineRule="auto"/>
        <w:ind w:left="568" w:right="559"/>
        <w:jc w:val="both"/>
      </w:pPr>
      <w:r>
        <w:rPr/>
        <w:t>adalah penyediaan </w:t>
      </w:r>
      <w:r>
        <w:rPr>
          <w:i/>
        </w:rPr>
        <w:t>sustainability assurance </w:t>
      </w:r>
      <w:r>
        <w:rPr/>
        <w:t>oleh pihak independen. </w:t>
      </w:r>
      <w:r>
        <w:rPr>
          <w:i/>
        </w:rPr>
        <w:t>Assurance </w:t>
      </w:r>
      <w:r>
        <w:rPr/>
        <w:t>eksternal meningkatkan kredibilitas laporan keberlanjutan sehingga </w:t>
      </w:r>
      <w:r>
        <w:rPr>
          <w:i/>
        </w:rPr>
        <w:t>stakeholder </w:t>
      </w:r>
      <w:r>
        <w:rPr/>
        <w:t>dapat</w:t>
      </w:r>
      <w:r>
        <w:rPr>
          <w:spacing w:val="-2"/>
        </w:rPr>
        <w:t> </w:t>
      </w:r>
      <w:r>
        <w:rPr/>
        <w:t>menilai</w:t>
      </w:r>
      <w:r>
        <w:rPr>
          <w:spacing w:val="-2"/>
        </w:rPr>
        <w:t> </w:t>
      </w:r>
      <w:r>
        <w:rPr/>
        <w:t>kinerja</w:t>
      </w:r>
      <w:r>
        <w:rPr>
          <w:spacing w:val="-1"/>
        </w:rPr>
        <w:t> </w:t>
      </w:r>
      <w:r>
        <w:rPr/>
        <w:t>lingkungan, sosial,</w:t>
      </w:r>
      <w:r>
        <w:rPr>
          <w:spacing w:val="-2"/>
        </w:rPr>
        <w:t> </w:t>
      </w:r>
      <w:r>
        <w:rPr/>
        <w:t>dan</w:t>
      </w:r>
      <w:r>
        <w:rPr>
          <w:spacing w:val="-2"/>
        </w:rPr>
        <w:t> </w:t>
      </w:r>
      <w:r>
        <w:rPr/>
        <w:t>tata</w:t>
      </w:r>
      <w:r>
        <w:rPr>
          <w:spacing w:val="-1"/>
        </w:rPr>
        <w:t> </w:t>
      </w:r>
      <w:r>
        <w:rPr/>
        <w:t>kelola</w:t>
      </w:r>
      <w:r>
        <w:rPr>
          <w:spacing w:val="-1"/>
        </w:rPr>
        <w:t> </w:t>
      </w:r>
      <w:r>
        <w:rPr/>
        <w:t>(ESG)</w:t>
      </w:r>
      <w:r>
        <w:rPr>
          <w:spacing w:val="-2"/>
        </w:rPr>
        <w:t> </w:t>
      </w:r>
      <w:r>
        <w:rPr/>
        <w:t>perusahaan</w:t>
      </w:r>
      <w:r>
        <w:rPr>
          <w:spacing w:val="-2"/>
        </w:rPr>
        <w:t> </w:t>
      </w:r>
      <w:r>
        <w:rPr/>
        <w:t>dengan lebih</w:t>
      </w:r>
      <w:r>
        <w:rPr>
          <w:spacing w:val="-15"/>
        </w:rPr>
        <w:t> </w:t>
      </w:r>
      <w:r>
        <w:rPr/>
        <w:t>objektif.</w:t>
      </w:r>
      <w:r>
        <w:rPr>
          <w:spacing w:val="-15"/>
        </w:rPr>
        <w:t> </w:t>
      </w:r>
      <w:r>
        <w:rPr/>
        <w:t>Hal</w:t>
      </w:r>
      <w:r>
        <w:rPr>
          <w:spacing w:val="-15"/>
        </w:rPr>
        <w:t> </w:t>
      </w:r>
      <w:r>
        <w:rPr/>
        <w:t>ini</w:t>
      </w:r>
      <w:r>
        <w:rPr>
          <w:spacing w:val="-15"/>
        </w:rPr>
        <w:t> </w:t>
      </w:r>
      <w:r>
        <w:rPr/>
        <w:t>sesuai</w:t>
      </w:r>
      <w:r>
        <w:rPr>
          <w:spacing w:val="-15"/>
        </w:rPr>
        <w:t> </w:t>
      </w:r>
      <w:r>
        <w:rPr/>
        <w:t>dengan</w:t>
      </w:r>
      <w:r>
        <w:rPr>
          <w:spacing w:val="-15"/>
        </w:rPr>
        <w:t> </w:t>
      </w:r>
      <w:r>
        <w:rPr/>
        <w:t>penelitian</w:t>
      </w:r>
      <w:r>
        <w:rPr>
          <w:spacing w:val="-15"/>
        </w:rPr>
        <w:t> </w:t>
      </w:r>
      <w:r>
        <w:rPr/>
        <w:t>yang</w:t>
      </w:r>
      <w:r>
        <w:rPr>
          <w:spacing w:val="-15"/>
        </w:rPr>
        <w:t> </w:t>
      </w:r>
      <w:r>
        <w:rPr/>
        <w:t>dilakukan</w:t>
      </w:r>
      <w:r>
        <w:rPr>
          <w:spacing w:val="-15"/>
        </w:rPr>
        <w:t> </w:t>
      </w:r>
      <w:r>
        <w:rPr/>
        <w:t>oleh</w:t>
      </w:r>
      <w:r>
        <w:rPr>
          <w:spacing w:val="-15"/>
        </w:rPr>
        <w:t> </w:t>
      </w:r>
      <w:r>
        <w:rPr/>
        <w:t>Ruiz-Barbadillo dan Martínez-Ferrero (2023), yang menunjukkan bahwa </w:t>
      </w:r>
      <w:r>
        <w:rPr>
          <w:i/>
        </w:rPr>
        <w:t>External assurance </w:t>
      </w:r>
      <w:r>
        <w:rPr/>
        <w:t>mampu</w:t>
      </w:r>
      <w:r>
        <w:rPr>
          <w:spacing w:val="-15"/>
        </w:rPr>
        <w:t> </w:t>
      </w:r>
      <w:r>
        <w:rPr/>
        <w:t>mengurangi</w:t>
      </w:r>
      <w:r>
        <w:rPr>
          <w:spacing w:val="-15"/>
        </w:rPr>
        <w:t> </w:t>
      </w:r>
      <w:r>
        <w:rPr/>
        <w:t>asimetri</w:t>
      </w:r>
      <w:r>
        <w:rPr>
          <w:spacing w:val="-15"/>
        </w:rPr>
        <w:t> </w:t>
      </w:r>
      <w:r>
        <w:rPr/>
        <w:t>informasi.</w:t>
      </w:r>
      <w:r>
        <w:rPr>
          <w:spacing w:val="-15"/>
        </w:rPr>
        <w:t> </w:t>
      </w:r>
      <w:r>
        <w:rPr/>
        <w:t>Dengan</w:t>
      </w:r>
      <w:r>
        <w:rPr>
          <w:spacing w:val="-15"/>
        </w:rPr>
        <w:t> </w:t>
      </w:r>
      <w:r>
        <w:rPr/>
        <w:t>demikian,</w:t>
      </w:r>
      <w:r>
        <w:rPr>
          <w:spacing w:val="-15"/>
        </w:rPr>
        <w:t> </w:t>
      </w:r>
      <w:r>
        <w:rPr/>
        <w:t>dengan</w:t>
      </w:r>
      <w:r>
        <w:rPr>
          <w:spacing w:val="-15"/>
        </w:rPr>
        <w:t> </w:t>
      </w:r>
      <w:r>
        <w:rPr/>
        <w:t>mengungkapkan kinerja CSR mereka, perusahaan cenderung memengaruhi persepsi </w:t>
      </w:r>
      <w:r>
        <w:rPr>
          <w:i/>
        </w:rPr>
        <w:t>Stakeholder </w:t>
      </w:r>
      <w:r>
        <w:rPr/>
        <w:t>tentang legitimasi mereka dan sekaligus mengurangi asimetri informasi. Penggunaan</w:t>
      </w:r>
      <w:r>
        <w:rPr>
          <w:spacing w:val="-15"/>
        </w:rPr>
        <w:t> </w:t>
      </w:r>
      <w:r>
        <w:rPr>
          <w:i/>
        </w:rPr>
        <w:t>Stakeholder</w:t>
      </w:r>
      <w:r>
        <w:rPr>
          <w:i/>
          <w:spacing w:val="-15"/>
        </w:rPr>
        <w:t> </w:t>
      </w:r>
      <w:r>
        <w:rPr>
          <w:i/>
        </w:rPr>
        <w:t>Theory</w:t>
      </w:r>
      <w:r>
        <w:rPr>
          <w:i/>
          <w:spacing w:val="-15"/>
        </w:rPr>
        <w:t> </w:t>
      </w:r>
      <w:r>
        <w:rPr/>
        <w:t>dalam</w:t>
      </w:r>
      <w:r>
        <w:rPr>
          <w:spacing w:val="-15"/>
        </w:rPr>
        <w:t> </w:t>
      </w:r>
      <w:r>
        <w:rPr/>
        <w:t>penelitian</w:t>
      </w:r>
      <w:r>
        <w:rPr>
          <w:spacing w:val="-15"/>
        </w:rPr>
        <w:t> </w:t>
      </w:r>
      <w:r>
        <w:rPr/>
        <w:t>ini</w:t>
      </w:r>
      <w:r>
        <w:rPr>
          <w:spacing w:val="-15"/>
        </w:rPr>
        <w:t> </w:t>
      </w:r>
      <w:r>
        <w:rPr/>
        <w:t>memberikan</w:t>
      </w:r>
      <w:r>
        <w:rPr>
          <w:spacing w:val="-15"/>
        </w:rPr>
        <w:t> </w:t>
      </w:r>
      <w:r>
        <w:rPr/>
        <w:t>kerangka</w:t>
      </w:r>
      <w:r>
        <w:rPr>
          <w:spacing w:val="-15"/>
        </w:rPr>
        <w:t> </w:t>
      </w:r>
      <w:r>
        <w:rPr/>
        <w:t>teoretis yang relevan untuk menjelaskan bagaimana perusahaan merespons tekanan dan ekspektasi dari para </w:t>
      </w:r>
      <w:r>
        <w:rPr>
          <w:i/>
        </w:rPr>
        <w:t>Stakeholder </w:t>
      </w:r>
      <w:r>
        <w:rPr/>
        <w:t>melalui praktik pelaporan keberlanjutan. </w:t>
      </w:r>
      <w:r>
        <w:rPr>
          <w:i/>
        </w:rPr>
        <w:t>Stakeholder Theory </w:t>
      </w:r>
      <w:r>
        <w:rPr/>
        <w:t>menjelaskan bahwa kombinasi faktor-faktor seperti </w:t>
      </w:r>
      <w:r>
        <w:rPr>
          <w:i/>
        </w:rPr>
        <w:t>leverage</w:t>
      </w:r>
      <w:r>
        <w:rPr/>
        <w:t>, </w:t>
      </w:r>
      <w:r>
        <w:rPr>
          <w:i/>
        </w:rPr>
        <w:t>debt</w:t>
      </w:r>
      <w:r>
        <w:rPr>
          <w:i/>
          <w:spacing w:val="-15"/>
        </w:rPr>
        <w:t> </w:t>
      </w:r>
      <w:r>
        <w:rPr>
          <w:i/>
        </w:rPr>
        <w:t>maturity</w:t>
      </w:r>
      <w:r>
        <w:rPr/>
        <w:t>,</w:t>
      </w:r>
      <w:r>
        <w:rPr>
          <w:spacing w:val="-15"/>
        </w:rPr>
        <w:t> </w:t>
      </w:r>
      <w:r>
        <w:rPr/>
        <w:t>dan</w:t>
      </w:r>
      <w:r>
        <w:rPr>
          <w:spacing w:val="-15"/>
        </w:rPr>
        <w:t> </w:t>
      </w:r>
      <w:r>
        <w:rPr>
          <w:i/>
        </w:rPr>
        <w:t>Assurance</w:t>
      </w:r>
      <w:r>
        <w:rPr>
          <w:i/>
          <w:spacing w:val="-15"/>
        </w:rPr>
        <w:t> </w:t>
      </w:r>
      <w:r>
        <w:rPr>
          <w:i/>
        </w:rPr>
        <w:t>tenure</w:t>
      </w:r>
      <w:r>
        <w:rPr>
          <w:i/>
          <w:spacing w:val="-15"/>
        </w:rPr>
        <w:t> </w:t>
      </w:r>
      <w:r>
        <w:rPr/>
        <w:t>akan</w:t>
      </w:r>
      <w:r>
        <w:rPr>
          <w:spacing w:val="-15"/>
        </w:rPr>
        <w:t> </w:t>
      </w:r>
      <w:r>
        <w:rPr/>
        <w:t>memengaruhi</w:t>
      </w:r>
      <w:r>
        <w:rPr>
          <w:spacing w:val="-15"/>
        </w:rPr>
        <w:t> </w:t>
      </w:r>
      <w:r>
        <w:rPr/>
        <w:t>kecenderungan</w:t>
      </w:r>
      <w:r>
        <w:rPr>
          <w:spacing w:val="-15"/>
        </w:rPr>
        <w:t> </w:t>
      </w:r>
      <w:r>
        <w:rPr/>
        <w:t>perusahaan dalam</w:t>
      </w:r>
      <w:r>
        <w:rPr>
          <w:spacing w:val="-3"/>
        </w:rPr>
        <w:t> </w:t>
      </w:r>
      <w:r>
        <w:rPr/>
        <w:t>menyediakan </w:t>
      </w:r>
      <w:r>
        <w:rPr>
          <w:i/>
        </w:rPr>
        <w:t>sustainability assurance </w:t>
      </w:r>
      <w:r>
        <w:rPr/>
        <w:t>yang</w:t>
      </w:r>
      <w:r>
        <w:rPr>
          <w:spacing w:val="-4"/>
        </w:rPr>
        <w:t> </w:t>
      </w:r>
      <w:r>
        <w:rPr/>
        <w:t>tidak hanya sekadar formalitas, tetapi berkualitas tinggi, yakni dilakukan secara independen, objektif, dan sesuai dengan standar profesional yang berlaku. Hal ini pada akhirnya mencerminkan upaya strategis perusahaan dalam membangun legitimasi dan kepercayaan </w:t>
      </w:r>
      <w:r>
        <w:rPr>
          <w:i/>
        </w:rPr>
        <w:t>stakeholder </w:t>
      </w:r>
      <w:r>
        <w:rPr/>
        <w:t>melalui pelaporan keberlanjutan yang dapat diverifikasi secara </w:t>
      </w:r>
      <w:r>
        <w:rPr>
          <w:spacing w:val="-2"/>
        </w:rPr>
        <w:t>eksternal.</w:t>
      </w:r>
    </w:p>
    <w:p>
      <w:pPr>
        <w:pStyle w:val="Heading3"/>
        <w:numPr>
          <w:ilvl w:val="2"/>
          <w:numId w:val="13"/>
        </w:numPr>
        <w:tabs>
          <w:tab w:pos="1288" w:val="left" w:leader="none"/>
        </w:tabs>
        <w:spacing w:line="240" w:lineRule="auto" w:before="168" w:after="0"/>
        <w:ind w:left="1288" w:right="0" w:hanging="720"/>
        <w:jc w:val="both"/>
      </w:pPr>
      <w:bookmarkStart w:name="_bookmark17" w:id="18"/>
      <w:bookmarkEnd w:id="18"/>
      <w:r>
        <w:rPr>
          <w:b w:val="0"/>
        </w:rPr>
      </w:r>
      <w:r>
        <w:rPr/>
        <w:t>Sustainability</w:t>
      </w:r>
      <w:r>
        <w:rPr>
          <w:spacing w:val="-7"/>
        </w:rPr>
        <w:t> </w:t>
      </w:r>
      <w:r>
        <w:rPr/>
        <w:t>Assurance</w:t>
      </w:r>
      <w:r>
        <w:rPr>
          <w:spacing w:val="-7"/>
        </w:rPr>
        <w:t> </w:t>
      </w:r>
      <w:r>
        <w:rPr>
          <w:spacing w:val="-2"/>
        </w:rPr>
        <w:t>Quality</w:t>
      </w:r>
    </w:p>
    <w:p>
      <w:pPr>
        <w:spacing w:line="480" w:lineRule="auto" w:before="272"/>
        <w:ind w:left="568" w:right="567" w:firstLine="720"/>
        <w:jc w:val="both"/>
        <w:rPr>
          <w:sz w:val="24"/>
        </w:rPr>
      </w:pPr>
      <w:r>
        <w:rPr>
          <w:i/>
          <w:sz w:val="24"/>
        </w:rPr>
        <w:t>Sustainability assurance quality </w:t>
      </w:r>
      <w:r>
        <w:rPr>
          <w:sz w:val="24"/>
        </w:rPr>
        <w:t>didefinisikan sebagai tingkat kualitas dari laporan </w:t>
      </w:r>
      <w:r>
        <w:rPr>
          <w:i/>
          <w:sz w:val="24"/>
        </w:rPr>
        <w:t>assurance </w:t>
      </w:r>
      <w:r>
        <w:rPr>
          <w:sz w:val="24"/>
        </w:rPr>
        <w:t>terhadap laporan keberlanjutan, yang ditunjukkan melalui keterlibatan</w:t>
      </w:r>
      <w:r>
        <w:rPr>
          <w:spacing w:val="27"/>
          <w:sz w:val="24"/>
        </w:rPr>
        <w:t> </w:t>
      </w:r>
      <w:r>
        <w:rPr>
          <w:sz w:val="24"/>
        </w:rPr>
        <w:t>penyedia</w:t>
      </w:r>
      <w:r>
        <w:rPr>
          <w:spacing w:val="34"/>
          <w:sz w:val="24"/>
        </w:rPr>
        <w:t> </w:t>
      </w:r>
      <w:r>
        <w:rPr>
          <w:i/>
          <w:sz w:val="24"/>
        </w:rPr>
        <w:t>assurance</w:t>
      </w:r>
      <w:r>
        <w:rPr>
          <w:i/>
          <w:spacing w:val="33"/>
          <w:sz w:val="24"/>
        </w:rPr>
        <w:t> </w:t>
      </w:r>
      <w:r>
        <w:rPr>
          <w:sz w:val="24"/>
        </w:rPr>
        <w:t>yang</w:t>
      </w:r>
      <w:r>
        <w:rPr>
          <w:spacing w:val="24"/>
          <w:sz w:val="24"/>
        </w:rPr>
        <w:t> </w:t>
      </w:r>
      <w:r>
        <w:rPr>
          <w:sz w:val="24"/>
        </w:rPr>
        <w:t>andal,</w:t>
      </w:r>
      <w:r>
        <w:rPr>
          <w:spacing w:val="28"/>
          <w:sz w:val="24"/>
        </w:rPr>
        <w:t> </w:t>
      </w:r>
      <w:r>
        <w:rPr>
          <w:sz w:val="24"/>
        </w:rPr>
        <w:t>cakupan</w:t>
      </w:r>
      <w:r>
        <w:rPr>
          <w:spacing w:val="28"/>
          <w:sz w:val="24"/>
        </w:rPr>
        <w:t> </w:t>
      </w:r>
      <w:r>
        <w:rPr>
          <w:sz w:val="24"/>
        </w:rPr>
        <w:t>jaminan</w:t>
      </w:r>
      <w:r>
        <w:rPr>
          <w:spacing w:val="28"/>
          <w:sz w:val="24"/>
        </w:rPr>
        <w:t> </w:t>
      </w:r>
      <w:r>
        <w:rPr>
          <w:sz w:val="24"/>
        </w:rPr>
        <w:t>yang</w:t>
      </w:r>
      <w:r>
        <w:rPr>
          <w:spacing w:val="24"/>
          <w:sz w:val="24"/>
        </w:rPr>
        <w:t> </w:t>
      </w:r>
      <w:r>
        <w:rPr>
          <w:spacing w:val="-2"/>
          <w:sz w:val="24"/>
        </w:rPr>
        <w:t>menyeluruh</w:t>
      </w:r>
    </w:p>
    <w:p>
      <w:pPr>
        <w:spacing w:after="0" w:line="480" w:lineRule="auto"/>
        <w:jc w:val="both"/>
        <w:rPr>
          <w:sz w:val="24"/>
        </w:rPr>
        <w:sectPr>
          <w:pgSz w:w="11910" w:h="16840"/>
          <w:pgMar w:header="710" w:footer="0" w:top="1920" w:bottom="280" w:left="1700" w:right="1133"/>
        </w:sectPr>
      </w:pPr>
    </w:p>
    <w:p>
      <w:pPr>
        <w:pStyle w:val="BodyText"/>
        <w:spacing w:before="48"/>
      </w:pPr>
    </w:p>
    <w:p>
      <w:pPr>
        <w:pStyle w:val="BodyText"/>
        <w:spacing w:line="480" w:lineRule="auto"/>
        <w:ind w:left="568" w:right="562"/>
        <w:jc w:val="both"/>
      </w:pPr>
      <w:r>
        <w:rPr/>
        <w:t>terhadap seluruh isi laporan, serta tingkat jaminan yang memadai atau wajar atas informasi yang disampaikan (Martinez-Ferrero et al., 2021). Kualitas ini mencerminkan kredibilitas dan keandalan laporan keberlanjutan yang disajikan, serta memperkuat kepercayaan para </w:t>
      </w:r>
      <w:r>
        <w:rPr>
          <w:i/>
        </w:rPr>
        <w:t>Stakeholder </w:t>
      </w:r>
      <w:r>
        <w:rPr/>
        <w:t>terhadap komitmen perusahaan dalam mengelola isu-isu lingkungan, sosial, dan tata kelola (ESG).</w:t>
      </w:r>
    </w:p>
    <w:p>
      <w:pPr>
        <w:pStyle w:val="BodyText"/>
        <w:spacing w:line="480" w:lineRule="auto" w:before="161"/>
        <w:ind w:left="568" w:right="564" w:firstLine="720"/>
        <w:jc w:val="both"/>
      </w:pPr>
      <w:r>
        <w:rPr>
          <w:i/>
        </w:rPr>
        <w:t>Sustainability Assurance </w:t>
      </w:r>
      <w:r>
        <w:rPr/>
        <w:t>berperan sebagai mekanisme krusial yang memungkinkan</w:t>
      </w:r>
      <w:r>
        <w:rPr>
          <w:spacing w:val="-15"/>
        </w:rPr>
        <w:t> </w:t>
      </w:r>
      <w:r>
        <w:rPr/>
        <w:t>verifikasi</w:t>
      </w:r>
      <w:r>
        <w:rPr>
          <w:spacing w:val="-15"/>
        </w:rPr>
        <w:t> </w:t>
      </w:r>
      <w:r>
        <w:rPr/>
        <w:t>eksternal</w:t>
      </w:r>
      <w:r>
        <w:rPr>
          <w:spacing w:val="-15"/>
        </w:rPr>
        <w:t> </w:t>
      </w:r>
      <w:r>
        <w:rPr/>
        <w:t>terhadap</w:t>
      </w:r>
      <w:r>
        <w:rPr>
          <w:spacing w:val="-15"/>
        </w:rPr>
        <w:t> </w:t>
      </w:r>
      <w:r>
        <w:rPr/>
        <w:t>relevansi,</w:t>
      </w:r>
      <w:r>
        <w:rPr>
          <w:spacing w:val="-15"/>
        </w:rPr>
        <w:t> </w:t>
      </w:r>
      <w:r>
        <w:rPr/>
        <w:t>keandalan,</w:t>
      </w:r>
      <w:r>
        <w:rPr>
          <w:spacing w:val="-15"/>
        </w:rPr>
        <w:t> </w:t>
      </w:r>
      <w:r>
        <w:rPr/>
        <w:t>dan</w:t>
      </w:r>
      <w:r>
        <w:rPr>
          <w:spacing w:val="-15"/>
        </w:rPr>
        <w:t> </w:t>
      </w:r>
      <w:r>
        <w:rPr/>
        <w:t>kelengkapan informasi keberlanjutan yang diungkapkan oleh perusahaan (Ruiz-Barbadillo dan Martínez-Ferrero, 2020). Dengan demikian, keberadaan </w:t>
      </w:r>
      <w:r>
        <w:rPr>
          <w:i/>
        </w:rPr>
        <w:t>assurance </w:t>
      </w:r>
      <w:r>
        <w:rPr/>
        <w:t>ini tidak hanya meningkatkan kredibilitas laporan keberlanjutan di mata para </w:t>
      </w:r>
      <w:r>
        <w:rPr>
          <w:i/>
        </w:rPr>
        <w:t>Stakeholder</w:t>
      </w:r>
      <w:r>
        <w:rPr/>
        <w:t>, tetapi juga memperkuat akuntabilitas perusahaan dalam mengelola dampak lingkungan, sosial, dan tata kelola (ESG) secara transparan dan bertanggung jawab.</w:t>
      </w:r>
    </w:p>
    <w:p>
      <w:pPr>
        <w:pStyle w:val="BodyText"/>
        <w:spacing w:line="480" w:lineRule="auto" w:before="162"/>
        <w:ind w:left="568" w:right="563" w:firstLine="720"/>
        <w:jc w:val="both"/>
      </w:pPr>
      <w:r>
        <w:rPr>
          <w:i/>
        </w:rPr>
        <w:t>Sustainability</w:t>
      </w:r>
      <w:r>
        <w:rPr>
          <w:i/>
          <w:spacing w:val="-15"/>
        </w:rPr>
        <w:t> </w:t>
      </w:r>
      <w:r>
        <w:rPr>
          <w:i/>
        </w:rPr>
        <w:t>Assurance</w:t>
      </w:r>
      <w:r>
        <w:rPr>
          <w:i/>
          <w:spacing w:val="-15"/>
        </w:rPr>
        <w:t> </w:t>
      </w:r>
      <w:r>
        <w:rPr>
          <w:i/>
        </w:rPr>
        <w:t>Quality</w:t>
      </w:r>
      <w:r>
        <w:rPr>
          <w:i/>
          <w:spacing w:val="-15"/>
        </w:rPr>
        <w:t> </w:t>
      </w:r>
      <w:r>
        <w:rPr/>
        <w:t>merupakan</w:t>
      </w:r>
      <w:r>
        <w:rPr>
          <w:spacing w:val="-15"/>
        </w:rPr>
        <w:t> </w:t>
      </w:r>
      <w:r>
        <w:rPr/>
        <w:t>aspek</w:t>
      </w:r>
      <w:r>
        <w:rPr>
          <w:spacing w:val="-15"/>
        </w:rPr>
        <w:t> </w:t>
      </w:r>
      <w:r>
        <w:rPr/>
        <w:t>yang</w:t>
      </w:r>
      <w:r>
        <w:rPr>
          <w:spacing w:val="-15"/>
        </w:rPr>
        <w:t> </w:t>
      </w:r>
      <w:r>
        <w:rPr/>
        <w:t>tidak</w:t>
      </w:r>
      <w:r>
        <w:rPr>
          <w:spacing w:val="-15"/>
        </w:rPr>
        <w:t> </w:t>
      </w:r>
      <w:r>
        <w:rPr/>
        <w:t>dapat</w:t>
      </w:r>
      <w:r>
        <w:rPr>
          <w:spacing w:val="-15"/>
        </w:rPr>
        <w:t> </w:t>
      </w:r>
      <w:r>
        <w:rPr/>
        <w:t>diamati secara langsung. Penelitian sebelumnya mengandalkan berbagai proksi untuk menilai kualitas keterlibatan jaminan. Beberapa penelitian terdahulu yang membahas kualitas jaminan (Martínez-Ferrero dan Ruiz-Barbadillo, 2021; Zaman et al.,</w:t>
      </w:r>
      <w:r>
        <w:rPr>
          <w:spacing w:val="-4"/>
        </w:rPr>
        <w:t> </w:t>
      </w:r>
      <w:r>
        <w:rPr/>
        <w:t>2021; Ruiz-Barbadillo dan Martínez-Ferrero, 2020) menilai kualitas</w:t>
      </w:r>
      <w:r>
        <w:rPr>
          <w:spacing w:val="-1"/>
        </w:rPr>
        <w:t> </w:t>
      </w:r>
      <w:r>
        <w:rPr/>
        <w:t>laporan </w:t>
      </w:r>
      <w:r>
        <w:rPr>
          <w:i/>
        </w:rPr>
        <w:t>Assurance </w:t>
      </w:r>
      <w:r>
        <w:rPr/>
        <w:t>melalui pendekatan analisis konten, yang mengacu pada kerangka evaluatif yang</w:t>
      </w:r>
      <w:r>
        <w:rPr>
          <w:spacing w:val="-4"/>
        </w:rPr>
        <w:t> </w:t>
      </w:r>
      <w:r>
        <w:rPr/>
        <w:t>dikembangkan oleh O'Dwyer dan Owen (2005)</w:t>
      </w:r>
      <w:r>
        <w:rPr>
          <w:spacing w:val="-3"/>
        </w:rPr>
        <w:t> </w:t>
      </w:r>
      <w:r>
        <w:rPr/>
        <w:t>serta</w:t>
      </w:r>
      <w:r>
        <w:rPr>
          <w:spacing w:val="-2"/>
        </w:rPr>
        <w:t> </w:t>
      </w:r>
      <w:r>
        <w:rPr/>
        <w:t>diperluas</w:t>
      </w:r>
      <w:r>
        <w:rPr>
          <w:spacing w:val="-1"/>
        </w:rPr>
        <w:t> </w:t>
      </w:r>
      <w:r>
        <w:rPr/>
        <w:t>oleh Perego dan Kolk (2012) berdasarkan standar GRI, ISAE3000, dan AA1000AS. Berdasarkan pendekatan ini, penelitian ini mengembangkan skor "</w:t>
      </w:r>
      <w:r>
        <w:rPr>
          <w:i/>
        </w:rPr>
        <w:t>Assurance Quality</w:t>
      </w:r>
      <w:r>
        <w:rPr/>
        <w:t>" dengan menggunakan kriteria dan skor yang tercantum dalam penelitian terdahulu</w:t>
      </w:r>
      <w:r>
        <w:rPr>
          <w:spacing w:val="14"/>
        </w:rPr>
        <w:t> </w:t>
      </w:r>
      <w:r>
        <w:rPr/>
        <w:t>yang</w:t>
      </w:r>
      <w:r>
        <w:rPr>
          <w:spacing w:val="14"/>
        </w:rPr>
        <w:t> </w:t>
      </w:r>
      <w:r>
        <w:rPr/>
        <w:t>dilakukan</w:t>
      </w:r>
      <w:r>
        <w:rPr>
          <w:spacing w:val="18"/>
        </w:rPr>
        <w:t> </w:t>
      </w:r>
      <w:r>
        <w:rPr/>
        <w:t>oleh</w:t>
      </w:r>
      <w:r>
        <w:rPr>
          <w:spacing w:val="20"/>
        </w:rPr>
        <w:t> </w:t>
      </w:r>
      <w:r>
        <w:rPr/>
        <w:t>Martínez-Ferrero</w:t>
      </w:r>
      <w:r>
        <w:rPr>
          <w:spacing w:val="18"/>
        </w:rPr>
        <w:t> </w:t>
      </w:r>
      <w:r>
        <w:rPr/>
        <w:t>et</w:t>
      </w:r>
      <w:r>
        <w:rPr>
          <w:spacing w:val="19"/>
        </w:rPr>
        <w:t> </w:t>
      </w:r>
      <w:r>
        <w:rPr/>
        <w:t>al.</w:t>
      </w:r>
      <w:r>
        <w:rPr>
          <w:spacing w:val="18"/>
        </w:rPr>
        <w:t> </w:t>
      </w:r>
      <w:r>
        <w:rPr/>
        <w:t>(2018</w:t>
      </w:r>
      <w:r>
        <w:rPr>
          <w:i/>
          <w:sz w:val="22"/>
        </w:rPr>
        <w:t>).</w:t>
      </w:r>
      <w:r>
        <w:rPr>
          <w:i/>
          <w:spacing w:val="72"/>
          <w:w w:val="150"/>
          <w:sz w:val="22"/>
        </w:rPr>
        <w:t> </w:t>
      </w:r>
      <w:r>
        <w:rPr/>
        <w:t>Skor</w:t>
      </w:r>
      <w:r>
        <w:rPr>
          <w:spacing w:val="18"/>
        </w:rPr>
        <w:t> </w:t>
      </w:r>
      <w:r>
        <w:rPr/>
        <w:t>teoritis</w:t>
      </w:r>
      <w:r>
        <w:rPr>
          <w:spacing w:val="17"/>
        </w:rPr>
        <w:t> </w:t>
      </w:r>
      <w:r>
        <w:rPr>
          <w:spacing w:val="-4"/>
        </w:rPr>
        <w:t>yang</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66"/>
        <w:jc w:val="both"/>
      </w:pPr>
      <w:r>
        <w:rPr/>
        <w:t>diperoleh dari analisis konten berkisar antara 0 hingga 23. Komponen pembentuk skor</w:t>
      </w:r>
      <w:r>
        <w:rPr>
          <w:spacing w:val="-6"/>
        </w:rPr>
        <w:t> </w:t>
      </w:r>
      <w:r>
        <w:rPr/>
        <w:t>ini,</w:t>
      </w:r>
      <w:r>
        <w:rPr>
          <w:spacing w:val="-7"/>
        </w:rPr>
        <w:t> </w:t>
      </w:r>
      <w:r>
        <w:rPr/>
        <w:t>termasuk</w:t>
      </w:r>
      <w:r>
        <w:rPr>
          <w:spacing w:val="-7"/>
        </w:rPr>
        <w:t> </w:t>
      </w:r>
      <w:r>
        <w:rPr/>
        <w:t>kriteria</w:t>
      </w:r>
      <w:r>
        <w:rPr>
          <w:spacing w:val="-5"/>
        </w:rPr>
        <w:t> </w:t>
      </w:r>
      <w:r>
        <w:rPr/>
        <w:t>dan</w:t>
      </w:r>
      <w:r>
        <w:rPr>
          <w:spacing w:val="-7"/>
        </w:rPr>
        <w:t> </w:t>
      </w:r>
      <w:r>
        <w:rPr/>
        <w:t>aturan</w:t>
      </w:r>
      <w:r>
        <w:rPr>
          <w:spacing w:val="-7"/>
        </w:rPr>
        <w:t> </w:t>
      </w:r>
      <w:r>
        <w:rPr/>
        <w:t>pengkodean</w:t>
      </w:r>
      <w:r>
        <w:rPr>
          <w:spacing w:val="-7"/>
        </w:rPr>
        <w:t> </w:t>
      </w:r>
      <w:r>
        <w:rPr/>
        <w:t>disesuaikan</w:t>
      </w:r>
      <w:r>
        <w:rPr>
          <w:spacing w:val="-7"/>
        </w:rPr>
        <w:t> </w:t>
      </w:r>
      <w:r>
        <w:rPr/>
        <w:t>dengan</w:t>
      </w:r>
      <w:r>
        <w:rPr>
          <w:spacing w:val="-7"/>
        </w:rPr>
        <w:t> </w:t>
      </w:r>
      <w:r>
        <w:rPr/>
        <w:t>karakteristik jaminan,</w:t>
      </w:r>
      <w:r>
        <w:rPr>
          <w:spacing w:val="-8"/>
        </w:rPr>
        <w:t> </w:t>
      </w:r>
      <w:r>
        <w:rPr/>
        <w:t>menetapkan</w:t>
      </w:r>
      <w:r>
        <w:rPr>
          <w:spacing w:val="-8"/>
        </w:rPr>
        <w:t> </w:t>
      </w:r>
      <w:r>
        <w:rPr/>
        <w:t>standar</w:t>
      </w:r>
      <w:r>
        <w:rPr>
          <w:spacing w:val="-7"/>
        </w:rPr>
        <w:t> </w:t>
      </w:r>
      <w:r>
        <w:rPr/>
        <w:t>minimum</w:t>
      </w:r>
      <w:r>
        <w:rPr>
          <w:spacing w:val="-7"/>
        </w:rPr>
        <w:t> </w:t>
      </w:r>
      <w:r>
        <w:rPr/>
        <w:t>atas</w:t>
      </w:r>
      <w:r>
        <w:rPr>
          <w:spacing w:val="-9"/>
        </w:rPr>
        <w:t> </w:t>
      </w:r>
      <w:r>
        <w:rPr/>
        <w:t>kualitas</w:t>
      </w:r>
      <w:r>
        <w:rPr>
          <w:spacing w:val="-9"/>
        </w:rPr>
        <w:t> </w:t>
      </w:r>
      <w:r>
        <w:rPr/>
        <w:t>pernyataan</w:t>
      </w:r>
      <w:r>
        <w:rPr>
          <w:spacing w:val="-8"/>
        </w:rPr>
        <w:t> </w:t>
      </w:r>
      <w:r>
        <w:rPr/>
        <w:t>(Perego</w:t>
      </w:r>
      <w:r>
        <w:rPr>
          <w:spacing w:val="-8"/>
        </w:rPr>
        <w:t> </w:t>
      </w:r>
      <w:r>
        <w:rPr/>
        <w:t>dan</w:t>
      </w:r>
      <w:r>
        <w:rPr>
          <w:spacing w:val="-3"/>
        </w:rPr>
        <w:t> </w:t>
      </w:r>
      <w:r>
        <w:rPr/>
        <w:t>Kolk, 2012), dan mencakup elemen-elemen seperti prosedur jaminan, format pelaporan, bentuk opini, serta rekomendasi. Item-item tersebut dipilih dengan mengacu pada prinsip-prinsip akuntabilitas.</w:t>
      </w:r>
    </w:p>
    <w:p>
      <w:pPr>
        <w:pStyle w:val="Heading3"/>
        <w:numPr>
          <w:ilvl w:val="2"/>
          <w:numId w:val="13"/>
        </w:numPr>
        <w:tabs>
          <w:tab w:pos="1288" w:val="left" w:leader="none"/>
        </w:tabs>
        <w:spacing w:line="240" w:lineRule="auto" w:before="166" w:after="0"/>
        <w:ind w:left="1288" w:right="0" w:hanging="720"/>
        <w:jc w:val="both"/>
      </w:pPr>
      <w:bookmarkStart w:name="_bookmark18" w:id="19"/>
      <w:bookmarkEnd w:id="19"/>
      <w:r>
        <w:rPr>
          <w:spacing w:val="-2"/>
        </w:rPr>
        <w:t>L</w:t>
      </w:r>
      <w:r>
        <w:rPr>
          <w:spacing w:val="-2"/>
        </w:rPr>
        <w:t>everage</w:t>
      </w:r>
    </w:p>
    <w:p>
      <w:pPr>
        <w:pStyle w:val="BodyText"/>
        <w:spacing w:line="480" w:lineRule="auto" w:before="271"/>
        <w:ind w:left="568" w:right="563" w:firstLine="720"/>
        <w:jc w:val="both"/>
      </w:pPr>
      <w:r>
        <w:rPr>
          <w:i/>
        </w:rPr>
        <w:t>Leverage </w:t>
      </w:r>
      <w:r>
        <w:rPr/>
        <w:t>(struktur utang) mencerminkan rasio yang menggambarkan proporsi utang yang digunakan oleh perusahaan dalam membiayai aktivitas operasionalnya. Peningkatan jumlah utang tersebut berimplikasi pada timbulnya beban bunga yang wajib ditanggung oleh perusahaan (Mariam &amp; Ramli, 2020). Selain itu, leverage juga merefleksikan kapasitas perusahaan dalam memenuhi seluruh kewajiban finansialnya, baik yang bersifat jangka pendek maupun jangka panjang (Yunus et al., 2023). Dari definisi tersebut menjelaskan bahwa </w:t>
      </w:r>
      <w:r>
        <w:rPr>
          <w:i/>
        </w:rPr>
        <w:t>Leverage </w:t>
      </w:r>
      <w:r>
        <w:rPr/>
        <w:t>mencerminkan sejauh mana perusahaan menggunakan utang untuk membiayai operasionalnya. Semakin tinggi </w:t>
      </w:r>
      <w:r>
        <w:rPr>
          <w:i/>
        </w:rPr>
        <w:t>leverage</w:t>
      </w:r>
      <w:r>
        <w:rPr/>
        <w:t>, semakin besar beban bunga yang harus ditanggung, sehingga meningkatkan risiko keuangan. Namun, leverage juga mencerminkan kemampuan perusahaan dalam memenuhi kewajiban finansialnya, baik jangka pendek maupun jangka panjang.</w:t>
      </w:r>
    </w:p>
    <w:p>
      <w:pPr>
        <w:pStyle w:val="BodyText"/>
        <w:spacing w:line="480" w:lineRule="auto" w:before="3"/>
        <w:ind w:left="568" w:right="575" w:firstLine="720"/>
        <w:jc w:val="both"/>
      </w:pPr>
      <w:r>
        <w:rPr/>
        <w:t>Rasio Leverage menurut Darsono (2005: 54) beberapa alat ukur yang digunakan dalam rasio leverage adalah sebagai berikut:</w:t>
      </w:r>
    </w:p>
    <w:p>
      <w:pPr>
        <w:pStyle w:val="ListParagraph"/>
        <w:numPr>
          <w:ilvl w:val="3"/>
          <w:numId w:val="13"/>
        </w:numPr>
        <w:tabs>
          <w:tab w:pos="1288" w:val="left" w:leader="none"/>
        </w:tabs>
        <w:spacing w:line="480" w:lineRule="auto" w:before="160" w:after="0"/>
        <w:ind w:left="1288" w:right="564" w:hanging="360"/>
        <w:jc w:val="both"/>
        <w:rPr>
          <w:sz w:val="24"/>
        </w:rPr>
      </w:pPr>
      <w:r>
        <w:rPr>
          <w:sz w:val="24"/>
        </w:rPr>
        <w:t>Debt to</w:t>
      </w:r>
      <w:r>
        <w:rPr>
          <w:spacing w:val="-3"/>
          <w:sz w:val="24"/>
        </w:rPr>
        <w:t> </w:t>
      </w:r>
      <w:r>
        <w:rPr>
          <w:sz w:val="24"/>
        </w:rPr>
        <w:t>Asset Ratio (DAR), Rasio ini menekankan pentingnya pendanaan hutang</w:t>
      </w:r>
      <w:r>
        <w:rPr>
          <w:spacing w:val="80"/>
          <w:sz w:val="24"/>
        </w:rPr>
        <w:t> </w:t>
      </w:r>
      <w:r>
        <w:rPr>
          <w:sz w:val="24"/>
        </w:rPr>
        <w:t>dengan</w:t>
      </w:r>
      <w:r>
        <w:rPr>
          <w:spacing w:val="80"/>
          <w:sz w:val="24"/>
        </w:rPr>
        <w:t> </w:t>
      </w:r>
      <w:r>
        <w:rPr>
          <w:sz w:val="24"/>
        </w:rPr>
        <w:t>jalan</w:t>
      </w:r>
      <w:r>
        <w:rPr>
          <w:spacing w:val="80"/>
          <w:sz w:val="24"/>
        </w:rPr>
        <w:t> </w:t>
      </w:r>
      <w:r>
        <w:rPr>
          <w:sz w:val="24"/>
        </w:rPr>
        <w:t>menunjukkan</w:t>
      </w:r>
      <w:r>
        <w:rPr>
          <w:spacing w:val="80"/>
          <w:sz w:val="24"/>
        </w:rPr>
        <w:t> </w:t>
      </w:r>
      <w:r>
        <w:rPr>
          <w:sz w:val="24"/>
        </w:rPr>
        <w:t>persentase</w:t>
      </w:r>
      <w:r>
        <w:rPr>
          <w:spacing w:val="80"/>
          <w:sz w:val="24"/>
        </w:rPr>
        <w:t> </w:t>
      </w:r>
      <w:r>
        <w:rPr>
          <w:sz w:val="24"/>
        </w:rPr>
        <w:t>aktiva</w:t>
      </w:r>
      <w:r>
        <w:rPr>
          <w:spacing w:val="80"/>
          <w:sz w:val="24"/>
        </w:rPr>
        <w:t> </w:t>
      </w:r>
      <w:r>
        <w:rPr>
          <w:sz w:val="24"/>
        </w:rPr>
        <w:t>perusahan</w:t>
      </w:r>
      <w:r>
        <w:rPr>
          <w:spacing w:val="80"/>
          <w:sz w:val="24"/>
        </w:rPr>
        <w:t> </w:t>
      </w:r>
      <w:r>
        <w:rPr>
          <w:sz w:val="24"/>
        </w:rPr>
        <w:t>yang</w:t>
      </w:r>
    </w:p>
    <w:p>
      <w:pPr>
        <w:pStyle w:val="ListParagraph"/>
        <w:spacing w:after="0" w:line="480" w:lineRule="auto"/>
        <w:jc w:val="both"/>
        <w:rPr>
          <w:sz w:val="24"/>
        </w:rPr>
        <w:sectPr>
          <w:pgSz w:w="11910" w:h="16840"/>
          <w:pgMar w:header="710" w:footer="0" w:top="1920" w:bottom="280" w:left="1700" w:right="1133"/>
        </w:sectPr>
      </w:pPr>
    </w:p>
    <w:p>
      <w:pPr>
        <w:pStyle w:val="BodyText"/>
        <w:spacing w:before="48"/>
      </w:pPr>
    </w:p>
    <w:p>
      <w:pPr>
        <w:pStyle w:val="BodyText"/>
        <w:spacing w:line="480" w:lineRule="auto"/>
        <w:ind w:left="1288" w:right="567"/>
        <w:jc w:val="both"/>
      </w:pPr>
      <w:r>
        <w:rPr/>
        <w:t>didukung oleh hutang. Rasio ini juga menyediakan informasi tentang kemampuan perusahaan dalam mengadaptasi kondisi pengurangan aktiva akibat</w:t>
      </w:r>
      <w:r>
        <w:rPr>
          <w:spacing w:val="-15"/>
        </w:rPr>
        <w:t> </w:t>
      </w:r>
      <w:r>
        <w:rPr/>
        <w:t>kerugian</w:t>
      </w:r>
      <w:r>
        <w:rPr>
          <w:spacing w:val="-15"/>
        </w:rPr>
        <w:t> </w:t>
      </w:r>
      <w:r>
        <w:rPr/>
        <w:t>tanpa</w:t>
      </w:r>
      <w:r>
        <w:rPr>
          <w:spacing w:val="-15"/>
        </w:rPr>
        <w:t> </w:t>
      </w:r>
      <w:r>
        <w:rPr/>
        <w:t>mengurangi</w:t>
      </w:r>
      <w:r>
        <w:rPr>
          <w:spacing w:val="-15"/>
        </w:rPr>
        <w:t> </w:t>
      </w:r>
      <w:r>
        <w:rPr/>
        <w:t>pembayaran</w:t>
      </w:r>
      <w:r>
        <w:rPr>
          <w:spacing w:val="-15"/>
        </w:rPr>
        <w:t> </w:t>
      </w:r>
      <w:r>
        <w:rPr/>
        <w:t>bunga</w:t>
      </w:r>
      <w:r>
        <w:rPr>
          <w:spacing w:val="-15"/>
        </w:rPr>
        <w:t> </w:t>
      </w:r>
      <w:r>
        <w:rPr/>
        <w:t>kepada</w:t>
      </w:r>
      <w:r>
        <w:rPr>
          <w:spacing w:val="-15"/>
        </w:rPr>
        <w:t> </w:t>
      </w:r>
      <w:r>
        <w:rPr/>
        <w:t>kreditor.</w:t>
      </w:r>
      <w:r>
        <w:rPr>
          <w:spacing w:val="-15"/>
        </w:rPr>
        <w:t> </w:t>
      </w:r>
      <w:r>
        <w:rPr/>
        <w:t>Nilai rasio yang tinggi menunjukkan peningkatan dari resiko pada kreditor. Berikut adalah rumus perhitungannya:</w:t>
      </w:r>
    </w:p>
    <w:p>
      <w:pPr>
        <w:pStyle w:val="BodyText"/>
        <w:spacing w:before="149"/>
        <w:rPr>
          <w:sz w:val="20"/>
        </w:rPr>
      </w:pPr>
    </w:p>
    <w:p>
      <w:pPr>
        <w:pStyle w:val="BodyText"/>
        <w:spacing w:after="0"/>
        <w:rPr>
          <w:sz w:val="20"/>
        </w:rPr>
        <w:sectPr>
          <w:pgSz w:w="11910" w:h="16840"/>
          <w:pgMar w:header="710" w:footer="0" w:top="1920" w:bottom="280" w:left="1700" w:right="1133"/>
        </w:sectPr>
      </w:pPr>
    </w:p>
    <w:p>
      <w:pPr>
        <w:pStyle w:val="BodyText"/>
        <w:spacing w:before="239"/>
        <w:jc w:val="right"/>
        <w:rPr>
          <w:rFonts w:ascii="Cambria Math"/>
        </w:rPr>
      </w:pPr>
      <w:r>
        <w:rPr>
          <w:rFonts w:ascii="Cambria Math"/>
        </w:rPr>
        <mc:AlternateContent>
          <mc:Choice Requires="wps">
            <w:drawing>
              <wp:anchor distT="0" distB="0" distL="0" distR="0" allowOverlap="1" layoutInCell="1" locked="0" behindDoc="0" simplePos="0" relativeHeight="15729664">
                <wp:simplePos x="0" y="0"/>
                <wp:positionH relativeFrom="page">
                  <wp:posOffset>3844290</wp:posOffset>
                </wp:positionH>
                <wp:positionV relativeFrom="paragraph">
                  <wp:posOffset>245666</wp:posOffset>
                </wp:positionV>
                <wp:extent cx="757555" cy="101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57555" cy="10160"/>
                        </a:xfrm>
                        <a:custGeom>
                          <a:avLst/>
                          <a:gdLst/>
                          <a:ahLst/>
                          <a:cxnLst/>
                          <a:rect l="l" t="t" r="r" b="b"/>
                          <a:pathLst>
                            <a:path w="757555" h="10160">
                              <a:moveTo>
                                <a:pt x="757237" y="0"/>
                              </a:moveTo>
                              <a:lnTo>
                                <a:pt x="0" y="0"/>
                              </a:lnTo>
                              <a:lnTo>
                                <a:pt x="0" y="10160"/>
                              </a:lnTo>
                              <a:lnTo>
                                <a:pt x="757237" y="10160"/>
                              </a:lnTo>
                              <a:lnTo>
                                <a:pt x="7572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700012pt;margin-top:19.343847pt;width:59.625pt;height:.80002pt;mso-position-horizontal-relative:page;mso-position-vertical-relative:paragraph;z-index:15729664" id="docshape3" filled="true" fillcolor="#000000" stroked="false">
                <v:fill type="solid"/>
                <w10:wrap type="none"/>
              </v:rect>
            </w:pict>
          </mc:Fallback>
        </mc:AlternateContent>
      </w:r>
      <w:r>
        <w:rPr>
          <w:rFonts w:ascii="Cambria Math"/>
        </w:rPr>
        <w:t>DAR</w:t>
      </w:r>
      <w:r>
        <w:rPr>
          <w:rFonts w:ascii="Cambria Math"/>
          <w:spacing w:val="13"/>
        </w:rPr>
        <w:t> </w:t>
      </w:r>
      <w:r>
        <w:rPr>
          <w:rFonts w:ascii="Cambria Math"/>
          <w:spacing w:val="-10"/>
        </w:rPr>
        <w:t>=</w:t>
      </w:r>
    </w:p>
    <w:p>
      <w:pPr>
        <w:pStyle w:val="BodyText"/>
        <w:spacing w:line="290" w:lineRule="auto" w:before="58"/>
        <w:ind w:left="156" w:right="3532" w:hanging="76"/>
        <w:rPr>
          <w:rFonts w:ascii="Cambria Math"/>
        </w:rPr>
      </w:pPr>
      <w:r>
        <w:rPr/>
        <w:br w:type="column"/>
      </w:r>
      <w:r>
        <w:rPr>
          <w:rFonts w:ascii="Cambria Math"/>
        </w:rPr>
        <w:t>Total</w:t>
      </w:r>
      <w:r>
        <w:rPr>
          <w:rFonts w:ascii="Cambria Math"/>
          <w:spacing w:val="-14"/>
        </w:rPr>
        <w:t> </w:t>
      </w:r>
      <w:r>
        <w:rPr>
          <w:rFonts w:ascii="Cambria Math"/>
        </w:rPr>
        <w:t>Utang Total Aset</w:t>
      </w:r>
    </w:p>
    <w:p>
      <w:pPr>
        <w:pStyle w:val="BodyText"/>
        <w:spacing w:after="0" w:line="290" w:lineRule="auto"/>
        <w:rPr>
          <w:rFonts w:ascii="Cambria Math"/>
        </w:rPr>
        <w:sectPr>
          <w:type w:val="continuous"/>
          <w:pgSz w:w="11910" w:h="16840"/>
          <w:pgMar w:header="710" w:footer="0" w:top="1940" w:bottom="280" w:left="1700" w:right="1133"/>
          <w:cols w:num="2" w:equalWidth="0">
            <w:col w:w="4234" w:space="40"/>
            <w:col w:w="4803"/>
          </w:cols>
        </w:sectPr>
      </w:pPr>
    </w:p>
    <w:p>
      <w:pPr>
        <w:pStyle w:val="BodyText"/>
        <w:spacing w:before="86"/>
        <w:rPr>
          <w:rFonts w:ascii="Cambria Math"/>
        </w:rPr>
      </w:pPr>
    </w:p>
    <w:p>
      <w:pPr>
        <w:pStyle w:val="ListParagraph"/>
        <w:numPr>
          <w:ilvl w:val="3"/>
          <w:numId w:val="13"/>
        </w:numPr>
        <w:tabs>
          <w:tab w:pos="1288" w:val="left" w:leader="none"/>
        </w:tabs>
        <w:spacing w:line="480" w:lineRule="auto" w:before="0" w:after="0"/>
        <w:ind w:left="1288" w:right="566" w:hanging="360"/>
        <w:jc w:val="both"/>
        <w:rPr>
          <w:sz w:val="24"/>
        </w:rPr>
      </w:pPr>
      <w:r>
        <w:rPr>
          <w:sz w:val="24"/>
        </w:rPr>
        <w:t>Debt</w:t>
      </w:r>
      <w:r>
        <w:rPr>
          <w:spacing w:val="-1"/>
          <w:sz w:val="24"/>
        </w:rPr>
        <w:t> </w:t>
      </w:r>
      <w:r>
        <w:rPr>
          <w:sz w:val="24"/>
        </w:rPr>
        <w:t>to</w:t>
      </w:r>
      <w:r>
        <w:rPr>
          <w:spacing w:val="-2"/>
          <w:sz w:val="24"/>
        </w:rPr>
        <w:t> </w:t>
      </w:r>
      <w:r>
        <w:rPr>
          <w:sz w:val="24"/>
        </w:rPr>
        <w:t>Equity</w:t>
      </w:r>
      <w:r>
        <w:rPr>
          <w:spacing w:val="-10"/>
          <w:sz w:val="24"/>
        </w:rPr>
        <w:t> </w:t>
      </w:r>
      <w:r>
        <w:rPr>
          <w:sz w:val="24"/>
        </w:rPr>
        <w:t>Ratio</w:t>
      </w:r>
      <w:r>
        <w:rPr>
          <w:spacing w:val="-2"/>
          <w:sz w:val="24"/>
        </w:rPr>
        <w:t> </w:t>
      </w:r>
      <w:r>
        <w:rPr>
          <w:sz w:val="24"/>
        </w:rPr>
        <w:t>adalah</w:t>
      </w:r>
      <w:r>
        <w:rPr>
          <w:spacing w:val="-2"/>
          <w:sz w:val="24"/>
        </w:rPr>
        <w:t> </w:t>
      </w:r>
      <w:r>
        <w:rPr>
          <w:sz w:val="24"/>
        </w:rPr>
        <w:t>rasio</w:t>
      </w:r>
      <w:r>
        <w:rPr>
          <w:spacing w:val="-2"/>
          <w:sz w:val="24"/>
        </w:rPr>
        <w:t> </w:t>
      </w:r>
      <w:r>
        <w:rPr>
          <w:sz w:val="24"/>
        </w:rPr>
        <w:t>utang</w:t>
      </w:r>
      <w:r>
        <w:rPr>
          <w:spacing w:val="-7"/>
          <w:sz w:val="24"/>
        </w:rPr>
        <w:t> </w:t>
      </w:r>
      <w:r>
        <w:rPr>
          <w:sz w:val="24"/>
        </w:rPr>
        <w:t>dengan</w:t>
      </w:r>
      <w:r>
        <w:rPr>
          <w:spacing w:val="-2"/>
          <w:sz w:val="24"/>
        </w:rPr>
        <w:t> </w:t>
      </w:r>
      <w:r>
        <w:rPr>
          <w:sz w:val="24"/>
        </w:rPr>
        <w:t>ekuitas</w:t>
      </w:r>
      <w:r>
        <w:rPr>
          <w:spacing w:val="-4"/>
          <w:sz w:val="24"/>
        </w:rPr>
        <w:t> </w:t>
      </w:r>
      <w:r>
        <w:rPr>
          <w:sz w:val="24"/>
        </w:rPr>
        <w:t>menunjukan</w:t>
      </w:r>
      <w:r>
        <w:rPr>
          <w:spacing w:val="-2"/>
          <w:sz w:val="24"/>
        </w:rPr>
        <w:t> </w:t>
      </w:r>
      <w:r>
        <w:rPr>
          <w:sz w:val="24"/>
        </w:rPr>
        <w:t>sejauh mana</w:t>
      </w:r>
      <w:r>
        <w:rPr>
          <w:spacing w:val="-15"/>
          <w:sz w:val="24"/>
        </w:rPr>
        <w:t> </w:t>
      </w:r>
      <w:r>
        <w:rPr>
          <w:sz w:val="24"/>
        </w:rPr>
        <w:t>pendanaan</w:t>
      </w:r>
      <w:r>
        <w:rPr>
          <w:spacing w:val="-15"/>
          <w:sz w:val="24"/>
        </w:rPr>
        <w:t> </w:t>
      </w:r>
      <w:r>
        <w:rPr>
          <w:sz w:val="24"/>
        </w:rPr>
        <w:t>dari</w:t>
      </w:r>
      <w:r>
        <w:rPr>
          <w:spacing w:val="-15"/>
          <w:sz w:val="24"/>
        </w:rPr>
        <w:t> </w:t>
      </w:r>
      <w:r>
        <w:rPr>
          <w:sz w:val="24"/>
        </w:rPr>
        <w:t>utang</w:t>
      </w:r>
      <w:r>
        <w:rPr>
          <w:spacing w:val="-15"/>
          <w:sz w:val="24"/>
        </w:rPr>
        <w:t> </w:t>
      </w:r>
      <w:r>
        <w:rPr>
          <w:sz w:val="24"/>
        </w:rPr>
        <w:t>digunakan</w:t>
      </w:r>
      <w:r>
        <w:rPr>
          <w:spacing w:val="-15"/>
          <w:sz w:val="24"/>
        </w:rPr>
        <w:t> </w:t>
      </w:r>
      <w:r>
        <w:rPr>
          <w:sz w:val="24"/>
        </w:rPr>
        <w:t>jika</w:t>
      </w:r>
      <w:r>
        <w:rPr>
          <w:spacing w:val="-15"/>
          <w:sz w:val="24"/>
        </w:rPr>
        <w:t> </w:t>
      </w:r>
      <w:r>
        <w:rPr>
          <w:sz w:val="24"/>
        </w:rPr>
        <w:t>dibandingkan</w:t>
      </w:r>
      <w:r>
        <w:rPr>
          <w:spacing w:val="-15"/>
          <w:sz w:val="24"/>
        </w:rPr>
        <w:t> </w:t>
      </w:r>
      <w:r>
        <w:rPr>
          <w:sz w:val="24"/>
        </w:rPr>
        <w:t>dengan</w:t>
      </w:r>
      <w:r>
        <w:rPr>
          <w:spacing w:val="-15"/>
          <w:sz w:val="24"/>
        </w:rPr>
        <w:t> </w:t>
      </w:r>
      <w:r>
        <w:rPr>
          <w:sz w:val="24"/>
        </w:rPr>
        <w:t>pendanaan equitas. Rasio pendanaan yang diukur dengan indikator Debt to Equity Ratio (DER) mencerminkan kemampuan perusahaan dalam memenuhi seluruh</w:t>
      </w:r>
      <w:r>
        <w:rPr>
          <w:spacing w:val="-15"/>
          <w:sz w:val="24"/>
        </w:rPr>
        <w:t> </w:t>
      </w:r>
      <w:r>
        <w:rPr>
          <w:sz w:val="24"/>
        </w:rPr>
        <w:t>kewajibannya</w:t>
      </w:r>
      <w:r>
        <w:rPr>
          <w:spacing w:val="-15"/>
          <w:sz w:val="24"/>
        </w:rPr>
        <w:t> </w:t>
      </w:r>
      <w:r>
        <w:rPr>
          <w:sz w:val="24"/>
        </w:rPr>
        <w:t>yang</w:t>
      </w:r>
      <w:r>
        <w:rPr>
          <w:spacing w:val="-15"/>
          <w:sz w:val="24"/>
        </w:rPr>
        <w:t> </w:t>
      </w:r>
      <w:r>
        <w:rPr>
          <w:sz w:val="24"/>
        </w:rPr>
        <w:t>ditunjukkan</w:t>
      </w:r>
      <w:r>
        <w:rPr>
          <w:spacing w:val="-15"/>
          <w:sz w:val="24"/>
        </w:rPr>
        <w:t> </w:t>
      </w:r>
      <w:r>
        <w:rPr>
          <w:sz w:val="24"/>
        </w:rPr>
        <w:t>oleh</w:t>
      </w:r>
      <w:r>
        <w:rPr>
          <w:spacing w:val="-15"/>
          <w:sz w:val="24"/>
        </w:rPr>
        <w:t> </w:t>
      </w:r>
      <w:r>
        <w:rPr>
          <w:sz w:val="24"/>
        </w:rPr>
        <w:t>beberapa</w:t>
      </w:r>
      <w:r>
        <w:rPr>
          <w:spacing w:val="-15"/>
          <w:sz w:val="24"/>
        </w:rPr>
        <w:t> </w:t>
      </w:r>
      <w:r>
        <w:rPr>
          <w:sz w:val="24"/>
        </w:rPr>
        <w:t>bagian</w:t>
      </w:r>
      <w:r>
        <w:rPr>
          <w:spacing w:val="-15"/>
          <w:sz w:val="24"/>
        </w:rPr>
        <w:t> </w:t>
      </w:r>
      <w:r>
        <w:rPr>
          <w:sz w:val="24"/>
        </w:rPr>
        <w:t>modal</w:t>
      </w:r>
      <w:r>
        <w:rPr>
          <w:spacing w:val="-15"/>
          <w:sz w:val="24"/>
        </w:rPr>
        <w:t> </w:t>
      </w:r>
      <w:r>
        <w:rPr>
          <w:sz w:val="24"/>
        </w:rPr>
        <w:t>sendiri yang digunakan untuk membayar hutang. Oleh karena itu, semakin rendah DER</w:t>
      </w:r>
      <w:r>
        <w:rPr>
          <w:spacing w:val="-15"/>
          <w:sz w:val="24"/>
        </w:rPr>
        <w:t> </w:t>
      </w:r>
      <w:r>
        <w:rPr>
          <w:sz w:val="24"/>
        </w:rPr>
        <w:t>akan</w:t>
      </w:r>
      <w:r>
        <w:rPr>
          <w:spacing w:val="-14"/>
          <w:sz w:val="24"/>
        </w:rPr>
        <w:t> </w:t>
      </w:r>
      <w:r>
        <w:rPr>
          <w:sz w:val="24"/>
        </w:rPr>
        <w:t>semakin</w:t>
      </w:r>
      <w:r>
        <w:rPr>
          <w:spacing w:val="-15"/>
          <w:sz w:val="24"/>
        </w:rPr>
        <w:t> </w:t>
      </w:r>
      <w:r>
        <w:rPr>
          <w:sz w:val="24"/>
        </w:rPr>
        <w:t>tinggi</w:t>
      </w:r>
      <w:r>
        <w:rPr>
          <w:spacing w:val="-12"/>
          <w:sz w:val="24"/>
        </w:rPr>
        <w:t> </w:t>
      </w:r>
      <w:r>
        <w:rPr>
          <w:sz w:val="24"/>
        </w:rPr>
        <w:t>kemampuan</w:t>
      </w:r>
      <w:r>
        <w:rPr>
          <w:spacing w:val="-13"/>
          <w:sz w:val="24"/>
        </w:rPr>
        <w:t> </w:t>
      </w:r>
      <w:r>
        <w:rPr>
          <w:sz w:val="24"/>
        </w:rPr>
        <w:t>perusahaan</w:t>
      </w:r>
      <w:r>
        <w:rPr>
          <w:spacing w:val="-13"/>
          <w:sz w:val="24"/>
        </w:rPr>
        <w:t> </w:t>
      </w:r>
      <w:r>
        <w:rPr>
          <w:sz w:val="24"/>
        </w:rPr>
        <w:t>untuk</w:t>
      </w:r>
      <w:r>
        <w:rPr>
          <w:spacing w:val="-15"/>
          <w:sz w:val="24"/>
        </w:rPr>
        <w:t> </w:t>
      </w:r>
      <w:r>
        <w:rPr>
          <w:sz w:val="24"/>
        </w:rPr>
        <w:t>membayar</w:t>
      </w:r>
      <w:r>
        <w:rPr>
          <w:spacing w:val="-13"/>
          <w:sz w:val="24"/>
        </w:rPr>
        <w:t> </w:t>
      </w:r>
      <w:r>
        <w:rPr>
          <w:sz w:val="24"/>
        </w:rPr>
        <w:t>seluruh kewajibannya. Berikut adalah rumus perhitungannya:</w:t>
      </w:r>
    </w:p>
    <w:p>
      <w:pPr>
        <w:pStyle w:val="ListParagraph"/>
        <w:spacing w:after="0" w:line="480" w:lineRule="auto"/>
        <w:jc w:val="both"/>
        <w:rPr>
          <w:sz w:val="24"/>
        </w:rPr>
        <w:sectPr>
          <w:type w:val="continuous"/>
          <w:pgSz w:w="11910" w:h="16840"/>
          <w:pgMar w:header="710" w:footer="0" w:top="1940" w:bottom="280" w:left="1700" w:right="1133"/>
        </w:sectPr>
      </w:pPr>
    </w:p>
    <w:p>
      <w:pPr>
        <w:pStyle w:val="BodyText"/>
        <w:spacing w:before="46"/>
      </w:pPr>
    </w:p>
    <w:p>
      <w:pPr>
        <w:pStyle w:val="BodyText"/>
        <w:jc w:val="right"/>
        <w:rPr>
          <w:rFonts w:ascii="Cambria Math"/>
        </w:rPr>
      </w:pPr>
      <w:r>
        <w:rPr>
          <w:rFonts w:ascii="Cambria Math"/>
        </w:rPr>
        <mc:AlternateContent>
          <mc:Choice Requires="wps">
            <w:drawing>
              <wp:anchor distT="0" distB="0" distL="0" distR="0" allowOverlap="1" layoutInCell="1" locked="0" behindDoc="1" simplePos="0" relativeHeight="486172672">
                <wp:simplePos x="0" y="0"/>
                <wp:positionH relativeFrom="page">
                  <wp:posOffset>3790950</wp:posOffset>
                </wp:positionH>
                <wp:positionV relativeFrom="paragraph">
                  <wp:posOffset>93980</wp:posOffset>
                </wp:positionV>
                <wp:extent cx="859155" cy="1016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859155" cy="10160"/>
                        </a:xfrm>
                        <a:custGeom>
                          <a:avLst/>
                          <a:gdLst/>
                          <a:ahLst/>
                          <a:cxnLst/>
                          <a:rect l="l" t="t" r="r" b="b"/>
                          <a:pathLst>
                            <a:path w="859155" h="10160">
                              <a:moveTo>
                                <a:pt x="858837" y="0"/>
                              </a:moveTo>
                              <a:lnTo>
                                <a:pt x="0" y="0"/>
                              </a:lnTo>
                              <a:lnTo>
                                <a:pt x="0" y="10159"/>
                              </a:lnTo>
                              <a:lnTo>
                                <a:pt x="858837" y="10159"/>
                              </a:lnTo>
                              <a:lnTo>
                                <a:pt x="8588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8.5pt;margin-top:7.40001pt;width:67.625pt;height:.79999pt;mso-position-horizontal-relative:page;mso-position-vertical-relative:paragraph;z-index:-17143808" id="docshape4" filled="true" fillcolor="#000000" stroked="false">
                <v:fill type="solid"/>
                <w10:wrap type="none"/>
              </v:rect>
            </w:pict>
          </mc:Fallback>
        </mc:AlternateContent>
      </w:r>
      <w:r>
        <w:rPr>
          <w:rFonts w:ascii="Cambria Math"/>
        </w:rPr>
        <w:t>DER</w:t>
      </w:r>
      <w:r>
        <w:rPr>
          <w:rFonts w:ascii="Cambria Math"/>
          <w:spacing w:val="10"/>
        </w:rPr>
        <w:t> </w:t>
      </w:r>
      <w:r>
        <w:rPr>
          <w:rFonts w:ascii="Cambria Math"/>
          <w:spacing w:val="-10"/>
        </w:rPr>
        <w:t>=</w:t>
      </w:r>
    </w:p>
    <w:p>
      <w:pPr>
        <w:pStyle w:val="BodyText"/>
        <w:spacing w:line="290" w:lineRule="auto" w:before="141"/>
        <w:ind w:left="80" w:right="3456" w:firstLine="80"/>
        <w:rPr>
          <w:rFonts w:ascii="Cambria Math"/>
        </w:rPr>
      </w:pPr>
      <w:r>
        <w:rPr/>
        <w:br w:type="column"/>
      </w:r>
      <w:r>
        <w:rPr>
          <w:rFonts w:ascii="Cambria Math"/>
        </w:rPr>
        <w:t>Total Utang Total</w:t>
      </w:r>
      <w:r>
        <w:rPr>
          <w:rFonts w:ascii="Cambria Math"/>
          <w:spacing w:val="-14"/>
        </w:rPr>
        <w:t> </w:t>
      </w:r>
      <w:r>
        <w:rPr>
          <w:rFonts w:ascii="Cambria Math"/>
        </w:rPr>
        <w:t>Ekuitas</w:t>
      </w:r>
    </w:p>
    <w:p>
      <w:pPr>
        <w:pStyle w:val="BodyText"/>
        <w:spacing w:after="0" w:line="290" w:lineRule="auto"/>
        <w:rPr>
          <w:rFonts w:ascii="Cambria Math"/>
        </w:rPr>
        <w:sectPr>
          <w:type w:val="continuous"/>
          <w:pgSz w:w="11910" w:h="16840"/>
          <w:pgMar w:header="710" w:footer="0" w:top="1940" w:bottom="280" w:left="1700" w:right="1133"/>
          <w:cols w:num="2" w:equalWidth="0">
            <w:col w:w="4150" w:space="40"/>
            <w:col w:w="4887"/>
          </w:cols>
        </w:sectPr>
      </w:pPr>
    </w:p>
    <w:p>
      <w:pPr>
        <w:pStyle w:val="BodyText"/>
        <w:spacing w:before="247"/>
        <w:rPr>
          <w:rFonts w:ascii="Cambria Math"/>
        </w:rPr>
      </w:pPr>
    </w:p>
    <w:p>
      <w:pPr>
        <w:pStyle w:val="ListParagraph"/>
        <w:numPr>
          <w:ilvl w:val="3"/>
          <w:numId w:val="13"/>
        </w:numPr>
        <w:tabs>
          <w:tab w:pos="1288" w:val="left" w:leader="none"/>
        </w:tabs>
        <w:spacing w:line="480" w:lineRule="auto" w:before="0" w:after="0"/>
        <w:ind w:left="1288" w:right="570" w:hanging="360"/>
        <w:jc w:val="both"/>
        <w:rPr>
          <w:sz w:val="24"/>
        </w:rPr>
      </w:pPr>
      <w:r>
        <w:rPr>
          <w:sz w:val="24"/>
        </w:rPr>
        <w:t>Long term Debt to Equity Ratio (LTDER), Rasio ini menunjukkan perbandingan</w:t>
      </w:r>
      <w:r>
        <w:rPr>
          <w:spacing w:val="-9"/>
          <w:sz w:val="24"/>
        </w:rPr>
        <w:t> </w:t>
      </w:r>
      <w:r>
        <w:rPr>
          <w:sz w:val="24"/>
        </w:rPr>
        <w:t>antara</w:t>
      </w:r>
      <w:r>
        <w:rPr>
          <w:spacing w:val="-7"/>
          <w:sz w:val="24"/>
        </w:rPr>
        <w:t> </w:t>
      </w:r>
      <w:r>
        <w:rPr>
          <w:sz w:val="24"/>
        </w:rPr>
        <w:t>klaim</w:t>
      </w:r>
      <w:r>
        <w:rPr>
          <w:spacing w:val="-8"/>
          <w:sz w:val="24"/>
        </w:rPr>
        <w:t> </w:t>
      </w:r>
      <w:r>
        <w:rPr>
          <w:sz w:val="24"/>
        </w:rPr>
        <w:t>keuangan</w:t>
      </w:r>
      <w:r>
        <w:rPr>
          <w:spacing w:val="-9"/>
          <w:sz w:val="24"/>
        </w:rPr>
        <w:t> </w:t>
      </w:r>
      <w:r>
        <w:rPr>
          <w:sz w:val="24"/>
        </w:rPr>
        <w:t>jangka</w:t>
      </w:r>
      <w:r>
        <w:rPr>
          <w:spacing w:val="-7"/>
          <w:sz w:val="24"/>
        </w:rPr>
        <w:t> </w:t>
      </w:r>
      <w:r>
        <w:rPr>
          <w:sz w:val="24"/>
        </w:rPr>
        <w:t>panjang</w:t>
      </w:r>
      <w:r>
        <w:rPr>
          <w:spacing w:val="-13"/>
          <w:sz w:val="24"/>
        </w:rPr>
        <w:t> </w:t>
      </w:r>
      <w:r>
        <w:rPr>
          <w:sz w:val="24"/>
        </w:rPr>
        <w:t>yang</w:t>
      </w:r>
      <w:r>
        <w:rPr>
          <w:spacing w:val="-13"/>
          <w:sz w:val="24"/>
        </w:rPr>
        <w:t> </w:t>
      </w:r>
      <w:r>
        <w:rPr>
          <w:sz w:val="24"/>
        </w:rPr>
        <w:t>digunakan</w:t>
      </w:r>
      <w:r>
        <w:rPr>
          <w:spacing w:val="-9"/>
          <w:sz w:val="24"/>
        </w:rPr>
        <w:t> </w:t>
      </w:r>
      <w:r>
        <w:rPr>
          <w:sz w:val="24"/>
        </w:rPr>
        <w:t>untuk mendanai kesempatan investasi jangka panjang dengan pengembalian jangka panjang pula. Berikut adalah rumus perhitungannya:</w:t>
      </w:r>
    </w:p>
    <w:p>
      <w:pPr>
        <w:pStyle w:val="ListParagraph"/>
        <w:spacing w:after="0" w:line="480" w:lineRule="auto"/>
        <w:jc w:val="both"/>
        <w:rPr>
          <w:sz w:val="24"/>
        </w:rPr>
        <w:sectPr>
          <w:type w:val="continuous"/>
          <w:pgSz w:w="11910" w:h="16840"/>
          <w:pgMar w:header="710" w:footer="0" w:top="1940" w:bottom="280" w:left="1700" w:right="1133"/>
        </w:sectPr>
      </w:pPr>
    </w:p>
    <w:p>
      <w:pPr>
        <w:pStyle w:val="BodyText"/>
        <w:spacing w:before="15"/>
        <w:rPr>
          <w:sz w:val="20"/>
        </w:rPr>
      </w:pPr>
    </w:p>
    <w:p>
      <w:pPr>
        <w:pStyle w:val="BodyText"/>
        <w:spacing w:after="0"/>
        <w:rPr>
          <w:sz w:val="20"/>
        </w:rPr>
        <w:sectPr>
          <w:pgSz w:w="11910" w:h="16840"/>
          <w:pgMar w:header="710" w:footer="0" w:top="1920" w:bottom="280" w:left="1700" w:right="1133"/>
        </w:sectPr>
      </w:pPr>
    </w:p>
    <w:p>
      <w:pPr>
        <w:pStyle w:val="BodyText"/>
        <w:spacing w:before="239"/>
        <w:jc w:val="right"/>
        <w:rPr>
          <w:rFonts w:ascii="Cambria Math"/>
        </w:rPr>
      </w:pPr>
      <w:r>
        <w:rPr>
          <w:rFonts w:ascii="Cambria Math"/>
        </w:rPr>
        <mc:AlternateContent>
          <mc:Choice Requires="wps">
            <w:drawing>
              <wp:anchor distT="0" distB="0" distL="0" distR="0" allowOverlap="1" layoutInCell="1" locked="0" behindDoc="0" simplePos="0" relativeHeight="15730688">
                <wp:simplePos x="0" y="0"/>
                <wp:positionH relativeFrom="page">
                  <wp:posOffset>3414776</wp:posOffset>
                </wp:positionH>
                <wp:positionV relativeFrom="paragraph">
                  <wp:posOffset>246011</wp:posOffset>
                </wp:positionV>
                <wp:extent cx="1781175" cy="1016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781175" cy="10160"/>
                        </a:xfrm>
                        <a:custGeom>
                          <a:avLst/>
                          <a:gdLst/>
                          <a:ahLst/>
                          <a:cxnLst/>
                          <a:rect l="l" t="t" r="r" b="b"/>
                          <a:pathLst>
                            <a:path w="1781175" h="10160">
                              <a:moveTo>
                                <a:pt x="1781175" y="0"/>
                              </a:moveTo>
                              <a:lnTo>
                                <a:pt x="0" y="0"/>
                              </a:lnTo>
                              <a:lnTo>
                                <a:pt x="0" y="10159"/>
                              </a:lnTo>
                              <a:lnTo>
                                <a:pt x="1781175" y="10159"/>
                              </a:lnTo>
                              <a:lnTo>
                                <a:pt x="1781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8.880005pt;margin-top:19.370977pt;width:140.25pt;height:.8pt;mso-position-horizontal-relative:page;mso-position-vertical-relative:paragraph;z-index:15730688" id="docshape5" filled="true" fillcolor="#000000" stroked="false">
                <v:fill type="solid"/>
                <w10:wrap type="none"/>
              </v:rect>
            </w:pict>
          </mc:Fallback>
        </mc:AlternateContent>
      </w:r>
      <w:r>
        <w:rPr>
          <w:rFonts w:ascii="Cambria Math"/>
        </w:rPr>
        <w:t>LTDER</w:t>
      </w:r>
      <w:r>
        <w:rPr>
          <w:rFonts w:ascii="Cambria Math"/>
          <w:spacing w:val="10"/>
        </w:rPr>
        <w:t> </w:t>
      </w:r>
      <w:r>
        <w:rPr>
          <w:rFonts w:ascii="Cambria Math"/>
          <w:spacing w:val="-10"/>
        </w:rPr>
        <w:t>=</w:t>
      </w:r>
    </w:p>
    <w:p>
      <w:pPr>
        <w:pStyle w:val="BodyText"/>
        <w:spacing w:line="290" w:lineRule="auto" w:before="59"/>
        <w:ind w:left="805" w:right="2595" w:hanging="725"/>
        <w:rPr>
          <w:rFonts w:ascii="Cambria Math"/>
        </w:rPr>
      </w:pPr>
      <w:r>
        <w:rPr/>
        <w:br w:type="column"/>
      </w:r>
      <w:r>
        <w:rPr>
          <w:rFonts w:ascii="Cambria Math"/>
        </w:rPr>
        <w:t>Total</w:t>
      </w:r>
      <w:r>
        <w:rPr>
          <w:rFonts w:ascii="Cambria Math"/>
          <w:spacing w:val="-14"/>
        </w:rPr>
        <w:t> </w:t>
      </w:r>
      <w:r>
        <w:rPr>
          <w:rFonts w:ascii="Cambria Math"/>
        </w:rPr>
        <w:t>Utang</w:t>
      </w:r>
      <w:r>
        <w:rPr>
          <w:rFonts w:ascii="Cambria Math"/>
          <w:spacing w:val="-13"/>
        </w:rPr>
        <w:t> </w:t>
      </w:r>
      <w:r>
        <w:rPr>
          <w:rFonts w:ascii="Cambria Math"/>
        </w:rPr>
        <w:t>Jangka</w:t>
      </w:r>
      <w:r>
        <w:rPr>
          <w:rFonts w:ascii="Cambria Math"/>
          <w:spacing w:val="-13"/>
        </w:rPr>
        <w:t> </w:t>
      </w:r>
      <w:r>
        <w:rPr>
          <w:rFonts w:ascii="Cambria Math"/>
        </w:rPr>
        <w:t>Panjang Total Ekuitas</w:t>
      </w:r>
    </w:p>
    <w:p>
      <w:pPr>
        <w:pStyle w:val="BodyText"/>
        <w:spacing w:after="0" w:line="290" w:lineRule="auto"/>
        <w:rPr>
          <w:rFonts w:ascii="Cambria Math"/>
        </w:rPr>
        <w:sectPr>
          <w:type w:val="continuous"/>
          <w:pgSz w:w="11910" w:h="16840"/>
          <w:pgMar w:header="710" w:footer="0" w:top="1940" w:bottom="280" w:left="1700" w:right="1133"/>
          <w:cols w:num="2" w:equalWidth="0">
            <w:col w:w="3557" w:space="40"/>
            <w:col w:w="5480"/>
          </w:cols>
        </w:sectPr>
      </w:pPr>
    </w:p>
    <w:p>
      <w:pPr>
        <w:pStyle w:val="BodyText"/>
        <w:spacing w:before="250"/>
        <w:rPr>
          <w:rFonts w:ascii="Cambria Math"/>
        </w:rPr>
      </w:pPr>
    </w:p>
    <w:p>
      <w:pPr>
        <w:pStyle w:val="Heading3"/>
        <w:numPr>
          <w:ilvl w:val="2"/>
          <w:numId w:val="13"/>
        </w:numPr>
        <w:tabs>
          <w:tab w:pos="1288" w:val="left" w:leader="none"/>
        </w:tabs>
        <w:spacing w:line="240" w:lineRule="auto" w:before="0" w:after="0"/>
        <w:ind w:left="1288" w:right="0" w:hanging="720"/>
        <w:jc w:val="both"/>
      </w:pPr>
      <w:bookmarkStart w:name="_bookmark19" w:id="20"/>
      <w:bookmarkEnd w:id="20"/>
      <w:r>
        <w:rPr>
          <w:b w:val="0"/>
        </w:rPr>
      </w:r>
      <w:r>
        <w:rPr/>
        <w:t>Debt</w:t>
      </w:r>
      <w:r>
        <w:rPr>
          <w:spacing w:val="-7"/>
        </w:rPr>
        <w:t> </w:t>
      </w:r>
      <w:r>
        <w:rPr>
          <w:spacing w:val="-2"/>
        </w:rPr>
        <w:t>Maturity</w:t>
      </w:r>
    </w:p>
    <w:p>
      <w:pPr>
        <w:pStyle w:val="BodyText"/>
        <w:spacing w:line="480" w:lineRule="auto" w:before="272"/>
        <w:ind w:left="568" w:right="564" w:firstLine="720"/>
        <w:jc w:val="both"/>
      </w:pPr>
      <w:r>
        <w:rPr/>
        <w:t>Struktur jatuh tempo utang (</w:t>
      </w:r>
      <w:r>
        <w:rPr>
          <w:i/>
        </w:rPr>
        <w:t>debt maturity structure</w:t>
      </w:r>
      <w:r>
        <w:rPr/>
        <w:t>) merupakan aspek </w:t>
      </w:r>
      <w:r>
        <w:rPr>
          <w:spacing w:val="-2"/>
        </w:rPr>
        <w:t>krusial dalam pengambilan</w:t>
      </w:r>
      <w:r>
        <w:rPr>
          <w:spacing w:val="-3"/>
        </w:rPr>
        <w:t> </w:t>
      </w:r>
      <w:r>
        <w:rPr>
          <w:spacing w:val="-2"/>
        </w:rPr>
        <w:t>keputusan</w:t>
      </w:r>
      <w:r>
        <w:rPr>
          <w:spacing w:val="-3"/>
        </w:rPr>
        <w:t> </w:t>
      </w:r>
      <w:r>
        <w:rPr>
          <w:spacing w:val="-2"/>
        </w:rPr>
        <w:t>keuangan</w:t>
      </w:r>
      <w:r>
        <w:rPr>
          <w:spacing w:val="-3"/>
        </w:rPr>
        <w:t> </w:t>
      </w:r>
      <w:r>
        <w:rPr>
          <w:spacing w:val="-2"/>
        </w:rPr>
        <w:t>perusahaan,</w:t>
      </w:r>
      <w:r>
        <w:rPr>
          <w:spacing w:val="-3"/>
        </w:rPr>
        <w:t> </w:t>
      </w:r>
      <w:r>
        <w:rPr>
          <w:spacing w:val="-2"/>
        </w:rPr>
        <w:t>karena berperan</w:t>
      </w:r>
      <w:r>
        <w:rPr>
          <w:spacing w:val="-3"/>
        </w:rPr>
        <w:t> </w:t>
      </w:r>
      <w:r>
        <w:rPr>
          <w:spacing w:val="-2"/>
        </w:rPr>
        <w:t>dalam </w:t>
      </w:r>
      <w:r>
        <w:rPr/>
        <w:t>menentukan tingkat eksposur perusahaan terhadap risiko suku bunga, risiko pembiayaan ulang (refinancing risk), serta potensi terjadinya masalah underinvestment (Hasan et al., 2022). Pemilihan struktur jatuh tempo utang yang tepat menjadi strategi penting bagi manajemen dalam mengelola stabilitas keuangan jangka panjang</w:t>
      </w:r>
      <w:r>
        <w:rPr>
          <w:spacing w:val="-2"/>
        </w:rPr>
        <w:t> </w:t>
      </w:r>
      <w:r>
        <w:rPr/>
        <w:t>dan memitigasi ketidakpastian yang</w:t>
      </w:r>
      <w:r>
        <w:rPr>
          <w:spacing w:val="-2"/>
        </w:rPr>
        <w:t> </w:t>
      </w:r>
      <w:r>
        <w:rPr/>
        <w:t>berasal dari kondisi pasar keuangan.</w:t>
      </w:r>
    </w:p>
    <w:p>
      <w:pPr>
        <w:pStyle w:val="BodyText"/>
        <w:spacing w:line="480" w:lineRule="auto" w:before="162"/>
        <w:ind w:left="568" w:right="563" w:firstLine="720"/>
        <w:jc w:val="both"/>
      </w:pPr>
      <w:r>
        <w:rPr>
          <w:i/>
        </w:rPr>
        <w:t>Debt maturity </w:t>
      </w:r>
      <w:r>
        <w:rPr/>
        <w:t>mengacu pada struktur jatuh tempo utang perusahaan, yang menunjukkan proporsi utang jangka pendek dan jangka panjang yang dimiliki perusahaan. Struktur ini menjadi bagian penting dalam keputusan pendanaan karena berdampak pada risiko likuiditas, disiplin kreditur, serta insentif investasi perusahaan.</w:t>
      </w:r>
      <w:r>
        <w:rPr>
          <w:spacing w:val="-15"/>
        </w:rPr>
        <w:t> </w:t>
      </w:r>
      <w:r>
        <w:rPr/>
        <w:t>Menurut</w:t>
      </w:r>
      <w:r>
        <w:rPr>
          <w:spacing w:val="-15"/>
        </w:rPr>
        <w:t> </w:t>
      </w:r>
      <w:r>
        <w:rPr/>
        <w:t>Diamond</w:t>
      </w:r>
      <w:r>
        <w:rPr>
          <w:spacing w:val="-15"/>
        </w:rPr>
        <w:t> </w:t>
      </w:r>
      <w:r>
        <w:rPr/>
        <w:t>(1991),</w:t>
      </w:r>
      <w:r>
        <w:rPr>
          <w:spacing w:val="-15"/>
        </w:rPr>
        <w:t> </w:t>
      </w:r>
      <w:r>
        <w:rPr/>
        <w:t>pemilihan</w:t>
      </w:r>
      <w:r>
        <w:rPr>
          <w:spacing w:val="-15"/>
        </w:rPr>
        <w:t> </w:t>
      </w:r>
      <w:r>
        <w:rPr/>
        <w:t>jatuh</w:t>
      </w:r>
      <w:r>
        <w:rPr>
          <w:spacing w:val="-15"/>
        </w:rPr>
        <w:t> </w:t>
      </w:r>
      <w:r>
        <w:rPr/>
        <w:t>tempo</w:t>
      </w:r>
      <w:r>
        <w:rPr>
          <w:spacing w:val="-15"/>
        </w:rPr>
        <w:t> </w:t>
      </w:r>
      <w:r>
        <w:rPr/>
        <w:t>utang</w:t>
      </w:r>
      <w:r>
        <w:rPr>
          <w:spacing w:val="-15"/>
        </w:rPr>
        <w:t> </w:t>
      </w:r>
      <w:r>
        <w:rPr/>
        <w:t>mencerminkan </w:t>
      </w:r>
      <w:r>
        <w:rPr>
          <w:i/>
        </w:rPr>
        <w:t>trade-off</w:t>
      </w:r>
      <w:r>
        <w:rPr>
          <w:i/>
          <w:spacing w:val="-15"/>
        </w:rPr>
        <w:t> </w:t>
      </w:r>
      <w:r>
        <w:rPr/>
        <w:t>antara</w:t>
      </w:r>
      <w:r>
        <w:rPr>
          <w:spacing w:val="-15"/>
        </w:rPr>
        <w:t> </w:t>
      </w:r>
      <w:r>
        <w:rPr/>
        <w:t>fleksibilitas</w:t>
      </w:r>
      <w:r>
        <w:rPr>
          <w:spacing w:val="-15"/>
        </w:rPr>
        <w:t> </w:t>
      </w:r>
      <w:r>
        <w:rPr/>
        <w:t>dan</w:t>
      </w:r>
      <w:r>
        <w:rPr>
          <w:spacing w:val="-15"/>
        </w:rPr>
        <w:t> </w:t>
      </w:r>
      <w:r>
        <w:rPr/>
        <w:t>risiko</w:t>
      </w:r>
      <w:r>
        <w:rPr>
          <w:spacing w:val="-15"/>
        </w:rPr>
        <w:t> </w:t>
      </w:r>
      <w:r>
        <w:rPr/>
        <w:t>likuiditas.</w:t>
      </w:r>
      <w:r>
        <w:rPr>
          <w:spacing w:val="-15"/>
        </w:rPr>
        <w:t> </w:t>
      </w:r>
      <w:r>
        <w:rPr/>
        <w:t>Utang</w:t>
      </w:r>
      <w:r>
        <w:rPr>
          <w:spacing w:val="-15"/>
        </w:rPr>
        <w:t> </w:t>
      </w:r>
      <w:r>
        <w:rPr/>
        <w:t>jangka</w:t>
      </w:r>
      <w:r>
        <w:rPr>
          <w:spacing w:val="-15"/>
        </w:rPr>
        <w:t> </w:t>
      </w:r>
      <w:r>
        <w:rPr/>
        <w:t>pendek</w:t>
      </w:r>
      <w:r>
        <w:rPr>
          <w:spacing w:val="-15"/>
        </w:rPr>
        <w:t> </w:t>
      </w:r>
      <w:r>
        <w:rPr/>
        <w:t>memberikan perusahaan kemampuan untuk menyesuaikan biaya pendanaan seiring perubahan informasi dan kondisi kreditnya, tetapi meningkatkan risiko gagal bayar apabila perusahaan tidak dapat melakukan refinancing. Sebaliknya, utang jangka panjang mengurangi risiko likuiditas karena tidak memerlukan pembiayaan ulang dalam waktu dekat, namun dapat menciptakan biaya keagenan yang lebih besar dan mengurangi</w:t>
      </w:r>
      <w:r>
        <w:rPr>
          <w:spacing w:val="59"/>
          <w:w w:val="150"/>
        </w:rPr>
        <w:t> </w:t>
      </w:r>
      <w:r>
        <w:rPr/>
        <w:t>disiplin</w:t>
      </w:r>
      <w:r>
        <w:rPr>
          <w:spacing w:val="60"/>
          <w:w w:val="150"/>
        </w:rPr>
        <w:t> </w:t>
      </w:r>
      <w:r>
        <w:rPr/>
        <w:t>kreditur.</w:t>
      </w:r>
      <w:r>
        <w:rPr>
          <w:spacing w:val="59"/>
          <w:w w:val="150"/>
        </w:rPr>
        <w:t> </w:t>
      </w:r>
      <w:r>
        <w:rPr/>
        <w:t>Struktur</w:t>
      </w:r>
      <w:r>
        <w:rPr>
          <w:spacing w:val="57"/>
          <w:w w:val="150"/>
        </w:rPr>
        <w:t> </w:t>
      </w:r>
      <w:r>
        <w:rPr>
          <w:i/>
        </w:rPr>
        <w:t>Debt</w:t>
      </w:r>
      <w:r>
        <w:rPr>
          <w:i/>
          <w:spacing w:val="60"/>
          <w:w w:val="150"/>
        </w:rPr>
        <w:t> </w:t>
      </w:r>
      <w:r>
        <w:rPr>
          <w:i/>
        </w:rPr>
        <w:t>Maturity</w:t>
      </w:r>
      <w:r>
        <w:rPr>
          <w:i/>
          <w:spacing w:val="62"/>
          <w:w w:val="150"/>
        </w:rPr>
        <w:t> </w:t>
      </w:r>
      <w:r>
        <w:rPr/>
        <w:t>berkaitan</w:t>
      </w:r>
      <w:r>
        <w:rPr>
          <w:spacing w:val="56"/>
          <w:w w:val="150"/>
        </w:rPr>
        <w:t> </w:t>
      </w:r>
      <w:r>
        <w:rPr/>
        <w:t>erat</w:t>
      </w:r>
      <w:r>
        <w:rPr>
          <w:spacing w:val="60"/>
          <w:w w:val="150"/>
        </w:rPr>
        <w:t> </w:t>
      </w:r>
      <w:r>
        <w:rPr>
          <w:spacing w:val="-2"/>
        </w:rPr>
        <w:t>dengan</w:t>
      </w:r>
    </w:p>
    <w:p>
      <w:pPr>
        <w:pStyle w:val="BodyText"/>
        <w:spacing w:after="0" w:line="480" w:lineRule="auto"/>
        <w:jc w:val="both"/>
        <w:sectPr>
          <w:type w:val="continuous"/>
          <w:pgSz w:w="11910" w:h="16840"/>
          <w:pgMar w:header="710" w:footer="0" w:top="1940" w:bottom="280" w:left="1700" w:right="1133"/>
        </w:sectPr>
      </w:pPr>
    </w:p>
    <w:p>
      <w:pPr>
        <w:pStyle w:val="BodyText"/>
        <w:spacing w:before="48"/>
      </w:pPr>
    </w:p>
    <w:p>
      <w:pPr>
        <w:pStyle w:val="BodyText"/>
        <w:spacing w:line="480" w:lineRule="auto"/>
        <w:ind w:left="568" w:right="564"/>
        <w:jc w:val="both"/>
      </w:pPr>
      <w:r>
        <w:rPr/>
        <w:t>fenomena </w:t>
      </w:r>
      <w:r>
        <w:rPr>
          <w:i/>
        </w:rPr>
        <w:t>debt overhang </w:t>
      </w:r>
      <w:r>
        <w:rPr/>
        <w:t>Diamond &amp; He (2012). Utang jangka panjang dapat meningkatkan</w:t>
      </w:r>
      <w:r>
        <w:rPr>
          <w:spacing w:val="-7"/>
        </w:rPr>
        <w:t> </w:t>
      </w:r>
      <w:r>
        <w:rPr/>
        <w:t>beban</w:t>
      </w:r>
      <w:r>
        <w:rPr>
          <w:spacing w:val="-7"/>
        </w:rPr>
        <w:t> </w:t>
      </w:r>
      <w:r>
        <w:rPr/>
        <w:t>overhang</w:t>
      </w:r>
      <w:r>
        <w:rPr>
          <w:spacing w:val="-11"/>
        </w:rPr>
        <w:t> </w:t>
      </w:r>
      <w:r>
        <w:rPr/>
        <w:t>karena</w:t>
      </w:r>
      <w:r>
        <w:rPr>
          <w:spacing w:val="-5"/>
        </w:rPr>
        <w:t> </w:t>
      </w:r>
      <w:r>
        <w:rPr/>
        <w:t>nilai</w:t>
      </w:r>
      <w:r>
        <w:rPr>
          <w:spacing w:val="-6"/>
        </w:rPr>
        <w:t> </w:t>
      </w:r>
      <w:r>
        <w:rPr/>
        <w:t>utang</w:t>
      </w:r>
      <w:r>
        <w:rPr>
          <w:spacing w:val="-11"/>
        </w:rPr>
        <w:t> </w:t>
      </w:r>
      <w:r>
        <w:rPr/>
        <w:t>lebih</w:t>
      </w:r>
      <w:r>
        <w:rPr>
          <w:spacing w:val="-7"/>
        </w:rPr>
        <w:t> </w:t>
      </w:r>
      <w:r>
        <w:rPr/>
        <w:t>sensitif</w:t>
      </w:r>
      <w:r>
        <w:rPr>
          <w:spacing w:val="-6"/>
        </w:rPr>
        <w:t> </w:t>
      </w:r>
      <w:r>
        <w:rPr/>
        <w:t>terhadap</w:t>
      </w:r>
      <w:r>
        <w:rPr>
          <w:spacing w:val="-7"/>
        </w:rPr>
        <w:t> </w:t>
      </w:r>
      <w:r>
        <w:rPr/>
        <w:t>perubahan nilai perusahaan, sehingga menurunkan insentif manajemen untuk melakukan investasi baru. Sebaliknya, utang jangka pendek dapat mengurangi overhang pada kondisi tertentu karena nilai utangnya kurang dipengaruhi oleh fluktuasi nilai perusahaan. Namun demikian, utang jangka pendek juga dapat meningkatkan volatilitas insentif investasi dan memperburuk kondisi perusahaan dalam keadaan buruk,</w:t>
      </w:r>
      <w:r>
        <w:rPr>
          <w:spacing w:val="-15"/>
        </w:rPr>
        <w:t> </w:t>
      </w:r>
      <w:r>
        <w:rPr/>
        <w:t>sehingga</w:t>
      </w:r>
      <w:r>
        <w:rPr>
          <w:spacing w:val="-15"/>
        </w:rPr>
        <w:t> </w:t>
      </w:r>
      <w:r>
        <w:rPr/>
        <w:t>membutuhkan</w:t>
      </w:r>
      <w:r>
        <w:rPr>
          <w:spacing w:val="-15"/>
        </w:rPr>
        <w:t> </w:t>
      </w:r>
      <w:r>
        <w:rPr/>
        <w:t>keseimbangan</w:t>
      </w:r>
      <w:r>
        <w:rPr>
          <w:spacing w:val="-15"/>
        </w:rPr>
        <w:t> </w:t>
      </w:r>
      <w:r>
        <w:rPr/>
        <w:t>yang</w:t>
      </w:r>
      <w:r>
        <w:rPr>
          <w:spacing w:val="-15"/>
        </w:rPr>
        <w:t> </w:t>
      </w:r>
      <w:r>
        <w:rPr/>
        <w:t>tepat</w:t>
      </w:r>
      <w:r>
        <w:rPr>
          <w:spacing w:val="-15"/>
        </w:rPr>
        <w:t> </w:t>
      </w:r>
      <w:r>
        <w:rPr/>
        <w:t>antara</w:t>
      </w:r>
      <w:r>
        <w:rPr>
          <w:spacing w:val="-15"/>
        </w:rPr>
        <w:t> </w:t>
      </w:r>
      <w:r>
        <w:rPr/>
        <w:t>risiko</w:t>
      </w:r>
      <w:r>
        <w:rPr>
          <w:spacing w:val="-15"/>
        </w:rPr>
        <w:t> </w:t>
      </w:r>
      <w:r>
        <w:rPr/>
        <w:t>likuiditas</w:t>
      </w:r>
      <w:r>
        <w:rPr>
          <w:spacing w:val="-15"/>
        </w:rPr>
        <w:t> </w:t>
      </w:r>
      <w:r>
        <w:rPr/>
        <w:t>dan insentif investasi jangka panjang.</w:t>
      </w:r>
    </w:p>
    <w:p>
      <w:pPr>
        <w:pStyle w:val="BodyText"/>
        <w:spacing w:line="480" w:lineRule="auto" w:before="162"/>
        <w:ind w:left="568" w:right="562" w:firstLine="720"/>
        <w:jc w:val="both"/>
      </w:pPr>
      <w:r>
        <w:rPr/>
        <w:t>Penelitian terdahulu menerapkan beragam proksi dalam mengukur </w:t>
      </w:r>
      <w:r>
        <w:rPr>
          <w:i/>
        </w:rPr>
        <w:t>Debt Maturity</w:t>
      </w:r>
      <w:r>
        <w:rPr/>
        <w:t>.</w:t>
      </w:r>
      <w:r>
        <w:rPr>
          <w:spacing w:val="-3"/>
        </w:rPr>
        <w:t> </w:t>
      </w:r>
      <w:r>
        <w:rPr/>
        <w:t>Sebagai</w:t>
      </w:r>
      <w:r>
        <w:rPr>
          <w:spacing w:val="-3"/>
        </w:rPr>
        <w:t> </w:t>
      </w:r>
      <w:r>
        <w:rPr/>
        <w:t>contoh,</w:t>
      </w:r>
      <w:r>
        <w:rPr>
          <w:spacing w:val="-3"/>
        </w:rPr>
        <w:t> </w:t>
      </w:r>
      <w:r>
        <w:rPr/>
        <w:t>Zheng</w:t>
      </w:r>
      <w:r>
        <w:rPr>
          <w:spacing w:val="-8"/>
        </w:rPr>
        <w:t> </w:t>
      </w:r>
      <w:r>
        <w:rPr/>
        <w:t>et</w:t>
      </w:r>
      <w:r>
        <w:rPr>
          <w:spacing w:val="-3"/>
        </w:rPr>
        <w:t> </w:t>
      </w:r>
      <w:r>
        <w:rPr/>
        <w:t>al.</w:t>
      </w:r>
      <w:r>
        <w:rPr>
          <w:spacing w:val="-3"/>
        </w:rPr>
        <w:t> </w:t>
      </w:r>
      <w:r>
        <w:rPr/>
        <w:t>(2012),</w:t>
      </w:r>
      <w:r>
        <w:rPr>
          <w:spacing w:val="-3"/>
        </w:rPr>
        <w:t> </w:t>
      </w:r>
      <w:r>
        <w:rPr/>
        <w:t>Ben-Nasr</w:t>
      </w:r>
      <w:r>
        <w:rPr>
          <w:spacing w:val="-3"/>
        </w:rPr>
        <w:t> </w:t>
      </w:r>
      <w:r>
        <w:rPr/>
        <w:t>et</w:t>
      </w:r>
      <w:r>
        <w:rPr>
          <w:spacing w:val="-3"/>
        </w:rPr>
        <w:t> </w:t>
      </w:r>
      <w:r>
        <w:rPr/>
        <w:t>al.</w:t>
      </w:r>
      <w:r>
        <w:rPr>
          <w:spacing w:val="-3"/>
        </w:rPr>
        <w:t> </w:t>
      </w:r>
      <w:r>
        <w:rPr/>
        <w:t>(2015),</w:t>
      </w:r>
      <w:r>
        <w:rPr>
          <w:spacing w:val="-3"/>
        </w:rPr>
        <w:t> </w:t>
      </w:r>
      <w:r>
        <w:rPr/>
        <w:t>dan</w:t>
      </w:r>
      <w:r>
        <w:rPr>
          <w:spacing w:val="-3"/>
        </w:rPr>
        <w:t> </w:t>
      </w:r>
      <w:r>
        <w:rPr/>
        <w:t>Nguyen et al. (2020) mengoperasionalisasikan variabel </w:t>
      </w:r>
      <w:r>
        <w:rPr>
          <w:i/>
        </w:rPr>
        <w:t>Debt Maturity </w:t>
      </w:r>
      <w:r>
        <w:rPr/>
        <w:t>sebagai proporsi utang</w:t>
      </w:r>
      <w:r>
        <w:rPr>
          <w:spacing w:val="-2"/>
        </w:rPr>
        <w:t> </w:t>
      </w:r>
      <w:r>
        <w:rPr/>
        <w:t>jangka panjang terhadap total utang. Sementara itu, studi lain menggunakan informasi tanggal jatuh tempo untuk mengukur variabel </w:t>
      </w:r>
      <w:r>
        <w:rPr>
          <w:i/>
        </w:rPr>
        <w:t>Debt Maturity </w:t>
      </w:r>
      <w:r>
        <w:rPr/>
        <w:t>dengan utang jangka panjang yang akan jatuh tempo dalam kurun waktu tiga tahun (Benlemlih, 2017) atau lima tahun (Ozkan, 2002). Namun karena keterbatasan informasi</w:t>
      </w:r>
      <w:r>
        <w:rPr>
          <w:spacing w:val="-15"/>
        </w:rPr>
        <w:t> </w:t>
      </w:r>
      <w:r>
        <w:rPr/>
        <w:t>mengenai</w:t>
      </w:r>
      <w:r>
        <w:rPr>
          <w:spacing w:val="-15"/>
        </w:rPr>
        <w:t> </w:t>
      </w:r>
      <w:r>
        <w:rPr/>
        <w:t>jatuh</w:t>
      </w:r>
      <w:r>
        <w:rPr>
          <w:spacing w:val="-15"/>
        </w:rPr>
        <w:t> </w:t>
      </w:r>
      <w:r>
        <w:rPr/>
        <w:t>tempo</w:t>
      </w:r>
      <w:r>
        <w:rPr>
          <w:spacing w:val="-15"/>
        </w:rPr>
        <w:t> </w:t>
      </w:r>
      <w:r>
        <w:rPr/>
        <w:t>utang,</w:t>
      </w:r>
      <w:r>
        <w:rPr>
          <w:spacing w:val="-15"/>
        </w:rPr>
        <w:t> </w:t>
      </w:r>
      <w:r>
        <w:rPr/>
        <w:t>maka</w:t>
      </w:r>
      <w:r>
        <w:rPr>
          <w:spacing w:val="-15"/>
        </w:rPr>
        <w:t> </w:t>
      </w:r>
      <w:r>
        <w:rPr/>
        <w:t>rumus</w:t>
      </w:r>
      <w:r>
        <w:rPr>
          <w:spacing w:val="-15"/>
        </w:rPr>
        <w:t> </w:t>
      </w:r>
      <w:r>
        <w:rPr/>
        <w:t>perhitungan</w:t>
      </w:r>
      <w:r>
        <w:rPr>
          <w:spacing w:val="-15"/>
        </w:rPr>
        <w:t> </w:t>
      </w:r>
      <w:r>
        <w:rPr/>
        <w:t>dari</w:t>
      </w:r>
      <w:r>
        <w:rPr>
          <w:spacing w:val="-15"/>
        </w:rPr>
        <w:t> </w:t>
      </w:r>
      <w:r>
        <w:rPr>
          <w:i/>
        </w:rPr>
        <w:t>Debt</w:t>
      </w:r>
      <w:r>
        <w:rPr>
          <w:i/>
          <w:spacing w:val="-15"/>
        </w:rPr>
        <w:t> </w:t>
      </w:r>
      <w:r>
        <w:rPr>
          <w:i/>
        </w:rPr>
        <w:t>Maturity </w:t>
      </w:r>
      <w:r>
        <w:rPr/>
        <w:t>mengikuti penelitian yang dilakukan oleh Zheng et al. (2012), Ben-Nasr et al. (2015), dan Nguyen et al. (2020):</w:t>
      </w:r>
    </w:p>
    <w:p>
      <w:pPr>
        <w:pStyle w:val="BodyText"/>
        <w:spacing w:after="0" w:line="480" w:lineRule="auto"/>
        <w:jc w:val="both"/>
        <w:sectPr>
          <w:pgSz w:w="11910" w:h="16840"/>
          <w:pgMar w:header="710" w:footer="0" w:top="1920" w:bottom="280" w:left="1700" w:right="1133"/>
        </w:sectPr>
      </w:pPr>
    </w:p>
    <w:p>
      <w:pPr>
        <w:pStyle w:val="BodyText"/>
        <w:spacing w:before="45"/>
      </w:pPr>
    </w:p>
    <w:p>
      <w:pPr>
        <w:spacing w:before="1"/>
        <w:ind w:left="2173" w:right="0" w:firstLine="0"/>
        <w:jc w:val="left"/>
        <w:rPr>
          <w:rFonts w:ascii="Cambria Math" w:eastAsia="Cambria Math"/>
          <w:sz w:val="24"/>
        </w:rPr>
      </w:pPr>
      <w:r>
        <w:rPr>
          <w:rFonts w:ascii="Cambria Math" w:eastAsia="Cambria Math"/>
          <w:sz w:val="24"/>
        </w:rPr>
        <mc:AlternateContent>
          <mc:Choice Requires="wps">
            <w:drawing>
              <wp:anchor distT="0" distB="0" distL="0" distR="0" allowOverlap="1" layoutInCell="1" locked="0" behindDoc="1" simplePos="0" relativeHeight="486173696">
                <wp:simplePos x="0" y="0"/>
                <wp:positionH relativeFrom="page">
                  <wp:posOffset>3681729</wp:posOffset>
                </wp:positionH>
                <wp:positionV relativeFrom="paragraph">
                  <wp:posOffset>94575</wp:posOffset>
                </wp:positionV>
                <wp:extent cx="1781175" cy="101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781175" cy="10160"/>
                        </a:xfrm>
                        <a:custGeom>
                          <a:avLst/>
                          <a:gdLst/>
                          <a:ahLst/>
                          <a:cxnLst/>
                          <a:rect l="l" t="t" r="r" b="b"/>
                          <a:pathLst>
                            <a:path w="1781175" h="10160">
                              <a:moveTo>
                                <a:pt x="1780921" y="0"/>
                              </a:moveTo>
                              <a:lnTo>
                                <a:pt x="0" y="0"/>
                              </a:lnTo>
                              <a:lnTo>
                                <a:pt x="0" y="10159"/>
                              </a:lnTo>
                              <a:lnTo>
                                <a:pt x="1780921" y="10159"/>
                              </a:lnTo>
                              <a:lnTo>
                                <a:pt x="17809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9.899994pt;margin-top:7.446885pt;width:140.230pt;height:.79999pt;mso-position-horizontal-relative:page;mso-position-vertical-relative:paragraph;z-index:-17142784" id="docshape6" filled="true" fillcolor="#000000" stroked="false">
                <v:fill type="solid"/>
                <w10:wrap type="none"/>
              </v:rect>
            </w:pict>
          </mc:Fallback>
        </mc:AlternateContent>
      </w:r>
      <w:r>
        <w:rPr>
          <w:rFonts w:ascii="Cambria Math" w:eastAsia="Cambria Math"/>
          <w:sz w:val="24"/>
        </w:rPr>
        <w:t>𝐷𝑒𝑏𝑡</w:t>
      </w:r>
      <w:r>
        <w:rPr>
          <w:rFonts w:ascii="Cambria Math" w:eastAsia="Cambria Math"/>
          <w:spacing w:val="1"/>
          <w:sz w:val="24"/>
        </w:rPr>
        <w:t> </w:t>
      </w:r>
      <w:r>
        <w:rPr>
          <w:rFonts w:ascii="Cambria Math" w:eastAsia="Cambria Math"/>
          <w:sz w:val="24"/>
        </w:rPr>
        <w:t>𝑀𝑎𝑡𝑢𝑟𝑖𝑡𝑦</w:t>
      </w:r>
      <w:r>
        <w:rPr>
          <w:rFonts w:ascii="Cambria Math" w:eastAsia="Cambria Math"/>
          <w:spacing w:val="16"/>
          <w:sz w:val="24"/>
        </w:rPr>
        <w:t> </w:t>
      </w:r>
      <w:r>
        <w:rPr>
          <w:rFonts w:ascii="Cambria Math" w:eastAsia="Cambria Math"/>
          <w:spacing w:val="-10"/>
          <w:sz w:val="24"/>
        </w:rPr>
        <w:t>=</w:t>
      </w:r>
    </w:p>
    <w:p>
      <w:pPr>
        <w:pStyle w:val="BodyText"/>
        <w:spacing w:line="290" w:lineRule="auto" w:before="142"/>
        <w:ind w:left="713" w:right="2172" w:hanging="636"/>
        <w:rPr>
          <w:rFonts w:ascii="Cambria Math"/>
        </w:rPr>
      </w:pPr>
      <w:r>
        <w:rPr/>
        <w:br w:type="column"/>
      </w:r>
      <w:r>
        <w:rPr>
          <w:rFonts w:ascii="Cambria Math"/>
        </w:rPr>
        <w:t>Total</w:t>
      </w:r>
      <w:r>
        <w:rPr>
          <w:rFonts w:ascii="Cambria Math"/>
          <w:spacing w:val="-14"/>
        </w:rPr>
        <w:t> </w:t>
      </w:r>
      <w:r>
        <w:rPr>
          <w:rFonts w:ascii="Cambria Math"/>
        </w:rPr>
        <w:t>Utang</w:t>
      </w:r>
      <w:r>
        <w:rPr>
          <w:rFonts w:ascii="Cambria Math"/>
          <w:spacing w:val="-12"/>
        </w:rPr>
        <w:t> </w:t>
      </w:r>
      <w:r>
        <w:rPr>
          <w:rFonts w:ascii="Cambria Math"/>
        </w:rPr>
        <w:t>Jangka</w:t>
      </w:r>
      <w:r>
        <w:rPr>
          <w:rFonts w:ascii="Cambria Math"/>
          <w:spacing w:val="-13"/>
        </w:rPr>
        <w:t> </w:t>
      </w:r>
      <w:r>
        <w:rPr>
          <w:rFonts w:ascii="Cambria Math"/>
        </w:rPr>
        <w:t>Panjang Total Liabilitas</w:t>
      </w:r>
    </w:p>
    <w:p>
      <w:pPr>
        <w:pStyle w:val="BodyText"/>
        <w:spacing w:after="0" w:line="290" w:lineRule="auto"/>
        <w:rPr>
          <w:rFonts w:ascii="Cambria Math"/>
        </w:rPr>
        <w:sectPr>
          <w:type w:val="continuous"/>
          <w:pgSz w:w="11910" w:h="16840"/>
          <w:pgMar w:header="710" w:footer="0" w:top="1940" w:bottom="280" w:left="1700" w:right="1133"/>
          <w:cols w:num="2" w:equalWidth="0">
            <w:col w:w="3981" w:space="40"/>
            <w:col w:w="5056"/>
          </w:cols>
        </w:sectPr>
      </w:pPr>
    </w:p>
    <w:p>
      <w:pPr>
        <w:pStyle w:val="BodyText"/>
        <w:spacing w:before="46"/>
        <w:rPr>
          <w:rFonts w:ascii="Cambria Math"/>
        </w:rPr>
      </w:pPr>
    </w:p>
    <w:p>
      <w:pPr>
        <w:pStyle w:val="Heading3"/>
        <w:numPr>
          <w:ilvl w:val="2"/>
          <w:numId w:val="13"/>
        </w:numPr>
        <w:tabs>
          <w:tab w:pos="1288" w:val="left" w:leader="none"/>
        </w:tabs>
        <w:spacing w:line="240" w:lineRule="auto" w:before="1" w:after="0"/>
        <w:ind w:left="1288" w:right="0" w:hanging="720"/>
        <w:jc w:val="both"/>
      </w:pPr>
      <w:bookmarkStart w:name="_bookmark20" w:id="21"/>
      <w:bookmarkEnd w:id="21"/>
      <w:r>
        <w:rPr>
          <w:b w:val="0"/>
        </w:rPr>
      </w:r>
      <w:r>
        <w:rPr/>
        <w:t>Assurance</w:t>
      </w:r>
      <w:r>
        <w:rPr>
          <w:spacing w:val="-6"/>
        </w:rPr>
        <w:t> </w:t>
      </w:r>
      <w:r>
        <w:rPr>
          <w:spacing w:val="-2"/>
        </w:rPr>
        <w:t>tenure</w:t>
      </w:r>
    </w:p>
    <w:p>
      <w:pPr>
        <w:pStyle w:val="BodyText"/>
        <w:spacing w:line="480" w:lineRule="auto" w:before="272"/>
        <w:ind w:left="568" w:right="562" w:firstLine="720"/>
        <w:jc w:val="both"/>
      </w:pPr>
      <w:r>
        <w:rPr>
          <w:i/>
        </w:rPr>
        <w:t>Assurance tenure </w:t>
      </w:r>
      <w:r>
        <w:rPr/>
        <w:t>merujuk pada lamanya hubungan kontraktual antara perusahaan dengan penyedia jasa </w:t>
      </w:r>
      <w:r>
        <w:rPr>
          <w:i/>
        </w:rPr>
        <w:t>assurance </w:t>
      </w:r>
      <w:r>
        <w:rPr/>
        <w:t>atas laporan keberlanjutan. Tenure yang panjang di satu sisi dapat meningkatkan kualitas </w:t>
      </w:r>
      <w:r>
        <w:rPr>
          <w:i/>
        </w:rPr>
        <w:t>assurance </w:t>
      </w:r>
      <w:r>
        <w:rPr/>
        <w:t>karena penyedia jasa memperoleh pemahaman mendalam dan pengetahuan spesifik mengenai perusahaan,</w:t>
      </w:r>
      <w:r>
        <w:rPr>
          <w:spacing w:val="-3"/>
        </w:rPr>
        <w:t> </w:t>
      </w:r>
      <w:r>
        <w:rPr/>
        <w:t>sehingga</w:t>
      </w:r>
      <w:r>
        <w:rPr>
          <w:spacing w:val="-2"/>
        </w:rPr>
        <w:t> </w:t>
      </w:r>
      <w:r>
        <w:rPr/>
        <w:t>mampu</w:t>
      </w:r>
      <w:r>
        <w:rPr>
          <w:spacing w:val="-3"/>
        </w:rPr>
        <w:t> </w:t>
      </w:r>
      <w:r>
        <w:rPr/>
        <w:t>memberikan</w:t>
      </w:r>
      <w:r>
        <w:rPr>
          <w:spacing w:val="-3"/>
        </w:rPr>
        <w:t> </w:t>
      </w:r>
      <w:r>
        <w:rPr/>
        <w:t>assurance yang</w:t>
      </w:r>
      <w:r>
        <w:rPr>
          <w:spacing w:val="-8"/>
        </w:rPr>
        <w:t> </w:t>
      </w:r>
      <w:r>
        <w:rPr/>
        <w:t>lebih</w:t>
      </w:r>
      <w:r>
        <w:rPr>
          <w:spacing w:val="-3"/>
        </w:rPr>
        <w:t> </w:t>
      </w:r>
      <w:r>
        <w:rPr/>
        <w:t>efektif</w:t>
      </w:r>
      <w:r>
        <w:rPr>
          <w:spacing w:val="-3"/>
        </w:rPr>
        <w:t> </w:t>
      </w:r>
      <w:r>
        <w:rPr/>
        <w:t>(Martínez- Ferrero,</w:t>
      </w:r>
      <w:r>
        <w:rPr>
          <w:spacing w:val="-1"/>
        </w:rPr>
        <w:t> </w:t>
      </w:r>
      <w:r>
        <w:rPr/>
        <w:t>García-Sánchez,</w:t>
      </w:r>
      <w:r>
        <w:rPr>
          <w:spacing w:val="-4"/>
        </w:rPr>
        <w:t> </w:t>
      </w:r>
      <w:r>
        <w:rPr/>
        <w:t>&amp;</w:t>
      </w:r>
      <w:r>
        <w:rPr>
          <w:spacing w:val="-4"/>
        </w:rPr>
        <w:t> </w:t>
      </w:r>
      <w:r>
        <w:rPr/>
        <w:t>Ruiz-Barbadillo,</w:t>
      </w:r>
      <w:r>
        <w:rPr>
          <w:spacing w:val="-4"/>
        </w:rPr>
        <w:t> </w:t>
      </w:r>
      <w:r>
        <w:rPr/>
        <w:t>2018).</w:t>
      </w:r>
      <w:r>
        <w:rPr>
          <w:spacing w:val="-4"/>
        </w:rPr>
        <w:t> </w:t>
      </w:r>
      <w:r>
        <w:rPr/>
        <w:t>Namun,</w:t>
      </w:r>
      <w:r>
        <w:rPr>
          <w:spacing w:val="-4"/>
        </w:rPr>
        <w:t> </w:t>
      </w:r>
      <w:r>
        <w:rPr/>
        <w:t>di</w:t>
      </w:r>
      <w:r>
        <w:rPr>
          <w:spacing w:val="-4"/>
        </w:rPr>
        <w:t> </w:t>
      </w:r>
      <w:r>
        <w:rPr/>
        <w:t>sisi</w:t>
      </w:r>
      <w:r>
        <w:rPr>
          <w:spacing w:val="-4"/>
        </w:rPr>
        <w:t> </w:t>
      </w:r>
      <w:r>
        <w:rPr/>
        <w:t>lain,</w:t>
      </w:r>
      <w:r>
        <w:rPr>
          <w:spacing w:val="-4"/>
        </w:rPr>
        <w:t> </w:t>
      </w:r>
      <w:r>
        <w:rPr/>
        <w:t>hubungan yang terlalu lama berpotensi menurunkan independensi penyedia jasa </w:t>
      </w:r>
      <w:r>
        <w:rPr>
          <w:i/>
        </w:rPr>
        <w:t>assurance </w:t>
      </w:r>
      <w:r>
        <w:rPr/>
        <w:t>akibat munculnya kedekatan dan rasa percaya berlebihan dengan manajemen perusahaan, yang pada akhirnya dapat mengurangi nilai komunikatif dari laporan </w:t>
      </w:r>
      <w:r>
        <w:rPr>
          <w:i/>
        </w:rPr>
        <w:t>assurance </w:t>
      </w:r>
      <w:r>
        <w:rPr/>
        <w:t>dan meningkatkan asimetri informasi (Ruiz-Barbadillo &amp; Martínez- Ferrero,</w:t>
      </w:r>
      <w:r>
        <w:rPr>
          <w:spacing w:val="-15"/>
        </w:rPr>
        <w:t> </w:t>
      </w:r>
      <w:r>
        <w:rPr/>
        <w:t>2023).</w:t>
      </w:r>
      <w:r>
        <w:rPr>
          <w:spacing w:val="-15"/>
        </w:rPr>
        <w:t> </w:t>
      </w:r>
      <w:r>
        <w:rPr/>
        <w:t>Dengan</w:t>
      </w:r>
      <w:r>
        <w:rPr>
          <w:spacing w:val="-15"/>
        </w:rPr>
        <w:t> </w:t>
      </w:r>
      <w:r>
        <w:rPr/>
        <w:t>demikian,</w:t>
      </w:r>
      <w:r>
        <w:rPr>
          <w:spacing w:val="-15"/>
        </w:rPr>
        <w:t> </w:t>
      </w:r>
      <w:r>
        <w:rPr/>
        <w:t>Assurance</w:t>
      </w:r>
      <w:r>
        <w:rPr>
          <w:spacing w:val="-15"/>
        </w:rPr>
        <w:t> </w:t>
      </w:r>
      <w:r>
        <w:rPr/>
        <w:t>tenure</w:t>
      </w:r>
      <w:r>
        <w:rPr>
          <w:spacing w:val="-14"/>
        </w:rPr>
        <w:t> </w:t>
      </w:r>
      <w:r>
        <w:rPr/>
        <w:t>menjadi</w:t>
      </w:r>
      <w:r>
        <w:rPr>
          <w:spacing w:val="-15"/>
        </w:rPr>
        <w:t> </w:t>
      </w:r>
      <w:r>
        <w:rPr/>
        <w:t>faktor</w:t>
      </w:r>
      <w:r>
        <w:rPr>
          <w:spacing w:val="-15"/>
        </w:rPr>
        <w:t> </w:t>
      </w:r>
      <w:r>
        <w:rPr/>
        <w:t>ambivalen</w:t>
      </w:r>
      <w:r>
        <w:rPr>
          <w:spacing w:val="-12"/>
        </w:rPr>
        <w:t> </w:t>
      </w:r>
      <w:r>
        <w:rPr/>
        <w:t>yang dapat berfungsi sebagai sumber peningkatan kualitas </w:t>
      </w:r>
      <w:r>
        <w:rPr>
          <w:i/>
        </w:rPr>
        <w:t>assurance </w:t>
      </w:r>
      <w:r>
        <w:rPr/>
        <w:t>melalui efek pembelajaran (</w:t>
      </w:r>
      <w:r>
        <w:rPr>
          <w:i/>
        </w:rPr>
        <w:t>learning effect</w:t>
      </w:r>
      <w:r>
        <w:rPr/>
        <w:t>), tetapi sekaligus menimbulkan risiko menurunnya skeptisisme profesional akibat efek kedekatan (</w:t>
      </w:r>
      <w:r>
        <w:rPr>
          <w:i/>
        </w:rPr>
        <w:t>independence effect</w:t>
      </w:r>
      <w:r>
        <w:rPr/>
        <w:t>).</w:t>
      </w:r>
    </w:p>
    <w:p>
      <w:pPr>
        <w:pStyle w:val="BodyText"/>
        <w:spacing w:line="480" w:lineRule="auto" w:before="163"/>
        <w:ind w:left="568" w:right="568" w:firstLine="720"/>
        <w:jc w:val="both"/>
      </w:pPr>
      <w:r>
        <w:rPr/>
        <w:t>Salah satu indikator yang sering digunakan untuk mengukur Assurance tenure adalah jumlah tahun kumulatif penyedia jasa </w:t>
      </w:r>
      <w:r>
        <w:rPr>
          <w:i/>
        </w:rPr>
        <w:t>assurance </w:t>
      </w:r>
      <w:r>
        <w:rPr/>
        <w:t>yang sama memberikan layanan </w:t>
      </w:r>
      <w:r>
        <w:rPr>
          <w:i/>
        </w:rPr>
        <w:t>assurance </w:t>
      </w:r>
      <w:r>
        <w:rPr/>
        <w:t>kepada perusahaan tertentu (Reynolds &amp; Francis, 2000; Lim &amp; Tan, 2008; Gul et al., 2009). Indikator ini mencerminkan tingkat pengalaman</w:t>
      </w:r>
      <w:r>
        <w:rPr>
          <w:spacing w:val="-9"/>
        </w:rPr>
        <w:t> </w:t>
      </w:r>
      <w:r>
        <w:rPr/>
        <w:t>spesifik</w:t>
      </w:r>
      <w:r>
        <w:rPr>
          <w:spacing w:val="-9"/>
        </w:rPr>
        <w:t> </w:t>
      </w:r>
      <w:r>
        <w:rPr/>
        <w:t>penyedia</w:t>
      </w:r>
      <w:r>
        <w:rPr>
          <w:spacing w:val="-7"/>
        </w:rPr>
        <w:t> </w:t>
      </w:r>
      <w:r>
        <w:rPr/>
        <w:t>jasa</w:t>
      </w:r>
      <w:r>
        <w:rPr>
          <w:spacing w:val="-7"/>
        </w:rPr>
        <w:t> </w:t>
      </w:r>
      <w:r>
        <w:rPr/>
        <w:t>terhadap</w:t>
      </w:r>
      <w:r>
        <w:rPr>
          <w:spacing w:val="-9"/>
        </w:rPr>
        <w:t> </w:t>
      </w:r>
      <w:r>
        <w:rPr/>
        <w:t>perusahaan,</w:t>
      </w:r>
      <w:r>
        <w:rPr>
          <w:spacing w:val="-13"/>
        </w:rPr>
        <w:t> </w:t>
      </w:r>
      <w:r>
        <w:rPr/>
        <w:t>yang</w:t>
      </w:r>
      <w:r>
        <w:rPr>
          <w:spacing w:val="-13"/>
        </w:rPr>
        <w:t> </w:t>
      </w:r>
      <w:r>
        <w:rPr/>
        <w:t>dapat</w:t>
      </w:r>
      <w:r>
        <w:rPr>
          <w:spacing w:val="-8"/>
        </w:rPr>
        <w:t> </w:t>
      </w:r>
      <w:r>
        <w:rPr/>
        <w:t>menjadi</w:t>
      </w:r>
      <w:r>
        <w:rPr>
          <w:spacing w:val="-11"/>
        </w:rPr>
        <w:t> </w:t>
      </w:r>
      <w:r>
        <w:rPr/>
        <w:t>sinyal bagi </w:t>
      </w:r>
      <w:r>
        <w:rPr>
          <w:i/>
        </w:rPr>
        <w:t>Stakeholder </w:t>
      </w:r>
      <w:r>
        <w:rPr/>
        <w:t>terkait efektivitas dan kredibilitas hasil </w:t>
      </w:r>
      <w:r>
        <w:rPr>
          <w:i/>
        </w:rPr>
        <w:t>assurance</w:t>
      </w:r>
      <w:r>
        <w:rPr/>
        <w:t>.</w:t>
      </w:r>
    </w:p>
    <w:p>
      <w:pPr>
        <w:pStyle w:val="BodyText"/>
        <w:spacing w:after="0" w:line="480" w:lineRule="auto"/>
        <w:jc w:val="both"/>
        <w:sectPr>
          <w:pgSz w:w="11910" w:h="16840"/>
          <w:pgMar w:header="710" w:footer="0" w:top="1920" w:bottom="280" w:left="1700" w:right="1133"/>
        </w:sectPr>
      </w:pPr>
    </w:p>
    <w:p>
      <w:pPr>
        <w:pStyle w:val="BodyText"/>
        <w:spacing w:before="52"/>
      </w:pPr>
    </w:p>
    <w:p>
      <w:pPr>
        <w:pStyle w:val="Heading3"/>
        <w:numPr>
          <w:ilvl w:val="1"/>
          <w:numId w:val="13"/>
        </w:numPr>
        <w:tabs>
          <w:tab w:pos="1288" w:val="left" w:leader="none"/>
        </w:tabs>
        <w:spacing w:line="240" w:lineRule="auto" w:before="0" w:after="0"/>
        <w:ind w:left="1288" w:right="0" w:hanging="720"/>
        <w:jc w:val="left"/>
      </w:pPr>
      <w:bookmarkStart w:name="_bookmark21" w:id="22"/>
      <w:bookmarkEnd w:id="22"/>
      <w:r>
        <w:rPr/>
        <w:t>P</w:t>
      </w:r>
      <w:r>
        <w:rPr/>
        <w:t>enelitian</w:t>
      </w:r>
      <w:r>
        <w:rPr>
          <w:spacing w:val="-5"/>
        </w:rPr>
        <w:t> </w:t>
      </w:r>
      <w:r>
        <w:rPr>
          <w:spacing w:val="-2"/>
        </w:rPr>
        <w:t>Terdahulu</w:t>
      </w:r>
    </w:p>
    <w:p>
      <w:pPr>
        <w:pStyle w:val="BodyText"/>
        <w:spacing w:before="3"/>
        <w:rPr>
          <w:b/>
        </w:rPr>
      </w:pPr>
    </w:p>
    <w:p>
      <w:pPr>
        <w:spacing w:before="0"/>
        <w:ind w:left="3441" w:right="0" w:firstLine="0"/>
        <w:jc w:val="left"/>
        <w:rPr>
          <w:b/>
          <w:sz w:val="22"/>
        </w:rPr>
      </w:pPr>
      <w:bookmarkStart w:name="_bookmark22" w:id="23"/>
      <w:bookmarkEnd w:id="23"/>
      <w:r>
        <w:rPr/>
      </w:r>
      <w:r>
        <w:rPr>
          <w:b/>
          <w:sz w:val="22"/>
        </w:rPr>
        <w:t>Tabel</w:t>
      </w:r>
      <w:r>
        <w:rPr>
          <w:b/>
          <w:spacing w:val="-10"/>
          <w:sz w:val="22"/>
        </w:rPr>
        <w:t> </w:t>
      </w:r>
      <w:r>
        <w:rPr>
          <w:b/>
          <w:sz w:val="22"/>
        </w:rPr>
        <w:t>2.1</w:t>
      </w:r>
      <w:r>
        <w:rPr>
          <w:b/>
          <w:spacing w:val="-13"/>
          <w:sz w:val="22"/>
        </w:rPr>
        <w:t> </w:t>
      </w:r>
      <w:r>
        <w:rPr>
          <w:b/>
          <w:sz w:val="22"/>
        </w:rPr>
        <w:t>Penelitian</w:t>
      </w:r>
      <w:r>
        <w:rPr>
          <w:b/>
          <w:spacing w:val="-10"/>
          <w:sz w:val="22"/>
        </w:rPr>
        <w:t> </w:t>
      </w:r>
      <w:r>
        <w:rPr>
          <w:b/>
          <w:spacing w:val="-2"/>
          <w:sz w:val="22"/>
        </w:rPr>
        <w:t>Terdahulu</w:t>
      </w:r>
    </w:p>
    <w:p>
      <w:pPr>
        <w:pStyle w:val="BodyText"/>
        <w:spacing w:before="5"/>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
        <w:gridCol w:w="1688"/>
        <w:gridCol w:w="1972"/>
        <w:gridCol w:w="1836"/>
        <w:gridCol w:w="2401"/>
      </w:tblGrid>
      <w:tr>
        <w:trPr>
          <w:trHeight w:val="461" w:hRule="atLeast"/>
        </w:trPr>
        <w:tc>
          <w:tcPr>
            <w:tcW w:w="464" w:type="dxa"/>
          </w:tcPr>
          <w:p>
            <w:pPr>
              <w:pStyle w:val="TableParagraph"/>
              <w:spacing w:before="56"/>
              <w:ind w:left="4" w:right="1"/>
              <w:jc w:val="center"/>
              <w:rPr>
                <w:b/>
                <w:sz w:val="20"/>
              </w:rPr>
            </w:pPr>
            <w:r>
              <w:rPr>
                <w:b/>
                <w:spacing w:val="-5"/>
                <w:sz w:val="20"/>
              </w:rPr>
              <w:t>No</w:t>
            </w:r>
          </w:p>
        </w:tc>
        <w:tc>
          <w:tcPr>
            <w:tcW w:w="1688" w:type="dxa"/>
          </w:tcPr>
          <w:p>
            <w:pPr>
              <w:pStyle w:val="TableParagraph"/>
              <w:spacing w:line="228" w:lineRule="exact"/>
              <w:ind w:left="135" w:right="104" w:hanging="8"/>
              <w:rPr>
                <w:b/>
                <w:sz w:val="20"/>
              </w:rPr>
            </w:pPr>
            <w:r>
              <w:rPr>
                <w:b/>
                <w:sz w:val="20"/>
              </w:rPr>
              <w:t>Nama</w:t>
            </w:r>
            <w:r>
              <w:rPr>
                <w:b/>
                <w:spacing w:val="-13"/>
                <w:sz w:val="20"/>
              </w:rPr>
              <w:t> </w:t>
            </w:r>
            <w:r>
              <w:rPr>
                <w:b/>
                <w:sz w:val="20"/>
              </w:rPr>
              <w:t>Peneliti</w:t>
            </w:r>
            <w:r>
              <w:rPr>
                <w:b/>
                <w:spacing w:val="-12"/>
                <w:sz w:val="20"/>
              </w:rPr>
              <w:t> </w:t>
            </w:r>
            <w:r>
              <w:rPr>
                <w:b/>
                <w:sz w:val="20"/>
              </w:rPr>
              <w:t>&amp; tahun</w:t>
            </w:r>
            <w:r>
              <w:rPr>
                <w:b/>
                <w:spacing w:val="2"/>
                <w:sz w:val="20"/>
              </w:rPr>
              <w:t> </w:t>
            </w:r>
            <w:r>
              <w:rPr>
                <w:b/>
                <w:spacing w:val="-2"/>
                <w:sz w:val="20"/>
              </w:rPr>
              <w:t>Penelitian</w:t>
            </w:r>
          </w:p>
        </w:tc>
        <w:tc>
          <w:tcPr>
            <w:tcW w:w="1972" w:type="dxa"/>
          </w:tcPr>
          <w:p>
            <w:pPr>
              <w:pStyle w:val="TableParagraph"/>
              <w:spacing w:before="56"/>
              <w:ind w:left="288"/>
              <w:rPr>
                <w:b/>
                <w:sz w:val="20"/>
              </w:rPr>
            </w:pPr>
            <w:r>
              <w:rPr>
                <w:b/>
                <w:sz w:val="20"/>
              </w:rPr>
              <w:t>Judul</w:t>
            </w:r>
            <w:r>
              <w:rPr>
                <w:b/>
                <w:spacing w:val="-5"/>
                <w:sz w:val="20"/>
              </w:rPr>
              <w:t> </w:t>
            </w:r>
            <w:r>
              <w:rPr>
                <w:b/>
                <w:spacing w:val="-2"/>
                <w:sz w:val="20"/>
              </w:rPr>
              <w:t>Penelitian</w:t>
            </w:r>
          </w:p>
        </w:tc>
        <w:tc>
          <w:tcPr>
            <w:tcW w:w="1836" w:type="dxa"/>
          </w:tcPr>
          <w:p>
            <w:pPr>
              <w:pStyle w:val="TableParagraph"/>
              <w:spacing w:line="228" w:lineRule="exact"/>
              <w:ind w:left="488" w:firstLine="68"/>
              <w:rPr>
                <w:b/>
                <w:sz w:val="20"/>
              </w:rPr>
            </w:pPr>
            <w:r>
              <w:rPr>
                <w:b/>
                <w:spacing w:val="-2"/>
                <w:sz w:val="20"/>
              </w:rPr>
              <w:t>Variabel Penelitian</w:t>
            </w:r>
          </w:p>
        </w:tc>
        <w:tc>
          <w:tcPr>
            <w:tcW w:w="2401" w:type="dxa"/>
          </w:tcPr>
          <w:p>
            <w:pPr>
              <w:pStyle w:val="TableParagraph"/>
              <w:spacing w:before="56"/>
              <w:ind w:left="529"/>
              <w:rPr>
                <w:b/>
                <w:sz w:val="20"/>
              </w:rPr>
            </w:pPr>
            <w:r>
              <w:rPr>
                <w:b/>
                <w:sz w:val="20"/>
              </w:rPr>
              <w:t>Hasil</w:t>
            </w:r>
            <w:r>
              <w:rPr>
                <w:b/>
                <w:spacing w:val="-8"/>
                <w:sz w:val="20"/>
              </w:rPr>
              <w:t> </w:t>
            </w:r>
            <w:r>
              <w:rPr>
                <w:b/>
                <w:spacing w:val="-2"/>
                <w:sz w:val="20"/>
              </w:rPr>
              <w:t>penelitian</w:t>
            </w:r>
          </w:p>
        </w:tc>
      </w:tr>
      <w:tr>
        <w:trPr>
          <w:trHeight w:val="1838" w:hRule="atLeast"/>
        </w:trPr>
        <w:tc>
          <w:tcPr>
            <w:tcW w:w="464" w:type="dxa"/>
          </w:tcPr>
          <w:p>
            <w:pPr>
              <w:pStyle w:val="TableParagraph"/>
              <w:spacing w:line="222" w:lineRule="exact"/>
              <w:ind w:left="4"/>
              <w:jc w:val="center"/>
              <w:rPr>
                <w:sz w:val="20"/>
              </w:rPr>
            </w:pPr>
            <w:r>
              <w:rPr>
                <w:spacing w:val="-10"/>
                <w:sz w:val="20"/>
              </w:rPr>
              <w:t>1</w:t>
            </w:r>
          </w:p>
        </w:tc>
        <w:tc>
          <w:tcPr>
            <w:tcW w:w="1688" w:type="dxa"/>
          </w:tcPr>
          <w:p>
            <w:pPr>
              <w:pStyle w:val="TableParagraph"/>
              <w:spacing w:line="242" w:lineRule="auto"/>
              <w:ind w:left="103" w:right="104"/>
              <w:rPr>
                <w:sz w:val="20"/>
              </w:rPr>
            </w:pPr>
            <w:r>
              <w:rPr>
                <w:sz w:val="20"/>
              </w:rPr>
              <w:t>Bugshan</w:t>
            </w:r>
            <w:r>
              <w:rPr>
                <w:spacing w:val="-13"/>
                <w:sz w:val="20"/>
              </w:rPr>
              <w:t> </w:t>
            </w:r>
            <w:r>
              <w:rPr>
                <w:sz w:val="20"/>
              </w:rPr>
              <w:t>et</w:t>
            </w:r>
            <w:r>
              <w:rPr>
                <w:spacing w:val="-12"/>
                <w:sz w:val="20"/>
              </w:rPr>
              <w:t> </w:t>
            </w:r>
            <w:r>
              <w:rPr>
                <w:sz w:val="20"/>
              </w:rPr>
              <w:t>al. </w:t>
            </w:r>
            <w:r>
              <w:rPr>
                <w:spacing w:val="-2"/>
                <w:sz w:val="20"/>
              </w:rPr>
              <w:t>(2024)</w:t>
            </w:r>
          </w:p>
        </w:tc>
        <w:tc>
          <w:tcPr>
            <w:tcW w:w="1972" w:type="dxa"/>
          </w:tcPr>
          <w:p>
            <w:pPr>
              <w:pStyle w:val="TableParagraph"/>
              <w:ind w:left="108" w:right="324"/>
              <w:rPr>
                <w:i/>
                <w:sz w:val="20"/>
              </w:rPr>
            </w:pPr>
            <w:r>
              <w:rPr>
                <w:i/>
                <w:sz w:val="20"/>
              </w:rPr>
              <w:t>Carbon</w:t>
            </w:r>
            <w:r>
              <w:rPr>
                <w:i/>
                <w:spacing w:val="-13"/>
                <w:sz w:val="20"/>
              </w:rPr>
              <w:t> </w:t>
            </w:r>
            <w:r>
              <w:rPr>
                <w:i/>
                <w:sz w:val="20"/>
              </w:rPr>
              <w:t>assurance, corporate capital structure,</w:t>
            </w:r>
            <w:r>
              <w:rPr>
                <w:i/>
                <w:spacing w:val="-13"/>
                <w:sz w:val="20"/>
              </w:rPr>
              <w:t> </w:t>
            </w:r>
            <w:r>
              <w:rPr>
                <w:i/>
                <w:sz w:val="20"/>
              </w:rPr>
              <w:t>and</w:t>
            </w:r>
            <w:r>
              <w:rPr>
                <w:i/>
                <w:spacing w:val="-12"/>
                <w:sz w:val="20"/>
              </w:rPr>
              <w:t> </w:t>
            </w:r>
            <w:r>
              <w:rPr>
                <w:i/>
                <w:sz w:val="20"/>
              </w:rPr>
              <w:t>debt maturity: Global </w:t>
            </w:r>
            <w:r>
              <w:rPr>
                <w:i/>
                <w:spacing w:val="-2"/>
                <w:sz w:val="20"/>
              </w:rPr>
              <w:t>evidence</w:t>
            </w:r>
          </w:p>
        </w:tc>
        <w:tc>
          <w:tcPr>
            <w:tcW w:w="1836" w:type="dxa"/>
          </w:tcPr>
          <w:p>
            <w:pPr>
              <w:pStyle w:val="TableParagraph"/>
              <w:spacing w:line="222" w:lineRule="exact"/>
              <w:ind w:left="108"/>
              <w:rPr>
                <w:sz w:val="20"/>
              </w:rPr>
            </w:pPr>
            <w:r>
              <w:rPr>
                <w:spacing w:val="-2"/>
                <w:sz w:val="20"/>
              </w:rPr>
              <w:t>Dependen:</w:t>
            </w:r>
          </w:p>
          <w:p>
            <w:pPr>
              <w:pStyle w:val="TableParagraph"/>
              <w:numPr>
                <w:ilvl w:val="0"/>
                <w:numId w:val="14"/>
              </w:numPr>
              <w:tabs>
                <w:tab w:pos="227" w:val="left" w:leader="none"/>
              </w:tabs>
              <w:spacing w:line="229" w:lineRule="exact" w:before="2" w:after="0"/>
              <w:ind w:left="227" w:right="0" w:hanging="119"/>
              <w:jc w:val="left"/>
              <w:rPr>
                <w:sz w:val="20"/>
              </w:rPr>
            </w:pPr>
            <w:r>
              <w:rPr>
                <w:i/>
                <w:spacing w:val="-2"/>
                <w:sz w:val="20"/>
              </w:rPr>
              <w:t>Leverage</w:t>
            </w:r>
          </w:p>
          <w:p>
            <w:pPr>
              <w:pStyle w:val="TableParagraph"/>
              <w:numPr>
                <w:ilvl w:val="0"/>
                <w:numId w:val="14"/>
              </w:numPr>
              <w:tabs>
                <w:tab w:pos="227" w:val="left" w:leader="none"/>
              </w:tabs>
              <w:spacing w:line="229" w:lineRule="exact" w:before="0" w:after="0"/>
              <w:ind w:left="227" w:right="0" w:hanging="119"/>
              <w:jc w:val="left"/>
              <w:rPr>
                <w:i/>
                <w:sz w:val="20"/>
              </w:rPr>
            </w:pPr>
            <w:r>
              <w:rPr>
                <w:i/>
                <w:sz w:val="20"/>
              </w:rPr>
              <w:t>Debt</w:t>
            </w:r>
            <w:r>
              <w:rPr>
                <w:i/>
                <w:spacing w:val="-4"/>
                <w:sz w:val="20"/>
              </w:rPr>
              <w:t> </w:t>
            </w:r>
            <w:r>
              <w:rPr>
                <w:i/>
                <w:spacing w:val="-2"/>
                <w:sz w:val="20"/>
              </w:rPr>
              <w:t>Maturity</w:t>
            </w:r>
          </w:p>
          <w:p>
            <w:pPr>
              <w:pStyle w:val="TableParagraph"/>
              <w:spacing w:line="229" w:lineRule="exact" w:before="2"/>
              <w:ind w:left="108"/>
              <w:rPr>
                <w:sz w:val="20"/>
              </w:rPr>
            </w:pPr>
            <w:r>
              <w:rPr>
                <w:spacing w:val="-2"/>
                <w:sz w:val="20"/>
              </w:rPr>
              <w:t>Independen:</w:t>
            </w:r>
          </w:p>
          <w:p>
            <w:pPr>
              <w:pStyle w:val="TableParagraph"/>
              <w:numPr>
                <w:ilvl w:val="0"/>
                <w:numId w:val="14"/>
              </w:numPr>
              <w:tabs>
                <w:tab w:pos="227" w:val="left" w:leader="none"/>
              </w:tabs>
              <w:spacing w:line="229" w:lineRule="exact" w:before="0" w:after="0"/>
              <w:ind w:left="227" w:right="0" w:hanging="119"/>
              <w:jc w:val="left"/>
              <w:rPr>
                <w:i/>
                <w:sz w:val="20"/>
              </w:rPr>
            </w:pPr>
            <w:r>
              <w:rPr>
                <w:i/>
                <w:sz w:val="20"/>
              </w:rPr>
              <w:t>Carbon</w:t>
            </w:r>
            <w:r>
              <w:rPr>
                <w:i/>
                <w:spacing w:val="-7"/>
                <w:sz w:val="20"/>
              </w:rPr>
              <w:t> </w:t>
            </w:r>
            <w:r>
              <w:rPr>
                <w:i/>
                <w:spacing w:val="-2"/>
                <w:sz w:val="20"/>
              </w:rPr>
              <w:t>Assurance</w:t>
            </w:r>
          </w:p>
        </w:tc>
        <w:tc>
          <w:tcPr>
            <w:tcW w:w="2401" w:type="dxa"/>
          </w:tcPr>
          <w:p>
            <w:pPr>
              <w:pStyle w:val="TableParagraph"/>
              <w:numPr>
                <w:ilvl w:val="0"/>
                <w:numId w:val="15"/>
              </w:numPr>
              <w:tabs>
                <w:tab w:pos="224" w:val="left" w:leader="none"/>
              </w:tabs>
              <w:spacing w:line="240" w:lineRule="auto" w:before="0" w:after="0"/>
              <w:ind w:left="105" w:right="679" w:firstLine="0"/>
              <w:jc w:val="left"/>
              <w:rPr>
                <w:i/>
                <w:sz w:val="20"/>
              </w:rPr>
            </w:pPr>
            <w:r>
              <w:rPr>
                <w:i/>
                <w:spacing w:val="-2"/>
                <w:sz w:val="20"/>
              </w:rPr>
              <w:t>Carbon</w:t>
            </w:r>
            <w:r>
              <w:rPr>
                <w:i/>
                <w:spacing w:val="-11"/>
                <w:sz w:val="20"/>
              </w:rPr>
              <w:t> </w:t>
            </w:r>
            <w:r>
              <w:rPr>
                <w:i/>
                <w:spacing w:val="-2"/>
                <w:sz w:val="20"/>
              </w:rPr>
              <w:t>Assurance </w:t>
            </w:r>
            <w:r>
              <w:rPr>
                <w:sz w:val="20"/>
              </w:rPr>
              <w:t>berpengaruh positif signifikan dengan </w:t>
            </w:r>
            <w:r>
              <w:rPr>
                <w:i/>
                <w:spacing w:val="-2"/>
                <w:sz w:val="20"/>
              </w:rPr>
              <w:t>Leverage</w:t>
            </w:r>
          </w:p>
          <w:p>
            <w:pPr>
              <w:pStyle w:val="TableParagraph"/>
              <w:numPr>
                <w:ilvl w:val="0"/>
                <w:numId w:val="15"/>
              </w:numPr>
              <w:tabs>
                <w:tab w:pos="224" w:val="left" w:leader="none"/>
              </w:tabs>
              <w:spacing w:line="240" w:lineRule="auto" w:before="0" w:after="0"/>
              <w:ind w:left="105" w:right="419" w:firstLine="0"/>
              <w:jc w:val="left"/>
              <w:rPr>
                <w:i/>
                <w:sz w:val="20"/>
              </w:rPr>
            </w:pPr>
            <w:r>
              <w:rPr>
                <w:i/>
                <w:sz w:val="20"/>
              </w:rPr>
              <w:t>Carbon Assurance </w:t>
            </w:r>
            <w:r>
              <w:rPr>
                <w:sz w:val="20"/>
              </w:rPr>
              <w:t>berpengaruh positif signifikan</w:t>
            </w:r>
            <w:r>
              <w:rPr>
                <w:spacing w:val="-13"/>
                <w:sz w:val="20"/>
              </w:rPr>
              <w:t> </w:t>
            </w:r>
            <w:r>
              <w:rPr>
                <w:sz w:val="20"/>
              </w:rPr>
              <w:t>dengan</w:t>
            </w:r>
            <w:r>
              <w:rPr>
                <w:spacing w:val="-12"/>
                <w:sz w:val="20"/>
              </w:rPr>
              <w:t> </w:t>
            </w:r>
            <w:r>
              <w:rPr>
                <w:i/>
                <w:sz w:val="20"/>
              </w:rPr>
              <w:t>Debt</w:t>
            </w:r>
          </w:p>
          <w:p>
            <w:pPr>
              <w:pStyle w:val="TableParagraph"/>
              <w:spacing w:line="214" w:lineRule="exact"/>
              <w:ind w:left="105"/>
              <w:rPr>
                <w:i/>
                <w:sz w:val="20"/>
              </w:rPr>
            </w:pPr>
            <w:r>
              <w:rPr>
                <w:i/>
                <w:spacing w:val="-2"/>
                <w:sz w:val="20"/>
              </w:rPr>
              <w:t>Maturity</w:t>
            </w:r>
          </w:p>
        </w:tc>
      </w:tr>
      <w:tr>
        <w:trPr>
          <w:trHeight w:val="2530" w:hRule="atLeast"/>
        </w:trPr>
        <w:tc>
          <w:tcPr>
            <w:tcW w:w="464" w:type="dxa"/>
          </w:tcPr>
          <w:p>
            <w:pPr>
              <w:pStyle w:val="TableParagraph"/>
              <w:spacing w:line="226" w:lineRule="exact"/>
              <w:ind w:left="4"/>
              <w:jc w:val="center"/>
              <w:rPr>
                <w:sz w:val="20"/>
              </w:rPr>
            </w:pPr>
            <w:r>
              <w:rPr>
                <w:spacing w:val="-10"/>
                <w:sz w:val="20"/>
              </w:rPr>
              <w:t>2</w:t>
            </w:r>
          </w:p>
        </w:tc>
        <w:tc>
          <w:tcPr>
            <w:tcW w:w="1688" w:type="dxa"/>
          </w:tcPr>
          <w:p>
            <w:pPr>
              <w:pStyle w:val="TableParagraph"/>
              <w:spacing w:line="237" w:lineRule="auto"/>
              <w:ind w:left="103" w:right="104"/>
              <w:rPr>
                <w:sz w:val="20"/>
              </w:rPr>
            </w:pPr>
            <w:r>
              <w:rPr>
                <w:sz w:val="20"/>
              </w:rPr>
              <w:t>Kheireddine</w:t>
            </w:r>
            <w:r>
              <w:rPr>
                <w:spacing w:val="-13"/>
                <w:sz w:val="20"/>
              </w:rPr>
              <w:t> </w:t>
            </w:r>
            <w:r>
              <w:rPr>
                <w:sz w:val="20"/>
              </w:rPr>
              <w:t>et</w:t>
            </w:r>
            <w:r>
              <w:rPr>
                <w:spacing w:val="-12"/>
                <w:sz w:val="20"/>
              </w:rPr>
              <w:t> </w:t>
            </w:r>
            <w:r>
              <w:rPr>
                <w:sz w:val="20"/>
              </w:rPr>
              <w:t>al. </w:t>
            </w:r>
            <w:r>
              <w:rPr>
                <w:spacing w:val="-2"/>
                <w:sz w:val="20"/>
              </w:rPr>
              <w:t>(2024)</w:t>
            </w:r>
          </w:p>
        </w:tc>
        <w:tc>
          <w:tcPr>
            <w:tcW w:w="1972" w:type="dxa"/>
          </w:tcPr>
          <w:p>
            <w:pPr>
              <w:pStyle w:val="TableParagraph"/>
              <w:spacing w:line="237" w:lineRule="auto"/>
              <w:ind w:left="108"/>
              <w:rPr>
                <w:i/>
                <w:sz w:val="20"/>
              </w:rPr>
            </w:pPr>
            <w:r>
              <w:rPr>
                <w:i/>
                <w:sz w:val="20"/>
              </w:rPr>
              <w:t>The</w:t>
            </w:r>
            <w:r>
              <w:rPr>
                <w:i/>
                <w:spacing w:val="-13"/>
                <w:sz w:val="20"/>
              </w:rPr>
              <w:t> </w:t>
            </w:r>
            <w:r>
              <w:rPr>
                <w:i/>
                <w:sz w:val="20"/>
              </w:rPr>
              <w:t>moderating</w:t>
            </w:r>
            <w:r>
              <w:rPr>
                <w:i/>
                <w:spacing w:val="-12"/>
                <w:sz w:val="20"/>
              </w:rPr>
              <w:t> </w:t>
            </w:r>
            <w:r>
              <w:rPr>
                <w:i/>
                <w:sz w:val="20"/>
              </w:rPr>
              <w:t>effect of environmental</w:t>
            </w:r>
          </w:p>
          <w:p>
            <w:pPr>
              <w:pStyle w:val="TableParagraph"/>
              <w:spacing w:before="1"/>
              <w:ind w:left="108" w:right="157"/>
              <w:rPr>
                <w:i/>
                <w:sz w:val="20"/>
              </w:rPr>
            </w:pPr>
            <w:r>
              <w:rPr>
                <w:i/>
                <w:sz w:val="20"/>
              </w:rPr>
              <w:t>performance on the </w:t>
            </w:r>
            <w:r>
              <w:rPr>
                <w:i/>
                <w:spacing w:val="-2"/>
                <w:sz w:val="20"/>
              </w:rPr>
              <w:t>relationship</w:t>
            </w:r>
            <w:r>
              <w:rPr>
                <w:i/>
                <w:spacing w:val="-11"/>
                <w:sz w:val="20"/>
              </w:rPr>
              <w:t> </w:t>
            </w:r>
            <w:r>
              <w:rPr>
                <w:i/>
                <w:spacing w:val="-2"/>
                <w:sz w:val="20"/>
              </w:rPr>
              <w:t>between sustainability </w:t>
            </w:r>
            <w:r>
              <w:rPr>
                <w:i/>
                <w:sz w:val="20"/>
              </w:rPr>
              <w:t>assurance quality and firm value: a</w:t>
            </w:r>
          </w:p>
          <w:p>
            <w:pPr>
              <w:pStyle w:val="TableParagraph"/>
              <w:spacing w:line="228" w:lineRule="exact"/>
              <w:ind w:left="108"/>
              <w:rPr>
                <w:i/>
                <w:sz w:val="20"/>
              </w:rPr>
            </w:pPr>
            <w:r>
              <w:rPr>
                <w:i/>
                <w:spacing w:val="-2"/>
                <w:sz w:val="20"/>
              </w:rPr>
              <w:t>simultaneous</w:t>
            </w:r>
          </w:p>
          <w:p>
            <w:pPr>
              <w:pStyle w:val="TableParagraph"/>
              <w:spacing w:before="2"/>
              <w:ind w:left="108"/>
              <w:rPr>
                <w:i/>
                <w:sz w:val="20"/>
              </w:rPr>
            </w:pPr>
            <w:r>
              <w:rPr>
                <w:i/>
                <w:sz w:val="20"/>
              </w:rPr>
              <w:t>equations</w:t>
            </w:r>
            <w:r>
              <w:rPr>
                <w:i/>
                <w:spacing w:val="-4"/>
                <w:sz w:val="20"/>
              </w:rPr>
              <w:t> </w:t>
            </w:r>
            <w:r>
              <w:rPr>
                <w:i/>
                <w:spacing w:val="-2"/>
                <w:sz w:val="20"/>
              </w:rPr>
              <w:t>approach</w:t>
            </w:r>
          </w:p>
        </w:tc>
        <w:tc>
          <w:tcPr>
            <w:tcW w:w="1836" w:type="dxa"/>
          </w:tcPr>
          <w:p>
            <w:pPr>
              <w:pStyle w:val="TableParagraph"/>
              <w:spacing w:line="225" w:lineRule="exact"/>
              <w:ind w:left="108"/>
              <w:rPr>
                <w:sz w:val="20"/>
              </w:rPr>
            </w:pPr>
            <w:r>
              <w:rPr>
                <w:spacing w:val="-2"/>
                <w:sz w:val="20"/>
              </w:rPr>
              <w:t>Dependen:</w:t>
            </w:r>
          </w:p>
          <w:p>
            <w:pPr>
              <w:pStyle w:val="TableParagraph"/>
              <w:numPr>
                <w:ilvl w:val="0"/>
                <w:numId w:val="16"/>
              </w:numPr>
              <w:tabs>
                <w:tab w:pos="227" w:val="left" w:leader="none"/>
              </w:tabs>
              <w:spacing w:line="229" w:lineRule="exact" w:before="0" w:after="0"/>
              <w:ind w:left="227" w:right="0" w:hanging="119"/>
              <w:jc w:val="left"/>
              <w:rPr>
                <w:i/>
                <w:sz w:val="20"/>
              </w:rPr>
            </w:pPr>
            <w:r>
              <w:rPr>
                <w:i/>
                <w:sz w:val="20"/>
              </w:rPr>
              <w:t>Firm</w:t>
            </w:r>
            <w:r>
              <w:rPr>
                <w:i/>
                <w:spacing w:val="-5"/>
                <w:sz w:val="20"/>
              </w:rPr>
              <w:t> </w:t>
            </w:r>
            <w:r>
              <w:rPr>
                <w:i/>
                <w:spacing w:val="-2"/>
                <w:sz w:val="20"/>
              </w:rPr>
              <w:t>Value</w:t>
            </w:r>
          </w:p>
          <w:p>
            <w:pPr>
              <w:pStyle w:val="TableParagraph"/>
              <w:spacing w:line="229" w:lineRule="exact" w:before="2"/>
              <w:ind w:left="108"/>
              <w:rPr>
                <w:sz w:val="20"/>
              </w:rPr>
            </w:pPr>
            <w:r>
              <w:rPr>
                <w:spacing w:val="-2"/>
                <w:sz w:val="20"/>
              </w:rPr>
              <w:t>Independen:</w:t>
            </w:r>
          </w:p>
          <w:p>
            <w:pPr>
              <w:pStyle w:val="TableParagraph"/>
              <w:numPr>
                <w:ilvl w:val="0"/>
                <w:numId w:val="16"/>
              </w:numPr>
              <w:tabs>
                <w:tab w:pos="227" w:val="left" w:leader="none"/>
              </w:tabs>
              <w:spacing w:line="229" w:lineRule="exact" w:before="0" w:after="0"/>
              <w:ind w:left="227" w:right="0" w:hanging="119"/>
              <w:jc w:val="left"/>
              <w:rPr>
                <w:i/>
                <w:sz w:val="20"/>
              </w:rPr>
            </w:pPr>
            <w:r>
              <w:rPr>
                <w:i/>
                <w:sz w:val="20"/>
              </w:rPr>
              <w:t>Assurance</w:t>
            </w:r>
            <w:r>
              <w:rPr>
                <w:i/>
                <w:spacing w:val="-6"/>
                <w:sz w:val="20"/>
              </w:rPr>
              <w:t> </w:t>
            </w:r>
            <w:r>
              <w:rPr>
                <w:i/>
                <w:spacing w:val="-2"/>
                <w:sz w:val="20"/>
              </w:rPr>
              <w:t>Quality</w:t>
            </w:r>
          </w:p>
          <w:p>
            <w:pPr>
              <w:pStyle w:val="TableParagraph"/>
              <w:spacing w:line="229" w:lineRule="exact" w:before="2"/>
              <w:ind w:left="108"/>
              <w:rPr>
                <w:sz w:val="20"/>
              </w:rPr>
            </w:pPr>
            <w:r>
              <w:rPr>
                <w:spacing w:val="-2"/>
                <w:sz w:val="20"/>
              </w:rPr>
              <w:t>Moderasi:</w:t>
            </w:r>
          </w:p>
          <w:p>
            <w:pPr>
              <w:pStyle w:val="TableParagraph"/>
              <w:spacing w:line="229" w:lineRule="exact"/>
              <w:ind w:left="108"/>
              <w:rPr>
                <w:i/>
                <w:sz w:val="20"/>
              </w:rPr>
            </w:pPr>
            <w:r>
              <w:rPr>
                <w:i/>
                <w:spacing w:val="-2"/>
                <w:sz w:val="20"/>
              </w:rPr>
              <w:t>Corporate</w:t>
            </w:r>
          </w:p>
          <w:p>
            <w:pPr>
              <w:pStyle w:val="TableParagraph"/>
              <w:spacing w:before="2"/>
              <w:ind w:left="108" w:right="535"/>
              <w:rPr>
                <w:i/>
                <w:sz w:val="20"/>
              </w:rPr>
            </w:pPr>
            <w:r>
              <w:rPr>
                <w:i/>
                <w:spacing w:val="-2"/>
                <w:sz w:val="20"/>
              </w:rPr>
              <w:t>Environmental Sustainability</w:t>
            </w:r>
          </w:p>
          <w:p>
            <w:pPr>
              <w:pStyle w:val="TableParagraph"/>
              <w:spacing w:before="1"/>
              <w:ind w:left="108"/>
              <w:rPr>
                <w:sz w:val="20"/>
              </w:rPr>
            </w:pPr>
            <w:r>
              <w:rPr>
                <w:i/>
                <w:sz w:val="20"/>
              </w:rPr>
              <w:t>Performace</w:t>
            </w:r>
            <w:r>
              <w:rPr>
                <w:i/>
                <w:spacing w:val="-8"/>
                <w:sz w:val="20"/>
              </w:rPr>
              <w:t> </w:t>
            </w:r>
            <w:r>
              <w:rPr>
                <w:spacing w:val="-2"/>
                <w:sz w:val="20"/>
              </w:rPr>
              <w:t>(CESP)</w:t>
            </w:r>
          </w:p>
        </w:tc>
        <w:tc>
          <w:tcPr>
            <w:tcW w:w="2401" w:type="dxa"/>
          </w:tcPr>
          <w:p>
            <w:pPr>
              <w:pStyle w:val="TableParagraph"/>
              <w:numPr>
                <w:ilvl w:val="0"/>
                <w:numId w:val="17"/>
              </w:numPr>
              <w:tabs>
                <w:tab w:pos="224" w:val="left" w:leader="none"/>
              </w:tabs>
              <w:spacing w:line="240" w:lineRule="auto" w:before="0" w:after="0"/>
              <w:ind w:left="105" w:right="278" w:firstLine="0"/>
              <w:jc w:val="left"/>
              <w:rPr>
                <w:i/>
                <w:sz w:val="20"/>
              </w:rPr>
            </w:pPr>
            <w:r>
              <w:rPr>
                <w:i/>
                <w:sz w:val="20"/>
              </w:rPr>
              <w:t>Assurance Quality </w:t>
            </w:r>
            <w:r>
              <w:rPr>
                <w:sz w:val="20"/>
              </w:rPr>
              <w:t>berpengaruh</w:t>
            </w:r>
            <w:r>
              <w:rPr>
                <w:spacing w:val="-13"/>
                <w:sz w:val="20"/>
              </w:rPr>
              <w:t> </w:t>
            </w:r>
            <w:r>
              <w:rPr>
                <w:sz w:val="20"/>
              </w:rPr>
              <w:t>positif</w:t>
            </w:r>
            <w:r>
              <w:rPr>
                <w:spacing w:val="-12"/>
                <w:sz w:val="20"/>
              </w:rPr>
              <w:t> </w:t>
            </w:r>
            <w:r>
              <w:rPr>
                <w:sz w:val="20"/>
              </w:rPr>
              <w:t>tidak signifikan</w:t>
            </w:r>
            <w:r>
              <w:rPr>
                <w:spacing w:val="-13"/>
                <w:sz w:val="20"/>
              </w:rPr>
              <w:t> </w:t>
            </w:r>
            <w:r>
              <w:rPr>
                <w:sz w:val="20"/>
              </w:rPr>
              <w:t>terhadap</w:t>
            </w:r>
            <w:r>
              <w:rPr>
                <w:spacing w:val="-8"/>
                <w:sz w:val="20"/>
              </w:rPr>
              <w:t> </w:t>
            </w:r>
            <w:r>
              <w:rPr>
                <w:i/>
                <w:sz w:val="20"/>
              </w:rPr>
              <w:t>Firm </w:t>
            </w:r>
            <w:r>
              <w:rPr>
                <w:i/>
                <w:spacing w:val="-2"/>
                <w:sz w:val="20"/>
              </w:rPr>
              <w:t>Value</w:t>
            </w:r>
          </w:p>
          <w:p>
            <w:pPr>
              <w:pStyle w:val="TableParagraph"/>
              <w:numPr>
                <w:ilvl w:val="0"/>
                <w:numId w:val="17"/>
              </w:numPr>
              <w:tabs>
                <w:tab w:pos="224" w:val="left" w:leader="none"/>
              </w:tabs>
              <w:spacing w:line="240" w:lineRule="auto" w:before="0" w:after="0"/>
              <w:ind w:left="105" w:right="189" w:firstLine="0"/>
              <w:jc w:val="left"/>
              <w:rPr>
                <w:i/>
                <w:sz w:val="20"/>
              </w:rPr>
            </w:pPr>
            <w:r>
              <w:rPr>
                <w:sz w:val="20"/>
              </w:rPr>
              <w:t>CESP</w:t>
            </w:r>
            <w:r>
              <w:rPr>
                <w:spacing w:val="-11"/>
                <w:sz w:val="20"/>
              </w:rPr>
              <w:t> </w:t>
            </w:r>
            <w:r>
              <w:rPr>
                <w:sz w:val="20"/>
              </w:rPr>
              <w:t>berpengaruh positif</w:t>
            </w:r>
            <w:r>
              <w:rPr>
                <w:spacing w:val="-13"/>
                <w:sz w:val="20"/>
              </w:rPr>
              <w:t> </w:t>
            </w:r>
            <w:r>
              <w:rPr>
                <w:sz w:val="20"/>
              </w:rPr>
              <w:t>signifikan</w:t>
            </w:r>
            <w:r>
              <w:rPr>
                <w:spacing w:val="-12"/>
                <w:sz w:val="20"/>
              </w:rPr>
              <w:t> </w:t>
            </w:r>
            <w:r>
              <w:rPr>
                <w:sz w:val="20"/>
              </w:rPr>
              <w:t>terhadap </w:t>
            </w:r>
            <w:r>
              <w:rPr>
                <w:i/>
                <w:sz w:val="20"/>
              </w:rPr>
              <w:t>Firm Value</w:t>
            </w:r>
          </w:p>
          <w:p>
            <w:pPr>
              <w:pStyle w:val="TableParagraph"/>
              <w:numPr>
                <w:ilvl w:val="0"/>
                <w:numId w:val="17"/>
              </w:numPr>
              <w:tabs>
                <w:tab w:pos="224" w:val="left" w:leader="none"/>
              </w:tabs>
              <w:spacing w:line="242" w:lineRule="auto" w:before="0" w:after="0"/>
              <w:ind w:left="105" w:right="653" w:firstLine="0"/>
              <w:jc w:val="left"/>
              <w:rPr>
                <w:sz w:val="20"/>
              </w:rPr>
            </w:pPr>
            <w:r>
              <w:rPr>
                <w:spacing w:val="-2"/>
                <w:sz w:val="20"/>
              </w:rPr>
              <w:t>CESP</w:t>
            </w:r>
            <w:r>
              <w:rPr>
                <w:spacing w:val="-11"/>
                <w:sz w:val="20"/>
              </w:rPr>
              <w:t> </w:t>
            </w:r>
            <w:r>
              <w:rPr>
                <w:spacing w:val="-2"/>
                <w:sz w:val="20"/>
              </w:rPr>
              <w:t>memperkuat </w:t>
            </w:r>
            <w:r>
              <w:rPr>
                <w:sz w:val="20"/>
              </w:rPr>
              <w:t>hubungan antara</w:t>
            </w:r>
          </w:p>
          <w:p>
            <w:pPr>
              <w:pStyle w:val="TableParagraph"/>
              <w:spacing w:line="225" w:lineRule="exact"/>
              <w:ind w:left="105"/>
              <w:rPr>
                <w:sz w:val="20"/>
              </w:rPr>
            </w:pPr>
            <w:r>
              <w:rPr>
                <w:i/>
                <w:sz w:val="20"/>
              </w:rPr>
              <w:t>Assurance</w:t>
            </w:r>
            <w:r>
              <w:rPr>
                <w:i/>
                <w:spacing w:val="-3"/>
                <w:sz w:val="20"/>
              </w:rPr>
              <w:t> </w:t>
            </w:r>
            <w:r>
              <w:rPr>
                <w:i/>
                <w:sz w:val="20"/>
              </w:rPr>
              <w:t>Quality</w:t>
            </w:r>
            <w:r>
              <w:rPr>
                <w:i/>
                <w:spacing w:val="-1"/>
                <w:sz w:val="20"/>
              </w:rPr>
              <w:t> </w:t>
            </w:r>
            <w:r>
              <w:rPr>
                <w:spacing w:val="-2"/>
                <w:sz w:val="20"/>
              </w:rPr>
              <w:t>dengan</w:t>
            </w:r>
          </w:p>
          <w:p>
            <w:pPr>
              <w:pStyle w:val="TableParagraph"/>
              <w:spacing w:line="214" w:lineRule="exact"/>
              <w:ind w:left="105"/>
              <w:rPr>
                <w:i/>
                <w:sz w:val="20"/>
              </w:rPr>
            </w:pPr>
            <w:r>
              <w:rPr>
                <w:i/>
                <w:sz w:val="20"/>
              </w:rPr>
              <w:t>Firm</w:t>
            </w:r>
            <w:r>
              <w:rPr>
                <w:i/>
                <w:spacing w:val="-1"/>
                <w:sz w:val="20"/>
              </w:rPr>
              <w:t> </w:t>
            </w:r>
            <w:r>
              <w:rPr>
                <w:i/>
                <w:spacing w:val="-2"/>
                <w:sz w:val="20"/>
              </w:rPr>
              <w:t>Value</w:t>
            </w:r>
          </w:p>
        </w:tc>
      </w:tr>
      <w:tr>
        <w:trPr>
          <w:trHeight w:val="3450" w:hRule="atLeast"/>
        </w:trPr>
        <w:tc>
          <w:tcPr>
            <w:tcW w:w="464" w:type="dxa"/>
          </w:tcPr>
          <w:p>
            <w:pPr>
              <w:pStyle w:val="TableParagraph"/>
              <w:spacing w:line="226" w:lineRule="exact"/>
              <w:ind w:left="4"/>
              <w:jc w:val="center"/>
              <w:rPr>
                <w:sz w:val="20"/>
              </w:rPr>
            </w:pPr>
            <w:r>
              <w:rPr>
                <w:spacing w:val="-10"/>
                <w:sz w:val="20"/>
              </w:rPr>
              <w:t>3</w:t>
            </w:r>
          </w:p>
        </w:tc>
        <w:tc>
          <w:tcPr>
            <w:tcW w:w="1688" w:type="dxa"/>
          </w:tcPr>
          <w:p>
            <w:pPr>
              <w:pStyle w:val="TableParagraph"/>
              <w:ind w:left="103" w:right="180"/>
              <w:rPr>
                <w:sz w:val="20"/>
              </w:rPr>
            </w:pPr>
            <w:r>
              <w:rPr>
                <w:spacing w:val="-2"/>
                <w:sz w:val="20"/>
              </w:rPr>
              <w:t>Ruiz-</w:t>
            </w:r>
            <w:r>
              <w:rPr>
                <w:spacing w:val="-2"/>
                <w:sz w:val="20"/>
              </w:rPr>
              <w:t>Barbadillo </w:t>
            </w:r>
            <w:r>
              <w:rPr>
                <w:sz w:val="20"/>
              </w:rPr>
              <w:t>&amp; Martínez- Ferrero (2023)</w:t>
            </w:r>
          </w:p>
        </w:tc>
        <w:tc>
          <w:tcPr>
            <w:tcW w:w="1972" w:type="dxa"/>
          </w:tcPr>
          <w:p>
            <w:pPr>
              <w:pStyle w:val="TableParagraph"/>
              <w:ind w:left="108"/>
              <w:rPr>
                <w:i/>
                <w:sz w:val="20"/>
              </w:rPr>
            </w:pPr>
            <w:r>
              <w:rPr>
                <w:i/>
                <w:sz w:val="20"/>
              </w:rPr>
              <w:t>Is</w:t>
            </w:r>
            <w:r>
              <w:rPr>
                <w:i/>
                <w:spacing w:val="-13"/>
                <w:sz w:val="20"/>
              </w:rPr>
              <w:t> </w:t>
            </w:r>
            <w:r>
              <w:rPr>
                <w:i/>
                <w:sz w:val="20"/>
              </w:rPr>
              <w:t>tenure</w:t>
            </w:r>
            <w:r>
              <w:rPr>
                <w:i/>
                <w:spacing w:val="-12"/>
                <w:sz w:val="20"/>
              </w:rPr>
              <w:t> </w:t>
            </w:r>
            <w:r>
              <w:rPr>
                <w:i/>
                <w:sz w:val="20"/>
              </w:rPr>
              <w:t>important</w:t>
            </w:r>
            <w:r>
              <w:rPr>
                <w:i/>
                <w:spacing w:val="-13"/>
                <w:sz w:val="20"/>
              </w:rPr>
              <w:t> </w:t>
            </w:r>
            <w:r>
              <w:rPr>
                <w:i/>
                <w:sz w:val="20"/>
              </w:rPr>
              <w:t>in the sustainability assurance context?</w:t>
            </w:r>
          </w:p>
        </w:tc>
        <w:tc>
          <w:tcPr>
            <w:tcW w:w="1836" w:type="dxa"/>
          </w:tcPr>
          <w:p>
            <w:pPr>
              <w:pStyle w:val="TableParagraph"/>
              <w:spacing w:line="225" w:lineRule="exact"/>
              <w:ind w:left="108"/>
              <w:rPr>
                <w:sz w:val="20"/>
              </w:rPr>
            </w:pPr>
            <w:r>
              <w:rPr>
                <w:spacing w:val="-2"/>
                <w:sz w:val="20"/>
              </w:rPr>
              <w:t>Dependen:</w:t>
            </w:r>
          </w:p>
          <w:p>
            <w:pPr>
              <w:pStyle w:val="TableParagraph"/>
              <w:numPr>
                <w:ilvl w:val="0"/>
                <w:numId w:val="18"/>
              </w:numPr>
              <w:tabs>
                <w:tab w:pos="227" w:val="left" w:leader="none"/>
              </w:tabs>
              <w:spacing w:line="240" w:lineRule="auto" w:before="0" w:after="0"/>
              <w:ind w:left="108" w:right="640" w:firstLine="0"/>
              <w:jc w:val="left"/>
              <w:rPr>
                <w:sz w:val="20"/>
              </w:rPr>
            </w:pPr>
            <w:r>
              <w:rPr>
                <w:i/>
                <w:spacing w:val="-2"/>
                <w:sz w:val="20"/>
              </w:rPr>
              <w:t>Information Asymmetry </w:t>
            </w:r>
            <w:r>
              <w:rPr>
                <w:spacing w:val="-2"/>
                <w:sz w:val="20"/>
              </w:rPr>
              <w:t>Independen:</w:t>
            </w:r>
          </w:p>
          <w:p>
            <w:pPr>
              <w:pStyle w:val="TableParagraph"/>
              <w:numPr>
                <w:ilvl w:val="0"/>
                <w:numId w:val="18"/>
              </w:numPr>
              <w:tabs>
                <w:tab w:pos="227" w:val="left" w:leader="none"/>
              </w:tabs>
              <w:spacing w:line="240" w:lineRule="auto" w:before="1" w:after="0"/>
              <w:ind w:left="108" w:right="662" w:firstLine="0"/>
              <w:jc w:val="left"/>
              <w:rPr>
                <w:i/>
                <w:sz w:val="20"/>
              </w:rPr>
            </w:pPr>
            <w:r>
              <w:rPr>
                <w:i/>
                <w:spacing w:val="-2"/>
                <w:sz w:val="20"/>
              </w:rPr>
              <w:t>Informative </w:t>
            </w:r>
            <w:r>
              <w:rPr>
                <w:i/>
                <w:sz w:val="20"/>
              </w:rPr>
              <w:t>Content of </w:t>
            </w:r>
            <w:r>
              <w:rPr>
                <w:i/>
                <w:spacing w:val="-2"/>
                <w:sz w:val="20"/>
              </w:rPr>
              <w:t>Assurance</w:t>
            </w:r>
          </w:p>
          <w:p>
            <w:pPr>
              <w:pStyle w:val="TableParagraph"/>
              <w:spacing w:line="228" w:lineRule="exact"/>
              <w:ind w:left="108"/>
              <w:rPr>
                <w:i/>
                <w:sz w:val="20"/>
              </w:rPr>
            </w:pPr>
            <w:r>
              <w:rPr>
                <w:i/>
                <w:spacing w:val="-2"/>
                <w:sz w:val="20"/>
              </w:rPr>
              <w:t>Statements</w:t>
            </w:r>
          </w:p>
          <w:p>
            <w:pPr>
              <w:pStyle w:val="TableParagraph"/>
              <w:spacing w:line="229" w:lineRule="exact" w:before="2"/>
              <w:ind w:left="108"/>
              <w:rPr>
                <w:sz w:val="20"/>
              </w:rPr>
            </w:pPr>
            <w:r>
              <w:rPr>
                <w:spacing w:val="-2"/>
                <w:sz w:val="20"/>
              </w:rPr>
              <w:t>Moderasi:</w:t>
            </w:r>
          </w:p>
          <w:p>
            <w:pPr>
              <w:pStyle w:val="TableParagraph"/>
              <w:numPr>
                <w:ilvl w:val="0"/>
                <w:numId w:val="18"/>
              </w:numPr>
              <w:tabs>
                <w:tab w:pos="235" w:val="left" w:leader="none"/>
              </w:tabs>
              <w:spacing w:line="229" w:lineRule="exact" w:before="0" w:after="0"/>
              <w:ind w:left="235" w:right="0" w:hanging="127"/>
              <w:jc w:val="left"/>
              <w:rPr>
                <w:i/>
                <w:sz w:val="20"/>
              </w:rPr>
            </w:pPr>
            <w:r>
              <w:rPr>
                <w:i/>
                <w:sz w:val="20"/>
              </w:rPr>
              <w:t>Assurance</w:t>
            </w:r>
            <w:r>
              <w:rPr>
                <w:i/>
                <w:spacing w:val="-5"/>
                <w:sz w:val="20"/>
              </w:rPr>
              <w:t> </w:t>
            </w:r>
            <w:r>
              <w:rPr>
                <w:i/>
                <w:spacing w:val="-2"/>
                <w:sz w:val="20"/>
              </w:rPr>
              <w:t>Tenure</w:t>
            </w:r>
          </w:p>
        </w:tc>
        <w:tc>
          <w:tcPr>
            <w:tcW w:w="2401" w:type="dxa"/>
          </w:tcPr>
          <w:p>
            <w:pPr>
              <w:pStyle w:val="TableParagraph"/>
              <w:numPr>
                <w:ilvl w:val="0"/>
                <w:numId w:val="19"/>
              </w:numPr>
              <w:tabs>
                <w:tab w:pos="224" w:val="left" w:leader="none"/>
              </w:tabs>
              <w:spacing w:line="240" w:lineRule="auto" w:before="0" w:after="0"/>
              <w:ind w:left="105" w:right="345" w:firstLine="0"/>
              <w:jc w:val="left"/>
              <w:rPr>
                <w:sz w:val="20"/>
              </w:rPr>
            </w:pPr>
            <w:r>
              <w:rPr>
                <w:i/>
                <w:sz w:val="20"/>
              </w:rPr>
              <w:t>Informative</w:t>
            </w:r>
            <w:r>
              <w:rPr>
                <w:i/>
                <w:spacing w:val="-13"/>
                <w:sz w:val="20"/>
              </w:rPr>
              <w:t> </w:t>
            </w:r>
            <w:r>
              <w:rPr>
                <w:i/>
                <w:sz w:val="20"/>
              </w:rPr>
              <w:t>Content</w:t>
            </w:r>
            <w:r>
              <w:rPr>
                <w:i/>
                <w:spacing w:val="-12"/>
                <w:sz w:val="20"/>
              </w:rPr>
              <w:t> </w:t>
            </w:r>
            <w:r>
              <w:rPr>
                <w:i/>
                <w:sz w:val="20"/>
              </w:rPr>
              <w:t>of Assurance Statements </w:t>
            </w:r>
            <w:r>
              <w:rPr>
                <w:sz w:val="20"/>
              </w:rPr>
              <w:t>berpengaruh negatif signifikan terhadap</w:t>
            </w:r>
          </w:p>
          <w:p>
            <w:pPr>
              <w:pStyle w:val="TableParagraph"/>
              <w:spacing w:line="229" w:lineRule="exact"/>
              <w:ind w:left="105"/>
              <w:rPr>
                <w:i/>
                <w:sz w:val="20"/>
              </w:rPr>
            </w:pPr>
            <w:r>
              <w:rPr>
                <w:i/>
                <w:sz w:val="20"/>
              </w:rPr>
              <w:t>Information</w:t>
            </w:r>
            <w:r>
              <w:rPr>
                <w:i/>
                <w:spacing w:val="-4"/>
                <w:sz w:val="20"/>
              </w:rPr>
              <w:t> </w:t>
            </w:r>
            <w:r>
              <w:rPr>
                <w:i/>
                <w:spacing w:val="-2"/>
                <w:sz w:val="20"/>
              </w:rPr>
              <w:t>Asymmetry</w:t>
            </w:r>
          </w:p>
          <w:p>
            <w:pPr>
              <w:pStyle w:val="TableParagraph"/>
              <w:numPr>
                <w:ilvl w:val="0"/>
                <w:numId w:val="19"/>
              </w:numPr>
              <w:tabs>
                <w:tab w:pos="224" w:val="left" w:leader="none"/>
              </w:tabs>
              <w:spacing w:line="240" w:lineRule="auto" w:before="0" w:after="0"/>
              <w:ind w:left="105" w:right="722" w:firstLine="0"/>
              <w:jc w:val="both"/>
              <w:rPr>
                <w:sz w:val="20"/>
              </w:rPr>
            </w:pPr>
            <w:r>
              <w:rPr>
                <w:i/>
                <w:spacing w:val="-2"/>
                <w:sz w:val="20"/>
              </w:rPr>
              <w:t>Assurance</w:t>
            </w:r>
            <w:r>
              <w:rPr>
                <w:i/>
                <w:spacing w:val="-11"/>
                <w:sz w:val="20"/>
              </w:rPr>
              <w:t> </w:t>
            </w:r>
            <w:r>
              <w:rPr>
                <w:i/>
                <w:spacing w:val="-2"/>
                <w:sz w:val="20"/>
              </w:rPr>
              <w:t>Tenure </w:t>
            </w:r>
            <w:r>
              <w:rPr>
                <w:sz w:val="20"/>
              </w:rPr>
              <w:t>berpengaruh</w:t>
            </w:r>
            <w:r>
              <w:rPr>
                <w:spacing w:val="-13"/>
                <w:sz w:val="20"/>
              </w:rPr>
              <w:t> </w:t>
            </w:r>
            <w:r>
              <w:rPr>
                <w:sz w:val="20"/>
              </w:rPr>
              <w:t>positif signifikan</w:t>
            </w:r>
            <w:r>
              <w:rPr>
                <w:spacing w:val="-7"/>
                <w:sz w:val="20"/>
              </w:rPr>
              <w:t> </w:t>
            </w:r>
            <w:r>
              <w:rPr>
                <w:spacing w:val="-2"/>
                <w:sz w:val="20"/>
              </w:rPr>
              <w:t>terhadap</w:t>
            </w:r>
          </w:p>
          <w:p>
            <w:pPr>
              <w:pStyle w:val="TableParagraph"/>
              <w:spacing w:line="229" w:lineRule="exact"/>
              <w:ind w:left="105"/>
              <w:rPr>
                <w:i/>
                <w:sz w:val="20"/>
              </w:rPr>
            </w:pPr>
            <w:r>
              <w:rPr>
                <w:i/>
                <w:sz w:val="20"/>
              </w:rPr>
              <w:t>Information</w:t>
            </w:r>
            <w:r>
              <w:rPr>
                <w:i/>
                <w:spacing w:val="-4"/>
                <w:sz w:val="20"/>
              </w:rPr>
              <w:t> </w:t>
            </w:r>
            <w:r>
              <w:rPr>
                <w:i/>
                <w:spacing w:val="-2"/>
                <w:sz w:val="20"/>
              </w:rPr>
              <w:t>Asymmetry</w:t>
            </w:r>
          </w:p>
          <w:p>
            <w:pPr>
              <w:pStyle w:val="TableParagraph"/>
              <w:numPr>
                <w:ilvl w:val="0"/>
                <w:numId w:val="19"/>
              </w:numPr>
              <w:tabs>
                <w:tab w:pos="224" w:val="left" w:leader="none"/>
              </w:tabs>
              <w:spacing w:line="240" w:lineRule="auto" w:before="0" w:after="0"/>
              <w:ind w:left="105" w:right="118" w:firstLine="0"/>
              <w:jc w:val="left"/>
              <w:rPr>
                <w:sz w:val="20"/>
              </w:rPr>
            </w:pPr>
            <w:r>
              <w:rPr>
                <w:i/>
                <w:sz w:val="20"/>
              </w:rPr>
              <w:t>Assurance Tenure </w:t>
            </w:r>
            <w:r>
              <w:rPr>
                <w:sz w:val="20"/>
              </w:rPr>
              <w:t>melemahkan hubungan positif antara konten informatif</w:t>
            </w:r>
            <w:r>
              <w:rPr>
                <w:spacing w:val="-1"/>
                <w:sz w:val="20"/>
              </w:rPr>
              <w:t> </w:t>
            </w:r>
            <w:r>
              <w:rPr>
                <w:sz w:val="20"/>
              </w:rPr>
              <w:t>assurance dengan</w:t>
            </w:r>
            <w:r>
              <w:rPr>
                <w:spacing w:val="-13"/>
                <w:sz w:val="20"/>
              </w:rPr>
              <w:t> </w:t>
            </w:r>
            <w:r>
              <w:rPr>
                <w:sz w:val="20"/>
              </w:rPr>
              <w:t>penurunan</w:t>
            </w:r>
            <w:r>
              <w:rPr>
                <w:spacing w:val="-12"/>
                <w:sz w:val="20"/>
              </w:rPr>
              <w:t> </w:t>
            </w:r>
            <w:r>
              <w:rPr>
                <w:sz w:val="20"/>
              </w:rPr>
              <w:t>asimetri</w:t>
            </w:r>
          </w:p>
          <w:p>
            <w:pPr>
              <w:pStyle w:val="TableParagraph"/>
              <w:spacing w:line="214" w:lineRule="exact"/>
              <w:ind w:left="105"/>
              <w:rPr>
                <w:sz w:val="20"/>
              </w:rPr>
            </w:pPr>
            <w:r>
              <w:rPr>
                <w:spacing w:val="-2"/>
                <w:sz w:val="20"/>
              </w:rPr>
              <w:t>informasi.</w:t>
            </w:r>
          </w:p>
        </w:tc>
      </w:tr>
      <w:tr>
        <w:trPr>
          <w:trHeight w:val="2070" w:hRule="atLeast"/>
        </w:trPr>
        <w:tc>
          <w:tcPr>
            <w:tcW w:w="464" w:type="dxa"/>
          </w:tcPr>
          <w:p>
            <w:pPr>
              <w:pStyle w:val="TableParagraph"/>
              <w:spacing w:line="226" w:lineRule="exact"/>
              <w:ind w:left="4"/>
              <w:jc w:val="center"/>
              <w:rPr>
                <w:sz w:val="20"/>
              </w:rPr>
            </w:pPr>
            <w:r>
              <w:rPr>
                <w:spacing w:val="-10"/>
                <w:sz w:val="20"/>
              </w:rPr>
              <w:t>3</w:t>
            </w:r>
          </w:p>
        </w:tc>
        <w:tc>
          <w:tcPr>
            <w:tcW w:w="1688" w:type="dxa"/>
          </w:tcPr>
          <w:p>
            <w:pPr>
              <w:pStyle w:val="TableParagraph"/>
              <w:spacing w:line="237" w:lineRule="auto"/>
              <w:ind w:left="103" w:right="104"/>
              <w:rPr>
                <w:sz w:val="20"/>
              </w:rPr>
            </w:pPr>
            <w:r>
              <w:rPr>
                <w:sz w:val="20"/>
              </w:rPr>
              <w:t>Zaman</w:t>
            </w:r>
            <w:r>
              <w:rPr>
                <w:spacing w:val="-13"/>
                <w:sz w:val="20"/>
              </w:rPr>
              <w:t> </w:t>
            </w:r>
            <w:r>
              <w:rPr>
                <w:sz w:val="20"/>
              </w:rPr>
              <w:t>et</w:t>
            </w:r>
            <w:r>
              <w:rPr>
                <w:spacing w:val="-12"/>
                <w:sz w:val="20"/>
              </w:rPr>
              <w:t> </w:t>
            </w:r>
            <w:r>
              <w:rPr>
                <w:sz w:val="20"/>
              </w:rPr>
              <w:t>al. </w:t>
            </w:r>
            <w:r>
              <w:rPr>
                <w:spacing w:val="-2"/>
                <w:sz w:val="20"/>
              </w:rPr>
              <w:t>(2021)</w:t>
            </w:r>
          </w:p>
        </w:tc>
        <w:tc>
          <w:tcPr>
            <w:tcW w:w="1972" w:type="dxa"/>
          </w:tcPr>
          <w:p>
            <w:pPr>
              <w:pStyle w:val="TableParagraph"/>
              <w:ind w:left="108" w:right="160"/>
              <w:rPr>
                <w:i/>
                <w:sz w:val="20"/>
              </w:rPr>
            </w:pPr>
            <w:r>
              <w:rPr>
                <w:i/>
                <w:sz w:val="20"/>
              </w:rPr>
              <w:t>Examining</w:t>
            </w:r>
            <w:r>
              <w:rPr>
                <w:i/>
                <w:spacing w:val="-13"/>
                <w:sz w:val="20"/>
              </w:rPr>
              <w:t> </w:t>
            </w:r>
            <w:r>
              <w:rPr>
                <w:i/>
                <w:sz w:val="20"/>
              </w:rPr>
              <w:t>the</w:t>
            </w:r>
            <w:r>
              <w:rPr>
                <w:i/>
                <w:spacing w:val="-12"/>
                <w:sz w:val="20"/>
              </w:rPr>
              <w:t> </w:t>
            </w:r>
            <w:r>
              <w:rPr>
                <w:i/>
                <w:sz w:val="20"/>
              </w:rPr>
              <w:t>extent of and determinants for sustainability assurance quality: The role of audit </w:t>
            </w:r>
            <w:r>
              <w:rPr>
                <w:i/>
                <w:spacing w:val="-2"/>
                <w:sz w:val="20"/>
              </w:rPr>
              <w:t>committees </w:t>
            </w:r>
            <w:r>
              <w:rPr>
                <w:i/>
                <w:sz w:val="20"/>
              </w:rPr>
              <w:t>assurance quality: The role of audit</w:t>
            </w:r>
          </w:p>
          <w:p>
            <w:pPr>
              <w:pStyle w:val="TableParagraph"/>
              <w:spacing w:line="214" w:lineRule="exact"/>
              <w:ind w:left="108"/>
              <w:rPr>
                <w:i/>
                <w:sz w:val="20"/>
              </w:rPr>
            </w:pPr>
            <w:r>
              <w:rPr>
                <w:i/>
                <w:spacing w:val="-2"/>
                <w:sz w:val="20"/>
              </w:rPr>
              <w:t>committees</w:t>
            </w:r>
          </w:p>
        </w:tc>
        <w:tc>
          <w:tcPr>
            <w:tcW w:w="1836" w:type="dxa"/>
          </w:tcPr>
          <w:p>
            <w:pPr>
              <w:pStyle w:val="TableParagraph"/>
              <w:spacing w:line="225" w:lineRule="exact"/>
              <w:ind w:left="108"/>
              <w:rPr>
                <w:sz w:val="20"/>
              </w:rPr>
            </w:pPr>
            <w:r>
              <w:rPr>
                <w:spacing w:val="-2"/>
                <w:sz w:val="20"/>
              </w:rPr>
              <w:t>Dependen:</w:t>
            </w:r>
          </w:p>
          <w:p>
            <w:pPr>
              <w:pStyle w:val="TableParagraph"/>
              <w:numPr>
                <w:ilvl w:val="0"/>
                <w:numId w:val="20"/>
              </w:numPr>
              <w:tabs>
                <w:tab w:pos="227" w:val="left" w:leader="none"/>
              </w:tabs>
              <w:spacing w:line="240" w:lineRule="auto" w:before="0" w:after="0"/>
              <w:ind w:left="108" w:right="235" w:firstLine="0"/>
              <w:jc w:val="left"/>
              <w:rPr>
                <w:sz w:val="20"/>
              </w:rPr>
            </w:pPr>
            <w:r>
              <w:rPr>
                <w:i/>
                <w:spacing w:val="-2"/>
                <w:sz w:val="20"/>
              </w:rPr>
              <w:t>Sustainability </w:t>
            </w:r>
            <w:r>
              <w:rPr>
                <w:i/>
                <w:sz w:val="20"/>
              </w:rPr>
              <w:t>Assurance</w:t>
            </w:r>
            <w:r>
              <w:rPr>
                <w:i/>
                <w:spacing w:val="-13"/>
                <w:sz w:val="20"/>
              </w:rPr>
              <w:t> </w:t>
            </w:r>
            <w:r>
              <w:rPr>
                <w:i/>
                <w:sz w:val="20"/>
              </w:rPr>
              <w:t>Quality </w:t>
            </w:r>
            <w:r>
              <w:rPr>
                <w:spacing w:val="-2"/>
                <w:sz w:val="20"/>
              </w:rPr>
              <w:t>Independen:</w:t>
            </w:r>
          </w:p>
          <w:p>
            <w:pPr>
              <w:pStyle w:val="TableParagraph"/>
              <w:numPr>
                <w:ilvl w:val="0"/>
                <w:numId w:val="20"/>
              </w:numPr>
              <w:tabs>
                <w:tab w:pos="227" w:val="left" w:leader="none"/>
              </w:tabs>
              <w:spacing w:line="240" w:lineRule="auto" w:before="1" w:after="0"/>
              <w:ind w:left="108" w:right="290" w:firstLine="0"/>
              <w:jc w:val="left"/>
              <w:rPr>
                <w:i/>
                <w:sz w:val="20"/>
              </w:rPr>
            </w:pPr>
            <w:r>
              <w:rPr>
                <w:i/>
                <w:sz w:val="20"/>
              </w:rPr>
              <w:t>Audit</w:t>
            </w:r>
            <w:r>
              <w:rPr>
                <w:i/>
                <w:spacing w:val="-13"/>
                <w:sz w:val="20"/>
              </w:rPr>
              <w:t> </w:t>
            </w:r>
            <w:r>
              <w:rPr>
                <w:i/>
                <w:sz w:val="20"/>
              </w:rPr>
              <w:t>committee </w:t>
            </w:r>
            <w:r>
              <w:rPr>
                <w:i/>
                <w:spacing w:val="-2"/>
                <w:sz w:val="20"/>
              </w:rPr>
              <w:t>characteristics</w:t>
            </w:r>
          </w:p>
        </w:tc>
        <w:tc>
          <w:tcPr>
            <w:tcW w:w="2401" w:type="dxa"/>
          </w:tcPr>
          <w:p>
            <w:pPr>
              <w:pStyle w:val="TableParagraph"/>
              <w:ind w:left="105" w:right="707"/>
              <w:rPr>
                <w:i/>
                <w:sz w:val="20"/>
              </w:rPr>
            </w:pPr>
            <w:r>
              <w:rPr>
                <w:sz w:val="20"/>
              </w:rPr>
              <w:t>- </w:t>
            </w:r>
            <w:r>
              <w:rPr>
                <w:i/>
                <w:sz w:val="20"/>
              </w:rPr>
              <w:t>Audit Committe </w:t>
            </w:r>
            <w:r>
              <w:rPr>
                <w:i/>
                <w:spacing w:val="-2"/>
                <w:sz w:val="20"/>
              </w:rPr>
              <w:t>Characteristics </w:t>
            </w:r>
            <w:r>
              <w:rPr>
                <w:sz w:val="20"/>
              </w:rPr>
              <w:t>berpengaruh</w:t>
            </w:r>
            <w:r>
              <w:rPr>
                <w:spacing w:val="-13"/>
                <w:sz w:val="20"/>
              </w:rPr>
              <w:t> </w:t>
            </w:r>
            <w:r>
              <w:rPr>
                <w:sz w:val="20"/>
              </w:rPr>
              <w:t>positif terhadap</w:t>
            </w:r>
            <w:r>
              <w:rPr>
                <w:spacing w:val="-13"/>
                <w:sz w:val="20"/>
              </w:rPr>
              <w:t> </w:t>
            </w:r>
            <w:r>
              <w:rPr>
                <w:i/>
                <w:sz w:val="20"/>
              </w:rPr>
              <w:t>Assuranc</w:t>
            </w:r>
            <w:r>
              <w:rPr>
                <w:i/>
                <w:sz w:val="20"/>
              </w:rPr>
              <w:t>e </w:t>
            </w:r>
            <w:r>
              <w:rPr>
                <w:i/>
                <w:spacing w:val="-2"/>
                <w:sz w:val="20"/>
              </w:rPr>
              <w:t>Quality</w:t>
            </w:r>
          </w:p>
        </w:tc>
      </w:tr>
    </w:tbl>
    <w:p>
      <w:pPr>
        <w:spacing w:before="1"/>
        <w:ind w:left="568" w:right="0" w:firstLine="0"/>
        <w:jc w:val="left"/>
        <w:rPr>
          <w:i/>
          <w:sz w:val="24"/>
        </w:rPr>
      </w:pPr>
      <w:r>
        <w:rPr>
          <w:i/>
          <w:sz w:val="24"/>
        </w:rPr>
        <w:t>Disambung</w:t>
      </w:r>
      <w:r>
        <w:rPr>
          <w:i/>
          <w:spacing w:val="-3"/>
          <w:sz w:val="24"/>
        </w:rPr>
        <w:t> </w:t>
      </w:r>
      <w:r>
        <w:rPr>
          <w:i/>
          <w:sz w:val="24"/>
        </w:rPr>
        <w:t>ke</w:t>
      </w:r>
      <w:r>
        <w:rPr>
          <w:i/>
          <w:spacing w:val="-1"/>
          <w:sz w:val="24"/>
        </w:rPr>
        <w:t> </w:t>
      </w:r>
      <w:r>
        <w:rPr>
          <w:i/>
          <w:sz w:val="24"/>
        </w:rPr>
        <w:t>halaman</w:t>
      </w:r>
      <w:r>
        <w:rPr>
          <w:i/>
          <w:spacing w:val="-2"/>
          <w:sz w:val="24"/>
        </w:rPr>
        <w:t> berikutnya</w:t>
      </w:r>
    </w:p>
    <w:p>
      <w:pPr>
        <w:spacing w:after="0"/>
        <w:jc w:val="left"/>
        <w:rPr>
          <w:i/>
          <w:sz w:val="24"/>
        </w:rPr>
        <w:sectPr>
          <w:pgSz w:w="11910" w:h="16840"/>
          <w:pgMar w:header="710" w:footer="0" w:top="1920" w:bottom="280" w:left="1700" w:right="1133"/>
        </w:sectPr>
      </w:pPr>
    </w:p>
    <w:p>
      <w:pPr>
        <w:pStyle w:val="BodyText"/>
        <w:spacing w:before="78"/>
        <w:rPr>
          <w:i/>
          <w:sz w:val="22"/>
        </w:rPr>
      </w:pPr>
    </w:p>
    <w:p>
      <w:pPr>
        <w:spacing w:before="0"/>
        <w:ind w:left="358" w:right="358" w:firstLine="0"/>
        <w:jc w:val="center"/>
        <w:rPr>
          <w:b/>
          <w:sz w:val="22"/>
        </w:rPr>
      </w:pPr>
      <w:r>
        <w:rPr>
          <w:b/>
          <w:sz w:val="22"/>
        </w:rPr>
        <w:t>Tabel</w:t>
      </w:r>
      <w:r>
        <w:rPr>
          <w:b/>
          <w:spacing w:val="-12"/>
          <w:sz w:val="22"/>
        </w:rPr>
        <w:t> </w:t>
      </w:r>
      <w:r>
        <w:rPr>
          <w:b/>
          <w:sz w:val="22"/>
        </w:rPr>
        <w:t>2.1</w:t>
      </w:r>
      <w:r>
        <w:rPr>
          <w:b/>
          <w:spacing w:val="-11"/>
          <w:sz w:val="22"/>
        </w:rPr>
        <w:t> </w:t>
      </w:r>
      <w:r>
        <w:rPr>
          <w:b/>
          <w:spacing w:val="-2"/>
          <w:sz w:val="22"/>
        </w:rPr>
        <w:t>Sambungan</w:t>
      </w:r>
    </w:p>
    <w:p>
      <w:pPr>
        <w:pStyle w:val="BodyText"/>
        <w:spacing w:before="4" w:after="1"/>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
        <w:gridCol w:w="1688"/>
        <w:gridCol w:w="1972"/>
        <w:gridCol w:w="1836"/>
        <w:gridCol w:w="2401"/>
      </w:tblGrid>
      <w:tr>
        <w:trPr>
          <w:trHeight w:val="462" w:hRule="atLeast"/>
        </w:trPr>
        <w:tc>
          <w:tcPr>
            <w:tcW w:w="464" w:type="dxa"/>
          </w:tcPr>
          <w:p>
            <w:pPr>
              <w:pStyle w:val="TableParagraph"/>
              <w:spacing w:before="56"/>
              <w:ind w:left="4" w:right="1"/>
              <w:jc w:val="center"/>
              <w:rPr>
                <w:b/>
                <w:sz w:val="20"/>
              </w:rPr>
            </w:pPr>
            <w:r>
              <w:rPr>
                <w:b/>
                <w:spacing w:val="-5"/>
                <w:sz w:val="20"/>
              </w:rPr>
              <w:t>No</w:t>
            </w:r>
          </w:p>
        </w:tc>
        <w:tc>
          <w:tcPr>
            <w:tcW w:w="1688" w:type="dxa"/>
          </w:tcPr>
          <w:p>
            <w:pPr>
              <w:pStyle w:val="TableParagraph"/>
              <w:spacing w:line="228" w:lineRule="exact"/>
              <w:ind w:left="135" w:right="104" w:hanging="8"/>
              <w:rPr>
                <w:b/>
                <w:sz w:val="20"/>
              </w:rPr>
            </w:pPr>
            <w:r>
              <w:rPr>
                <w:b/>
                <w:sz w:val="20"/>
              </w:rPr>
              <w:t>Nama</w:t>
            </w:r>
            <w:r>
              <w:rPr>
                <w:b/>
                <w:spacing w:val="-13"/>
                <w:sz w:val="20"/>
              </w:rPr>
              <w:t> </w:t>
            </w:r>
            <w:r>
              <w:rPr>
                <w:b/>
                <w:sz w:val="20"/>
              </w:rPr>
              <w:t>Peneliti</w:t>
            </w:r>
            <w:r>
              <w:rPr>
                <w:b/>
                <w:spacing w:val="-12"/>
                <w:sz w:val="20"/>
              </w:rPr>
              <w:t> </w:t>
            </w:r>
            <w:r>
              <w:rPr>
                <w:b/>
                <w:sz w:val="20"/>
              </w:rPr>
              <w:t>&amp; tahun</w:t>
            </w:r>
            <w:r>
              <w:rPr>
                <w:b/>
                <w:spacing w:val="2"/>
                <w:sz w:val="20"/>
              </w:rPr>
              <w:t> </w:t>
            </w:r>
            <w:r>
              <w:rPr>
                <w:b/>
                <w:spacing w:val="-2"/>
                <w:sz w:val="20"/>
              </w:rPr>
              <w:t>Penelitian</w:t>
            </w:r>
          </w:p>
        </w:tc>
        <w:tc>
          <w:tcPr>
            <w:tcW w:w="1972" w:type="dxa"/>
          </w:tcPr>
          <w:p>
            <w:pPr>
              <w:pStyle w:val="TableParagraph"/>
              <w:spacing w:before="56"/>
              <w:ind w:left="288"/>
              <w:rPr>
                <w:b/>
                <w:sz w:val="20"/>
              </w:rPr>
            </w:pPr>
            <w:r>
              <w:rPr>
                <w:b/>
                <w:sz w:val="20"/>
              </w:rPr>
              <w:t>Judul</w:t>
            </w:r>
            <w:r>
              <w:rPr>
                <w:b/>
                <w:spacing w:val="-5"/>
                <w:sz w:val="20"/>
              </w:rPr>
              <w:t> </w:t>
            </w:r>
            <w:r>
              <w:rPr>
                <w:b/>
                <w:spacing w:val="-2"/>
                <w:sz w:val="20"/>
              </w:rPr>
              <w:t>Penelitian</w:t>
            </w:r>
          </w:p>
        </w:tc>
        <w:tc>
          <w:tcPr>
            <w:tcW w:w="1836" w:type="dxa"/>
          </w:tcPr>
          <w:p>
            <w:pPr>
              <w:pStyle w:val="TableParagraph"/>
              <w:spacing w:line="228" w:lineRule="exact"/>
              <w:ind w:left="488" w:firstLine="68"/>
              <w:rPr>
                <w:b/>
                <w:sz w:val="20"/>
              </w:rPr>
            </w:pPr>
            <w:r>
              <w:rPr>
                <w:b/>
                <w:spacing w:val="-2"/>
                <w:sz w:val="20"/>
              </w:rPr>
              <w:t>Variabel Penelitian</w:t>
            </w:r>
          </w:p>
        </w:tc>
        <w:tc>
          <w:tcPr>
            <w:tcW w:w="2401" w:type="dxa"/>
          </w:tcPr>
          <w:p>
            <w:pPr>
              <w:pStyle w:val="TableParagraph"/>
              <w:spacing w:before="56"/>
              <w:ind w:left="529"/>
              <w:rPr>
                <w:b/>
                <w:sz w:val="20"/>
              </w:rPr>
            </w:pPr>
            <w:r>
              <w:rPr>
                <w:b/>
                <w:sz w:val="20"/>
              </w:rPr>
              <w:t>Hasil</w:t>
            </w:r>
            <w:r>
              <w:rPr>
                <w:b/>
                <w:spacing w:val="-8"/>
                <w:sz w:val="20"/>
              </w:rPr>
              <w:t> </w:t>
            </w:r>
            <w:r>
              <w:rPr>
                <w:b/>
                <w:spacing w:val="-2"/>
                <w:sz w:val="20"/>
              </w:rPr>
              <w:t>penelitian</w:t>
            </w:r>
          </w:p>
        </w:tc>
      </w:tr>
      <w:tr>
        <w:trPr>
          <w:trHeight w:val="2070" w:hRule="atLeast"/>
        </w:trPr>
        <w:tc>
          <w:tcPr>
            <w:tcW w:w="464" w:type="dxa"/>
          </w:tcPr>
          <w:p>
            <w:pPr>
              <w:pStyle w:val="TableParagraph"/>
              <w:spacing w:line="222" w:lineRule="exact"/>
              <w:ind w:left="4"/>
              <w:jc w:val="center"/>
              <w:rPr>
                <w:sz w:val="20"/>
              </w:rPr>
            </w:pPr>
            <w:r>
              <w:rPr>
                <w:spacing w:val="-10"/>
                <w:sz w:val="20"/>
              </w:rPr>
              <w:t>4</w:t>
            </w:r>
          </w:p>
        </w:tc>
        <w:tc>
          <w:tcPr>
            <w:tcW w:w="1688" w:type="dxa"/>
          </w:tcPr>
          <w:p>
            <w:pPr>
              <w:pStyle w:val="TableParagraph"/>
              <w:spacing w:line="242" w:lineRule="auto"/>
              <w:ind w:left="103" w:right="104"/>
              <w:rPr>
                <w:sz w:val="20"/>
              </w:rPr>
            </w:pPr>
            <w:r>
              <w:rPr>
                <w:sz w:val="20"/>
              </w:rPr>
              <w:t>Jadoon</w:t>
            </w:r>
            <w:r>
              <w:rPr>
                <w:spacing w:val="-13"/>
                <w:sz w:val="20"/>
              </w:rPr>
              <w:t> </w:t>
            </w:r>
            <w:r>
              <w:rPr>
                <w:sz w:val="20"/>
              </w:rPr>
              <w:t>et</w:t>
            </w:r>
            <w:r>
              <w:rPr>
                <w:spacing w:val="-12"/>
                <w:sz w:val="20"/>
              </w:rPr>
              <w:t> </w:t>
            </w:r>
            <w:r>
              <w:rPr>
                <w:sz w:val="20"/>
              </w:rPr>
              <w:t>al. </w:t>
            </w:r>
            <w:r>
              <w:rPr>
                <w:spacing w:val="-2"/>
                <w:sz w:val="20"/>
              </w:rPr>
              <w:t>(2020)</w:t>
            </w:r>
          </w:p>
        </w:tc>
        <w:tc>
          <w:tcPr>
            <w:tcW w:w="1972" w:type="dxa"/>
          </w:tcPr>
          <w:p>
            <w:pPr>
              <w:pStyle w:val="TableParagraph"/>
              <w:spacing w:line="242" w:lineRule="auto"/>
              <w:ind w:left="108"/>
              <w:rPr>
                <w:i/>
                <w:sz w:val="20"/>
              </w:rPr>
            </w:pPr>
            <w:r>
              <w:rPr>
                <w:i/>
                <w:sz w:val="20"/>
              </w:rPr>
              <w:t>The</w:t>
            </w:r>
            <w:r>
              <w:rPr>
                <w:i/>
                <w:spacing w:val="-13"/>
                <w:sz w:val="20"/>
              </w:rPr>
              <w:t> </w:t>
            </w:r>
            <w:r>
              <w:rPr>
                <w:i/>
                <w:sz w:val="20"/>
              </w:rPr>
              <w:t>Impact</w:t>
            </w:r>
            <w:r>
              <w:rPr>
                <w:i/>
                <w:spacing w:val="-12"/>
                <w:sz w:val="20"/>
              </w:rPr>
              <w:t> </w:t>
            </w:r>
            <w:r>
              <w:rPr>
                <w:i/>
                <w:sz w:val="20"/>
              </w:rPr>
              <w:t>of </w:t>
            </w:r>
            <w:r>
              <w:rPr>
                <w:i/>
                <w:spacing w:val="-2"/>
                <w:sz w:val="20"/>
              </w:rPr>
              <w:t>Sustainability</w:t>
            </w:r>
          </w:p>
          <w:p>
            <w:pPr>
              <w:pStyle w:val="TableParagraph"/>
              <w:ind w:left="108" w:right="100"/>
              <w:rPr>
                <w:i/>
                <w:sz w:val="20"/>
              </w:rPr>
            </w:pPr>
            <w:r>
              <w:rPr>
                <w:i/>
                <w:sz w:val="20"/>
              </w:rPr>
              <w:t>Reporting</w:t>
            </w:r>
            <w:r>
              <w:rPr>
                <w:i/>
                <w:spacing w:val="-13"/>
                <w:sz w:val="20"/>
              </w:rPr>
              <w:t> </w:t>
            </w:r>
            <w:r>
              <w:rPr>
                <w:i/>
                <w:sz w:val="20"/>
              </w:rPr>
              <w:t>Quality</w:t>
            </w:r>
            <w:r>
              <w:rPr>
                <w:i/>
                <w:spacing w:val="-12"/>
                <w:sz w:val="20"/>
              </w:rPr>
              <w:t> </w:t>
            </w:r>
            <w:r>
              <w:rPr>
                <w:i/>
                <w:sz w:val="20"/>
              </w:rPr>
              <w:t>on the Value Relevance of Corporate</w:t>
            </w:r>
          </w:p>
          <w:p>
            <w:pPr>
              <w:pStyle w:val="TableParagraph"/>
              <w:ind w:left="108"/>
              <w:rPr>
                <w:i/>
                <w:sz w:val="20"/>
              </w:rPr>
            </w:pPr>
            <w:r>
              <w:rPr>
                <w:i/>
                <w:spacing w:val="-2"/>
                <w:sz w:val="20"/>
              </w:rPr>
              <w:t>Sustainability Performance</w:t>
            </w:r>
          </w:p>
        </w:tc>
        <w:tc>
          <w:tcPr>
            <w:tcW w:w="1836" w:type="dxa"/>
          </w:tcPr>
          <w:p>
            <w:pPr>
              <w:pStyle w:val="TableParagraph"/>
              <w:spacing w:line="222" w:lineRule="exact"/>
              <w:ind w:left="108"/>
              <w:rPr>
                <w:sz w:val="20"/>
              </w:rPr>
            </w:pPr>
            <w:r>
              <w:rPr>
                <w:spacing w:val="-2"/>
                <w:sz w:val="20"/>
              </w:rPr>
              <w:t>Dependen:</w:t>
            </w:r>
          </w:p>
          <w:p>
            <w:pPr>
              <w:pStyle w:val="TableParagraph"/>
              <w:numPr>
                <w:ilvl w:val="0"/>
                <w:numId w:val="21"/>
              </w:numPr>
              <w:tabs>
                <w:tab w:pos="227" w:val="left" w:leader="none"/>
              </w:tabs>
              <w:spacing w:line="240" w:lineRule="auto" w:before="2" w:after="0"/>
              <w:ind w:left="108" w:right="210" w:firstLine="0"/>
              <w:jc w:val="left"/>
              <w:rPr>
                <w:sz w:val="20"/>
              </w:rPr>
            </w:pPr>
            <w:r>
              <w:rPr>
                <w:i/>
                <w:spacing w:val="-2"/>
                <w:sz w:val="20"/>
              </w:rPr>
              <w:t>Market</w:t>
            </w:r>
            <w:r>
              <w:rPr>
                <w:i/>
                <w:spacing w:val="-11"/>
                <w:sz w:val="20"/>
              </w:rPr>
              <w:t> </w:t>
            </w:r>
            <w:r>
              <w:rPr>
                <w:i/>
                <w:spacing w:val="-2"/>
                <w:sz w:val="20"/>
              </w:rPr>
              <w:t>Value</w:t>
            </w:r>
            <w:r>
              <w:rPr>
                <w:i/>
                <w:spacing w:val="-10"/>
                <w:sz w:val="20"/>
              </w:rPr>
              <w:t> </w:t>
            </w:r>
            <w:r>
              <w:rPr>
                <w:i/>
                <w:spacing w:val="-2"/>
                <w:sz w:val="20"/>
              </w:rPr>
              <w:t>per Share</w:t>
            </w:r>
          </w:p>
          <w:p>
            <w:pPr>
              <w:pStyle w:val="TableParagraph"/>
              <w:spacing w:line="229" w:lineRule="exact"/>
              <w:ind w:left="108"/>
              <w:rPr>
                <w:sz w:val="20"/>
              </w:rPr>
            </w:pPr>
            <w:r>
              <w:rPr>
                <w:spacing w:val="-2"/>
                <w:sz w:val="20"/>
              </w:rPr>
              <w:t>Independen:</w:t>
            </w:r>
          </w:p>
          <w:p>
            <w:pPr>
              <w:pStyle w:val="TableParagraph"/>
              <w:numPr>
                <w:ilvl w:val="0"/>
                <w:numId w:val="21"/>
              </w:numPr>
              <w:tabs>
                <w:tab w:pos="227" w:val="left" w:leader="none"/>
              </w:tabs>
              <w:spacing w:line="242" w:lineRule="auto" w:before="0" w:after="0"/>
              <w:ind w:left="108" w:right="615" w:firstLine="0"/>
              <w:jc w:val="left"/>
              <w:rPr>
                <w:sz w:val="20"/>
              </w:rPr>
            </w:pPr>
            <w:r>
              <w:rPr>
                <w:i/>
                <w:spacing w:val="-2"/>
                <w:sz w:val="20"/>
              </w:rPr>
              <w:t>Corporate Sustainability</w:t>
            </w:r>
          </w:p>
          <w:p>
            <w:pPr>
              <w:pStyle w:val="TableParagraph"/>
              <w:spacing w:line="225" w:lineRule="exact"/>
              <w:ind w:left="108"/>
              <w:rPr>
                <w:i/>
                <w:sz w:val="20"/>
              </w:rPr>
            </w:pPr>
            <w:r>
              <w:rPr>
                <w:i/>
                <w:sz w:val="20"/>
              </w:rPr>
              <w:t>Performance</w:t>
            </w:r>
            <w:r>
              <w:rPr>
                <w:i/>
                <w:spacing w:val="-2"/>
                <w:sz w:val="20"/>
              </w:rPr>
              <w:t> Value</w:t>
            </w:r>
          </w:p>
          <w:p>
            <w:pPr>
              <w:pStyle w:val="TableParagraph"/>
              <w:numPr>
                <w:ilvl w:val="0"/>
                <w:numId w:val="21"/>
              </w:numPr>
              <w:tabs>
                <w:tab w:pos="227" w:val="left" w:leader="none"/>
              </w:tabs>
              <w:spacing w:line="228" w:lineRule="exact" w:before="0" w:after="0"/>
              <w:ind w:left="108" w:right="261" w:firstLine="0"/>
              <w:jc w:val="left"/>
              <w:rPr>
                <w:i/>
                <w:sz w:val="20"/>
              </w:rPr>
            </w:pPr>
            <w:r>
              <w:rPr>
                <w:i/>
                <w:spacing w:val="-2"/>
                <w:sz w:val="20"/>
              </w:rPr>
              <w:t>Sustainability </w:t>
            </w:r>
            <w:r>
              <w:rPr>
                <w:i/>
                <w:sz w:val="20"/>
              </w:rPr>
              <w:t>Reporting</w:t>
            </w:r>
            <w:r>
              <w:rPr>
                <w:i/>
                <w:spacing w:val="-13"/>
                <w:sz w:val="20"/>
              </w:rPr>
              <w:t> </w:t>
            </w:r>
            <w:r>
              <w:rPr>
                <w:i/>
                <w:sz w:val="20"/>
              </w:rPr>
              <w:t>Quality</w:t>
            </w:r>
          </w:p>
        </w:tc>
        <w:tc>
          <w:tcPr>
            <w:tcW w:w="2401" w:type="dxa"/>
          </w:tcPr>
          <w:p>
            <w:pPr>
              <w:pStyle w:val="TableParagraph"/>
              <w:numPr>
                <w:ilvl w:val="0"/>
                <w:numId w:val="22"/>
              </w:numPr>
              <w:tabs>
                <w:tab w:pos="224" w:val="left" w:leader="none"/>
              </w:tabs>
              <w:spacing w:line="240" w:lineRule="auto" w:before="0" w:after="0"/>
              <w:ind w:left="105" w:right="189" w:firstLine="0"/>
              <w:jc w:val="left"/>
              <w:rPr>
                <w:i/>
                <w:sz w:val="20"/>
              </w:rPr>
            </w:pPr>
            <w:r>
              <w:rPr>
                <w:sz w:val="20"/>
              </w:rPr>
              <w:t>CSP </w:t>
            </w:r>
            <w:r>
              <w:rPr>
                <w:i/>
                <w:sz w:val="20"/>
              </w:rPr>
              <w:t>Value </w:t>
            </w:r>
            <w:r>
              <w:rPr>
                <w:sz w:val="20"/>
              </w:rPr>
              <w:t>berpengaruh positif</w:t>
            </w:r>
            <w:r>
              <w:rPr>
                <w:spacing w:val="-13"/>
                <w:sz w:val="20"/>
              </w:rPr>
              <w:t> </w:t>
            </w:r>
            <w:r>
              <w:rPr>
                <w:sz w:val="20"/>
              </w:rPr>
              <w:t>signifikan</w:t>
            </w:r>
            <w:r>
              <w:rPr>
                <w:spacing w:val="-12"/>
                <w:sz w:val="20"/>
              </w:rPr>
              <w:t> </w:t>
            </w:r>
            <w:r>
              <w:rPr>
                <w:sz w:val="20"/>
              </w:rPr>
              <w:t>terhadap </w:t>
            </w:r>
            <w:r>
              <w:rPr>
                <w:i/>
                <w:sz w:val="20"/>
              </w:rPr>
              <w:t>Market Value</w:t>
            </w:r>
          </w:p>
          <w:p>
            <w:pPr>
              <w:pStyle w:val="TableParagraph"/>
              <w:numPr>
                <w:ilvl w:val="0"/>
                <w:numId w:val="22"/>
              </w:numPr>
              <w:tabs>
                <w:tab w:pos="224" w:val="left" w:leader="none"/>
              </w:tabs>
              <w:spacing w:line="240" w:lineRule="auto" w:before="0" w:after="0"/>
              <w:ind w:left="105" w:right="145" w:firstLine="0"/>
              <w:jc w:val="left"/>
              <w:rPr>
                <w:i/>
                <w:sz w:val="20"/>
              </w:rPr>
            </w:pPr>
            <w:r>
              <w:rPr>
                <w:i/>
                <w:sz w:val="20"/>
              </w:rPr>
              <w:t>Sustainability</w:t>
            </w:r>
            <w:r>
              <w:rPr>
                <w:i/>
                <w:spacing w:val="31"/>
                <w:sz w:val="20"/>
              </w:rPr>
              <w:t> </w:t>
            </w:r>
            <w:r>
              <w:rPr>
                <w:i/>
                <w:sz w:val="20"/>
              </w:rPr>
              <w:t>Reporting Quality </w:t>
            </w:r>
            <w:r>
              <w:rPr>
                <w:sz w:val="20"/>
              </w:rPr>
              <w:t>berpengaruh negatif</w:t>
            </w:r>
            <w:r>
              <w:rPr>
                <w:spacing w:val="-13"/>
                <w:sz w:val="20"/>
              </w:rPr>
              <w:t> </w:t>
            </w:r>
            <w:r>
              <w:rPr>
                <w:sz w:val="20"/>
              </w:rPr>
              <w:t>signifikan</w:t>
            </w:r>
            <w:r>
              <w:rPr>
                <w:spacing w:val="-12"/>
                <w:sz w:val="20"/>
              </w:rPr>
              <w:t> </w:t>
            </w:r>
            <w:r>
              <w:rPr>
                <w:sz w:val="20"/>
              </w:rPr>
              <w:t>terhadap </w:t>
            </w:r>
            <w:r>
              <w:rPr>
                <w:i/>
                <w:sz w:val="20"/>
              </w:rPr>
              <w:t>Market value</w:t>
            </w:r>
          </w:p>
        </w:tc>
      </w:tr>
      <w:tr>
        <w:trPr>
          <w:trHeight w:val="4830" w:hRule="atLeast"/>
        </w:trPr>
        <w:tc>
          <w:tcPr>
            <w:tcW w:w="464" w:type="dxa"/>
          </w:tcPr>
          <w:p>
            <w:pPr>
              <w:pStyle w:val="TableParagraph"/>
              <w:spacing w:line="222" w:lineRule="exact"/>
              <w:ind w:left="4"/>
              <w:jc w:val="center"/>
              <w:rPr>
                <w:sz w:val="20"/>
              </w:rPr>
            </w:pPr>
            <w:r>
              <w:rPr>
                <w:spacing w:val="-10"/>
                <w:sz w:val="20"/>
              </w:rPr>
              <w:t>5</w:t>
            </w:r>
          </w:p>
        </w:tc>
        <w:tc>
          <w:tcPr>
            <w:tcW w:w="1688" w:type="dxa"/>
          </w:tcPr>
          <w:p>
            <w:pPr>
              <w:pStyle w:val="TableParagraph"/>
              <w:ind w:left="103" w:right="492"/>
              <w:rPr>
                <w:sz w:val="20"/>
              </w:rPr>
            </w:pPr>
            <w:r>
              <w:rPr>
                <w:spacing w:val="-2"/>
                <w:sz w:val="20"/>
              </w:rPr>
              <w:t>Sari,</w:t>
            </w:r>
            <w:r>
              <w:rPr>
                <w:spacing w:val="-11"/>
                <w:sz w:val="20"/>
              </w:rPr>
              <w:t> </w:t>
            </w:r>
            <w:r>
              <w:rPr>
                <w:spacing w:val="-2"/>
                <w:sz w:val="20"/>
              </w:rPr>
              <w:t>Y.</w:t>
            </w:r>
            <w:r>
              <w:rPr>
                <w:spacing w:val="-10"/>
                <w:sz w:val="20"/>
              </w:rPr>
              <w:t> </w:t>
            </w:r>
            <w:r>
              <w:rPr>
                <w:spacing w:val="-2"/>
                <w:sz w:val="20"/>
              </w:rPr>
              <w:t>A.,</w:t>
            </w:r>
            <w:r>
              <w:rPr>
                <w:spacing w:val="-11"/>
                <w:sz w:val="20"/>
              </w:rPr>
              <w:t> </w:t>
            </w:r>
            <w:r>
              <w:rPr>
                <w:spacing w:val="-2"/>
                <w:sz w:val="20"/>
              </w:rPr>
              <w:t>&amp; </w:t>
            </w:r>
            <w:r>
              <w:rPr>
                <w:sz w:val="20"/>
              </w:rPr>
              <w:t>Priyadi, M. </w:t>
            </w:r>
            <w:r>
              <w:rPr>
                <w:spacing w:val="-2"/>
                <w:sz w:val="20"/>
              </w:rPr>
              <w:t>(2020).</w:t>
            </w:r>
          </w:p>
        </w:tc>
        <w:tc>
          <w:tcPr>
            <w:tcW w:w="1972" w:type="dxa"/>
          </w:tcPr>
          <w:p>
            <w:pPr>
              <w:pStyle w:val="TableParagraph"/>
              <w:spacing w:line="222" w:lineRule="exact"/>
              <w:ind w:left="108"/>
              <w:rPr>
                <w:sz w:val="20"/>
              </w:rPr>
            </w:pPr>
            <w:r>
              <w:rPr>
                <w:spacing w:val="-2"/>
                <w:sz w:val="20"/>
              </w:rPr>
              <w:t>Faktor-Faktor</w:t>
            </w:r>
          </w:p>
          <w:p>
            <w:pPr>
              <w:pStyle w:val="TableParagraph"/>
              <w:spacing w:before="2"/>
              <w:ind w:left="108" w:right="157"/>
              <w:rPr>
                <w:sz w:val="20"/>
              </w:rPr>
            </w:pPr>
            <w:r>
              <w:rPr>
                <w:spacing w:val="-2"/>
                <w:sz w:val="20"/>
              </w:rPr>
              <w:t>Yang</w:t>
            </w:r>
            <w:r>
              <w:rPr>
                <w:spacing w:val="-11"/>
                <w:sz w:val="20"/>
              </w:rPr>
              <w:t> </w:t>
            </w:r>
            <w:r>
              <w:rPr>
                <w:spacing w:val="-2"/>
                <w:sz w:val="20"/>
              </w:rPr>
              <w:t>Mempengaruhi Pengungkapan </w:t>
            </w:r>
            <w:r>
              <w:rPr>
                <w:sz w:val="20"/>
              </w:rPr>
              <w:t>Corporate Social Responsibility</w:t>
            </w:r>
            <w:r>
              <w:rPr>
                <w:spacing w:val="-5"/>
                <w:sz w:val="20"/>
              </w:rPr>
              <w:t> </w:t>
            </w:r>
            <w:r>
              <w:rPr>
                <w:sz w:val="20"/>
              </w:rPr>
              <w:t>Pada </w:t>
            </w:r>
            <w:r>
              <w:rPr>
                <w:spacing w:val="-2"/>
                <w:sz w:val="20"/>
              </w:rPr>
              <w:t>Perusahaan Manufaktur.</w:t>
            </w:r>
          </w:p>
        </w:tc>
        <w:tc>
          <w:tcPr>
            <w:tcW w:w="1836" w:type="dxa"/>
          </w:tcPr>
          <w:p>
            <w:pPr>
              <w:pStyle w:val="TableParagraph"/>
              <w:spacing w:line="222" w:lineRule="exact"/>
              <w:ind w:left="108"/>
              <w:rPr>
                <w:sz w:val="20"/>
              </w:rPr>
            </w:pPr>
            <w:r>
              <w:rPr>
                <w:spacing w:val="-2"/>
                <w:sz w:val="20"/>
              </w:rPr>
              <w:t>Dependen:</w:t>
            </w:r>
          </w:p>
          <w:p>
            <w:pPr>
              <w:pStyle w:val="TableParagraph"/>
              <w:numPr>
                <w:ilvl w:val="0"/>
                <w:numId w:val="23"/>
              </w:numPr>
              <w:tabs>
                <w:tab w:pos="227" w:val="left" w:leader="none"/>
              </w:tabs>
              <w:spacing w:line="240" w:lineRule="auto" w:before="2" w:after="0"/>
              <w:ind w:left="108" w:right="240" w:firstLine="0"/>
              <w:jc w:val="left"/>
              <w:rPr>
                <w:sz w:val="20"/>
              </w:rPr>
            </w:pPr>
            <w:r>
              <w:rPr>
                <w:i/>
                <w:sz w:val="20"/>
              </w:rPr>
              <w:t>Corporate</w:t>
            </w:r>
            <w:r>
              <w:rPr>
                <w:i/>
                <w:spacing w:val="-13"/>
                <w:sz w:val="20"/>
              </w:rPr>
              <w:t> </w:t>
            </w:r>
            <w:r>
              <w:rPr>
                <w:i/>
                <w:sz w:val="20"/>
              </w:rPr>
              <w:t>social </w:t>
            </w:r>
            <w:r>
              <w:rPr>
                <w:i/>
                <w:spacing w:val="-2"/>
                <w:sz w:val="20"/>
              </w:rPr>
              <w:t>responsibility </w:t>
            </w:r>
            <w:r>
              <w:rPr>
                <w:spacing w:val="-2"/>
                <w:sz w:val="20"/>
              </w:rPr>
              <w:t>Independen:</w:t>
            </w:r>
          </w:p>
          <w:p>
            <w:pPr>
              <w:pStyle w:val="TableParagraph"/>
              <w:numPr>
                <w:ilvl w:val="0"/>
                <w:numId w:val="23"/>
              </w:numPr>
              <w:tabs>
                <w:tab w:pos="227" w:val="left" w:leader="none"/>
              </w:tabs>
              <w:spacing w:line="228" w:lineRule="exact" w:before="0" w:after="0"/>
              <w:ind w:left="227" w:right="0" w:hanging="119"/>
              <w:jc w:val="left"/>
              <w:rPr>
                <w:sz w:val="20"/>
              </w:rPr>
            </w:pPr>
            <w:r>
              <w:rPr>
                <w:spacing w:val="-2"/>
                <w:sz w:val="20"/>
              </w:rPr>
              <w:t>Profitabilitas</w:t>
            </w:r>
          </w:p>
          <w:p>
            <w:pPr>
              <w:pStyle w:val="TableParagraph"/>
              <w:numPr>
                <w:ilvl w:val="0"/>
                <w:numId w:val="23"/>
              </w:numPr>
              <w:tabs>
                <w:tab w:pos="227" w:val="left" w:leader="none"/>
              </w:tabs>
              <w:spacing w:line="229" w:lineRule="exact" w:before="1" w:after="0"/>
              <w:ind w:left="227" w:right="0" w:hanging="119"/>
              <w:jc w:val="left"/>
              <w:rPr>
                <w:i/>
                <w:sz w:val="20"/>
              </w:rPr>
            </w:pPr>
            <w:r>
              <w:rPr>
                <w:i/>
                <w:spacing w:val="-2"/>
                <w:sz w:val="20"/>
              </w:rPr>
              <w:t>Leverage</w:t>
            </w:r>
          </w:p>
          <w:p>
            <w:pPr>
              <w:pStyle w:val="TableParagraph"/>
              <w:numPr>
                <w:ilvl w:val="0"/>
                <w:numId w:val="23"/>
              </w:numPr>
              <w:tabs>
                <w:tab w:pos="227" w:val="left" w:leader="none"/>
              </w:tabs>
              <w:spacing w:line="240" w:lineRule="auto" w:before="0" w:after="0"/>
              <w:ind w:left="108" w:right="804" w:firstLine="0"/>
              <w:jc w:val="left"/>
              <w:rPr>
                <w:sz w:val="20"/>
              </w:rPr>
            </w:pPr>
            <w:r>
              <w:rPr>
                <w:spacing w:val="-2"/>
                <w:sz w:val="20"/>
              </w:rPr>
              <w:t>Ukuran Perusahaan</w:t>
            </w:r>
          </w:p>
          <w:p>
            <w:pPr>
              <w:pStyle w:val="TableParagraph"/>
              <w:numPr>
                <w:ilvl w:val="0"/>
                <w:numId w:val="23"/>
              </w:numPr>
              <w:tabs>
                <w:tab w:pos="227" w:val="left" w:leader="none"/>
              </w:tabs>
              <w:spacing w:line="240" w:lineRule="auto" w:before="0" w:after="0"/>
              <w:ind w:left="227" w:right="0" w:hanging="119"/>
              <w:jc w:val="left"/>
              <w:rPr>
                <w:sz w:val="20"/>
              </w:rPr>
            </w:pPr>
            <w:r>
              <w:rPr>
                <w:spacing w:val="-2"/>
                <w:sz w:val="20"/>
              </w:rPr>
              <w:t>Likuiditas</w:t>
            </w:r>
          </w:p>
          <w:p>
            <w:pPr>
              <w:pStyle w:val="TableParagraph"/>
              <w:numPr>
                <w:ilvl w:val="0"/>
                <w:numId w:val="23"/>
              </w:numPr>
              <w:tabs>
                <w:tab w:pos="227" w:val="left" w:leader="none"/>
              </w:tabs>
              <w:spacing w:line="240" w:lineRule="auto" w:before="2" w:after="0"/>
              <w:ind w:left="108" w:right="554" w:firstLine="0"/>
              <w:jc w:val="left"/>
              <w:rPr>
                <w:sz w:val="20"/>
              </w:rPr>
            </w:pPr>
            <w:r>
              <w:rPr>
                <w:spacing w:val="-2"/>
                <w:sz w:val="20"/>
              </w:rPr>
              <w:t>Kepemilikan Saham</w:t>
            </w:r>
            <w:r>
              <w:rPr>
                <w:spacing w:val="-11"/>
                <w:sz w:val="20"/>
              </w:rPr>
              <w:t> </w:t>
            </w:r>
            <w:r>
              <w:rPr>
                <w:spacing w:val="-2"/>
                <w:sz w:val="20"/>
              </w:rPr>
              <w:t>Publik.</w:t>
            </w:r>
          </w:p>
          <w:p>
            <w:pPr>
              <w:pStyle w:val="TableParagraph"/>
              <w:numPr>
                <w:ilvl w:val="0"/>
                <w:numId w:val="23"/>
              </w:numPr>
              <w:tabs>
                <w:tab w:pos="223" w:val="left" w:leader="none"/>
              </w:tabs>
              <w:spacing w:line="240" w:lineRule="auto" w:before="0" w:after="0"/>
              <w:ind w:left="223" w:right="0" w:hanging="115"/>
              <w:jc w:val="left"/>
              <w:rPr>
                <w:sz w:val="20"/>
              </w:rPr>
            </w:pPr>
            <w:r>
              <w:rPr>
                <w:spacing w:val="-2"/>
                <w:sz w:val="20"/>
              </w:rPr>
              <w:t>Tipe</w:t>
            </w:r>
            <w:r>
              <w:rPr>
                <w:spacing w:val="-8"/>
                <w:sz w:val="20"/>
              </w:rPr>
              <w:t> </w:t>
            </w:r>
            <w:r>
              <w:rPr>
                <w:spacing w:val="-2"/>
                <w:sz w:val="20"/>
              </w:rPr>
              <w:t>Industri</w:t>
            </w:r>
          </w:p>
        </w:tc>
        <w:tc>
          <w:tcPr>
            <w:tcW w:w="2401" w:type="dxa"/>
          </w:tcPr>
          <w:p>
            <w:pPr>
              <w:pStyle w:val="TableParagraph"/>
              <w:numPr>
                <w:ilvl w:val="0"/>
                <w:numId w:val="24"/>
              </w:numPr>
              <w:tabs>
                <w:tab w:pos="224" w:val="left" w:leader="none"/>
              </w:tabs>
              <w:spacing w:line="240" w:lineRule="auto" w:before="0" w:after="0"/>
              <w:ind w:left="105" w:right="319" w:firstLine="0"/>
              <w:jc w:val="left"/>
              <w:rPr>
                <w:sz w:val="20"/>
              </w:rPr>
            </w:pPr>
            <w:r>
              <w:rPr>
                <w:spacing w:val="-2"/>
                <w:sz w:val="20"/>
              </w:rPr>
              <w:t>Profitabilitas </w:t>
            </w:r>
            <w:r>
              <w:rPr>
                <w:sz w:val="20"/>
              </w:rPr>
              <w:t>berpengaruh positif signifikan</w:t>
            </w:r>
            <w:r>
              <w:rPr>
                <w:spacing w:val="-6"/>
                <w:sz w:val="20"/>
              </w:rPr>
              <w:t> </w:t>
            </w:r>
            <w:r>
              <w:rPr>
                <w:sz w:val="20"/>
              </w:rPr>
              <w:t>terhadap</w:t>
            </w:r>
            <w:r>
              <w:rPr>
                <w:spacing w:val="-1"/>
                <w:sz w:val="20"/>
              </w:rPr>
              <w:t> </w:t>
            </w:r>
            <w:r>
              <w:rPr>
                <w:spacing w:val="-5"/>
                <w:sz w:val="20"/>
              </w:rPr>
              <w:t>CSR</w:t>
            </w:r>
          </w:p>
          <w:p>
            <w:pPr>
              <w:pStyle w:val="TableParagraph"/>
              <w:numPr>
                <w:ilvl w:val="0"/>
                <w:numId w:val="24"/>
              </w:numPr>
              <w:tabs>
                <w:tab w:pos="224" w:val="left" w:leader="none"/>
              </w:tabs>
              <w:spacing w:line="240" w:lineRule="auto" w:before="0" w:after="0"/>
              <w:ind w:left="105" w:right="189" w:firstLine="0"/>
              <w:jc w:val="left"/>
              <w:rPr>
                <w:sz w:val="20"/>
              </w:rPr>
            </w:pPr>
            <w:r>
              <w:rPr>
                <w:sz w:val="20"/>
              </w:rPr>
              <w:t>Likuiditas</w:t>
            </w:r>
            <w:r>
              <w:rPr>
                <w:spacing w:val="40"/>
                <w:sz w:val="20"/>
              </w:rPr>
              <w:t> </w:t>
            </w:r>
            <w:r>
              <w:rPr>
                <w:sz w:val="20"/>
              </w:rPr>
              <w:t>berpengaruh positif</w:t>
            </w:r>
            <w:r>
              <w:rPr>
                <w:spacing w:val="-13"/>
                <w:sz w:val="20"/>
              </w:rPr>
              <w:t> </w:t>
            </w:r>
            <w:r>
              <w:rPr>
                <w:sz w:val="20"/>
              </w:rPr>
              <w:t>signifikan</w:t>
            </w:r>
            <w:r>
              <w:rPr>
                <w:spacing w:val="-12"/>
                <w:sz w:val="20"/>
              </w:rPr>
              <w:t> </w:t>
            </w:r>
            <w:r>
              <w:rPr>
                <w:sz w:val="20"/>
              </w:rPr>
              <w:t>terhadap </w:t>
            </w:r>
            <w:r>
              <w:rPr>
                <w:spacing w:val="-4"/>
                <w:sz w:val="20"/>
              </w:rPr>
              <w:t>CSR</w:t>
            </w:r>
          </w:p>
          <w:p>
            <w:pPr>
              <w:pStyle w:val="TableParagraph"/>
              <w:numPr>
                <w:ilvl w:val="0"/>
                <w:numId w:val="24"/>
              </w:numPr>
              <w:tabs>
                <w:tab w:pos="224" w:val="left" w:leader="none"/>
              </w:tabs>
              <w:spacing w:line="240" w:lineRule="auto" w:before="0" w:after="0"/>
              <w:ind w:left="105" w:right="372" w:firstLine="0"/>
              <w:jc w:val="both"/>
              <w:rPr>
                <w:sz w:val="20"/>
              </w:rPr>
            </w:pPr>
            <w:r>
              <w:rPr>
                <w:i/>
                <w:sz w:val="20"/>
              </w:rPr>
              <w:t>Leverage</w:t>
            </w:r>
            <w:r>
              <w:rPr>
                <w:i/>
                <w:spacing w:val="-13"/>
                <w:sz w:val="20"/>
              </w:rPr>
              <w:t> </w:t>
            </w:r>
            <w:r>
              <w:rPr>
                <w:sz w:val="20"/>
              </w:rPr>
              <w:t>berpengaruh negatif tidak signifikan terhadap CSR</w:t>
            </w:r>
          </w:p>
          <w:p>
            <w:pPr>
              <w:pStyle w:val="TableParagraph"/>
              <w:numPr>
                <w:ilvl w:val="0"/>
                <w:numId w:val="24"/>
              </w:numPr>
              <w:tabs>
                <w:tab w:pos="224" w:val="left" w:leader="none"/>
              </w:tabs>
              <w:spacing w:line="240" w:lineRule="auto" w:before="0" w:after="0"/>
              <w:ind w:left="105" w:right="320" w:firstLine="0"/>
              <w:jc w:val="left"/>
              <w:rPr>
                <w:sz w:val="20"/>
              </w:rPr>
            </w:pPr>
            <w:r>
              <w:rPr>
                <w:sz w:val="20"/>
              </w:rPr>
              <w:t>Ukuran Perusahaan berpengaruh positif signifikan</w:t>
            </w:r>
            <w:r>
              <w:rPr>
                <w:spacing w:val="-13"/>
                <w:sz w:val="20"/>
              </w:rPr>
              <w:t> </w:t>
            </w:r>
            <w:r>
              <w:rPr>
                <w:sz w:val="20"/>
              </w:rPr>
              <w:t>terhadap</w:t>
            </w:r>
            <w:r>
              <w:rPr>
                <w:spacing w:val="-12"/>
                <w:sz w:val="20"/>
              </w:rPr>
              <w:t> </w:t>
            </w:r>
            <w:r>
              <w:rPr>
                <w:sz w:val="20"/>
              </w:rPr>
              <w:t>CSR</w:t>
            </w:r>
          </w:p>
          <w:p>
            <w:pPr>
              <w:pStyle w:val="TableParagraph"/>
              <w:numPr>
                <w:ilvl w:val="0"/>
                <w:numId w:val="24"/>
              </w:numPr>
              <w:tabs>
                <w:tab w:pos="224" w:val="left" w:leader="none"/>
              </w:tabs>
              <w:spacing w:line="240" w:lineRule="auto" w:before="0" w:after="0"/>
              <w:ind w:left="105" w:right="151" w:firstLine="0"/>
              <w:jc w:val="left"/>
              <w:rPr>
                <w:sz w:val="20"/>
              </w:rPr>
            </w:pPr>
            <w:r>
              <w:rPr>
                <w:sz w:val="20"/>
              </w:rPr>
              <w:t>Kepemilikan Saham Publik</w:t>
            </w:r>
            <w:r>
              <w:rPr>
                <w:spacing w:val="-13"/>
                <w:sz w:val="20"/>
              </w:rPr>
              <w:t> </w:t>
            </w:r>
            <w:r>
              <w:rPr>
                <w:sz w:val="20"/>
              </w:rPr>
              <w:t>berpengaruh</w:t>
            </w:r>
            <w:r>
              <w:rPr>
                <w:spacing w:val="-12"/>
                <w:sz w:val="20"/>
              </w:rPr>
              <w:t> </w:t>
            </w:r>
            <w:r>
              <w:rPr>
                <w:sz w:val="20"/>
              </w:rPr>
              <w:t>positif tidak signifikan terhadap </w:t>
            </w:r>
            <w:r>
              <w:rPr>
                <w:spacing w:val="-4"/>
                <w:sz w:val="20"/>
              </w:rPr>
              <w:t>CSR</w:t>
            </w:r>
          </w:p>
          <w:p>
            <w:pPr>
              <w:pStyle w:val="TableParagraph"/>
              <w:numPr>
                <w:ilvl w:val="0"/>
                <w:numId w:val="24"/>
              </w:numPr>
              <w:tabs>
                <w:tab w:pos="220" w:val="left" w:leader="none"/>
              </w:tabs>
              <w:spacing w:line="240" w:lineRule="auto" w:before="0" w:after="0"/>
              <w:ind w:left="105" w:right="278" w:firstLine="0"/>
              <w:jc w:val="left"/>
              <w:rPr>
                <w:sz w:val="20"/>
              </w:rPr>
            </w:pPr>
            <w:r>
              <w:rPr>
                <w:sz w:val="20"/>
              </w:rPr>
              <w:t>Tipe Industri berpengaruh</w:t>
            </w:r>
            <w:r>
              <w:rPr>
                <w:spacing w:val="-13"/>
                <w:sz w:val="20"/>
              </w:rPr>
              <w:t> </w:t>
            </w:r>
            <w:r>
              <w:rPr>
                <w:sz w:val="20"/>
              </w:rPr>
              <w:t>positif</w:t>
            </w:r>
            <w:r>
              <w:rPr>
                <w:spacing w:val="-12"/>
                <w:sz w:val="20"/>
              </w:rPr>
              <w:t> </w:t>
            </w:r>
            <w:r>
              <w:rPr>
                <w:sz w:val="20"/>
              </w:rPr>
              <w:t>tidak signifikan</w:t>
            </w:r>
            <w:r>
              <w:rPr>
                <w:spacing w:val="-6"/>
                <w:sz w:val="20"/>
              </w:rPr>
              <w:t> </w:t>
            </w:r>
            <w:r>
              <w:rPr>
                <w:sz w:val="20"/>
              </w:rPr>
              <w:t>terhadap</w:t>
            </w:r>
            <w:r>
              <w:rPr>
                <w:spacing w:val="-2"/>
                <w:sz w:val="20"/>
              </w:rPr>
              <w:t> </w:t>
            </w:r>
            <w:r>
              <w:rPr>
                <w:spacing w:val="-5"/>
                <w:sz w:val="20"/>
              </w:rPr>
              <w:t>CSR</w:t>
            </w:r>
          </w:p>
        </w:tc>
      </w:tr>
      <w:tr>
        <w:trPr>
          <w:trHeight w:val="1838" w:hRule="atLeast"/>
        </w:trPr>
        <w:tc>
          <w:tcPr>
            <w:tcW w:w="464" w:type="dxa"/>
          </w:tcPr>
          <w:p>
            <w:pPr>
              <w:pStyle w:val="TableParagraph"/>
              <w:spacing w:line="222" w:lineRule="exact"/>
              <w:ind w:left="4"/>
              <w:jc w:val="center"/>
              <w:rPr>
                <w:sz w:val="20"/>
              </w:rPr>
            </w:pPr>
            <w:r>
              <w:rPr>
                <w:spacing w:val="-10"/>
                <w:sz w:val="20"/>
              </w:rPr>
              <w:t>6</w:t>
            </w:r>
          </w:p>
        </w:tc>
        <w:tc>
          <w:tcPr>
            <w:tcW w:w="1688" w:type="dxa"/>
          </w:tcPr>
          <w:p>
            <w:pPr>
              <w:pStyle w:val="TableParagraph"/>
              <w:ind w:left="103" w:right="104"/>
              <w:rPr>
                <w:sz w:val="20"/>
              </w:rPr>
            </w:pPr>
            <w:r>
              <w:rPr>
                <w:spacing w:val="-2"/>
                <w:sz w:val="20"/>
              </w:rPr>
              <w:t>Ruiz-</w:t>
            </w:r>
            <w:r>
              <w:rPr>
                <w:spacing w:val="-2"/>
                <w:sz w:val="20"/>
              </w:rPr>
              <w:t>Barbadillo </w:t>
            </w:r>
            <w:r>
              <w:rPr>
                <w:sz w:val="20"/>
              </w:rPr>
              <w:t>dan Martínez- Ferrero (2020)</w:t>
            </w:r>
          </w:p>
        </w:tc>
        <w:tc>
          <w:tcPr>
            <w:tcW w:w="1972" w:type="dxa"/>
          </w:tcPr>
          <w:p>
            <w:pPr>
              <w:pStyle w:val="TableParagraph"/>
              <w:ind w:left="108" w:right="100"/>
              <w:rPr>
                <w:i/>
                <w:sz w:val="20"/>
              </w:rPr>
            </w:pPr>
            <w:r>
              <w:rPr>
                <w:i/>
                <w:sz w:val="20"/>
              </w:rPr>
              <w:t>Empirical analysis of the effect of the joint provision of audit</w:t>
            </w:r>
            <w:r>
              <w:rPr>
                <w:i/>
                <w:spacing w:val="40"/>
                <w:sz w:val="20"/>
              </w:rPr>
              <w:t> </w:t>
            </w:r>
            <w:r>
              <w:rPr>
                <w:i/>
                <w:sz w:val="20"/>
              </w:rPr>
              <w:t>and sustainability assurance</w:t>
            </w:r>
            <w:r>
              <w:rPr>
                <w:i/>
                <w:spacing w:val="-13"/>
                <w:sz w:val="20"/>
              </w:rPr>
              <w:t> </w:t>
            </w:r>
            <w:r>
              <w:rPr>
                <w:i/>
                <w:sz w:val="20"/>
              </w:rPr>
              <w:t>services</w:t>
            </w:r>
            <w:r>
              <w:rPr>
                <w:i/>
                <w:spacing w:val="-12"/>
                <w:sz w:val="20"/>
              </w:rPr>
              <w:t> </w:t>
            </w:r>
            <w:r>
              <w:rPr>
                <w:i/>
                <w:sz w:val="20"/>
              </w:rPr>
              <w:t>on assurance quality</w:t>
            </w:r>
          </w:p>
        </w:tc>
        <w:tc>
          <w:tcPr>
            <w:tcW w:w="1836" w:type="dxa"/>
          </w:tcPr>
          <w:p>
            <w:pPr>
              <w:pStyle w:val="TableParagraph"/>
              <w:spacing w:line="222" w:lineRule="exact"/>
              <w:ind w:left="108"/>
              <w:rPr>
                <w:sz w:val="20"/>
              </w:rPr>
            </w:pPr>
            <w:r>
              <w:rPr>
                <w:spacing w:val="-2"/>
                <w:sz w:val="20"/>
              </w:rPr>
              <w:t>Dependen:</w:t>
            </w:r>
          </w:p>
          <w:p>
            <w:pPr>
              <w:pStyle w:val="TableParagraph"/>
              <w:numPr>
                <w:ilvl w:val="0"/>
                <w:numId w:val="25"/>
              </w:numPr>
              <w:tabs>
                <w:tab w:pos="227" w:val="left" w:leader="none"/>
              </w:tabs>
              <w:spacing w:line="229" w:lineRule="exact" w:before="2" w:after="0"/>
              <w:ind w:left="227" w:right="0" w:hanging="119"/>
              <w:jc w:val="left"/>
              <w:rPr>
                <w:i/>
                <w:sz w:val="20"/>
              </w:rPr>
            </w:pPr>
            <w:r>
              <w:rPr>
                <w:i/>
                <w:sz w:val="20"/>
              </w:rPr>
              <w:t>Assurance</w:t>
            </w:r>
            <w:r>
              <w:rPr>
                <w:i/>
                <w:spacing w:val="-6"/>
                <w:sz w:val="20"/>
              </w:rPr>
              <w:t> </w:t>
            </w:r>
            <w:r>
              <w:rPr>
                <w:i/>
                <w:spacing w:val="-2"/>
                <w:sz w:val="20"/>
              </w:rPr>
              <w:t>Quality</w:t>
            </w:r>
          </w:p>
          <w:p>
            <w:pPr>
              <w:pStyle w:val="TableParagraph"/>
              <w:spacing w:line="229" w:lineRule="exact"/>
              <w:ind w:left="108"/>
              <w:rPr>
                <w:sz w:val="20"/>
              </w:rPr>
            </w:pPr>
            <w:r>
              <w:rPr>
                <w:spacing w:val="-2"/>
                <w:sz w:val="20"/>
              </w:rPr>
              <w:t>Independen:</w:t>
            </w:r>
          </w:p>
          <w:p>
            <w:pPr>
              <w:pStyle w:val="TableParagraph"/>
              <w:numPr>
                <w:ilvl w:val="0"/>
                <w:numId w:val="25"/>
              </w:numPr>
              <w:tabs>
                <w:tab w:pos="227" w:val="left" w:leader="none"/>
              </w:tabs>
              <w:spacing w:line="240" w:lineRule="auto" w:before="2" w:after="0"/>
              <w:ind w:left="108" w:right="172" w:firstLine="0"/>
              <w:jc w:val="left"/>
              <w:rPr>
                <w:i/>
                <w:sz w:val="20"/>
              </w:rPr>
            </w:pPr>
            <w:r>
              <w:rPr>
                <w:i/>
                <w:sz w:val="20"/>
              </w:rPr>
              <w:t>Joint</w:t>
            </w:r>
            <w:r>
              <w:rPr>
                <w:i/>
                <w:spacing w:val="-13"/>
                <w:sz w:val="20"/>
              </w:rPr>
              <w:t> </w:t>
            </w:r>
            <w:r>
              <w:rPr>
                <w:i/>
                <w:sz w:val="20"/>
              </w:rPr>
              <w:t>Provisipn</w:t>
            </w:r>
            <w:r>
              <w:rPr>
                <w:i/>
                <w:spacing w:val="-12"/>
                <w:sz w:val="20"/>
              </w:rPr>
              <w:t> </w:t>
            </w:r>
            <w:r>
              <w:rPr>
                <w:i/>
                <w:sz w:val="20"/>
              </w:rPr>
              <w:t>of </w:t>
            </w:r>
            <w:r>
              <w:rPr>
                <w:i/>
                <w:spacing w:val="-2"/>
                <w:sz w:val="20"/>
              </w:rPr>
              <w:t>Audit</w:t>
            </w:r>
          </w:p>
          <w:p>
            <w:pPr>
              <w:pStyle w:val="TableParagraph"/>
              <w:numPr>
                <w:ilvl w:val="0"/>
                <w:numId w:val="25"/>
              </w:numPr>
              <w:tabs>
                <w:tab w:pos="223" w:val="left" w:leader="none"/>
              </w:tabs>
              <w:spacing w:line="240" w:lineRule="auto" w:before="0" w:after="0"/>
              <w:ind w:left="108" w:right="771" w:firstLine="0"/>
              <w:jc w:val="left"/>
              <w:rPr>
                <w:i/>
                <w:sz w:val="20"/>
              </w:rPr>
            </w:pPr>
            <w:r>
              <w:rPr>
                <w:i/>
                <w:spacing w:val="-2"/>
                <w:sz w:val="20"/>
              </w:rPr>
              <w:t>Assurance Services</w:t>
            </w:r>
          </w:p>
        </w:tc>
        <w:tc>
          <w:tcPr>
            <w:tcW w:w="2401" w:type="dxa"/>
          </w:tcPr>
          <w:p>
            <w:pPr>
              <w:pStyle w:val="TableParagraph"/>
              <w:ind w:left="105" w:right="722"/>
              <w:rPr>
                <w:i/>
                <w:sz w:val="20"/>
              </w:rPr>
            </w:pPr>
            <w:r>
              <w:rPr>
                <w:sz w:val="20"/>
              </w:rPr>
              <w:t>- </w:t>
            </w:r>
            <w:r>
              <w:rPr>
                <w:i/>
                <w:sz w:val="20"/>
              </w:rPr>
              <w:t>Joint Provision </w:t>
            </w:r>
            <w:r>
              <w:rPr>
                <w:sz w:val="20"/>
              </w:rPr>
              <w:t>berpengaruh</w:t>
            </w:r>
            <w:r>
              <w:rPr>
                <w:spacing w:val="-13"/>
                <w:sz w:val="20"/>
              </w:rPr>
              <w:t> </w:t>
            </w:r>
            <w:r>
              <w:rPr>
                <w:sz w:val="20"/>
              </w:rPr>
              <w:t>positi</w:t>
            </w:r>
            <w:r>
              <w:rPr>
                <w:sz w:val="20"/>
              </w:rPr>
              <w:t>f signifikan dengan </w:t>
            </w:r>
            <w:r>
              <w:rPr>
                <w:i/>
                <w:sz w:val="20"/>
              </w:rPr>
              <w:t>Assurance Quality</w:t>
            </w:r>
          </w:p>
        </w:tc>
      </w:tr>
    </w:tbl>
    <w:p>
      <w:pPr>
        <w:spacing w:before="0"/>
        <w:ind w:left="568" w:right="0" w:firstLine="0"/>
        <w:jc w:val="left"/>
        <w:rPr>
          <w:i/>
          <w:sz w:val="20"/>
        </w:rPr>
      </w:pPr>
      <w:r>
        <w:rPr>
          <w:i/>
          <w:color w:val="44536A"/>
          <w:sz w:val="20"/>
        </w:rPr>
        <w:t>Sumber: Review</w:t>
      </w:r>
      <w:r>
        <w:rPr>
          <w:i/>
          <w:color w:val="44536A"/>
          <w:spacing w:val="-10"/>
          <w:sz w:val="20"/>
        </w:rPr>
        <w:t> </w:t>
      </w:r>
      <w:r>
        <w:rPr>
          <w:i/>
          <w:color w:val="44536A"/>
          <w:sz w:val="20"/>
        </w:rPr>
        <w:t>dari beberapa</w:t>
      </w:r>
      <w:r>
        <w:rPr>
          <w:i/>
          <w:color w:val="44536A"/>
          <w:spacing w:val="-1"/>
          <w:sz w:val="20"/>
        </w:rPr>
        <w:t> </w:t>
      </w:r>
      <w:r>
        <w:rPr>
          <w:i/>
          <w:color w:val="44536A"/>
          <w:sz w:val="20"/>
        </w:rPr>
        <w:t>sumber</w:t>
      </w:r>
      <w:r>
        <w:rPr>
          <w:i/>
          <w:color w:val="44536A"/>
          <w:spacing w:val="-3"/>
          <w:sz w:val="20"/>
        </w:rPr>
        <w:t> </w:t>
      </w:r>
      <w:r>
        <w:rPr>
          <w:i/>
          <w:color w:val="44536A"/>
          <w:spacing w:val="-2"/>
          <w:sz w:val="20"/>
        </w:rPr>
        <w:t>referensi</w:t>
      </w:r>
    </w:p>
    <w:p>
      <w:pPr>
        <w:pStyle w:val="Heading3"/>
        <w:numPr>
          <w:ilvl w:val="1"/>
          <w:numId w:val="26"/>
        </w:numPr>
        <w:tabs>
          <w:tab w:pos="1276" w:val="left" w:leader="none"/>
        </w:tabs>
        <w:spacing w:line="240" w:lineRule="auto" w:before="198" w:after="0"/>
        <w:ind w:left="1276" w:right="0" w:hanging="792"/>
        <w:jc w:val="left"/>
      </w:pPr>
      <w:bookmarkStart w:name="_bookmark23" w:id="24"/>
      <w:bookmarkEnd w:id="24"/>
      <w:r>
        <w:rPr/>
        <w:t>K</w:t>
      </w:r>
      <w:r>
        <w:rPr/>
        <w:t>erangka</w:t>
      </w:r>
      <w:r>
        <w:rPr>
          <w:spacing w:val="-6"/>
        </w:rPr>
        <w:t> </w:t>
      </w:r>
      <w:r>
        <w:rPr>
          <w:spacing w:val="-2"/>
        </w:rPr>
        <w:t>Konseptual</w:t>
      </w:r>
    </w:p>
    <w:p>
      <w:pPr>
        <w:pStyle w:val="BodyText"/>
        <w:spacing w:before="76"/>
        <w:rPr>
          <w:b/>
        </w:rPr>
      </w:pPr>
    </w:p>
    <w:p>
      <w:pPr>
        <w:pStyle w:val="BodyText"/>
        <w:spacing w:line="480" w:lineRule="auto"/>
        <w:ind w:left="568" w:right="564" w:firstLine="708"/>
        <w:jc w:val="both"/>
      </w:pPr>
      <w:r>
        <w:rPr/>
        <w:t>Penelitian ini didasarkan pada </w:t>
      </w:r>
      <w:r>
        <w:rPr>
          <w:i/>
        </w:rPr>
        <w:t>Stakeholder Theory</w:t>
      </w:r>
      <w:r>
        <w:rPr/>
        <w:t>, yang menekankan pentingnya</w:t>
      </w:r>
      <w:r>
        <w:rPr>
          <w:spacing w:val="-14"/>
        </w:rPr>
        <w:t> </w:t>
      </w:r>
      <w:r>
        <w:rPr/>
        <w:t>tanggung</w:t>
      </w:r>
      <w:r>
        <w:rPr>
          <w:spacing w:val="-15"/>
        </w:rPr>
        <w:t> </w:t>
      </w:r>
      <w:r>
        <w:rPr/>
        <w:t>jawab</w:t>
      </w:r>
      <w:r>
        <w:rPr>
          <w:spacing w:val="-13"/>
        </w:rPr>
        <w:t> </w:t>
      </w:r>
      <w:r>
        <w:rPr/>
        <w:t>perusahaan</w:t>
      </w:r>
      <w:r>
        <w:rPr>
          <w:spacing w:val="-9"/>
        </w:rPr>
        <w:t> </w:t>
      </w:r>
      <w:r>
        <w:rPr/>
        <w:t>dalam</w:t>
      </w:r>
      <w:r>
        <w:rPr>
          <w:spacing w:val="-13"/>
        </w:rPr>
        <w:t> </w:t>
      </w:r>
      <w:r>
        <w:rPr/>
        <w:t>hal</w:t>
      </w:r>
      <w:r>
        <w:rPr>
          <w:spacing w:val="-13"/>
        </w:rPr>
        <w:t> </w:t>
      </w:r>
      <w:r>
        <w:rPr/>
        <w:t>ini</w:t>
      </w:r>
      <w:r>
        <w:rPr>
          <w:spacing w:val="-13"/>
        </w:rPr>
        <w:t> </w:t>
      </w:r>
      <w:r>
        <w:rPr/>
        <w:t>laporan</w:t>
      </w:r>
      <w:r>
        <w:rPr>
          <w:spacing w:val="-13"/>
        </w:rPr>
        <w:t> </w:t>
      </w:r>
      <w:r>
        <w:rPr/>
        <w:t>keberlanjutan</w:t>
      </w:r>
      <w:r>
        <w:rPr>
          <w:spacing w:val="-13"/>
        </w:rPr>
        <w:t> </w:t>
      </w:r>
      <w:r>
        <w:rPr/>
        <w:t>mereka terhadap berbagai pihak berkepentingan (</w:t>
      </w:r>
      <w:r>
        <w:rPr>
          <w:i/>
        </w:rPr>
        <w:t>stakeholder</w:t>
      </w:r>
      <w:r>
        <w:rPr/>
        <w:t>s), termasuk investor, kreditur,</w:t>
      </w:r>
      <w:r>
        <w:rPr>
          <w:spacing w:val="46"/>
        </w:rPr>
        <w:t> </w:t>
      </w:r>
      <w:r>
        <w:rPr/>
        <w:t>masyarakat,</w:t>
      </w:r>
      <w:r>
        <w:rPr>
          <w:spacing w:val="53"/>
        </w:rPr>
        <w:t> </w:t>
      </w:r>
      <w:r>
        <w:rPr/>
        <w:t>dan</w:t>
      </w:r>
      <w:r>
        <w:rPr>
          <w:spacing w:val="49"/>
        </w:rPr>
        <w:t> </w:t>
      </w:r>
      <w:r>
        <w:rPr/>
        <w:t>regulator.</w:t>
      </w:r>
      <w:r>
        <w:rPr>
          <w:spacing w:val="49"/>
        </w:rPr>
        <w:t> </w:t>
      </w:r>
      <w:r>
        <w:rPr/>
        <w:t>Teori</w:t>
      </w:r>
      <w:r>
        <w:rPr>
          <w:spacing w:val="54"/>
        </w:rPr>
        <w:t> </w:t>
      </w:r>
      <w:r>
        <w:rPr/>
        <w:t>ini</w:t>
      </w:r>
      <w:r>
        <w:rPr>
          <w:spacing w:val="54"/>
        </w:rPr>
        <w:t> </w:t>
      </w:r>
      <w:r>
        <w:rPr/>
        <w:t>menjadi</w:t>
      </w:r>
      <w:r>
        <w:rPr>
          <w:spacing w:val="54"/>
        </w:rPr>
        <w:t> </w:t>
      </w:r>
      <w:r>
        <w:rPr/>
        <w:t>dasar</w:t>
      </w:r>
      <w:r>
        <w:rPr>
          <w:spacing w:val="59"/>
        </w:rPr>
        <w:t> </w:t>
      </w:r>
      <w:r>
        <w:rPr/>
        <w:t>untuk</w:t>
      </w:r>
      <w:r>
        <w:rPr>
          <w:spacing w:val="49"/>
        </w:rPr>
        <w:t> </w:t>
      </w:r>
      <w:r>
        <w:rPr>
          <w:spacing w:val="-2"/>
        </w:rPr>
        <w:t>memahami</w:t>
      </w:r>
    </w:p>
    <w:p>
      <w:pPr>
        <w:pStyle w:val="BodyText"/>
        <w:spacing w:after="0" w:line="480" w:lineRule="auto"/>
        <w:jc w:val="both"/>
        <w:sectPr>
          <w:pgSz w:w="11910" w:h="16840"/>
          <w:pgMar w:header="710" w:footer="0" w:top="1920" w:bottom="280" w:left="1700" w:right="1133"/>
        </w:sectPr>
      </w:pPr>
    </w:p>
    <w:p>
      <w:pPr>
        <w:pStyle w:val="BodyText"/>
        <w:spacing w:before="48"/>
      </w:pPr>
    </w:p>
    <w:p>
      <w:pPr>
        <w:spacing w:line="480" w:lineRule="auto" w:before="0"/>
        <w:ind w:left="568" w:right="562" w:firstLine="0"/>
        <w:jc w:val="both"/>
        <w:rPr>
          <w:sz w:val="24"/>
        </w:rPr>
      </w:pPr>
      <w:r>
        <w:rPr>
          <w:sz w:val="24"/>
        </w:rPr>
        <w:t>bagaimana tekanan dan ekspektasi dari berbagai </w:t>
      </w:r>
      <w:r>
        <w:rPr>
          <w:i/>
          <w:sz w:val="24"/>
        </w:rPr>
        <w:t>Stakeholder </w:t>
      </w:r>
      <w:r>
        <w:rPr>
          <w:sz w:val="24"/>
        </w:rPr>
        <w:t>mendorong perusahaan dalam mengambil keputusan terkait </w:t>
      </w:r>
      <w:r>
        <w:rPr>
          <w:i/>
          <w:sz w:val="24"/>
        </w:rPr>
        <w:t>sustainability assurance quality </w:t>
      </w:r>
      <w:r>
        <w:rPr>
          <w:sz w:val="24"/>
        </w:rPr>
        <w:t>sebagai upaya dalam perusahaan membangun kepercayaan di mata para </w:t>
      </w:r>
      <w:r>
        <w:rPr>
          <w:i/>
          <w:spacing w:val="-2"/>
          <w:sz w:val="24"/>
        </w:rPr>
        <w:t>stakeholder</w:t>
      </w:r>
      <w:r>
        <w:rPr>
          <w:spacing w:val="-2"/>
          <w:sz w:val="24"/>
        </w:rPr>
        <w:t>.</w:t>
      </w:r>
    </w:p>
    <w:p>
      <w:pPr>
        <w:spacing w:line="480" w:lineRule="auto" w:before="161"/>
        <w:ind w:left="568" w:right="564" w:firstLine="708"/>
        <w:jc w:val="both"/>
        <w:rPr>
          <w:sz w:val="24"/>
        </w:rPr>
      </w:pPr>
      <w:r>
        <w:rPr>
          <w:sz w:val="24"/>
        </w:rPr>
        <w:t>Salah satu upaya tersebut adalah dengan meningkatkan </w:t>
      </w:r>
      <w:r>
        <w:rPr>
          <w:i/>
          <w:sz w:val="24"/>
        </w:rPr>
        <w:t>Sustainability Assurance Quality </w:t>
      </w:r>
      <w:r>
        <w:rPr>
          <w:sz w:val="24"/>
        </w:rPr>
        <w:t>mereka. Berdasarkan dari beberapa penelitian terdahulu, </w:t>
      </w:r>
      <w:r>
        <w:rPr>
          <w:i/>
          <w:sz w:val="24"/>
        </w:rPr>
        <w:t>Sustainability Assurance Quality </w:t>
      </w:r>
      <w:r>
        <w:rPr>
          <w:sz w:val="24"/>
        </w:rPr>
        <w:t>dapat dipengaruhi oleh beberapa faktor, yaitu tingkat </w:t>
      </w:r>
      <w:r>
        <w:rPr>
          <w:i/>
          <w:sz w:val="24"/>
        </w:rPr>
        <w:t>leverage </w:t>
      </w:r>
      <w:r>
        <w:rPr>
          <w:sz w:val="24"/>
        </w:rPr>
        <w:t>dan </w:t>
      </w:r>
      <w:r>
        <w:rPr>
          <w:i/>
          <w:sz w:val="24"/>
        </w:rPr>
        <w:t>debt maturity </w:t>
      </w:r>
      <w:r>
        <w:rPr>
          <w:sz w:val="24"/>
        </w:rPr>
        <w:t>perusahaan serta </w:t>
      </w:r>
      <w:r>
        <w:rPr>
          <w:i/>
          <w:sz w:val="24"/>
        </w:rPr>
        <w:t>Assurance Tenure</w:t>
      </w:r>
      <w:r>
        <w:rPr>
          <w:sz w:val="24"/>
        </w:rPr>
        <w:t>.</w:t>
      </w:r>
    </w:p>
    <w:p>
      <w:pPr>
        <w:pStyle w:val="BodyText"/>
        <w:spacing w:line="480" w:lineRule="auto" w:before="161"/>
        <w:ind w:left="568" w:right="562" w:firstLine="708"/>
        <w:jc w:val="both"/>
      </w:pPr>
      <w:r>
        <w:rPr>
          <w:i/>
        </w:rPr>
        <w:t>Leverage </w:t>
      </w:r>
      <w:r>
        <w:rPr/>
        <w:t>mencerminkan tingkat ketergantungan perusahaan terhadap pembiayaan eksternal, khususnya utang. Dalam </w:t>
      </w:r>
      <w:r>
        <w:rPr>
          <w:i/>
        </w:rPr>
        <w:t>Stakeholder Theory</w:t>
      </w:r>
      <w:r>
        <w:rPr/>
        <w:t>, perusahaan dengan </w:t>
      </w:r>
      <w:r>
        <w:rPr>
          <w:i/>
        </w:rPr>
        <w:t>leverage </w:t>
      </w:r>
      <w:r>
        <w:rPr/>
        <w:t>tinggi cenderung meningkatkan transparansi dan akuntabilitas sebagai sinyal positif untuk meyakinkan kreditur dan investor. Hal ini diprediksi akan mendorong perusahaan untuk menghasilkan laporan keberlanjutan yang berkualitas tinggi dan menjamin keandalannya melalui </w:t>
      </w:r>
      <w:r>
        <w:rPr>
          <w:i/>
        </w:rPr>
        <w:t>sustainability assurance</w:t>
      </w:r>
      <w:r>
        <w:rPr/>
        <w:t>.</w:t>
      </w:r>
    </w:p>
    <w:p>
      <w:pPr>
        <w:pStyle w:val="BodyText"/>
        <w:spacing w:line="480" w:lineRule="auto" w:before="161"/>
        <w:ind w:left="568" w:right="563" w:firstLine="708"/>
        <w:jc w:val="both"/>
      </w:pPr>
      <w:r>
        <w:rPr>
          <w:i/>
        </w:rPr>
        <w:t>Debt</w:t>
      </w:r>
      <w:r>
        <w:rPr>
          <w:i/>
          <w:spacing w:val="-9"/>
        </w:rPr>
        <w:t> </w:t>
      </w:r>
      <w:r>
        <w:rPr>
          <w:i/>
        </w:rPr>
        <w:t>Maturity</w:t>
      </w:r>
      <w:r>
        <w:rPr>
          <w:i/>
          <w:spacing w:val="-8"/>
        </w:rPr>
        <w:t> </w:t>
      </w:r>
      <w:r>
        <w:rPr/>
        <w:t>atau</w:t>
      </w:r>
      <w:r>
        <w:rPr>
          <w:spacing w:val="-10"/>
        </w:rPr>
        <w:t> </w:t>
      </w:r>
      <w:r>
        <w:rPr/>
        <w:t>jatuh</w:t>
      </w:r>
      <w:r>
        <w:rPr>
          <w:spacing w:val="-10"/>
        </w:rPr>
        <w:t> </w:t>
      </w:r>
      <w:r>
        <w:rPr/>
        <w:t>tempo</w:t>
      </w:r>
      <w:r>
        <w:rPr>
          <w:spacing w:val="-10"/>
        </w:rPr>
        <w:t> </w:t>
      </w:r>
      <w:r>
        <w:rPr/>
        <w:t>utang</w:t>
      </w:r>
      <w:r>
        <w:rPr>
          <w:spacing w:val="-14"/>
        </w:rPr>
        <w:t> </w:t>
      </w:r>
      <w:r>
        <w:rPr/>
        <w:t>dapat</w:t>
      </w:r>
      <w:r>
        <w:rPr>
          <w:spacing w:val="-9"/>
        </w:rPr>
        <w:t> </w:t>
      </w:r>
      <w:r>
        <w:rPr/>
        <w:t>mempengaruhi</w:t>
      </w:r>
      <w:r>
        <w:rPr>
          <w:spacing w:val="-9"/>
        </w:rPr>
        <w:t> </w:t>
      </w:r>
      <w:r>
        <w:rPr/>
        <w:t>struktur</w:t>
      </w:r>
      <w:r>
        <w:rPr>
          <w:spacing w:val="-10"/>
        </w:rPr>
        <w:t> </w:t>
      </w:r>
      <w:r>
        <w:rPr/>
        <w:t>insentif dan</w:t>
      </w:r>
      <w:r>
        <w:rPr>
          <w:spacing w:val="-15"/>
        </w:rPr>
        <w:t> </w:t>
      </w:r>
      <w:r>
        <w:rPr/>
        <w:t>pengelolaan</w:t>
      </w:r>
      <w:r>
        <w:rPr>
          <w:spacing w:val="-15"/>
        </w:rPr>
        <w:t> </w:t>
      </w:r>
      <w:r>
        <w:rPr/>
        <w:t>risiko</w:t>
      </w:r>
      <w:r>
        <w:rPr>
          <w:spacing w:val="-15"/>
        </w:rPr>
        <w:t> </w:t>
      </w:r>
      <w:r>
        <w:rPr/>
        <w:t>jangka</w:t>
      </w:r>
      <w:r>
        <w:rPr>
          <w:spacing w:val="-15"/>
        </w:rPr>
        <w:t> </w:t>
      </w:r>
      <w:r>
        <w:rPr/>
        <w:t>panjang</w:t>
      </w:r>
      <w:r>
        <w:rPr>
          <w:spacing w:val="-15"/>
        </w:rPr>
        <w:t> </w:t>
      </w:r>
      <w:r>
        <w:rPr/>
        <w:t>perusahaan.</w:t>
      </w:r>
      <w:r>
        <w:rPr>
          <w:spacing w:val="-15"/>
        </w:rPr>
        <w:t> </w:t>
      </w:r>
      <w:r>
        <w:rPr/>
        <w:t>Struktur</w:t>
      </w:r>
      <w:r>
        <w:rPr>
          <w:spacing w:val="-15"/>
        </w:rPr>
        <w:t> </w:t>
      </w:r>
      <w:r>
        <w:rPr/>
        <w:t>jatuh</w:t>
      </w:r>
      <w:r>
        <w:rPr>
          <w:spacing w:val="-15"/>
        </w:rPr>
        <w:t> </w:t>
      </w:r>
      <w:r>
        <w:rPr/>
        <w:t>tempo</w:t>
      </w:r>
      <w:r>
        <w:rPr>
          <w:spacing w:val="-15"/>
        </w:rPr>
        <w:t> </w:t>
      </w:r>
      <w:r>
        <w:rPr/>
        <w:t>utang</w:t>
      </w:r>
      <w:r>
        <w:rPr>
          <w:spacing w:val="-15"/>
        </w:rPr>
        <w:t> </w:t>
      </w:r>
      <w:r>
        <w:rPr/>
        <w:t>yang panjang umumnya dikaitkan dengan pengawasan yang lebih ketat dari kreditur, sehingga perusahaan memiliki dorongan untuk menunjukkan komitmen terhadap praktik bisnis berkelanjutan dengan memastikan kualitas </w:t>
      </w:r>
      <w:r>
        <w:rPr>
          <w:i/>
        </w:rPr>
        <w:t>assurance </w:t>
      </w:r>
      <w:r>
        <w:rPr/>
        <w:t>atas laporan keberlanjutan mereka sebagai mekanisme pengurangan asimetri informasi</w:t>
      </w:r>
    </w:p>
    <w:p>
      <w:pPr>
        <w:pStyle w:val="BodyText"/>
        <w:spacing w:line="480" w:lineRule="auto" w:before="161"/>
        <w:ind w:left="568" w:right="562" w:firstLine="708"/>
        <w:jc w:val="both"/>
      </w:pPr>
      <w:r>
        <w:rPr>
          <w:i/>
        </w:rPr>
        <w:t>Assurance Tenure </w:t>
      </w:r>
      <w:r>
        <w:rPr/>
        <w:t>mencerminkan hubungan kontraktual antara perusahaan dengan</w:t>
      </w:r>
      <w:r>
        <w:rPr>
          <w:spacing w:val="73"/>
        </w:rPr>
        <w:t> </w:t>
      </w:r>
      <w:r>
        <w:rPr/>
        <w:t>penyedia</w:t>
      </w:r>
      <w:r>
        <w:rPr>
          <w:spacing w:val="75"/>
        </w:rPr>
        <w:t> </w:t>
      </w:r>
      <w:r>
        <w:rPr/>
        <w:t>jasa</w:t>
      </w:r>
      <w:r>
        <w:rPr>
          <w:spacing w:val="79"/>
        </w:rPr>
        <w:t> </w:t>
      </w:r>
      <w:r>
        <w:rPr>
          <w:i/>
        </w:rPr>
        <w:t>assurance</w:t>
      </w:r>
      <w:r>
        <w:rPr>
          <w:i/>
          <w:spacing w:val="76"/>
        </w:rPr>
        <w:t> </w:t>
      </w:r>
      <w:r>
        <w:rPr/>
        <w:t>atas</w:t>
      </w:r>
      <w:r>
        <w:rPr>
          <w:spacing w:val="73"/>
        </w:rPr>
        <w:t> </w:t>
      </w:r>
      <w:r>
        <w:rPr/>
        <w:t>laporan</w:t>
      </w:r>
      <w:r>
        <w:rPr>
          <w:spacing w:val="73"/>
        </w:rPr>
        <w:t> </w:t>
      </w:r>
      <w:r>
        <w:rPr/>
        <w:t>keberlanjutan</w:t>
      </w:r>
      <w:r>
        <w:rPr>
          <w:spacing w:val="78"/>
        </w:rPr>
        <w:t> </w:t>
      </w:r>
      <w:r>
        <w:rPr/>
        <w:t>selama</w:t>
      </w:r>
      <w:r>
        <w:rPr>
          <w:spacing w:val="76"/>
        </w:rPr>
        <w:t> </w:t>
      </w:r>
      <w:r>
        <w:rPr>
          <w:spacing w:val="-2"/>
        </w:rPr>
        <w:t>beberapa</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64"/>
        <w:jc w:val="both"/>
      </w:pPr>
      <w:r>
        <w:rPr/>
        <w:t>periode.</w:t>
      </w:r>
      <w:r>
        <w:rPr>
          <w:spacing w:val="-15"/>
        </w:rPr>
        <w:t> </w:t>
      </w:r>
      <w:r>
        <w:rPr/>
        <w:t>Assurance</w:t>
      </w:r>
      <w:r>
        <w:rPr>
          <w:spacing w:val="-15"/>
        </w:rPr>
        <w:t> </w:t>
      </w:r>
      <w:r>
        <w:rPr/>
        <w:t>Tenure</w:t>
      </w:r>
      <w:r>
        <w:rPr>
          <w:spacing w:val="-15"/>
        </w:rPr>
        <w:t> </w:t>
      </w:r>
      <w:r>
        <w:rPr/>
        <w:t>mencerminkan</w:t>
      </w:r>
      <w:r>
        <w:rPr>
          <w:spacing w:val="-15"/>
        </w:rPr>
        <w:t> </w:t>
      </w:r>
      <w:r>
        <w:rPr/>
        <w:t>hubungan</w:t>
      </w:r>
      <w:r>
        <w:rPr>
          <w:spacing w:val="-15"/>
        </w:rPr>
        <w:t> </w:t>
      </w:r>
      <w:r>
        <w:rPr/>
        <w:t>kontraktual</w:t>
      </w:r>
      <w:r>
        <w:rPr>
          <w:spacing w:val="-15"/>
        </w:rPr>
        <w:t> </w:t>
      </w:r>
      <w:r>
        <w:rPr/>
        <w:t>antara</w:t>
      </w:r>
      <w:r>
        <w:rPr>
          <w:spacing w:val="-15"/>
        </w:rPr>
        <w:t> </w:t>
      </w:r>
      <w:r>
        <w:rPr/>
        <w:t>perusahaan dengan penyedia jasa </w:t>
      </w:r>
      <w:r>
        <w:rPr>
          <w:i/>
        </w:rPr>
        <w:t>assurance </w:t>
      </w:r>
      <w:r>
        <w:rPr/>
        <w:t>atas laporan keberlanjutan selama beberapa periode. Berdasarkan </w:t>
      </w:r>
      <w:r>
        <w:rPr>
          <w:i/>
        </w:rPr>
        <w:t>stakeholder theory</w:t>
      </w:r>
      <w:r>
        <w:rPr/>
        <w:t>, keberlanjutan hubungan ini dipandang penting karena dapat meningkatkan kredibilitas dan keandalan laporan, sehingga memperkuat kepercayaan para </w:t>
      </w:r>
      <w:r>
        <w:rPr>
          <w:i/>
        </w:rPr>
        <w:t>Stakeholder </w:t>
      </w:r>
      <w:r>
        <w:rPr/>
        <w:t>terhadap komitmen perusahaan dalam mengungkapkan informasi yang transparan dan bertanggung jawab</w:t>
      </w:r>
    </w:p>
    <w:p>
      <w:pPr>
        <w:pStyle w:val="BodyText"/>
        <w:spacing w:before="1"/>
        <w:rPr>
          <w:sz w:val="17"/>
        </w:rPr>
      </w:pPr>
      <w:r>
        <w:rPr>
          <w:sz w:val="17"/>
        </w:rPr>
        <w:drawing>
          <wp:anchor distT="0" distB="0" distL="0" distR="0" allowOverlap="1" layoutInCell="1" locked="0" behindDoc="1" simplePos="0" relativeHeight="487590912">
            <wp:simplePos x="0" y="0"/>
            <wp:positionH relativeFrom="page">
              <wp:posOffset>1635762</wp:posOffset>
            </wp:positionH>
            <wp:positionV relativeFrom="paragraph">
              <wp:posOffset>140078</wp:posOffset>
            </wp:positionV>
            <wp:extent cx="4693381" cy="3147441"/>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4693381" cy="3147441"/>
                    </a:xfrm>
                    <a:prstGeom prst="rect">
                      <a:avLst/>
                    </a:prstGeom>
                  </pic:spPr>
                </pic:pic>
              </a:graphicData>
            </a:graphic>
          </wp:anchor>
        </w:drawing>
      </w:r>
    </w:p>
    <w:p>
      <w:pPr>
        <w:pStyle w:val="BodyText"/>
      </w:pPr>
    </w:p>
    <w:p>
      <w:pPr>
        <w:pStyle w:val="BodyText"/>
        <w:spacing w:before="148"/>
      </w:pPr>
    </w:p>
    <w:p>
      <w:pPr>
        <w:spacing w:line="250" w:lineRule="exact" w:before="0"/>
        <w:ind w:left="358" w:right="355" w:firstLine="0"/>
        <w:jc w:val="center"/>
        <w:rPr>
          <w:b/>
          <w:sz w:val="22"/>
        </w:rPr>
      </w:pPr>
      <w:bookmarkStart w:name="_bookmark24" w:id="25"/>
      <w:bookmarkEnd w:id="25"/>
      <w:r>
        <w:rPr/>
      </w:r>
      <w:r>
        <w:rPr>
          <w:b/>
          <w:sz w:val="22"/>
        </w:rPr>
        <w:t>Gambar</w:t>
      </w:r>
      <w:r>
        <w:rPr>
          <w:b/>
          <w:spacing w:val="-8"/>
          <w:sz w:val="22"/>
        </w:rPr>
        <w:t> </w:t>
      </w:r>
      <w:r>
        <w:rPr>
          <w:b/>
          <w:sz w:val="22"/>
        </w:rPr>
        <w:t>2.2</w:t>
      </w:r>
      <w:r>
        <w:rPr>
          <w:b/>
          <w:spacing w:val="-3"/>
          <w:sz w:val="22"/>
        </w:rPr>
        <w:t> </w:t>
      </w:r>
      <w:r>
        <w:rPr>
          <w:b/>
          <w:sz w:val="22"/>
        </w:rPr>
        <w:t>Kerangka</w:t>
      </w:r>
      <w:r>
        <w:rPr>
          <w:b/>
          <w:spacing w:val="-4"/>
          <w:sz w:val="22"/>
        </w:rPr>
        <w:t> </w:t>
      </w:r>
      <w:r>
        <w:rPr>
          <w:b/>
          <w:spacing w:val="-2"/>
          <w:sz w:val="22"/>
        </w:rPr>
        <w:t>Konseptual</w:t>
      </w:r>
    </w:p>
    <w:p>
      <w:pPr>
        <w:spacing w:line="250" w:lineRule="exact" w:before="0"/>
        <w:ind w:left="358" w:right="363" w:firstLine="0"/>
        <w:jc w:val="center"/>
        <w:rPr>
          <w:i/>
          <w:sz w:val="22"/>
        </w:rPr>
      </w:pPr>
      <w:r>
        <w:rPr>
          <w:i/>
          <w:sz w:val="22"/>
        </w:rPr>
        <w:t>Sumber:</w:t>
      </w:r>
      <w:r>
        <w:rPr>
          <w:i/>
          <w:spacing w:val="-8"/>
          <w:sz w:val="22"/>
        </w:rPr>
        <w:t> </w:t>
      </w:r>
      <w:r>
        <w:rPr>
          <w:i/>
          <w:sz w:val="22"/>
        </w:rPr>
        <w:t>Dikembangkan</w:t>
      </w:r>
      <w:r>
        <w:rPr>
          <w:i/>
          <w:spacing w:val="-8"/>
          <w:sz w:val="22"/>
        </w:rPr>
        <w:t> </w:t>
      </w:r>
      <w:r>
        <w:rPr>
          <w:i/>
          <w:sz w:val="22"/>
        </w:rPr>
        <w:t>dalam</w:t>
      </w:r>
      <w:r>
        <w:rPr>
          <w:i/>
          <w:spacing w:val="-5"/>
          <w:sz w:val="22"/>
        </w:rPr>
        <w:t> </w:t>
      </w:r>
      <w:r>
        <w:rPr>
          <w:i/>
          <w:sz w:val="22"/>
        </w:rPr>
        <w:t>Penelitian</w:t>
      </w:r>
      <w:r>
        <w:rPr>
          <w:i/>
          <w:spacing w:val="-4"/>
          <w:sz w:val="22"/>
        </w:rPr>
        <w:t> </w:t>
      </w:r>
      <w:r>
        <w:rPr>
          <w:i/>
          <w:spacing w:val="-5"/>
          <w:sz w:val="22"/>
        </w:rPr>
        <w:t>Ini</w:t>
      </w:r>
    </w:p>
    <w:p>
      <w:pPr>
        <w:pStyle w:val="BodyText"/>
        <w:rPr>
          <w:i/>
          <w:sz w:val="22"/>
        </w:rPr>
      </w:pPr>
    </w:p>
    <w:p>
      <w:pPr>
        <w:pStyle w:val="BodyText"/>
        <w:spacing w:before="135"/>
        <w:rPr>
          <w:i/>
          <w:sz w:val="22"/>
        </w:rPr>
      </w:pPr>
    </w:p>
    <w:p>
      <w:pPr>
        <w:pStyle w:val="Heading3"/>
        <w:numPr>
          <w:ilvl w:val="1"/>
          <w:numId w:val="26"/>
        </w:numPr>
        <w:tabs>
          <w:tab w:pos="1276" w:val="left" w:leader="none"/>
        </w:tabs>
        <w:spacing w:line="240" w:lineRule="auto" w:before="0" w:after="0"/>
        <w:ind w:left="1276" w:right="0" w:hanging="708"/>
        <w:jc w:val="left"/>
      </w:pPr>
      <w:bookmarkStart w:name="_bookmark25" w:id="26"/>
      <w:bookmarkEnd w:id="26"/>
      <w:r>
        <w:rPr>
          <w:b w:val="0"/>
        </w:rPr>
      </w:r>
      <w:r>
        <w:rPr/>
        <w:t>Pengembangan</w:t>
      </w:r>
      <w:r>
        <w:rPr>
          <w:spacing w:val="-9"/>
        </w:rPr>
        <w:t> </w:t>
      </w:r>
      <w:r>
        <w:rPr>
          <w:spacing w:val="-2"/>
        </w:rPr>
        <w:t>Hipotesis</w:t>
      </w:r>
    </w:p>
    <w:p>
      <w:pPr>
        <w:pStyle w:val="BodyText"/>
        <w:spacing w:before="80"/>
        <w:rPr>
          <w:b/>
        </w:rPr>
      </w:pPr>
    </w:p>
    <w:p>
      <w:pPr>
        <w:pStyle w:val="Heading3"/>
        <w:numPr>
          <w:ilvl w:val="2"/>
          <w:numId w:val="26"/>
        </w:numPr>
        <w:tabs>
          <w:tab w:pos="1276" w:val="left" w:leader="none"/>
        </w:tabs>
        <w:spacing w:line="240" w:lineRule="auto" w:before="0" w:after="0"/>
        <w:ind w:left="1276" w:right="0" w:hanging="720"/>
        <w:jc w:val="left"/>
      </w:pPr>
      <w:bookmarkStart w:name="_bookmark26" w:id="27"/>
      <w:bookmarkEnd w:id="27"/>
      <w:r>
        <w:rPr/>
        <w:t>P</w:t>
      </w:r>
      <w:r>
        <w:rPr/>
        <w:t>engaruh</w:t>
      </w:r>
      <w:r>
        <w:rPr>
          <w:spacing w:val="-8"/>
        </w:rPr>
        <w:t> </w:t>
      </w:r>
      <w:r>
        <w:rPr/>
        <w:t>Leverage</w:t>
      </w:r>
      <w:r>
        <w:rPr>
          <w:spacing w:val="-3"/>
        </w:rPr>
        <w:t> </w:t>
      </w:r>
      <w:r>
        <w:rPr/>
        <w:t>terhadap</w:t>
      </w:r>
      <w:r>
        <w:rPr>
          <w:spacing w:val="-10"/>
        </w:rPr>
        <w:t> </w:t>
      </w:r>
      <w:r>
        <w:rPr/>
        <w:t>Sustainability</w:t>
      </w:r>
      <w:r>
        <w:rPr>
          <w:spacing w:val="-1"/>
        </w:rPr>
        <w:t> </w:t>
      </w:r>
      <w:r>
        <w:rPr/>
        <w:t>Assurance</w:t>
      </w:r>
      <w:r>
        <w:rPr>
          <w:spacing w:val="-2"/>
        </w:rPr>
        <w:t> Quality</w:t>
      </w:r>
    </w:p>
    <w:p>
      <w:pPr>
        <w:pStyle w:val="BodyText"/>
        <w:spacing w:line="480" w:lineRule="auto" w:before="273"/>
        <w:ind w:left="568" w:right="117" w:firstLine="708"/>
      </w:pPr>
      <w:r>
        <w:rPr>
          <w:i/>
        </w:rPr>
        <w:t>Stakeholder Theory </w:t>
      </w:r>
      <w:r>
        <w:rPr/>
        <w:t>(Freeman, 1984) menyatakan bahwa perusahaan tidak hanya</w:t>
      </w:r>
      <w:r>
        <w:rPr>
          <w:spacing w:val="-15"/>
        </w:rPr>
        <w:t> </w:t>
      </w:r>
      <w:r>
        <w:rPr/>
        <w:t>bertanggung</w:t>
      </w:r>
      <w:r>
        <w:rPr>
          <w:spacing w:val="-17"/>
        </w:rPr>
        <w:t> </w:t>
      </w:r>
      <w:r>
        <w:rPr/>
        <w:t>jawab</w:t>
      </w:r>
      <w:r>
        <w:rPr>
          <w:spacing w:val="-15"/>
        </w:rPr>
        <w:t> </w:t>
      </w:r>
      <w:r>
        <w:rPr/>
        <w:t>kepada</w:t>
      </w:r>
      <w:r>
        <w:rPr>
          <w:spacing w:val="-14"/>
        </w:rPr>
        <w:t> </w:t>
      </w:r>
      <w:r>
        <w:rPr/>
        <w:t>pemegang</w:t>
      </w:r>
      <w:r>
        <w:rPr>
          <w:spacing w:val="-17"/>
        </w:rPr>
        <w:t> </w:t>
      </w:r>
      <w:r>
        <w:rPr/>
        <w:t>saham,</w:t>
      </w:r>
      <w:r>
        <w:rPr>
          <w:spacing w:val="-14"/>
        </w:rPr>
        <w:t> </w:t>
      </w:r>
      <w:r>
        <w:rPr/>
        <w:t>tetapi</w:t>
      </w:r>
      <w:r>
        <w:rPr>
          <w:spacing w:val="-16"/>
        </w:rPr>
        <w:t> </w:t>
      </w:r>
      <w:r>
        <w:rPr/>
        <w:t>juga</w:t>
      </w:r>
      <w:r>
        <w:rPr>
          <w:spacing w:val="-13"/>
        </w:rPr>
        <w:t> </w:t>
      </w:r>
      <w:r>
        <w:rPr/>
        <w:t>kepada</w:t>
      </w:r>
      <w:r>
        <w:rPr>
          <w:spacing w:val="-13"/>
        </w:rPr>
        <w:t> </w:t>
      </w:r>
      <w:r>
        <w:rPr/>
        <w:t>semua</w:t>
      </w:r>
      <w:r>
        <w:rPr>
          <w:spacing w:val="-12"/>
        </w:rPr>
        <w:t> </w:t>
      </w:r>
      <w:r>
        <w:rPr>
          <w:spacing w:val="-2"/>
        </w:rPr>
        <w:t>pihak</w:t>
      </w:r>
    </w:p>
    <w:p>
      <w:pPr>
        <w:pStyle w:val="BodyText"/>
        <w:spacing w:after="0" w:line="480" w:lineRule="auto"/>
        <w:sectPr>
          <w:pgSz w:w="11910" w:h="16840"/>
          <w:pgMar w:header="710" w:footer="0" w:top="1920" w:bottom="280" w:left="1700" w:right="1133"/>
        </w:sectPr>
      </w:pPr>
    </w:p>
    <w:p>
      <w:pPr>
        <w:pStyle w:val="BodyText"/>
        <w:spacing w:before="48"/>
      </w:pPr>
    </w:p>
    <w:p>
      <w:pPr>
        <w:pStyle w:val="BodyText"/>
        <w:spacing w:line="480" w:lineRule="auto"/>
        <w:ind w:left="568" w:right="562"/>
        <w:jc w:val="both"/>
      </w:pPr>
      <w:r>
        <w:rPr/>
        <w:t>yang</w:t>
      </w:r>
      <w:r>
        <w:rPr>
          <w:spacing w:val="-15"/>
        </w:rPr>
        <w:t> </w:t>
      </w:r>
      <w:r>
        <w:rPr/>
        <w:t>terdampak</w:t>
      </w:r>
      <w:r>
        <w:rPr>
          <w:spacing w:val="-11"/>
        </w:rPr>
        <w:t> </w:t>
      </w:r>
      <w:r>
        <w:rPr/>
        <w:t>oleh</w:t>
      </w:r>
      <w:r>
        <w:rPr>
          <w:spacing w:val="-11"/>
        </w:rPr>
        <w:t> </w:t>
      </w:r>
      <w:r>
        <w:rPr/>
        <w:t>aktivitas</w:t>
      </w:r>
      <w:r>
        <w:rPr>
          <w:spacing w:val="-13"/>
        </w:rPr>
        <w:t> </w:t>
      </w:r>
      <w:r>
        <w:rPr/>
        <w:t>perusahaan,</w:t>
      </w:r>
      <w:r>
        <w:rPr>
          <w:spacing w:val="-12"/>
        </w:rPr>
        <w:t> </w:t>
      </w:r>
      <w:r>
        <w:rPr/>
        <w:t>termasuk</w:t>
      </w:r>
      <w:r>
        <w:rPr>
          <w:spacing w:val="-11"/>
        </w:rPr>
        <w:t> </w:t>
      </w:r>
      <w:r>
        <w:rPr/>
        <w:t>investor,</w:t>
      </w:r>
      <w:r>
        <w:rPr>
          <w:spacing w:val="-11"/>
        </w:rPr>
        <w:t> </w:t>
      </w:r>
      <w:r>
        <w:rPr/>
        <w:t>kreditur,</w:t>
      </w:r>
      <w:r>
        <w:rPr>
          <w:spacing w:val="-11"/>
        </w:rPr>
        <w:t> </w:t>
      </w:r>
      <w:r>
        <w:rPr/>
        <w:t>pemerintah, pelanggan, masyarakat, dan lingkungan. Oleh karena itu, perusahaan perlu mengelola</w:t>
      </w:r>
      <w:r>
        <w:rPr>
          <w:spacing w:val="-15"/>
        </w:rPr>
        <w:t> </w:t>
      </w:r>
      <w:r>
        <w:rPr/>
        <w:t>harapan</w:t>
      </w:r>
      <w:r>
        <w:rPr>
          <w:spacing w:val="-15"/>
        </w:rPr>
        <w:t> </w:t>
      </w:r>
      <w:r>
        <w:rPr/>
        <w:t>dan</w:t>
      </w:r>
      <w:r>
        <w:rPr>
          <w:spacing w:val="-15"/>
        </w:rPr>
        <w:t> </w:t>
      </w:r>
      <w:r>
        <w:rPr/>
        <w:t>tuntutan</w:t>
      </w:r>
      <w:r>
        <w:rPr>
          <w:spacing w:val="-15"/>
        </w:rPr>
        <w:t> </w:t>
      </w:r>
      <w:r>
        <w:rPr>
          <w:i/>
        </w:rPr>
        <w:t>stakeholder</w:t>
      </w:r>
      <w:r>
        <w:rPr>
          <w:i/>
          <w:spacing w:val="-15"/>
        </w:rPr>
        <w:t> </w:t>
      </w:r>
      <w:r>
        <w:rPr/>
        <w:t>dengan</w:t>
      </w:r>
      <w:r>
        <w:rPr>
          <w:spacing w:val="-15"/>
        </w:rPr>
        <w:t> </w:t>
      </w:r>
      <w:r>
        <w:rPr/>
        <w:t>transparansi,</w:t>
      </w:r>
      <w:r>
        <w:rPr>
          <w:spacing w:val="-15"/>
        </w:rPr>
        <w:t> </w:t>
      </w:r>
      <w:r>
        <w:rPr/>
        <w:t>akuntabilitas,</w:t>
      </w:r>
      <w:r>
        <w:rPr>
          <w:spacing w:val="-15"/>
        </w:rPr>
        <w:t> </w:t>
      </w:r>
      <w:r>
        <w:rPr/>
        <w:t>dan praktik keberlanjutan. Untuk menjaga kepercayaan kreditur, perusahaan akan terdorong memberikan informasi berkelanjutan yang lebih kredibel melalui </w:t>
      </w:r>
      <w:r>
        <w:rPr>
          <w:i/>
        </w:rPr>
        <w:t>assurance</w:t>
      </w:r>
      <w:r>
        <w:rPr>
          <w:i/>
          <w:spacing w:val="-2"/>
        </w:rPr>
        <w:t> </w:t>
      </w:r>
      <w:r>
        <w:rPr/>
        <w:t>dari</w:t>
      </w:r>
      <w:r>
        <w:rPr>
          <w:spacing w:val="-3"/>
        </w:rPr>
        <w:t> </w:t>
      </w:r>
      <w:r>
        <w:rPr/>
        <w:t>pihak</w:t>
      </w:r>
      <w:r>
        <w:rPr>
          <w:spacing w:val="-4"/>
        </w:rPr>
        <w:t> </w:t>
      </w:r>
      <w:r>
        <w:rPr/>
        <w:t>eksternal</w:t>
      </w:r>
      <w:r>
        <w:rPr>
          <w:spacing w:val="-1"/>
        </w:rPr>
        <w:t> </w:t>
      </w:r>
      <w:r>
        <w:rPr/>
        <w:t>sebagai</w:t>
      </w:r>
      <w:r>
        <w:rPr>
          <w:spacing w:val="-4"/>
        </w:rPr>
        <w:t> </w:t>
      </w:r>
      <w:r>
        <w:rPr/>
        <w:t>bentuk</w:t>
      </w:r>
      <w:r>
        <w:rPr>
          <w:spacing w:val="-4"/>
        </w:rPr>
        <w:t> </w:t>
      </w:r>
      <w:r>
        <w:rPr/>
        <w:t>tanggung</w:t>
      </w:r>
      <w:r>
        <w:rPr>
          <w:spacing w:val="-4"/>
        </w:rPr>
        <w:t> </w:t>
      </w:r>
      <w:r>
        <w:rPr/>
        <w:t>jawab</w:t>
      </w:r>
      <w:r>
        <w:rPr>
          <w:spacing w:val="-4"/>
        </w:rPr>
        <w:t> </w:t>
      </w:r>
      <w:r>
        <w:rPr/>
        <w:t>kepada </w:t>
      </w:r>
      <w:r>
        <w:rPr>
          <w:i/>
        </w:rPr>
        <w:t>stakeholder </w:t>
      </w:r>
      <w:r>
        <w:rPr/>
        <w:t>keuangan. Perusahaan dengan tingkat utang tinggi cenderung meningkatkan kredibilitas</w:t>
      </w:r>
      <w:r>
        <w:rPr>
          <w:spacing w:val="-4"/>
        </w:rPr>
        <w:t> </w:t>
      </w:r>
      <w:r>
        <w:rPr/>
        <w:t>informasi</w:t>
      </w:r>
      <w:r>
        <w:rPr>
          <w:spacing w:val="-2"/>
        </w:rPr>
        <w:t> </w:t>
      </w:r>
      <w:r>
        <w:rPr/>
        <w:t>keberlanjutan</w:t>
      </w:r>
      <w:r>
        <w:rPr>
          <w:spacing w:val="-3"/>
        </w:rPr>
        <w:t> </w:t>
      </w:r>
      <w:r>
        <w:rPr/>
        <w:t>melalui</w:t>
      </w:r>
      <w:r>
        <w:rPr>
          <w:spacing w:val="-2"/>
        </w:rPr>
        <w:t> </w:t>
      </w:r>
      <w:r>
        <w:rPr/>
        <w:t>penggunaan </w:t>
      </w:r>
      <w:r>
        <w:rPr>
          <w:i/>
        </w:rPr>
        <w:t>external</w:t>
      </w:r>
      <w:r>
        <w:rPr>
          <w:i/>
          <w:spacing w:val="-2"/>
        </w:rPr>
        <w:t> </w:t>
      </w:r>
      <w:r>
        <w:rPr>
          <w:i/>
        </w:rPr>
        <w:t>assurance </w:t>
      </w:r>
      <w:r>
        <w:rPr/>
        <w:t>untuk mempertahankan kepercayaan kreditur, sementara perusahaan dengan </w:t>
      </w:r>
      <w:r>
        <w:rPr>
          <w:i/>
        </w:rPr>
        <w:t>leverage </w:t>
      </w:r>
      <w:r>
        <w:rPr/>
        <w:t>rendah tidak memiliki insentif serupa karena posisi keuangan yang kuat, sehingga </w:t>
      </w:r>
      <w:r>
        <w:rPr>
          <w:i/>
        </w:rPr>
        <w:t>external</w:t>
      </w:r>
      <w:r>
        <w:rPr>
          <w:i/>
          <w:spacing w:val="-7"/>
        </w:rPr>
        <w:t> </w:t>
      </w:r>
      <w:r>
        <w:rPr>
          <w:i/>
        </w:rPr>
        <w:t>assurance</w:t>
      </w:r>
      <w:r>
        <w:rPr>
          <w:i/>
          <w:spacing w:val="-3"/>
        </w:rPr>
        <w:t> </w:t>
      </w:r>
      <w:r>
        <w:rPr/>
        <w:t>tidak</w:t>
      </w:r>
      <w:r>
        <w:rPr>
          <w:spacing w:val="-8"/>
        </w:rPr>
        <w:t> </w:t>
      </w:r>
      <w:r>
        <w:rPr/>
        <w:t>menjadi</w:t>
      </w:r>
      <w:r>
        <w:rPr>
          <w:spacing w:val="-7"/>
        </w:rPr>
        <w:t> </w:t>
      </w:r>
      <w:r>
        <w:rPr/>
        <w:t>kebutuhan</w:t>
      </w:r>
      <w:r>
        <w:rPr>
          <w:spacing w:val="-8"/>
        </w:rPr>
        <w:t> </w:t>
      </w:r>
      <w:r>
        <w:rPr/>
        <w:t>mendesak</w:t>
      </w:r>
      <w:r>
        <w:rPr>
          <w:spacing w:val="-8"/>
        </w:rPr>
        <w:t> </w:t>
      </w:r>
      <w:r>
        <w:rPr/>
        <w:t>dalam</w:t>
      </w:r>
      <w:r>
        <w:rPr>
          <w:spacing w:val="-7"/>
        </w:rPr>
        <w:t> </w:t>
      </w:r>
      <w:r>
        <w:rPr/>
        <w:t>mengurangi</w:t>
      </w:r>
      <w:r>
        <w:rPr>
          <w:spacing w:val="-7"/>
        </w:rPr>
        <w:t> </w:t>
      </w:r>
      <w:r>
        <w:rPr/>
        <w:t>asimetri </w:t>
      </w:r>
      <w:r>
        <w:rPr>
          <w:spacing w:val="-2"/>
        </w:rPr>
        <w:t>informasi.</w:t>
      </w:r>
    </w:p>
    <w:p>
      <w:pPr>
        <w:pStyle w:val="BodyText"/>
        <w:spacing w:line="480" w:lineRule="auto" w:before="162"/>
        <w:ind w:left="568" w:right="562" w:firstLine="708"/>
        <w:jc w:val="both"/>
      </w:pPr>
      <w:r>
        <w:rPr/>
        <w:t>Penelitian terdahulu yang mendukung asumsi ini adalah Bugshan et al. (2024) yang menemukan bahwa </w:t>
      </w:r>
      <w:r>
        <w:rPr>
          <w:i/>
        </w:rPr>
        <w:t>Carbon Assurance </w:t>
      </w:r>
      <w:r>
        <w:rPr/>
        <w:t>(pada penelitian ini bisa dianggap</w:t>
      </w:r>
      <w:r>
        <w:rPr>
          <w:spacing w:val="-6"/>
        </w:rPr>
        <w:t> </w:t>
      </w:r>
      <w:r>
        <w:rPr/>
        <w:t>sebagai</w:t>
      </w:r>
      <w:r>
        <w:rPr>
          <w:spacing w:val="-3"/>
        </w:rPr>
        <w:t> </w:t>
      </w:r>
      <w:r>
        <w:rPr>
          <w:i/>
        </w:rPr>
        <w:t>Sustainability</w:t>
      </w:r>
      <w:r>
        <w:rPr>
          <w:i/>
          <w:spacing w:val="-5"/>
        </w:rPr>
        <w:t> </w:t>
      </w:r>
      <w:r>
        <w:rPr>
          <w:i/>
        </w:rPr>
        <w:t>Assurance</w:t>
      </w:r>
      <w:r>
        <w:rPr/>
        <w:t>)</w:t>
      </w:r>
      <w:r>
        <w:rPr>
          <w:spacing w:val="-6"/>
        </w:rPr>
        <w:t> </w:t>
      </w:r>
      <w:r>
        <w:rPr/>
        <w:t>berpengaruh</w:t>
      </w:r>
      <w:r>
        <w:rPr>
          <w:spacing w:val="-6"/>
        </w:rPr>
        <w:t> </w:t>
      </w:r>
      <w:r>
        <w:rPr/>
        <w:t>positif</w:t>
      </w:r>
      <w:r>
        <w:rPr>
          <w:spacing w:val="-6"/>
        </w:rPr>
        <w:t> </w:t>
      </w:r>
      <w:r>
        <w:rPr/>
        <w:t>terhadap</w:t>
      </w:r>
      <w:r>
        <w:rPr>
          <w:spacing w:val="-7"/>
        </w:rPr>
        <w:t> </w:t>
      </w:r>
      <w:r>
        <w:rPr>
          <w:i/>
        </w:rPr>
        <w:t>leverage</w:t>
      </w:r>
      <w:r>
        <w:rPr/>
        <w:t>, karena ditemukan bahwa perusahaan yang memperoleh </w:t>
      </w:r>
      <w:r>
        <w:rPr>
          <w:i/>
        </w:rPr>
        <w:t>carbon assurance </w:t>
      </w:r>
      <w:r>
        <w:rPr/>
        <w:t>oleh pihak ketiga cenderung memiliki </w:t>
      </w:r>
      <w:r>
        <w:rPr>
          <w:i/>
        </w:rPr>
        <w:t>Leverage </w:t>
      </w:r>
      <w:r>
        <w:rPr/>
        <w:t>yang lebih tinggi. Maka, berdasarkan pertimbangan</w:t>
      </w:r>
      <w:r>
        <w:rPr>
          <w:spacing w:val="-6"/>
        </w:rPr>
        <w:t> </w:t>
      </w:r>
      <w:r>
        <w:rPr/>
        <w:t>teoritis</w:t>
      </w:r>
      <w:r>
        <w:rPr>
          <w:spacing w:val="-7"/>
        </w:rPr>
        <w:t> </w:t>
      </w:r>
      <w:r>
        <w:rPr/>
        <w:t>dan</w:t>
      </w:r>
      <w:r>
        <w:rPr>
          <w:spacing w:val="-6"/>
        </w:rPr>
        <w:t> </w:t>
      </w:r>
      <w:r>
        <w:rPr/>
        <w:t>empiris</w:t>
      </w:r>
      <w:r>
        <w:rPr>
          <w:spacing w:val="-7"/>
        </w:rPr>
        <w:t> </w:t>
      </w:r>
      <w:r>
        <w:rPr/>
        <w:t>tersebut,</w:t>
      </w:r>
      <w:r>
        <w:rPr>
          <w:spacing w:val="-6"/>
        </w:rPr>
        <w:t> </w:t>
      </w:r>
      <w:r>
        <w:rPr/>
        <w:t>maka</w:t>
      </w:r>
      <w:r>
        <w:rPr>
          <w:spacing w:val="-4"/>
        </w:rPr>
        <w:t> </w:t>
      </w:r>
      <w:r>
        <w:rPr/>
        <w:t>hipotesis</w:t>
      </w:r>
      <w:r>
        <w:rPr>
          <w:spacing w:val="-7"/>
        </w:rPr>
        <w:t> </w:t>
      </w:r>
      <w:r>
        <w:rPr/>
        <w:t>pertama</w:t>
      </w:r>
      <w:r>
        <w:rPr>
          <w:spacing w:val="-4"/>
        </w:rPr>
        <w:t> </w:t>
      </w:r>
      <w:r>
        <w:rPr/>
        <w:t>pada</w:t>
      </w:r>
      <w:r>
        <w:rPr>
          <w:spacing w:val="-4"/>
        </w:rPr>
        <w:t> </w:t>
      </w:r>
      <w:r>
        <w:rPr/>
        <w:t>penelitian ini adalah:</w:t>
      </w:r>
    </w:p>
    <w:p>
      <w:pPr>
        <w:pStyle w:val="Heading3"/>
        <w:spacing w:before="166"/>
        <w:ind w:left="568" w:firstLine="0"/>
      </w:pPr>
      <w:r>
        <w:rPr/>
        <w:t>H1:</w:t>
      </w:r>
      <w:r>
        <w:rPr>
          <w:spacing w:val="46"/>
        </w:rPr>
        <w:t>  </w:t>
      </w:r>
      <w:r>
        <w:rPr>
          <w:i/>
        </w:rPr>
        <w:t>Leverage</w:t>
      </w:r>
      <w:r>
        <w:rPr>
          <w:i/>
          <w:spacing w:val="47"/>
        </w:rPr>
        <w:t>  </w:t>
      </w:r>
      <w:r>
        <w:rPr/>
        <w:t>berpengaruh</w:t>
      </w:r>
      <w:r>
        <w:rPr>
          <w:spacing w:val="49"/>
        </w:rPr>
        <w:t>  </w:t>
      </w:r>
      <w:r>
        <w:rPr/>
        <w:t>positif</w:t>
      </w:r>
      <w:r>
        <w:rPr>
          <w:spacing w:val="51"/>
        </w:rPr>
        <w:t>  </w:t>
      </w:r>
      <w:r>
        <w:rPr/>
        <w:t>dan</w:t>
      </w:r>
      <w:r>
        <w:rPr>
          <w:spacing w:val="47"/>
        </w:rPr>
        <w:t>  </w:t>
      </w:r>
      <w:r>
        <w:rPr/>
        <w:t>signifikan</w:t>
      </w:r>
      <w:r>
        <w:rPr>
          <w:spacing w:val="46"/>
        </w:rPr>
        <w:t>  </w:t>
      </w:r>
      <w:r>
        <w:rPr/>
        <w:t>terhadap</w:t>
      </w:r>
      <w:r>
        <w:rPr>
          <w:spacing w:val="47"/>
        </w:rPr>
        <w:t>  </w:t>
      </w:r>
      <w:r>
        <w:rPr>
          <w:spacing w:val="-2"/>
        </w:rPr>
        <w:t>kualitas</w:t>
      </w:r>
    </w:p>
    <w:p>
      <w:pPr>
        <w:pStyle w:val="BodyText"/>
        <w:rPr>
          <w:b/>
        </w:rPr>
      </w:pPr>
    </w:p>
    <w:p>
      <w:pPr>
        <w:spacing w:before="0"/>
        <w:ind w:left="568" w:right="0" w:firstLine="0"/>
        <w:jc w:val="both"/>
        <w:rPr>
          <w:b/>
          <w:sz w:val="24"/>
        </w:rPr>
      </w:pPr>
      <w:r>
        <w:rPr>
          <w:b/>
          <w:i/>
          <w:sz w:val="24"/>
        </w:rPr>
        <w:t>Sustainability</w:t>
      </w:r>
      <w:r>
        <w:rPr>
          <w:b/>
          <w:i/>
          <w:spacing w:val="-6"/>
          <w:sz w:val="24"/>
        </w:rPr>
        <w:t> </w:t>
      </w:r>
      <w:r>
        <w:rPr>
          <w:b/>
          <w:i/>
          <w:sz w:val="24"/>
        </w:rPr>
        <w:t>Assurance</w:t>
      </w:r>
      <w:r>
        <w:rPr>
          <w:b/>
          <w:i/>
          <w:spacing w:val="-4"/>
          <w:sz w:val="24"/>
        </w:rPr>
        <w:t> </w:t>
      </w:r>
      <w:r>
        <w:rPr>
          <w:b/>
          <w:i/>
          <w:sz w:val="24"/>
        </w:rPr>
        <w:t>Quality</w:t>
      </w:r>
      <w:r>
        <w:rPr>
          <w:b/>
          <w:i/>
          <w:spacing w:val="-4"/>
          <w:sz w:val="24"/>
        </w:rPr>
        <w:t> </w:t>
      </w:r>
      <w:r>
        <w:rPr>
          <w:b/>
          <w:spacing w:val="-2"/>
          <w:sz w:val="24"/>
        </w:rPr>
        <w:t>perusahaan</w:t>
      </w:r>
    </w:p>
    <w:p>
      <w:pPr>
        <w:spacing w:after="0"/>
        <w:jc w:val="both"/>
        <w:rPr>
          <w:b/>
          <w:sz w:val="24"/>
        </w:rPr>
        <w:sectPr>
          <w:pgSz w:w="11910" w:h="16840"/>
          <w:pgMar w:header="710" w:footer="0" w:top="1920" w:bottom="280" w:left="1700" w:right="1133"/>
        </w:sectPr>
      </w:pPr>
    </w:p>
    <w:p>
      <w:pPr>
        <w:pStyle w:val="BodyText"/>
        <w:spacing w:before="52"/>
        <w:rPr>
          <w:b/>
        </w:rPr>
      </w:pPr>
    </w:p>
    <w:p>
      <w:pPr>
        <w:pStyle w:val="Heading3"/>
        <w:numPr>
          <w:ilvl w:val="2"/>
          <w:numId w:val="26"/>
        </w:numPr>
        <w:tabs>
          <w:tab w:pos="1288" w:val="left" w:leader="none"/>
        </w:tabs>
        <w:spacing w:line="240" w:lineRule="auto" w:before="0" w:after="0"/>
        <w:ind w:left="1288" w:right="0" w:hanging="720"/>
        <w:jc w:val="both"/>
      </w:pPr>
      <w:bookmarkStart w:name="_bookmark27" w:id="28"/>
      <w:bookmarkEnd w:id="28"/>
      <w:r>
        <w:rPr>
          <w:b w:val="0"/>
        </w:rPr>
      </w:r>
      <w:r>
        <w:rPr/>
        <w:t>Pengaruh</w:t>
      </w:r>
      <w:r>
        <w:rPr>
          <w:spacing w:val="-7"/>
        </w:rPr>
        <w:t> </w:t>
      </w:r>
      <w:r>
        <w:rPr/>
        <w:t>Debt</w:t>
      </w:r>
      <w:r>
        <w:rPr>
          <w:spacing w:val="-4"/>
        </w:rPr>
        <w:t> </w:t>
      </w:r>
      <w:r>
        <w:rPr/>
        <w:t>Maturity</w:t>
      </w:r>
      <w:r>
        <w:rPr>
          <w:spacing w:val="-2"/>
        </w:rPr>
        <w:t> </w:t>
      </w:r>
      <w:r>
        <w:rPr/>
        <w:t>terhadap</w:t>
      </w:r>
      <w:r>
        <w:rPr>
          <w:spacing w:val="-10"/>
        </w:rPr>
        <w:t> </w:t>
      </w:r>
      <w:r>
        <w:rPr/>
        <w:t>Sustainability</w:t>
      </w:r>
      <w:r>
        <w:rPr>
          <w:spacing w:val="-1"/>
        </w:rPr>
        <w:t> </w:t>
      </w:r>
      <w:r>
        <w:rPr/>
        <w:t>Assurance</w:t>
      </w:r>
      <w:r>
        <w:rPr>
          <w:spacing w:val="-3"/>
        </w:rPr>
        <w:t> </w:t>
      </w:r>
      <w:r>
        <w:rPr>
          <w:spacing w:val="-2"/>
        </w:rPr>
        <w:t>Quality</w:t>
      </w:r>
    </w:p>
    <w:p>
      <w:pPr>
        <w:pStyle w:val="BodyText"/>
        <w:spacing w:line="480" w:lineRule="auto" w:before="272"/>
        <w:ind w:left="568" w:right="563" w:firstLine="720"/>
        <w:jc w:val="both"/>
      </w:pPr>
      <w:r>
        <w:rPr/>
        <w:t>Menurut </w:t>
      </w:r>
      <w:r>
        <w:rPr>
          <w:i/>
        </w:rPr>
        <w:t>stakeholder </w:t>
      </w:r>
      <w:r>
        <w:rPr/>
        <w:t>theory, perusahaan tidak hanya bertanggung jawab kepada pemegang saham, tetapi juga kepada seluruh </w:t>
      </w:r>
      <w:r>
        <w:rPr>
          <w:i/>
        </w:rPr>
        <w:t>Stakeholder </w:t>
      </w:r>
      <w:r>
        <w:rPr/>
        <w:t>yang memiliki kepentingan terhadap keberlangsungan perusahaan. </w:t>
      </w:r>
      <w:r>
        <w:rPr>
          <w:i/>
        </w:rPr>
        <w:t>Debt Maturity </w:t>
      </w:r>
      <w:r>
        <w:rPr/>
        <w:t>(jatuh tempo utang)</w:t>
      </w:r>
      <w:r>
        <w:rPr>
          <w:spacing w:val="-13"/>
        </w:rPr>
        <w:t> </w:t>
      </w:r>
      <w:r>
        <w:rPr/>
        <w:t>menggambarkan</w:t>
      </w:r>
      <w:r>
        <w:rPr>
          <w:spacing w:val="-13"/>
        </w:rPr>
        <w:t> </w:t>
      </w:r>
      <w:r>
        <w:rPr/>
        <w:t>struktur</w:t>
      </w:r>
      <w:r>
        <w:rPr>
          <w:spacing w:val="-13"/>
        </w:rPr>
        <w:t> </w:t>
      </w:r>
      <w:r>
        <w:rPr/>
        <w:t>jatuh</w:t>
      </w:r>
      <w:r>
        <w:rPr>
          <w:spacing w:val="-13"/>
        </w:rPr>
        <w:t> </w:t>
      </w:r>
      <w:r>
        <w:rPr/>
        <w:t>tempo</w:t>
      </w:r>
      <w:r>
        <w:rPr>
          <w:spacing w:val="-13"/>
        </w:rPr>
        <w:t> </w:t>
      </w:r>
      <w:r>
        <w:rPr/>
        <w:t>utang</w:t>
      </w:r>
      <w:r>
        <w:rPr>
          <w:spacing w:val="-15"/>
        </w:rPr>
        <w:t> </w:t>
      </w:r>
      <w:r>
        <w:rPr/>
        <w:t>perusahaan,</w:t>
      </w:r>
      <w:r>
        <w:rPr>
          <w:spacing w:val="-13"/>
        </w:rPr>
        <w:t> </w:t>
      </w:r>
      <w:r>
        <w:rPr/>
        <w:t>khususnya</w:t>
      </w:r>
      <w:r>
        <w:rPr>
          <w:spacing w:val="-12"/>
        </w:rPr>
        <w:t> </w:t>
      </w:r>
      <w:r>
        <w:rPr/>
        <w:t>proporsi antara utang jangka panjang dan jangka pendek. Perusahaan dengan kualitas pelaporan yang tinggi cenderung memperoleh kepercayaan lebih besar dari kreditur, sehingga memiliki akses yang lebih luas terhadap pendanaan jangka panjang. Dalam hal ini, </w:t>
      </w:r>
      <w:r>
        <w:rPr>
          <w:i/>
        </w:rPr>
        <w:t>sustainability assurance </w:t>
      </w:r>
      <w:r>
        <w:rPr/>
        <w:t>berperan sebagai mekanisme peningkatan kredibilitas informasi, karena verifikasi oleh pihak independen mengurangi</w:t>
      </w:r>
      <w:r>
        <w:rPr>
          <w:spacing w:val="-12"/>
        </w:rPr>
        <w:t> </w:t>
      </w:r>
      <w:r>
        <w:rPr/>
        <w:t>asimetri</w:t>
      </w:r>
      <w:r>
        <w:rPr>
          <w:spacing w:val="-12"/>
        </w:rPr>
        <w:t> </w:t>
      </w:r>
      <w:r>
        <w:rPr/>
        <w:t>informasi</w:t>
      </w:r>
      <w:r>
        <w:rPr>
          <w:spacing w:val="-12"/>
        </w:rPr>
        <w:t> </w:t>
      </w:r>
      <w:r>
        <w:rPr/>
        <w:t>terkait</w:t>
      </w:r>
      <w:r>
        <w:rPr>
          <w:spacing w:val="-6"/>
        </w:rPr>
        <w:t> </w:t>
      </w:r>
      <w:r>
        <w:rPr/>
        <w:t>informasi</w:t>
      </w:r>
      <w:r>
        <w:rPr>
          <w:spacing w:val="-12"/>
        </w:rPr>
        <w:t> </w:t>
      </w:r>
      <w:r>
        <w:rPr/>
        <w:t>keberlanjutan</w:t>
      </w:r>
      <w:r>
        <w:rPr>
          <w:spacing w:val="-13"/>
        </w:rPr>
        <w:t> </w:t>
      </w:r>
      <w:r>
        <w:rPr/>
        <w:t>perusahaan.</w:t>
      </w:r>
      <w:r>
        <w:rPr>
          <w:spacing w:val="-13"/>
        </w:rPr>
        <w:t> </w:t>
      </w:r>
      <w:r>
        <w:rPr/>
        <w:t>Dengan berkurangnya</w:t>
      </w:r>
      <w:r>
        <w:rPr>
          <w:spacing w:val="-15"/>
        </w:rPr>
        <w:t> </w:t>
      </w:r>
      <w:r>
        <w:rPr/>
        <w:t>kebutuhan</w:t>
      </w:r>
      <w:r>
        <w:rPr>
          <w:spacing w:val="-15"/>
        </w:rPr>
        <w:t> </w:t>
      </w:r>
      <w:r>
        <w:rPr/>
        <w:t>kreditur</w:t>
      </w:r>
      <w:r>
        <w:rPr>
          <w:spacing w:val="-15"/>
        </w:rPr>
        <w:t> </w:t>
      </w:r>
      <w:r>
        <w:rPr/>
        <w:t>untuk</w:t>
      </w:r>
      <w:r>
        <w:rPr>
          <w:spacing w:val="-15"/>
        </w:rPr>
        <w:t> </w:t>
      </w:r>
      <w:r>
        <w:rPr/>
        <w:t>melakukan</w:t>
      </w:r>
      <w:r>
        <w:rPr>
          <w:spacing w:val="-15"/>
        </w:rPr>
        <w:t> </w:t>
      </w:r>
      <w:r>
        <w:rPr/>
        <w:t>monitoring</w:t>
      </w:r>
      <w:r>
        <w:rPr>
          <w:spacing w:val="-15"/>
        </w:rPr>
        <w:t> </w:t>
      </w:r>
      <w:r>
        <w:rPr/>
        <w:t>intensif,</w:t>
      </w:r>
      <w:r>
        <w:rPr>
          <w:spacing w:val="-15"/>
        </w:rPr>
        <w:t> </w:t>
      </w:r>
      <w:r>
        <w:rPr/>
        <w:t>perusahaan yang melakukan </w:t>
      </w:r>
      <w:r>
        <w:rPr>
          <w:i/>
        </w:rPr>
        <w:t>sustainability assurance </w:t>
      </w:r>
      <w:r>
        <w:rPr/>
        <w:t>lebih berpeluang mendapatkan utang berjangka panjang, yang pada akhirnya meningkatkan struktur </w:t>
      </w:r>
      <w:r>
        <w:rPr>
          <w:i/>
        </w:rPr>
        <w:t>debt maturity </w:t>
      </w:r>
      <w:r>
        <w:rPr>
          <w:spacing w:val="-2"/>
        </w:rPr>
        <w:t>mereka.</w:t>
      </w:r>
    </w:p>
    <w:p>
      <w:pPr>
        <w:pStyle w:val="BodyText"/>
        <w:spacing w:before="7"/>
      </w:pPr>
    </w:p>
    <w:p>
      <w:pPr>
        <w:pStyle w:val="BodyText"/>
        <w:spacing w:line="480" w:lineRule="auto"/>
        <w:ind w:left="568" w:right="562" w:firstLine="720"/>
        <w:jc w:val="both"/>
      </w:pPr>
      <w:r>
        <w:rPr/>
        <w:t>Hal ini sesuai dengan penelitian terdahulu Bugshan et al., (2024) yang menemukan bahwa </w:t>
      </w:r>
      <w:r>
        <w:rPr>
          <w:i/>
        </w:rPr>
        <w:t>Carbon Assurance </w:t>
      </w:r>
      <w:r>
        <w:rPr/>
        <w:t>(pada penelitian ini bisa dianggap sebagai </w:t>
      </w:r>
      <w:r>
        <w:rPr>
          <w:i/>
        </w:rPr>
        <w:t>Sustainability Assurance</w:t>
      </w:r>
      <w:r>
        <w:rPr/>
        <w:t>) berpengaruh positif terhadap </w:t>
      </w:r>
      <w:r>
        <w:rPr>
          <w:i/>
        </w:rPr>
        <w:t>debt maturity</w:t>
      </w:r>
      <w:r>
        <w:rPr/>
        <w:t>, karena ditemukan bahwa perusahaan yang memperoleh </w:t>
      </w:r>
      <w:r>
        <w:rPr>
          <w:i/>
        </w:rPr>
        <w:t>carbon assurance </w:t>
      </w:r>
      <w:r>
        <w:rPr/>
        <w:t>oleh pihak ketiga</w:t>
      </w:r>
      <w:r>
        <w:rPr>
          <w:spacing w:val="-1"/>
        </w:rPr>
        <w:t> </w:t>
      </w:r>
      <w:r>
        <w:rPr/>
        <w:t>cenderung</w:t>
      </w:r>
      <w:r>
        <w:rPr>
          <w:spacing w:val="-6"/>
        </w:rPr>
        <w:t> </w:t>
      </w:r>
      <w:r>
        <w:rPr/>
        <w:t>memiliki akses</w:t>
      </w:r>
      <w:r>
        <w:rPr>
          <w:spacing w:val="-4"/>
        </w:rPr>
        <w:t> </w:t>
      </w:r>
      <w:r>
        <w:rPr/>
        <w:t>lebih</w:t>
      </w:r>
      <w:r>
        <w:rPr>
          <w:spacing w:val="-2"/>
        </w:rPr>
        <w:t> </w:t>
      </w:r>
      <w:r>
        <w:rPr/>
        <w:t>baik</w:t>
      </w:r>
      <w:r>
        <w:rPr>
          <w:spacing w:val="-2"/>
        </w:rPr>
        <w:t> </w:t>
      </w:r>
      <w:r>
        <w:rPr/>
        <w:t>terhadap </w:t>
      </w:r>
      <w:r>
        <w:rPr>
          <w:i/>
        </w:rPr>
        <w:t>debt</w:t>
      </w:r>
      <w:r>
        <w:rPr>
          <w:i/>
          <w:spacing w:val="-2"/>
        </w:rPr>
        <w:t> </w:t>
      </w:r>
      <w:r>
        <w:rPr>
          <w:i/>
        </w:rPr>
        <w:t>maturity </w:t>
      </w:r>
      <w:r>
        <w:rPr/>
        <w:t>jangka</w:t>
      </w:r>
      <w:r>
        <w:rPr>
          <w:spacing w:val="-1"/>
        </w:rPr>
        <w:t> </w:t>
      </w:r>
      <w:r>
        <w:rPr/>
        <w:t>panjang sehingga</w:t>
      </w:r>
      <w:r>
        <w:rPr>
          <w:spacing w:val="-15"/>
        </w:rPr>
        <w:t> </w:t>
      </w:r>
      <w:r>
        <w:rPr/>
        <w:t>penurunan</w:t>
      </w:r>
      <w:r>
        <w:rPr>
          <w:spacing w:val="-15"/>
        </w:rPr>
        <w:t> </w:t>
      </w:r>
      <w:r>
        <w:rPr/>
        <w:t>asimetri</w:t>
      </w:r>
      <w:r>
        <w:rPr>
          <w:spacing w:val="-15"/>
        </w:rPr>
        <w:t> </w:t>
      </w:r>
      <w:r>
        <w:rPr/>
        <w:t>informasi,</w:t>
      </w:r>
      <w:r>
        <w:rPr>
          <w:spacing w:val="-15"/>
        </w:rPr>
        <w:t> </w:t>
      </w:r>
      <w:r>
        <w:rPr/>
        <w:t>yang</w:t>
      </w:r>
      <w:r>
        <w:rPr>
          <w:spacing w:val="-15"/>
        </w:rPr>
        <w:t> </w:t>
      </w:r>
      <w:r>
        <w:rPr/>
        <w:t>menjadikan</w:t>
      </w:r>
      <w:r>
        <w:rPr>
          <w:spacing w:val="-15"/>
        </w:rPr>
        <w:t> </w:t>
      </w:r>
      <w:r>
        <w:rPr/>
        <w:t>perusahaan</w:t>
      </w:r>
      <w:r>
        <w:rPr>
          <w:spacing w:val="-15"/>
        </w:rPr>
        <w:t> </w:t>
      </w:r>
      <w:r>
        <w:rPr/>
        <w:t>lebih</w:t>
      </w:r>
      <w:r>
        <w:rPr>
          <w:spacing w:val="-15"/>
        </w:rPr>
        <w:t> </w:t>
      </w:r>
      <w:r>
        <w:rPr/>
        <w:t>kredibel di mata kreditur. Berdasarkan pertimbangan teoritis dan empiris tersebut, maka hipotesis kedua pada penelitian ini adalah:</w:t>
      </w:r>
    </w:p>
    <w:p>
      <w:pPr>
        <w:pStyle w:val="BodyText"/>
        <w:spacing w:after="0" w:line="480" w:lineRule="auto"/>
        <w:jc w:val="both"/>
        <w:sectPr>
          <w:pgSz w:w="11910" w:h="16840"/>
          <w:pgMar w:header="710" w:footer="0" w:top="1920" w:bottom="280" w:left="1700" w:right="1133"/>
        </w:sectPr>
      </w:pPr>
    </w:p>
    <w:p>
      <w:pPr>
        <w:pStyle w:val="BodyText"/>
        <w:spacing w:before="52"/>
      </w:pPr>
    </w:p>
    <w:p>
      <w:pPr>
        <w:spacing w:line="480" w:lineRule="auto" w:before="0"/>
        <w:ind w:left="568" w:right="0" w:firstLine="0"/>
        <w:jc w:val="left"/>
        <w:rPr>
          <w:b/>
          <w:sz w:val="24"/>
        </w:rPr>
      </w:pPr>
      <w:r>
        <w:rPr>
          <w:b/>
          <w:sz w:val="24"/>
        </w:rPr>
        <w:t>H2: </w:t>
      </w:r>
      <w:r>
        <w:rPr>
          <w:b/>
          <w:i/>
          <w:sz w:val="24"/>
        </w:rPr>
        <w:t>Debt Maturity </w:t>
      </w:r>
      <w:r>
        <w:rPr>
          <w:b/>
          <w:sz w:val="24"/>
        </w:rPr>
        <w:t>berpengaruh positif dan signifikan terhadap </w:t>
      </w:r>
      <w:r>
        <w:rPr>
          <w:b/>
          <w:i/>
          <w:sz w:val="24"/>
        </w:rPr>
        <w:t>Sustainability Assurance Quality </w:t>
      </w:r>
      <w:r>
        <w:rPr>
          <w:b/>
          <w:sz w:val="24"/>
        </w:rPr>
        <w:t>perusahaan</w:t>
      </w:r>
    </w:p>
    <w:p>
      <w:pPr>
        <w:pStyle w:val="BodyText"/>
        <w:spacing w:before="5"/>
        <w:rPr>
          <w:b/>
        </w:rPr>
      </w:pPr>
    </w:p>
    <w:p>
      <w:pPr>
        <w:pStyle w:val="Heading3"/>
        <w:numPr>
          <w:ilvl w:val="2"/>
          <w:numId w:val="26"/>
        </w:numPr>
        <w:tabs>
          <w:tab w:pos="1288" w:val="left" w:leader="none"/>
        </w:tabs>
        <w:spacing w:line="480" w:lineRule="auto" w:before="0" w:after="0"/>
        <w:ind w:left="1288" w:right="571" w:hanging="721"/>
        <w:jc w:val="both"/>
      </w:pPr>
      <w:bookmarkStart w:name="_bookmark28" w:id="29"/>
      <w:bookmarkEnd w:id="29"/>
      <w:r>
        <w:rPr>
          <w:b w:val="0"/>
        </w:rPr>
      </w:r>
      <w:r>
        <w:rPr/>
        <w:t>Pengaruh Assurance Tenure terhadap Sustainability Assurance </w:t>
      </w:r>
      <w:r>
        <w:rPr>
          <w:spacing w:val="-2"/>
        </w:rPr>
        <w:t>Quality</w:t>
      </w:r>
    </w:p>
    <w:p>
      <w:pPr>
        <w:pStyle w:val="BodyText"/>
        <w:spacing w:line="480" w:lineRule="auto"/>
        <w:ind w:left="568" w:right="562" w:firstLine="780"/>
        <w:jc w:val="both"/>
      </w:pPr>
      <w:r>
        <w:rPr/>
        <w:t>Sejalan dengan </w:t>
      </w:r>
      <w:r>
        <w:rPr>
          <w:i/>
        </w:rPr>
        <w:t>Stakeholder Theory</w:t>
      </w:r>
      <w:r>
        <w:rPr/>
        <w:t>, perusahaan berkewajiban menyediakan</w:t>
      </w:r>
      <w:r>
        <w:rPr>
          <w:spacing w:val="-15"/>
        </w:rPr>
        <w:t> </w:t>
      </w:r>
      <w:r>
        <w:rPr/>
        <w:t>informasi</w:t>
      </w:r>
      <w:r>
        <w:rPr>
          <w:spacing w:val="-13"/>
        </w:rPr>
        <w:t> </w:t>
      </w:r>
      <w:r>
        <w:rPr/>
        <w:t>yang</w:t>
      </w:r>
      <w:r>
        <w:rPr>
          <w:spacing w:val="-15"/>
        </w:rPr>
        <w:t> </w:t>
      </w:r>
      <w:r>
        <w:rPr/>
        <w:t>kredibel</w:t>
      </w:r>
      <w:r>
        <w:rPr>
          <w:spacing w:val="-13"/>
        </w:rPr>
        <w:t> </w:t>
      </w:r>
      <w:r>
        <w:rPr/>
        <w:t>guna</w:t>
      </w:r>
      <w:r>
        <w:rPr>
          <w:spacing w:val="-13"/>
        </w:rPr>
        <w:t> </w:t>
      </w:r>
      <w:r>
        <w:rPr/>
        <w:t>memenuhi</w:t>
      </w:r>
      <w:r>
        <w:rPr>
          <w:spacing w:val="-13"/>
        </w:rPr>
        <w:t> </w:t>
      </w:r>
      <w:r>
        <w:rPr/>
        <w:t>kebutuhan</w:t>
      </w:r>
      <w:r>
        <w:rPr>
          <w:spacing w:val="-14"/>
        </w:rPr>
        <w:t> </w:t>
      </w:r>
      <w:r>
        <w:rPr/>
        <w:t>para</w:t>
      </w:r>
      <w:r>
        <w:rPr>
          <w:spacing w:val="-4"/>
        </w:rPr>
        <w:t> </w:t>
      </w:r>
      <w:r>
        <w:rPr>
          <w:i/>
        </w:rPr>
        <w:t>stakeholder</w:t>
      </w:r>
      <w:r>
        <w:rPr/>
        <w:t>. Hubungan jangka panjang antara perusahaan dan </w:t>
      </w:r>
      <w:r>
        <w:rPr>
          <w:i/>
        </w:rPr>
        <w:t>assurance </w:t>
      </w:r>
      <w:r>
        <w:rPr/>
        <w:t>provider (</w:t>
      </w:r>
      <w:r>
        <w:rPr>
          <w:i/>
        </w:rPr>
        <w:t>Assurance tenure</w:t>
      </w:r>
      <w:r>
        <w:rPr/>
        <w:t>) dapat memengaruhi persepsi kualitas sustainability </w:t>
      </w:r>
      <w:r>
        <w:rPr>
          <w:i/>
        </w:rPr>
        <w:t>assurance</w:t>
      </w:r>
      <w:r>
        <w:rPr/>
        <w:t>. Lamanya </w:t>
      </w:r>
      <w:r>
        <w:rPr>
          <w:i/>
        </w:rPr>
        <w:t>assurance tenure </w:t>
      </w:r>
      <w:r>
        <w:rPr/>
        <w:t>menjadi faktor penting yang dapat memengaruhi </w:t>
      </w:r>
      <w:r>
        <w:rPr>
          <w:i/>
        </w:rPr>
        <w:t>Sustainability Assurance Quality</w:t>
      </w:r>
      <w:r>
        <w:rPr/>
        <w:t>, karena hubungan jangka panjang antara penyedia </w:t>
      </w:r>
      <w:r>
        <w:rPr>
          <w:i/>
        </w:rPr>
        <w:t>assurance </w:t>
      </w:r>
      <w:r>
        <w:rPr/>
        <w:t>dan perusahaan klien berpotensi meningkatkan pemahaman terhadap karakteristik operasional dan risiko keberlanjutan perusahaan, namun di sisi lain juga dapat menurunkan independensi akibat kedekatan relasional yang berlebihan, sehingga berdampak pada persepsi kredibilitas dan keandalan informasi keberlanjutan di mata </w:t>
      </w:r>
      <w:r>
        <w:rPr>
          <w:i/>
        </w:rPr>
        <w:t>stakeholder</w:t>
      </w:r>
      <w:r>
        <w:rPr/>
        <w:t>.</w:t>
      </w:r>
    </w:p>
    <w:p>
      <w:pPr>
        <w:pStyle w:val="BodyText"/>
        <w:spacing w:line="480" w:lineRule="auto" w:before="158"/>
        <w:ind w:left="568" w:right="563" w:firstLine="720"/>
        <w:jc w:val="both"/>
      </w:pPr>
      <w:r>
        <w:rPr/>
        <w:t>Hal ini sesuai dengan penelitian terdahulu oleh Ruiz-Barbadillo dan Martínez-Ferrero (2023) yang menemukan bahwa Assurance tenure yang lebih panjang berpotensi menimbulkan kedekatan berlebihan sehingga mengurangi independensi assuror dan melemahkan nilai komunikatif </w:t>
      </w:r>
      <w:r>
        <w:rPr>
          <w:i/>
        </w:rPr>
        <w:t>assurance </w:t>
      </w:r>
      <w:r>
        <w:rPr/>
        <w:t>report dan penelitian oleh Martínez-Ferrero et al. (2018) yang menemukan bahwa </w:t>
      </w:r>
      <w:r>
        <w:rPr>
          <w:i/>
        </w:rPr>
        <w:t>Assurance tenure </w:t>
      </w:r>
      <w:r>
        <w:rPr/>
        <w:t>yang</w:t>
      </w:r>
      <w:r>
        <w:rPr>
          <w:spacing w:val="-11"/>
        </w:rPr>
        <w:t> </w:t>
      </w:r>
      <w:r>
        <w:rPr/>
        <w:t>lebih</w:t>
      </w:r>
      <w:r>
        <w:rPr>
          <w:spacing w:val="-7"/>
        </w:rPr>
        <w:t> </w:t>
      </w:r>
      <w:r>
        <w:rPr/>
        <w:t>panjang</w:t>
      </w:r>
      <w:r>
        <w:rPr>
          <w:spacing w:val="-11"/>
        </w:rPr>
        <w:t> </w:t>
      </w:r>
      <w:r>
        <w:rPr/>
        <w:t>juga</w:t>
      </w:r>
      <w:r>
        <w:rPr>
          <w:spacing w:val="-5"/>
        </w:rPr>
        <w:t> </w:t>
      </w:r>
      <w:r>
        <w:rPr/>
        <w:t>dapat</w:t>
      </w:r>
      <w:r>
        <w:rPr>
          <w:spacing w:val="-6"/>
        </w:rPr>
        <w:t> </w:t>
      </w:r>
      <w:r>
        <w:rPr/>
        <w:t>meningkatkan</w:t>
      </w:r>
      <w:r>
        <w:rPr>
          <w:spacing w:val="-7"/>
        </w:rPr>
        <w:t> </w:t>
      </w:r>
      <w:r>
        <w:rPr/>
        <w:t>pengalaman</w:t>
      </w:r>
      <w:r>
        <w:rPr>
          <w:spacing w:val="-7"/>
        </w:rPr>
        <w:t> </w:t>
      </w:r>
      <w:r>
        <w:rPr/>
        <w:t>spesifik-klien</w:t>
      </w:r>
      <w:r>
        <w:rPr>
          <w:spacing w:val="-7"/>
        </w:rPr>
        <w:t> </w:t>
      </w:r>
      <w:r>
        <w:rPr/>
        <w:t>dan kompetensi</w:t>
      </w:r>
      <w:r>
        <w:rPr>
          <w:spacing w:val="11"/>
        </w:rPr>
        <w:t> </w:t>
      </w:r>
      <w:r>
        <w:rPr/>
        <w:t>teknis,</w:t>
      </w:r>
      <w:r>
        <w:rPr>
          <w:spacing w:val="17"/>
        </w:rPr>
        <w:t> </w:t>
      </w:r>
      <w:r>
        <w:rPr/>
        <w:t>sehingga</w:t>
      </w:r>
      <w:r>
        <w:rPr>
          <w:spacing w:val="18"/>
        </w:rPr>
        <w:t> </w:t>
      </w:r>
      <w:r>
        <w:rPr/>
        <w:t>memperkuat</w:t>
      </w:r>
      <w:r>
        <w:rPr>
          <w:spacing w:val="15"/>
        </w:rPr>
        <w:t> </w:t>
      </w:r>
      <w:r>
        <w:rPr/>
        <w:t>kualitas</w:t>
      </w:r>
      <w:r>
        <w:rPr>
          <w:spacing w:val="26"/>
        </w:rPr>
        <w:t> </w:t>
      </w:r>
      <w:r>
        <w:rPr>
          <w:i/>
        </w:rPr>
        <w:t>assurance</w:t>
      </w:r>
      <w:r>
        <w:rPr>
          <w:i/>
          <w:spacing w:val="18"/>
        </w:rPr>
        <w:t> </w:t>
      </w:r>
      <w:r>
        <w:rPr>
          <w:i/>
        </w:rPr>
        <w:t>report</w:t>
      </w:r>
      <w:r>
        <w:rPr/>
        <w:t>.</w:t>
      </w:r>
      <w:r>
        <w:rPr>
          <w:spacing w:val="22"/>
        </w:rPr>
        <w:t> </w:t>
      </w:r>
      <w:r>
        <w:rPr>
          <w:spacing w:val="-2"/>
        </w:rPr>
        <w:t>Berdasarkan</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04"/>
      </w:pPr>
      <w:r>
        <w:rPr/>
        <w:t>pertimbangan teoritis dan empiris tersebut, maka hipotesis ketiga pada penelitian ini adalah:</w:t>
      </w:r>
    </w:p>
    <w:p>
      <w:pPr>
        <w:tabs>
          <w:tab w:pos="1160" w:val="left" w:leader="none"/>
          <w:tab w:pos="2401" w:val="left" w:leader="none"/>
          <w:tab w:pos="3325" w:val="left" w:leader="none"/>
          <w:tab w:pos="4859" w:val="left" w:leader="none"/>
          <w:tab w:pos="5774" w:val="left" w:leader="none"/>
          <w:tab w:pos="6358" w:val="left" w:leader="none"/>
          <w:tab w:pos="7574" w:val="left" w:leader="none"/>
        </w:tabs>
        <w:spacing w:before="169"/>
        <w:ind w:left="568" w:right="0" w:firstLine="0"/>
        <w:jc w:val="left"/>
        <w:rPr>
          <w:b/>
          <w:sz w:val="24"/>
        </w:rPr>
      </w:pPr>
      <w:r>
        <w:rPr>
          <w:b/>
          <w:spacing w:val="-5"/>
          <w:sz w:val="24"/>
        </w:rPr>
        <w:t>H3:</w:t>
      </w:r>
      <w:r>
        <w:rPr>
          <w:b/>
          <w:sz w:val="24"/>
        </w:rPr>
        <w:tab/>
      </w:r>
      <w:r>
        <w:rPr>
          <w:b/>
          <w:i/>
          <w:spacing w:val="-2"/>
          <w:sz w:val="24"/>
        </w:rPr>
        <w:t>Assurance</w:t>
      </w:r>
      <w:r>
        <w:rPr>
          <w:b/>
          <w:i/>
          <w:sz w:val="24"/>
        </w:rPr>
        <w:tab/>
      </w:r>
      <w:r>
        <w:rPr>
          <w:b/>
          <w:i/>
          <w:spacing w:val="-2"/>
          <w:sz w:val="24"/>
        </w:rPr>
        <w:t>Tenure</w:t>
      </w:r>
      <w:r>
        <w:rPr>
          <w:b/>
          <w:i/>
          <w:sz w:val="24"/>
        </w:rPr>
        <w:tab/>
      </w:r>
      <w:r>
        <w:rPr>
          <w:b/>
          <w:spacing w:val="-2"/>
          <w:sz w:val="24"/>
        </w:rPr>
        <w:t>berpengaruh</w:t>
      </w:r>
      <w:r>
        <w:rPr>
          <w:b/>
          <w:sz w:val="24"/>
        </w:rPr>
        <w:tab/>
      </w:r>
      <w:r>
        <w:rPr>
          <w:b/>
          <w:spacing w:val="-2"/>
          <w:sz w:val="24"/>
        </w:rPr>
        <w:t>negatif</w:t>
      </w:r>
      <w:r>
        <w:rPr>
          <w:b/>
          <w:sz w:val="24"/>
        </w:rPr>
        <w:tab/>
      </w:r>
      <w:r>
        <w:rPr>
          <w:b/>
          <w:spacing w:val="-5"/>
          <w:sz w:val="24"/>
        </w:rPr>
        <w:t>dan</w:t>
      </w:r>
      <w:r>
        <w:rPr>
          <w:b/>
          <w:sz w:val="24"/>
        </w:rPr>
        <w:tab/>
      </w:r>
      <w:r>
        <w:rPr>
          <w:b/>
          <w:spacing w:val="-2"/>
          <w:sz w:val="24"/>
        </w:rPr>
        <w:t>signifikan</w:t>
      </w:r>
      <w:r>
        <w:rPr>
          <w:b/>
          <w:sz w:val="24"/>
        </w:rPr>
        <w:tab/>
      </w:r>
      <w:r>
        <w:rPr>
          <w:b/>
          <w:spacing w:val="-2"/>
          <w:sz w:val="24"/>
        </w:rPr>
        <w:t>terhadap</w:t>
      </w:r>
    </w:p>
    <w:p>
      <w:pPr>
        <w:spacing w:before="136"/>
        <w:ind w:left="568" w:right="0" w:firstLine="0"/>
        <w:jc w:val="left"/>
        <w:rPr>
          <w:b/>
          <w:sz w:val="24"/>
        </w:rPr>
      </w:pPr>
      <w:r>
        <w:rPr>
          <w:b/>
          <w:i/>
          <w:sz w:val="24"/>
        </w:rPr>
        <w:t>Sustainability</w:t>
      </w:r>
      <w:r>
        <w:rPr>
          <w:b/>
          <w:i/>
          <w:spacing w:val="-6"/>
          <w:sz w:val="24"/>
        </w:rPr>
        <w:t> </w:t>
      </w:r>
      <w:r>
        <w:rPr>
          <w:b/>
          <w:i/>
          <w:sz w:val="24"/>
        </w:rPr>
        <w:t>Assurance</w:t>
      </w:r>
      <w:r>
        <w:rPr>
          <w:b/>
          <w:i/>
          <w:spacing w:val="-4"/>
          <w:sz w:val="24"/>
        </w:rPr>
        <w:t> </w:t>
      </w:r>
      <w:r>
        <w:rPr>
          <w:b/>
          <w:i/>
          <w:sz w:val="24"/>
        </w:rPr>
        <w:t>Quality</w:t>
      </w:r>
      <w:r>
        <w:rPr>
          <w:b/>
          <w:i/>
          <w:spacing w:val="-4"/>
          <w:sz w:val="24"/>
        </w:rPr>
        <w:t> </w:t>
      </w:r>
      <w:r>
        <w:rPr>
          <w:b/>
          <w:spacing w:val="-2"/>
          <w:sz w:val="24"/>
        </w:rPr>
        <w:t>perusahaan</w:t>
      </w:r>
    </w:p>
    <w:p>
      <w:pPr>
        <w:pStyle w:val="BodyText"/>
        <w:spacing w:before="136"/>
        <w:rPr>
          <w:b/>
        </w:rPr>
      </w:pPr>
    </w:p>
    <w:p>
      <w:pPr>
        <w:pStyle w:val="BodyText"/>
        <w:spacing w:line="480" w:lineRule="auto"/>
        <w:ind w:left="568" w:firstLine="720"/>
      </w:pPr>
      <w:r>
        <w:rPr/>
        <w:t>Berdasarkan</w:t>
      </w:r>
      <w:r>
        <w:rPr>
          <w:spacing w:val="-17"/>
        </w:rPr>
        <w:t> </w:t>
      </w:r>
      <w:r>
        <w:rPr/>
        <w:t>hipotesis</w:t>
      </w:r>
      <w:r>
        <w:rPr>
          <w:spacing w:val="-15"/>
        </w:rPr>
        <w:t> </w:t>
      </w:r>
      <w:r>
        <w:rPr/>
        <w:t>yang</w:t>
      </w:r>
      <w:r>
        <w:rPr>
          <w:spacing w:val="-21"/>
        </w:rPr>
        <w:t> </w:t>
      </w:r>
      <w:r>
        <w:rPr/>
        <w:t>sudah</w:t>
      </w:r>
      <w:r>
        <w:rPr>
          <w:spacing w:val="-15"/>
        </w:rPr>
        <w:t> </w:t>
      </w:r>
      <w:r>
        <w:rPr/>
        <w:t>disusun</w:t>
      </w:r>
      <w:r>
        <w:rPr>
          <w:spacing w:val="-15"/>
        </w:rPr>
        <w:t> </w:t>
      </w:r>
      <w:r>
        <w:rPr/>
        <w:t>diatas,</w:t>
      </w:r>
      <w:r>
        <w:rPr>
          <w:spacing w:val="-17"/>
        </w:rPr>
        <w:t> </w:t>
      </w:r>
      <w:r>
        <w:rPr/>
        <w:t>maka</w:t>
      </w:r>
      <w:r>
        <w:rPr>
          <w:spacing w:val="-15"/>
        </w:rPr>
        <w:t> </w:t>
      </w:r>
      <w:r>
        <w:rPr/>
        <w:t>dapat</w:t>
      </w:r>
      <w:r>
        <w:rPr>
          <w:spacing w:val="-16"/>
        </w:rPr>
        <w:t> </w:t>
      </w:r>
      <w:r>
        <w:rPr/>
        <w:t>disusun</w:t>
      </w:r>
      <w:r>
        <w:rPr>
          <w:spacing w:val="-17"/>
        </w:rPr>
        <w:t> </w:t>
      </w:r>
      <w:r>
        <w:rPr/>
        <w:t>model penelitian sebagai berikut:</w:t>
      </w:r>
    </w:p>
    <w:p>
      <w:pPr>
        <w:pStyle w:val="BodyText"/>
        <w:spacing w:before="216"/>
        <w:rPr>
          <w:sz w:val="20"/>
        </w:rPr>
      </w:pPr>
      <w:r>
        <w:rPr>
          <w:sz w:val="20"/>
        </w:rPr>
        <w:drawing>
          <wp:anchor distT="0" distB="0" distL="0" distR="0" allowOverlap="1" layoutInCell="1" locked="0" behindDoc="1" simplePos="0" relativeHeight="487591424">
            <wp:simplePos x="0" y="0"/>
            <wp:positionH relativeFrom="page">
              <wp:posOffset>1697969</wp:posOffset>
            </wp:positionH>
            <wp:positionV relativeFrom="paragraph">
              <wp:posOffset>298756</wp:posOffset>
            </wp:positionV>
            <wp:extent cx="4676486" cy="1496187"/>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4676486" cy="1496187"/>
                    </a:xfrm>
                    <a:prstGeom prst="rect">
                      <a:avLst/>
                    </a:prstGeom>
                  </pic:spPr>
                </pic:pic>
              </a:graphicData>
            </a:graphic>
          </wp:anchor>
        </w:drawing>
      </w:r>
    </w:p>
    <w:p>
      <w:pPr>
        <w:pStyle w:val="BodyText"/>
      </w:pPr>
    </w:p>
    <w:p>
      <w:pPr>
        <w:pStyle w:val="BodyText"/>
      </w:pPr>
    </w:p>
    <w:p>
      <w:pPr>
        <w:pStyle w:val="BodyText"/>
        <w:spacing w:before="233"/>
      </w:pPr>
    </w:p>
    <w:p>
      <w:pPr>
        <w:spacing w:line="250" w:lineRule="exact" w:before="1"/>
        <w:ind w:left="0" w:right="4" w:firstLine="0"/>
        <w:jc w:val="center"/>
        <w:rPr>
          <w:b/>
          <w:sz w:val="22"/>
        </w:rPr>
      </w:pPr>
      <w:bookmarkStart w:name="_bookmark29" w:id="30"/>
      <w:bookmarkEnd w:id="30"/>
      <w:r>
        <w:rPr/>
      </w:r>
      <w:r>
        <w:rPr>
          <w:b/>
          <w:sz w:val="22"/>
        </w:rPr>
        <w:t>Gambar</w:t>
      </w:r>
      <w:r>
        <w:rPr>
          <w:b/>
          <w:spacing w:val="-8"/>
          <w:sz w:val="22"/>
        </w:rPr>
        <w:t> </w:t>
      </w:r>
      <w:r>
        <w:rPr>
          <w:b/>
          <w:sz w:val="22"/>
        </w:rPr>
        <w:t>2.3</w:t>
      </w:r>
      <w:r>
        <w:rPr>
          <w:b/>
          <w:spacing w:val="1"/>
          <w:sz w:val="22"/>
        </w:rPr>
        <w:t> </w:t>
      </w:r>
      <w:r>
        <w:rPr>
          <w:b/>
          <w:sz w:val="22"/>
        </w:rPr>
        <w:t>Model</w:t>
      </w:r>
      <w:r>
        <w:rPr>
          <w:b/>
          <w:spacing w:val="-7"/>
          <w:sz w:val="22"/>
        </w:rPr>
        <w:t> </w:t>
      </w:r>
      <w:r>
        <w:rPr>
          <w:b/>
          <w:spacing w:val="-2"/>
          <w:sz w:val="22"/>
        </w:rPr>
        <w:t>Penelitian</w:t>
      </w:r>
    </w:p>
    <w:p>
      <w:pPr>
        <w:spacing w:line="250" w:lineRule="exact" w:before="0"/>
        <w:ind w:left="358" w:right="363" w:firstLine="0"/>
        <w:jc w:val="center"/>
        <w:rPr>
          <w:i/>
          <w:sz w:val="22"/>
        </w:rPr>
      </w:pPr>
      <w:r>
        <w:rPr>
          <w:i/>
          <w:sz w:val="22"/>
        </w:rPr>
        <w:t>Sumber:</w:t>
      </w:r>
      <w:r>
        <w:rPr>
          <w:i/>
          <w:spacing w:val="-8"/>
          <w:sz w:val="22"/>
        </w:rPr>
        <w:t> </w:t>
      </w:r>
      <w:r>
        <w:rPr>
          <w:i/>
          <w:sz w:val="22"/>
        </w:rPr>
        <w:t>Dikembangkan</w:t>
      </w:r>
      <w:r>
        <w:rPr>
          <w:i/>
          <w:spacing w:val="-8"/>
          <w:sz w:val="22"/>
        </w:rPr>
        <w:t> </w:t>
      </w:r>
      <w:r>
        <w:rPr>
          <w:i/>
          <w:sz w:val="22"/>
        </w:rPr>
        <w:t>dalam</w:t>
      </w:r>
      <w:r>
        <w:rPr>
          <w:i/>
          <w:spacing w:val="-5"/>
          <w:sz w:val="22"/>
        </w:rPr>
        <w:t> </w:t>
      </w:r>
      <w:r>
        <w:rPr>
          <w:i/>
          <w:sz w:val="22"/>
        </w:rPr>
        <w:t>Penelitian</w:t>
      </w:r>
      <w:r>
        <w:rPr>
          <w:i/>
          <w:spacing w:val="-4"/>
          <w:sz w:val="22"/>
        </w:rPr>
        <w:t> </w:t>
      </w:r>
      <w:r>
        <w:rPr>
          <w:i/>
          <w:spacing w:val="-5"/>
          <w:sz w:val="22"/>
        </w:rPr>
        <w:t>Ini</w:t>
      </w:r>
    </w:p>
    <w:p>
      <w:pPr>
        <w:spacing w:after="0" w:line="250" w:lineRule="exact"/>
        <w:jc w:val="center"/>
        <w:rPr>
          <w:i/>
          <w:sz w:val="22"/>
        </w:rPr>
        <w:sectPr>
          <w:pgSz w:w="11910" w:h="16840"/>
          <w:pgMar w:header="710" w:footer="0" w:top="1920" w:bottom="280" w:left="1700" w:right="1133"/>
        </w:sectPr>
      </w:pPr>
    </w:p>
    <w:p>
      <w:pPr>
        <w:pStyle w:val="Heading2"/>
        <w:spacing w:line="720" w:lineRule="atLeast" w:before="173"/>
        <w:ind w:left="3009" w:right="2830" w:firstLine="1040"/>
        <w:jc w:val="left"/>
      </w:pPr>
      <w:bookmarkStart w:name="_bookmark30" w:id="31"/>
      <w:bookmarkEnd w:id="31"/>
      <w:r>
        <w:rPr>
          <w:b w:val="0"/>
        </w:rPr>
      </w:r>
      <w:r>
        <w:rPr/>
        <w:t>BAB III METODE</w:t>
      </w:r>
      <w:r>
        <w:rPr>
          <w:spacing w:val="-18"/>
        </w:rPr>
        <w:t> </w:t>
      </w:r>
      <w:r>
        <w:rPr/>
        <w:t>PENELITIAN</w:t>
      </w:r>
    </w:p>
    <w:p>
      <w:pPr>
        <w:pStyle w:val="Heading3"/>
        <w:numPr>
          <w:ilvl w:val="1"/>
          <w:numId w:val="27"/>
        </w:numPr>
        <w:tabs>
          <w:tab w:pos="1288" w:val="left" w:leader="none"/>
        </w:tabs>
        <w:spacing w:line="240" w:lineRule="auto" w:before="320" w:after="0"/>
        <w:ind w:left="1288" w:right="0" w:hanging="864"/>
        <w:jc w:val="both"/>
      </w:pPr>
      <w:bookmarkStart w:name="_bookmark31" w:id="32"/>
      <w:bookmarkEnd w:id="32"/>
      <w:r>
        <w:rPr>
          <w:b w:val="0"/>
        </w:rPr>
      </w:r>
      <w:r>
        <w:rPr/>
        <w:t>Definisi</w:t>
      </w:r>
      <w:r>
        <w:rPr>
          <w:spacing w:val="-4"/>
        </w:rPr>
        <w:t> </w:t>
      </w:r>
      <w:r>
        <w:rPr>
          <w:spacing w:val="-2"/>
        </w:rPr>
        <w:t>Operasional</w:t>
      </w:r>
    </w:p>
    <w:p>
      <w:pPr>
        <w:pStyle w:val="BodyText"/>
        <w:spacing w:line="480" w:lineRule="auto" w:before="272"/>
        <w:ind w:left="568" w:right="568" w:firstLine="720"/>
        <w:jc w:val="both"/>
        <w:rPr>
          <w:i/>
        </w:rPr>
      </w:pPr>
      <w:r>
        <w:rPr/>
        <w:t>Variabel merupakan unsur utama yang menjadi acuan peneliti untuk dapat memperoleh informasi, sehingga dapaat ditarik suatu Kesimpulan dari hasil penelitian</w:t>
      </w:r>
      <w:r>
        <w:rPr>
          <w:spacing w:val="-3"/>
        </w:rPr>
        <w:t> </w:t>
      </w:r>
      <w:r>
        <w:rPr/>
        <w:t>tersebut</w:t>
      </w:r>
      <w:r>
        <w:rPr>
          <w:spacing w:val="-3"/>
        </w:rPr>
        <w:t> </w:t>
      </w:r>
      <w:r>
        <w:rPr/>
        <w:t>(Sugiyono,</w:t>
      </w:r>
      <w:r>
        <w:rPr>
          <w:spacing w:val="-1"/>
        </w:rPr>
        <w:t> </w:t>
      </w:r>
      <w:r>
        <w:rPr/>
        <w:t>2023).</w:t>
      </w:r>
      <w:r>
        <w:rPr>
          <w:spacing w:val="-3"/>
        </w:rPr>
        <w:t> </w:t>
      </w:r>
      <w:r>
        <w:rPr/>
        <w:t>Dalam</w:t>
      </w:r>
      <w:r>
        <w:rPr>
          <w:spacing w:val="-3"/>
        </w:rPr>
        <w:t> </w:t>
      </w:r>
      <w:r>
        <w:rPr/>
        <w:t>penelitian</w:t>
      </w:r>
      <w:r>
        <w:rPr>
          <w:spacing w:val="-3"/>
        </w:rPr>
        <w:t> </w:t>
      </w:r>
      <w:r>
        <w:rPr/>
        <w:t>ini</w:t>
      </w:r>
      <w:r>
        <w:rPr>
          <w:spacing w:val="-3"/>
        </w:rPr>
        <w:t> </w:t>
      </w:r>
      <w:r>
        <w:rPr/>
        <w:t>terdapat</w:t>
      </w:r>
      <w:r>
        <w:rPr>
          <w:spacing w:val="-3"/>
        </w:rPr>
        <w:t> </w:t>
      </w:r>
      <w:r>
        <w:rPr/>
        <w:t>variabel</w:t>
      </w:r>
      <w:r>
        <w:rPr>
          <w:spacing w:val="-3"/>
        </w:rPr>
        <w:t> </w:t>
      </w:r>
      <w:r>
        <w:rPr/>
        <w:t>terikat (dependen) yaitu </w:t>
      </w:r>
      <w:r>
        <w:rPr>
          <w:i/>
        </w:rPr>
        <w:t>Sustainability Assurance Quality. </w:t>
      </w:r>
      <w:r>
        <w:rPr/>
        <w:t>Kemudian, terdapat variabel bebas (independen) yaitu </w:t>
      </w:r>
      <w:r>
        <w:rPr>
          <w:i/>
        </w:rPr>
        <w:t>Leverage, Debt Maturity, </w:t>
      </w:r>
      <w:r>
        <w:rPr/>
        <w:t>dan </w:t>
      </w:r>
      <w:r>
        <w:rPr>
          <w:i/>
        </w:rPr>
        <w:t>Assurance Tenure.</w:t>
      </w:r>
    </w:p>
    <w:p>
      <w:pPr>
        <w:pStyle w:val="Heading3"/>
        <w:numPr>
          <w:ilvl w:val="2"/>
          <w:numId w:val="27"/>
        </w:numPr>
        <w:tabs>
          <w:tab w:pos="1288" w:val="left" w:leader="none"/>
        </w:tabs>
        <w:spacing w:line="240" w:lineRule="auto" w:before="165" w:after="0"/>
        <w:ind w:left="1288" w:right="0" w:hanging="864"/>
        <w:jc w:val="both"/>
      </w:pPr>
      <w:bookmarkStart w:name="_bookmark32" w:id="33"/>
      <w:bookmarkEnd w:id="33"/>
      <w:r>
        <w:rPr>
          <w:b w:val="0"/>
        </w:rPr>
      </w:r>
      <w:r>
        <w:rPr/>
        <w:t>Variabel</w:t>
      </w:r>
      <w:r>
        <w:rPr>
          <w:spacing w:val="-6"/>
        </w:rPr>
        <w:t> </w:t>
      </w:r>
      <w:r>
        <w:rPr>
          <w:spacing w:val="-2"/>
        </w:rPr>
        <w:t>Dependen</w:t>
      </w:r>
    </w:p>
    <w:p>
      <w:pPr>
        <w:spacing w:line="480" w:lineRule="auto" w:before="272"/>
        <w:ind w:left="568" w:right="566" w:firstLine="780"/>
        <w:jc w:val="both"/>
        <w:rPr>
          <w:sz w:val="24"/>
        </w:rPr>
      </w:pPr>
      <w:r>
        <w:rPr>
          <w:sz w:val="24"/>
        </w:rPr>
        <w:t>Variabel dependen pada penelitian ini adalah </w:t>
      </w:r>
      <w:r>
        <w:rPr>
          <w:i/>
          <w:sz w:val="24"/>
        </w:rPr>
        <w:t>Sustainabiltiy Assurance Quality</w:t>
      </w:r>
      <w:r>
        <w:rPr>
          <w:i/>
          <w:spacing w:val="-5"/>
          <w:sz w:val="24"/>
        </w:rPr>
        <w:t> </w:t>
      </w:r>
      <w:r>
        <w:rPr>
          <w:sz w:val="24"/>
        </w:rPr>
        <w:t>yang</w:t>
      </w:r>
      <w:r>
        <w:rPr>
          <w:spacing w:val="-13"/>
          <w:sz w:val="24"/>
        </w:rPr>
        <w:t> </w:t>
      </w:r>
      <w:r>
        <w:rPr>
          <w:sz w:val="24"/>
        </w:rPr>
        <w:t>merujuk</w:t>
      </w:r>
      <w:r>
        <w:rPr>
          <w:spacing w:val="-9"/>
          <w:sz w:val="24"/>
        </w:rPr>
        <w:t> </w:t>
      </w:r>
      <w:r>
        <w:rPr>
          <w:sz w:val="24"/>
        </w:rPr>
        <w:t>pada</w:t>
      </w:r>
      <w:r>
        <w:rPr>
          <w:spacing w:val="-7"/>
          <w:sz w:val="24"/>
        </w:rPr>
        <w:t> </w:t>
      </w:r>
      <w:r>
        <w:rPr>
          <w:sz w:val="24"/>
        </w:rPr>
        <w:t>skoring</w:t>
      </w:r>
      <w:r>
        <w:rPr>
          <w:spacing w:val="-13"/>
          <w:sz w:val="24"/>
        </w:rPr>
        <w:t> </w:t>
      </w:r>
      <w:r>
        <w:rPr>
          <w:sz w:val="24"/>
        </w:rPr>
        <w:t>pada</w:t>
      </w:r>
      <w:r>
        <w:rPr>
          <w:spacing w:val="-7"/>
          <w:sz w:val="24"/>
        </w:rPr>
        <w:t> </w:t>
      </w:r>
      <w:r>
        <w:rPr>
          <w:sz w:val="24"/>
        </w:rPr>
        <w:t>surat</w:t>
      </w:r>
      <w:r>
        <w:rPr>
          <w:spacing w:val="-8"/>
          <w:sz w:val="24"/>
        </w:rPr>
        <w:t> </w:t>
      </w:r>
      <w:r>
        <w:rPr>
          <w:sz w:val="24"/>
        </w:rPr>
        <w:t>pernyataan</w:t>
      </w:r>
      <w:r>
        <w:rPr>
          <w:spacing w:val="-6"/>
          <w:sz w:val="24"/>
        </w:rPr>
        <w:t> </w:t>
      </w:r>
      <w:r>
        <w:rPr>
          <w:sz w:val="24"/>
        </w:rPr>
        <w:t>keterlibatan</w:t>
      </w:r>
      <w:r>
        <w:rPr>
          <w:spacing w:val="-9"/>
          <w:sz w:val="24"/>
        </w:rPr>
        <w:t> </w:t>
      </w:r>
      <w:r>
        <w:rPr>
          <w:sz w:val="24"/>
        </w:rPr>
        <w:t>pihak</w:t>
      </w:r>
      <w:r>
        <w:rPr>
          <w:spacing w:val="-9"/>
          <w:sz w:val="24"/>
        </w:rPr>
        <w:t> </w:t>
      </w:r>
      <w:r>
        <w:rPr>
          <w:sz w:val="24"/>
        </w:rPr>
        <w:t>ketiga dalam melakukan </w:t>
      </w:r>
      <w:r>
        <w:rPr>
          <w:i/>
          <w:sz w:val="24"/>
        </w:rPr>
        <w:t>assurance </w:t>
      </w:r>
      <w:r>
        <w:rPr>
          <w:sz w:val="24"/>
        </w:rPr>
        <w:t>laporan keberlanjutan.</w:t>
      </w:r>
    </w:p>
    <w:p>
      <w:pPr>
        <w:pStyle w:val="BodyText"/>
        <w:spacing w:line="480" w:lineRule="auto" w:before="161"/>
        <w:ind w:left="568" w:right="562" w:firstLine="720"/>
        <w:jc w:val="both"/>
      </w:pPr>
      <w:r>
        <w:rPr/>
        <w:t>Dalam penelitian ini, </w:t>
      </w:r>
      <w:r>
        <w:rPr>
          <w:i/>
        </w:rPr>
        <w:t>Sustainabiltiy Assurance Quality </w:t>
      </w:r>
      <w:r>
        <w:rPr/>
        <w:t>diukur dengan menggunakan</w:t>
      </w:r>
      <w:r>
        <w:rPr>
          <w:spacing w:val="-4"/>
        </w:rPr>
        <w:t> </w:t>
      </w:r>
      <w:r>
        <w:rPr/>
        <w:t>model</w:t>
      </w:r>
      <w:r>
        <w:rPr>
          <w:spacing w:val="-1"/>
        </w:rPr>
        <w:t> </w:t>
      </w:r>
      <w:r>
        <w:rPr/>
        <w:t>analisis</w:t>
      </w:r>
      <w:r>
        <w:rPr>
          <w:spacing w:val="-6"/>
        </w:rPr>
        <w:t> </w:t>
      </w:r>
      <w:r>
        <w:rPr/>
        <w:t>konten</w:t>
      </w:r>
      <w:r>
        <w:rPr>
          <w:spacing w:val="-4"/>
        </w:rPr>
        <w:t> </w:t>
      </w:r>
      <w:r>
        <w:rPr/>
        <w:t>yang</w:t>
      </w:r>
      <w:r>
        <w:rPr>
          <w:spacing w:val="-5"/>
        </w:rPr>
        <w:t> </w:t>
      </w:r>
      <w:r>
        <w:rPr/>
        <w:t>dikembangkan</w:t>
      </w:r>
      <w:r>
        <w:rPr>
          <w:spacing w:val="-4"/>
        </w:rPr>
        <w:t> </w:t>
      </w:r>
      <w:r>
        <w:rPr/>
        <w:t>oleh</w:t>
      </w:r>
      <w:r>
        <w:rPr>
          <w:spacing w:val="-4"/>
        </w:rPr>
        <w:t> </w:t>
      </w:r>
      <w:r>
        <w:rPr/>
        <w:t>O'Dwyer</w:t>
      </w:r>
      <w:r>
        <w:rPr>
          <w:spacing w:val="-4"/>
        </w:rPr>
        <w:t> </w:t>
      </w:r>
      <w:r>
        <w:rPr/>
        <w:t>dan</w:t>
      </w:r>
      <w:r>
        <w:rPr>
          <w:spacing w:val="-4"/>
        </w:rPr>
        <w:t> </w:t>
      </w:r>
      <w:r>
        <w:rPr/>
        <w:t>Owen (2005) serta diperluas oleh Perego dan Kolk (2012). Berdasarkan pendekatan ini, penelitian ini mengembangkan skor "</w:t>
      </w:r>
      <w:r>
        <w:rPr>
          <w:i/>
        </w:rPr>
        <w:t>Assurance Quality</w:t>
      </w:r>
      <w:r>
        <w:rPr/>
        <w:t>" dengan menggunakan kriteria dan</w:t>
      </w:r>
      <w:r>
        <w:rPr>
          <w:spacing w:val="-3"/>
        </w:rPr>
        <w:t> </w:t>
      </w:r>
      <w:r>
        <w:rPr/>
        <w:t>skor yang</w:t>
      </w:r>
      <w:r>
        <w:rPr>
          <w:spacing w:val="-3"/>
        </w:rPr>
        <w:t> </w:t>
      </w:r>
      <w:r>
        <w:rPr/>
        <w:t>tercantum.</w:t>
      </w:r>
      <w:r>
        <w:rPr>
          <w:spacing w:val="40"/>
        </w:rPr>
        <w:t> </w:t>
      </w:r>
      <w:r>
        <w:rPr/>
        <w:t>Skor</w:t>
      </w:r>
      <w:r>
        <w:rPr>
          <w:spacing w:val="-2"/>
        </w:rPr>
        <w:t> </w:t>
      </w:r>
      <w:r>
        <w:rPr/>
        <w:t>teoritis yang</w:t>
      </w:r>
      <w:r>
        <w:rPr>
          <w:spacing w:val="-3"/>
        </w:rPr>
        <w:t> </w:t>
      </w:r>
      <w:r>
        <w:rPr/>
        <w:t>diperoleh dari analisis konten berkisar</w:t>
      </w:r>
      <w:r>
        <w:rPr>
          <w:spacing w:val="-15"/>
        </w:rPr>
        <w:t> </w:t>
      </w:r>
      <w:r>
        <w:rPr/>
        <w:t>antara</w:t>
      </w:r>
      <w:r>
        <w:rPr>
          <w:spacing w:val="-15"/>
        </w:rPr>
        <w:t> </w:t>
      </w:r>
      <w:r>
        <w:rPr/>
        <w:t>0</w:t>
      </w:r>
      <w:r>
        <w:rPr>
          <w:spacing w:val="-15"/>
        </w:rPr>
        <w:t> </w:t>
      </w:r>
      <w:r>
        <w:rPr/>
        <w:t>hingga</w:t>
      </w:r>
      <w:r>
        <w:rPr>
          <w:spacing w:val="-15"/>
        </w:rPr>
        <w:t> </w:t>
      </w:r>
      <w:r>
        <w:rPr/>
        <w:t>23</w:t>
      </w:r>
      <w:r>
        <w:rPr>
          <w:spacing w:val="-15"/>
        </w:rPr>
        <w:t> </w:t>
      </w:r>
      <w:r>
        <w:rPr/>
        <w:t>dan</w:t>
      </w:r>
      <w:r>
        <w:rPr>
          <w:spacing w:val="-15"/>
        </w:rPr>
        <w:t> </w:t>
      </w:r>
      <w:r>
        <w:rPr/>
        <w:t>mencakup</w:t>
      </w:r>
      <w:r>
        <w:rPr>
          <w:spacing w:val="-15"/>
        </w:rPr>
        <w:t> </w:t>
      </w:r>
      <w:r>
        <w:rPr/>
        <w:t>elemen-elemen</w:t>
      </w:r>
      <w:r>
        <w:rPr>
          <w:spacing w:val="-15"/>
        </w:rPr>
        <w:t> </w:t>
      </w:r>
      <w:r>
        <w:rPr/>
        <w:t>seperti</w:t>
      </w:r>
      <w:r>
        <w:rPr>
          <w:spacing w:val="-15"/>
        </w:rPr>
        <w:t> </w:t>
      </w:r>
      <w:r>
        <w:rPr/>
        <w:t>prosedur</w:t>
      </w:r>
      <w:r>
        <w:rPr>
          <w:spacing w:val="-15"/>
        </w:rPr>
        <w:t> </w:t>
      </w:r>
      <w:r>
        <w:rPr/>
        <w:t>jaminan, format pelaporan, bentuk opini, serta rekomendasi. Item-item tersebut dipilih dengan mengacu pada prinsip-prinsip akuntabilitas.</w:t>
      </w:r>
    </w:p>
    <w:p>
      <w:pPr>
        <w:pStyle w:val="BodyText"/>
      </w:pPr>
    </w:p>
    <w:p>
      <w:pPr>
        <w:pStyle w:val="BodyText"/>
      </w:pPr>
    </w:p>
    <w:p>
      <w:pPr>
        <w:pStyle w:val="BodyText"/>
      </w:pPr>
    </w:p>
    <w:p>
      <w:pPr>
        <w:pStyle w:val="BodyText"/>
      </w:pPr>
    </w:p>
    <w:p>
      <w:pPr>
        <w:pStyle w:val="BodyText"/>
        <w:spacing w:before="73"/>
      </w:pPr>
    </w:p>
    <w:p>
      <w:pPr>
        <w:pStyle w:val="BodyText"/>
        <w:spacing w:before="1"/>
        <w:ind w:left="358" w:right="358"/>
        <w:jc w:val="center"/>
      </w:pPr>
      <w:r>
        <w:rPr>
          <w:spacing w:val="-5"/>
        </w:rPr>
        <w:t>28</w:t>
      </w:r>
    </w:p>
    <w:p>
      <w:pPr>
        <w:pStyle w:val="BodyText"/>
        <w:spacing w:after="0"/>
        <w:jc w:val="center"/>
        <w:sectPr>
          <w:headerReference w:type="default" r:id="rId13"/>
          <w:pgSz w:w="11910" w:h="16840"/>
          <w:pgMar w:header="0" w:footer="0" w:top="1920" w:bottom="280" w:left="1700" w:right="1133"/>
        </w:sectPr>
      </w:pPr>
    </w:p>
    <w:p>
      <w:pPr>
        <w:pStyle w:val="BodyText"/>
        <w:spacing w:before="78"/>
        <w:rPr>
          <w:sz w:val="22"/>
        </w:rPr>
      </w:pPr>
    </w:p>
    <w:p>
      <w:pPr>
        <w:spacing w:before="0"/>
        <w:ind w:left="358" w:right="359" w:firstLine="0"/>
        <w:jc w:val="center"/>
        <w:rPr>
          <w:b/>
          <w:sz w:val="22"/>
        </w:rPr>
      </w:pPr>
      <w:r>
        <w:rPr>
          <w:b/>
          <w:sz w:val="22"/>
        </w:rPr>
        <w:t>Tabel</w:t>
      </w:r>
      <w:r>
        <w:rPr>
          <w:b/>
          <w:spacing w:val="-14"/>
          <w:sz w:val="22"/>
        </w:rPr>
        <w:t> </w:t>
      </w:r>
      <w:r>
        <w:rPr>
          <w:b/>
          <w:sz w:val="22"/>
        </w:rPr>
        <w:t>3.1</w:t>
      </w:r>
      <w:r>
        <w:rPr>
          <w:b/>
          <w:spacing w:val="-14"/>
          <w:sz w:val="22"/>
        </w:rPr>
        <w:t> </w:t>
      </w:r>
      <w:r>
        <w:rPr>
          <w:b/>
          <w:sz w:val="22"/>
        </w:rPr>
        <w:t>Tabel</w:t>
      </w:r>
      <w:r>
        <w:rPr>
          <w:b/>
          <w:spacing w:val="-14"/>
          <w:sz w:val="22"/>
        </w:rPr>
        <w:t> </w:t>
      </w:r>
      <w:r>
        <w:rPr>
          <w:b/>
          <w:sz w:val="22"/>
        </w:rPr>
        <w:t>Penilaian</w:t>
      </w:r>
      <w:r>
        <w:rPr>
          <w:b/>
          <w:spacing w:val="-14"/>
          <w:sz w:val="22"/>
        </w:rPr>
        <w:t> </w:t>
      </w:r>
      <w:r>
        <w:rPr>
          <w:b/>
          <w:sz w:val="22"/>
        </w:rPr>
        <w:t>Assurance</w:t>
      </w:r>
      <w:r>
        <w:rPr>
          <w:b/>
          <w:spacing w:val="-13"/>
          <w:sz w:val="22"/>
        </w:rPr>
        <w:t> </w:t>
      </w:r>
      <w:r>
        <w:rPr>
          <w:b/>
          <w:spacing w:val="-2"/>
          <w:sz w:val="22"/>
        </w:rPr>
        <w:t>Quality</w:t>
      </w:r>
    </w:p>
    <w:p>
      <w:pPr>
        <w:pStyle w:val="BodyText"/>
        <w:spacing w:before="2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1560"/>
        <w:gridCol w:w="3116"/>
        <w:gridCol w:w="2688"/>
      </w:tblGrid>
      <w:tr>
        <w:trPr>
          <w:trHeight w:val="462" w:hRule="atLeast"/>
        </w:trPr>
        <w:tc>
          <w:tcPr>
            <w:tcW w:w="564" w:type="dxa"/>
          </w:tcPr>
          <w:p>
            <w:pPr>
              <w:pStyle w:val="TableParagraph"/>
              <w:spacing w:before="116"/>
              <w:ind w:left="159"/>
              <w:rPr>
                <w:b/>
                <w:sz w:val="20"/>
              </w:rPr>
            </w:pPr>
            <w:r>
              <w:rPr>
                <w:b/>
                <w:spacing w:val="-5"/>
                <w:sz w:val="20"/>
              </w:rPr>
              <w:t>No</w:t>
            </w:r>
          </w:p>
        </w:tc>
        <w:tc>
          <w:tcPr>
            <w:tcW w:w="1560" w:type="dxa"/>
          </w:tcPr>
          <w:p>
            <w:pPr>
              <w:pStyle w:val="TableParagraph"/>
              <w:spacing w:line="228" w:lineRule="exact"/>
              <w:ind w:left="355" w:right="348" w:firstLine="76"/>
              <w:rPr>
                <w:b/>
                <w:sz w:val="20"/>
              </w:rPr>
            </w:pPr>
            <w:r>
              <w:rPr>
                <w:b/>
                <w:spacing w:val="-2"/>
                <w:sz w:val="20"/>
              </w:rPr>
              <w:t>Kriteria Peringkat</w:t>
            </w:r>
          </w:p>
        </w:tc>
        <w:tc>
          <w:tcPr>
            <w:tcW w:w="3116" w:type="dxa"/>
          </w:tcPr>
          <w:p>
            <w:pPr>
              <w:pStyle w:val="TableParagraph"/>
              <w:spacing w:before="116"/>
              <w:ind w:left="10"/>
              <w:jc w:val="center"/>
              <w:rPr>
                <w:b/>
                <w:sz w:val="20"/>
              </w:rPr>
            </w:pPr>
            <w:r>
              <w:rPr>
                <w:b/>
                <w:spacing w:val="-2"/>
                <w:sz w:val="20"/>
              </w:rPr>
              <w:t>Definisi</w:t>
            </w:r>
          </w:p>
        </w:tc>
        <w:tc>
          <w:tcPr>
            <w:tcW w:w="2688" w:type="dxa"/>
          </w:tcPr>
          <w:p>
            <w:pPr>
              <w:pStyle w:val="TableParagraph"/>
              <w:spacing w:before="116"/>
              <w:ind w:left="480"/>
              <w:rPr>
                <w:b/>
                <w:sz w:val="20"/>
              </w:rPr>
            </w:pPr>
            <w:r>
              <w:rPr>
                <w:b/>
                <w:sz w:val="20"/>
              </w:rPr>
              <w:t>Skala (total</w:t>
            </w:r>
            <w:r>
              <w:rPr>
                <w:b/>
                <w:spacing w:val="-3"/>
                <w:sz w:val="20"/>
              </w:rPr>
              <w:t> </w:t>
            </w:r>
            <w:r>
              <w:rPr>
                <w:b/>
                <w:sz w:val="20"/>
              </w:rPr>
              <w:t>23</w:t>
            </w:r>
            <w:r>
              <w:rPr>
                <w:b/>
                <w:spacing w:val="1"/>
                <w:sz w:val="20"/>
              </w:rPr>
              <w:t> </w:t>
            </w:r>
            <w:r>
              <w:rPr>
                <w:b/>
                <w:spacing w:val="-2"/>
                <w:sz w:val="20"/>
              </w:rPr>
              <w:t>poin)</w:t>
            </w:r>
          </w:p>
        </w:tc>
      </w:tr>
      <w:tr>
        <w:trPr>
          <w:trHeight w:val="1150" w:hRule="atLeast"/>
        </w:trPr>
        <w:tc>
          <w:tcPr>
            <w:tcW w:w="564" w:type="dxa"/>
          </w:tcPr>
          <w:p>
            <w:pPr>
              <w:pStyle w:val="TableParagraph"/>
              <w:spacing w:before="222"/>
              <w:rPr>
                <w:b/>
                <w:sz w:val="20"/>
              </w:rPr>
            </w:pPr>
          </w:p>
          <w:p>
            <w:pPr>
              <w:pStyle w:val="TableParagraph"/>
              <w:ind w:left="106"/>
              <w:rPr>
                <w:sz w:val="20"/>
              </w:rPr>
            </w:pPr>
            <w:r>
              <w:rPr>
                <w:spacing w:val="-10"/>
                <w:sz w:val="20"/>
              </w:rPr>
              <w:t>1</w:t>
            </w:r>
          </w:p>
        </w:tc>
        <w:tc>
          <w:tcPr>
            <w:tcW w:w="1560" w:type="dxa"/>
          </w:tcPr>
          <w:p>
            <w:pPr>
              <w:pStyle w:val="TableParagraph"/>
              <w:spacing w:before="110"/>
              <w:rPr>
                <w:b/>
                <w:sz w:val="20"/>
              </w:rPr>
            </w:pPr>
          </w:p>
          <w:p>
            <w:pPr>
              <w:pStyle w:val="TableParagraph"/>
              <w:ind w:left="107" w:right="348"/>
              <w:rPr>
                <w:sz w:val="20"/>
              </w:rPr>
            </w:pPr>
            <w:r>
              <w:rPr>
                <w:spacing w:val="-2"/>
                <w:sz w:val="20"/>
              </w:rPr>
              <w:t>Penerima (Addressee)</w:t>
            </w:r>
          </w:p>
        </w:tc>
        <w:tc>
          <w:tcPr>
            <w:tcW w:w="3116" w:type="dxa"/>
          </w:tcPr>
          <w:p>
            <w:pPr>
              <w:pStyle w:val="TableParagraph"/>
              <w:spacing w:before="108"/>
              <w:ind w:left="107"/>
              <w:rPr>
                <w:sz w:val="20"/>
              </w:rPr>
            </w:pPr>
            <w:r>
              <w:rPr>
                <w:sz w:val="20"/>
              </w:rPr>
              <w:t>Pihak</w:t>
            </w:r>
            <w:r>
              <w:rPr>
                <w:spacing w:val="-8"/>
                <w:sz w:val="20"/>
              </w:rPr>
              <w:t> </w:t>
            </w:r>
            <w:r>
              <w:rPr>
                <w:sz w:val="20"/>
              </w:rPr>
              <w:t>yang</w:t>
            </w:r>
            <w:r>
              <w:rPr>
                <w:spacing w:val="-11"/>
                <w:sz w:val="20"/>
              </w:rPr>
              <w:t> </w:t>
            </w:r>
            <w:r>
              <w:rPr>
                <w:sz w:val="20"/>
              </w:rPr>
              <w:t>kepada</w:t>
            </w:r>
            <w:r>
              <w:rPr>
                <w:spacing w:val="-11"/>
                <w:sz w:val="20"/>
              </w:rPr>
              <w:t> </w:t>
            </w:r>
            <w:r>
              <w:rPr>
                <w:sz w:val="20"/>
              </w:rPr>
              <w:t>siapa</w:t>
            </w:r>
            <w:r>
              <w:rPr>
                <w:spacing w:val="-11"/>
                <w:sz w:val="20"/>
              </w:rPr>
              <w:t> </w:t>
            </w:r>
            <w:r>
              <w:rPr>
                <w:sz w:val="20"/>
              </w:rPr>
              <w:t>pernyataan assurance ditujukan secara resmi (baik dalam judul, baris penerima, atau dalam teks).</w:t>
            </w:r>
          </w:p>
        </w:tc>
        <w:tc>
          <w:tcPr>
            <w:tcW w:w="2688" w:type="dxa"/>
          </w:tcPr>
          <w:p>
            <w:pPr>
              <w:pStyle w:val="TableParagraph"/>
              <w:spacing w:line="222" w:lineRule="exact"/>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before="2"/>
              <w:ind w:left="108"/>
              <w:rPr>
                <w:sz w:val="20"/>
              </w:rPr>
            </w:pPr>
            <w:r>
              <w:rPr>
                <w:sz w:val="20"/>
              </w:rPr>
              <w:t>1</w:t>
            </w:r>
            <w:r>
              <w:rPr>
                <w:spacing w:val="-11"/>
                <w:sz w:val="20"/>
              </w:rPr>
              <w:t> </w:t>
            </w:r>
            <w:r>
              <w:rPr>
                <w:sz w:val="20"/>
              </w:rPr>
              <w:t>=</w:t>
            </w:r>
            <w:r>
              <w:rPr>
                <w:spacing w:val="-11"/>
                <w:sz w:val="20"/>
              </w:rPr>
              <w:t> </w:t>
            </w:r>
            <w:r>
              <w:rPr>
                <w:sz w:val="20"/>
              </w:rPr>
              <w:t>Penerima</w:t>
            </w:r>
            <w:r>
              <w:rPr>
                <w:spacing w:val="-7"/>
                <w:sz w:val="20"/>
              </w:rPr>
              <w:t> </w:t>
            </w:r>
            <w:r>
              <w:rPr>
                <w:sz w:val="20"/>
              </w:rPr>
              <w:t>internal</w:t>
            </w:r>
            <w:r>
              <w:rPr>
                <w:spacing w:val="-13"/>
                <w:sz w:val="20"/>
              </w:rPr>
              <w:t> </w:t>
            </w:r>
            <w:r>
              <w:rPr>
                <w:sz w:val="20"/>
              </w:rPr>
              <w:t>atau </w:t>
            </w:r>
            <w:r>
              <w:rPr>
                <w:spacing w:val="-2"/>
                <w:sz w:val="20"/>
              </w:rPr>
              <w:t>“pembaca”</w:t>
            </w:r>
          </w:p>
          <w:p>
            <w:pPr>
              <w:pStyle w:val="TableParagraph"/>
              <w:spacing w:line="228" w:lineRule="exact"/>
              <w:ind w:left="108"/>
              <w:rPr>
                <w:sz w:val="20"/>
              </w:rPr>
            </w:pPr>
            <w:r>
              <w:rPr>
                <w:sz w:val="20"/>
              </w:rPr>
              <w:t>2</w:t>
            </w:r>
            <w:r>
              <w:rPr>
                <w:spacing w:val="-13"/>
                <w:sz w:val="20"/>
              </w:rPr>
              <w:t> </w:t>
            </w:r>
            <w:r>
              <w:rPr>
                <w:sz w:val="20"/>
              </w:rPr>
              <w:t>=</w:t>
            </w:r>
            <w:r>
              <w:rPr>
                <w:spacing w:val="-12"/>
                <w:sz w:val="20"/>
              </w:rPr>
              <w:t> </w:t>
            </w:r>
            <w:r>
              <w:rPr>
                <w:i/>
                <w:sz w:val="20"/>
              </w:rPr>
              <w:t>Stakeholder</w:t>
            </w:r>
            <w:r>
              <w:rPr>
                <w:i/>
                <w:spacing w:val="-13"/>
                <w:sz w:val="20"/>
              </w:rPr>
              <w:t> </w:t>
            </w:r>
            <w:r>
              <w:rPr>
                <w:sz w:val="20"/>
              </w:rPr>
              <w:t>disebutkan dalam penerima</w:t>
            </w:r>
          </w:p>
        </w:tc>
      </w:tr>
      <w:tr>
        <w:trPr>
          <w:trHeight w:val="1378" w:hRule="atLeast"/>
        </w:trPr>
        <w:tc>
          <w:tcPr>
            <w:tcW w:w="564" w:type="dxa"/>
          </w:tcPr>
          <w:p>
            <w:pPr>
              <w:pStyle w:val="TableParagraph"/>
              <w:rPr>
                <w:b/>
                <w:sz w:val="20"/>
              </w:rPr>
            </w:pPr>
          </w:p>
          <w:p>
            <w:pPr>
              <w:pStyle w:val="TableParagraph"/>
              <w:spacing w:before="108"/>
              <w:rPr>
                <w:b/>
                <w:sz w:val="20"/>
              </w:rPr>
            </w:pPr>
          </w:p>
          <w:p>
            <w:pPr>
              <w:pStyle w:val="TableParagraph"/>
              <w:ind w:left="106"/>
              <w:rPr>
                <w:sz w:val="20"/>
              </w:rPr>
            </w:pPr>
            <w:r>
              <w:rPr>
                <w:spacing w:val="-10"/>
                <w:sz w:val="20"/>
              </w:rPr>
              <w:t>2</w:t>
            </w:r>
          </w:p>
        </w:tc>
        <w:tc>
          <w:tcPr>
            <w:tcW w:w="1560" w:type="dxa"/>
          </w:tcPr>
          <w:p>
            <w:pPr>
              <w:pStyle w:val="TableParagraph"/>
              <w:spacing w:before="110"/>
              <w:rPr>
                <w:b/>
                <w:sz w:val="20"/>
              </w:rPr>
            </w:pPr>
          </w:p>
          <w:p>
            <w:pPr>
              <w:pStyle w:val="TableParagraph"/>
              <w:ind w:left="107"/>
              <w:rPr>
                <w:sz w:val="20"/>
              </w:rPr>
            </w:pPr>
            <w:r>
              <w:rPr>
                <w:spacing w:val="-2"/>
                <w:sz w:val="20"/>
              </w:rPr>
              <w:t>Tanggung</w:t>
            </w:r>
            <w:r>
              <w:rPr>
                <w:spacing w:val="-11"/>
                <w:sz w:val="20"/>
              </w:rPr>
              <w:t> </w:t>
            </w:r>
            <w:r>
              <w:rPr>
                <w:spacing w:val="-2"/>
                <w:sz w:val="20"/>
              </w:rPr>
              <w:t>jawab penyedia assurance</w:t>
            </w:r>
          </w:p>
        </w:tc>
        <w:tc>
          <w:tcPr>
            <w:tcW w:w="3116" w:type="dxa"/>
          </w:tcPr>
          <w:p>
            <w:pPr>
              <w:pStyle w:val="TableParagraph"/>
              <w:ind w:left="107"/>
              <w:rPr>
                <w:sz w:val="20"/>
              </w:rPr>
            </w:pPr>
            <w:r>
              <w:rPr>
                <w:sz w:val="20"/>
              </w:rPr>
              <w:t>Pernyataan</w:t>
            </w:r>
            <w:r>
              <w:rPr>
                <w:spacing w:val="-13"/>
                <w:sz w:val="20"/>
              </w:rPr>
              <w:t> </w:t>
            </w:r>
            <w:r>
              <w:rPr>
                <w:sz w:val="20"/>
              </w:rPr>
              <w:t>eksplisit</w:t>
            </w:r>
            <w:r>
              <w:rPr>
                <w:spacing w:val="-11"/>
                <w:sz w:val="20"/>
              </w:rPr>
              <w:t> </w:t>
            </w:r>
            <w:r>
              <w:rPr>
                <w:sz w:val="20"/>
              </w:rPr>
              <w:t>bahwa</w:t>
            </w:r>
            <w:r>
              <w:rPr>
                <w:spacing w:val="-12"/>
                <w:sz w:val="20"/>
              </w:rPr>
              <w:t> </w:t>
            </w:r>
            <w:r>
              <w:rPr>
                <w:sz w:val="20"/>
              </w:rPr>
              <w:t>pelapor bertanggung jawab untuk menyampaikan pendapat (independen) mengenai subjek</w:t>
            </w:r>
          </w:p>
          <w:p>
            <w:pPr>
              <w:pStyle w:val="TableParagraph"/>
              <w:spacing w:line="232" w:lineRule="exact"/>
              <w:ind w:left="107"/>
              <w:rPr>
                <w:sz w:val="20"/>
              </w:rPr>
            </w:pPr>
            <w:r>
              <w:rPr>
                <w:spacing w:val="-2"/>
                <w:sz w:val="20"/>
              </w:rPr>
              <w:t>(laporan keberlanjutan/lingkungan/sosial).</w:t>
            </w:r>
          </w:p>
        </w:tc>
        <w:tc>
          <w:tcPr>
            <w:tcW w:w="2688" w:type="dxa"/>
          </w:tcPr>
          <w:p>
            <w:pPr>
              <w:pStyle w:val="TableParagraph"/>
              <w:spacing w:before="222"/>
              <w:rPr>
                <w:b/>
                <w:sz w:val="20"/>
              </w:rPr>
            </w:pPr>
          </w:p>
          <w:p>
            <w:pPr>
              <w:pStyle w:val="TableParagraph"/>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before="2"/>
              <w:ind w:left="108"/>
              <w:rPr>
                <w:sz w:val="20"/>
              </w:rPr>
            </w:pPr>
            <w:r>
              <w:rPr>
                <w:sz w:val="20"/>
              </w:rPr>
              <w:t>1</w:t>
            </w:r>
            <w:r>
              <w:rPr>
                <w:spacing w:val="-1"/>
                <w:sz w:val="20"/>
              </w:rPr>
              <w:t> </w:t>
            </w:r>
            <w:r>
              <w:rPr>
                <w:sz w:val="20"/>
              </w:rPr>
              <w:t>=</w:t>
            </w:r>
            <w:r>
              <w:rPr>
                <w:spacing w:val="-13"/>
                <w:sz w:val="20"/>
              </w:rPr>
              <w:t> </w:t>
            </w:r>
            <w:r>
              <w:rPr>
                <w:sz w:val="20"/>
              </w:rPr>
              <w:t>Ada </w:t>
            </w:r>
            <w:r>
              <w:rPr>
                <w:spacing w:val="-2"/>
                <w:sz w:val="20"/>
              </w:rPr>
              <w:t>referensi</w:t>
            </w:r>
          </w:p>
        </w:tc>
      </w:tr>
      <w:tr>
        <w:trPr>
          <w:trHeight w:val="1605" w:hRule="atLeast"/>
        </w:trPr>
        <w:tc>
          <w:tcPr>
            <w:tcW w:w="564" w:type="dxa"/>
          </w:tcPr>
          <w:p>
            <w:pPr>
              <w:pStyle w:val="TableParagraph"/>
              <w:rPr>
                <w:b/>
                <w:sz w:val="20"/>
              </w:rPr>
            </w:pPr>
          </w:p>
          <w:p>
            <w:pPr>
              <w:pStyle w:val="TableParagraph"/>
              <w:spacing w:before="219"/>
              <w:rPr>
                <w:b/>
                <w:sz w:val="20"/>
              </w:rPr>
            </w:pPr>
          </w:p>
          <w:p>
            <w:pPr>
              <w:pStyle w:val="TableParagraph"/>
              <w:ind w:left="106"/>
              <w:rPr>
                <w:sz w:val="20"/>
              </w:rPr>
            </w:pPr>
            <w:r>
              <w:rPr>
                <w:spacing w:val="-10"/>
                <w:sz w:val="20"/>
              </w:rPr>
              <w:t>3</w:t>
            </w:r>
          </w:p>
        </w:tc>
        <w:tc>
          <w:tcPr>
            <w:tcW w:w="1560" w:type="dxa"/>
          </w:tcPr>
          <w:p>
            <w:pPr>
              <w:pStyle w:val="TableParagraph"/>
              <w:spacing w:before="220"/>
              <w:rPr>
                <w:b/>
                <w:sz w:val="20"/>
              </w:rPr>
            </w:pPr>
          </w:p>
          <w:p>
            <w:pPr>
              <w:pStyle w:val="TableParagraph"/>
              <w:spacing w:before="1"/>
              <w:ind w:left="107" w:right="348"/>
              <w:rPr>
                <w:sz w:val="20"/>
              </w:rPr>
            </w:pPr>
            <w:r>
              <w:rPr>
                <w:spacing w:val="-2"/>
                <w:sz w:val="20"/>
              </w:rPr>
              <w:t>Independensi penyedia assurance</w:t>
            </w:r>
          </w:p>
        </w:tc>
        <w:tc>
          <w:tcPr>
            <w:tcW w:w="3116" w:type="dxa"/>
          </w:tcPr>
          <w:p>
            <w:pPr>
              <w:pStyle w:val="TableParagraph"/>
              <w:spacing w:before="220"/>
              <w:rPr>
                <w:b/>
                <w:sz w:val="20"/>
              </w:rPr>
            </w:pPr>
          </w:p>
          <w:p>
            <w:pPr>
              <w:pStyle w:val="TableParagraph"/>
              <w:spacing w:before="1"/>
              <w:ind w:left="107"/>
              <w:rPr>
                <w:sz w:val="20"/>
              </w:rPr>
            </w:pPr>
            <w:r>
              <w:rPr>
                <w:sz w:val="20"/>
              </w:rPr>
              <w:t>Pernyataan</w:t>
            </w:r>
            <w:r>
              <w:rPr>
                <w:spacing w:val="-13"/>
                <w:sz w:val="20"/>
              </w:rPr>
              <w:t> </w:t>
            </w:r>
            <w:r>
              <w:rPr>
                <w:sz w:val="20"/>
              </w:rPr>
              <w:t>yang</w:t>
            </w:r>
            <w:r>
              <w:rPr>
                <w:spacing w:val="-12"/>
                <w:sz w:val="20"/>
              </w:rPr>
              <w:t> </w:t>
            </w:r>
            <w:r>
              <w:rPr>
                <w:sz w:val="20"/>
              </w:rPr>
              <w:t>mengekspresikan independensi pihak-pihak yang </w:t>
            </w:r>
            <w:r>
              <w:rPr>
                <w:spacing w:val="-2"/>
                <w:sz w:val="20"/>
              </w:rPr>
              <w:t>terlibat.</w:t>
            </w:r>
          </w:p>
        </w:tc>
        <w:tc>
          <w:tcPr>
            <w:tcW w:w="2688" w:type="dxa"/>
          </w:tcPr>
          <w:p>
            <w:pPr>
              <w:pStyle w:val="TableParagraph"/>
              <w:spacing w:line="220" w:lineRule="exact"/>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ind w:left="108" w:right="286"/>
              <w:rPr>
                <w:sz w:val="20"/>
              </w:rPr>
            </w:pPr>
            <w:r>
              <w:rPr>
                <w:sz w:val="20"/>
              </w:rPr>
              <w:t>1</w:t>
            </w:r>
            <w:r>
              <w:rPr>
                <w:spacing w:val="-13"/>
                <w:sz w:val="20"/>
              </w:rPr>
              <w:t> </w:t>
            </w:r>
            <w:r>
              <w:rPr>
                <w:sz w:val="20"/>
              </w:rPr>
              <w:t>=</w:t>
            </w:r>
            <w:r>
              <w:rPr>
                <w:spacing w:val="-10"/>
                <w:sz w:val="20"/>
              </w:rPr>
              <w:t> </w:t>
            </w:r>
            <w:r>
              <w:rPr>
                <w:sz w:val="20"/>
              </w:rPr>
              <w:t>Referensi</w:t>
            </w:r>
            <w:r>
              <w:rPr>
                <w:spacing w:val="-13"/>
                <w:sz w:val="20"/>
              </w:rPr>
              <w:t> </w:t>
            </w:r>
            <w:r>
              <w:rPr>
                <w:sz w:val="20"/>
              </w:rPr>
              <w:t>atau</w:t>
            </w:r>
            <w:r>
              <w:rPr>
                <w:spacing w:val="-7"/>
                <w:sz w:val="20"/>
              </w:rPr>
              <w:t> </w:t>
            </w:r>
            <w:r>
              <w:rPr>
                <w:sz w:val="20"/>
              </w:rPr>
              <w:t>lebih banyak pernyataan </w:t>
            </w:r>
            <w:r>
              <w:rPr>
                <w:spacing w:val="-2"/>
                <w:sz w:val="20"/>
              </w:rPr>
              <w:t>independensi</w:t>
            </w:r>
          </w:p>
          <w:p>
            <w:pPr>
              <w:pStyle w:val="TableParagraph"/>
              <w:spacing w:line="237" w:lineRule="auto" w:before="3"/>
              <w:ind w:left="108" w:right="286"/>
              <w:rPr>
                <w:sz w:val="20"/>
              </w:rPr>
            </w:pPr>
            <w:r>
              <w:rPr>
                <w:sz w:val="20"/>
              </w:rPr>
              <w:t>2 = Kepatuhan dengan independensi</w:t>
            </w:r>
            <w:r>
              <w:rPr>
                <w:spacing w:val="-13"/>
                <w:sz w:val="20"/>
              </w:rPr>
              <w:t> </w:t>
            </w:r>
            <w:r>
              <w:rPr>
                <w:sz w:val="20"/>
              </w:rPr>
              <w:t>IFAC,</w:t>
            </w:r>
            <w:r>
              <w:rPr>
                <w:spacing w:val="-12"/>
                <w:sz w:val="20"/>
              </w:rPr>
              <w:t> </w:t>
            </w:r>
            <w:r>
              <w:rPr>
                <w:sz w:val="20"/>
              </w:rPr>
              <w:t>IESBA,</w:t>
            </w:r>
          </w:p>
          <w:p>
            <w:pPr>
              <w:pStyle w:val="TableParagraph"/>
              <w:spacing w:line="214" w:lineRule="exact" w:before="3"/>
              <w:ind w:left="108"/>
              <w:rPr>
                <w:sz w:val="20"/>
              </w:rPr>
            </w:pPr>
            <w:r>
              <w:rPr>
                <w:sz w:val="20"/>
              </w:rPr>
              <w:t>kode</w:t>
            </w:r>
            <w:r>
              <w:rPr>
                <w:spacing w:val="4"/>
                <w:sz w:val="20"/>
              </w:rPr>
              <w:t> </w:t>
            </w:r>
            <w:r>
              <w:rPr>
                <w:spacing w:val="-4"/>
                <w:sz w:val="20"/>
              </w:rPr>
              <w:t>etik</w:t>
            </w:r>
          </w:p>
        </w:tc>
      </w:tr>
      <w:tr>
        <w:trPr>
          <w:trHeight w:val="2302" w:hRule="atLeast"/>
        </w:trPr>
        <w:tc>
          <w:tcPr>
            <w:tcW w:w="564" w:type="dxa"/>
          </w:tcPr>
          <w:p>
            <w:pPr>
              <w:pStyle w:val="TableParagraph"/>
              <w:rPr>
                <w:b/>
                <w:sz w:val="20"/>
              </w:rPr>
            </w:pPr>
          </w:p>
          <w:p>
            <w:pPr>
              <w:pStyle w:val="TableParagraph"/>
              <w:rPr>
                <w:b/>
                <w:sz w:val="20"/>
              </w:rPr>
            </w:pPr>
          </w:p>
          <w:p>
            <w:pPr>
              <w:pStyle w:val="TableParagraph"/>
              <w:rPr>
                <w:b/>
                <w:sz w:val="20"/>
              </w:rPr>
            </w:pPr>
          </w:p>
          <w:p>
            <w:pPr>
              <w:pStyle w:val="TableParagraph"/>
              <w:spacing w:before="112"/>
              <w:rPr>
                <w:b/>
                <w:sz w:val="20"/>
              </w:rPr>
            </w:pPr>
          </w:p>
          <w:p>
            <w:pPr>
              <w:pStyle w:val="TableParagraph"/>
              <w:ind w:left="106"/>
              <w:rPr>
                <w:sz w:val="20"/>
              </w:rPr>
            </w:pPr>
            <w:r>
              <w:rPr>
                <w:spacing w:val="-10"/>
                <w:sz w:val="20"/>
              </w:rPr>
              <w:t>4</w:t>
            </w:r>
          </w:p>
        </w:tc>
        <w:tc>
          <w:tcPr>
            <w:tcW w:w="1560" w:type="dxa"/>
          </w:tcPr>
          <w:p>
            <w:pPr>
              <w:pStyle w:val="TableParagraph"/>
              <w:rPr>
                <w:b/>
                <w:sz w:val="20"/>
              </w:rPr>
            </w:pPr>
          </w:p>
          <w:p>
            <w:pPr>
              <w:pStyle w:val="TableParagraph"/>
              <w:rPr>
                <w:b/>
                <w:sz w:val="20"/>
              </w:rPr>
            </w:pPr>
          </w:p>
          <w:p>
            <w:pPr>
              <w:pStyle w:val="TableParagraph"/>
              <w:spacing w:before="110"/>
              <w:rPr>
                <w:b/>
                <w:sz w:val="20"/>
              </w:rPr>
            </w:pPr>
          </w:p>
          <w:p>
            <w:pPr>
              <w:pStyle w:val="TableParagraph"/>
              <w:ind w:left="107" w:right="476"/>
              <w:rPr>
                <w:sz w:val="20"/>
              </w:rPr>
            </w:pPr>
            <w:r>
              <w:rPr>
                <w:spacing w:val="-2"/>
                <w:sz w:val="20"/>
              </w:rPr>
              <w:t>Tujuan engagement assurance</w:t>
            </w:r>
          </w:p>
        </w:tc>
        <w:tc>
          <w:tcPr>
            <w:tcW w:w="3116" w:type="dxa"/>
          </w:tcPr>
          <w:p>
            <w:pPr>
              <w:pStyle w:val="TableParagraph"/>
              <w:rPr>
                <w:b/>
                <w:sz w:val="20"/>
              </w:rPr>
            </w:pPr>
          </w:p>
          <w:p>
            <w:pPr>
              <w:pStyle w:val="TableParagraph"/>
              <w:rPr>
                <w:b/>
                <w:sz w:val="20"/>
              </w:rPr>
            </w:pPr>
          </w:p>
          <w:p>
            <w:pPr>
              <w:pStyle w:val="TableParagraph"/>
              <w:spacing w:before="110"/>
              <w:rPr>
                <w:b/>
                <w:sz w:val="20"/>
              </w:rPr>
            </w:pPr>
          </w:p>
          <w:p>
            <w:pPr>
              <w:pStyle w:val="TableParagraph"/>
              <w:ind w:left="107"/>
              <w:rPr>
                <w:sz w:val="20"/>
              </w:rPr>
            </w:pPr>
            <w:r>
              <w:rPr>
                <w:sz w:val="20"/>
              </w:rPr>
              <w:t>Tujuan yang akan dicapai melalui engagement</w:t>
            </w:r>
            <w:r>
              <w:rPr>
                <w:spacing w:val="-13"/>
                <w:sz w:val="20"/>
              </w:rPr>
              <w:t> </w:t>
            </w:r>
            <w:r>
              <w:rPr>
                <w:sz w:val="20"/>
              </w:rPr>
              <w:t>(menunjukkan</w:t>
            </w:r>
            <w:r>
              <w:rPr>
                <w:spacing w:val="-12"/>
                <w:sz w:val="20"/>
              </w:rPr>
              <w:t> </w:t>
            </w:r>
            <w:r>
              <w:rPr>
                <w:sz w:val="20"/>
              </w:rPr>
              <w:t>tingkat assurance yang dimaksudkan).</w:t>
            </w:r>
          </w:p>
        </w:tc>
        <w:tc>
          <w:tcPr>
            <w:tcW w:w="2688" w:type="dxa"/>
          </w:tcPr>
          <w:p>
            <w:pPr>
              <w:pStyle w:val="TableParagraph"/>
              <w:spacing w:line="225" w:lineRule="exact"/>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ind w:left="108"/>
              <w:rPr>
                <w:sz w:val="20"/>
              </w:rPr>
            </w:pPr>
            <w:r>
              <w:rPr>
                <w:sz w:val="20"/>
              </w:rPr>
              <w:t>1 = Tinjauan/assurance </w:t>
            </w:r>
            <w:r>
              <w:rPr>
                <w:spacing w:val="-2"/>
                <w:sz w:val="20"/>
              </w:rPr>
              <w:t>terbatas/independen/moderat/v </w:t>
            </w:r>
            <w:r>
              <w:rPr>
                <w:sz w:val="20"/>
              </w:rPr>
              <w:t>erifikasi eksternal/validasi assurance eksternal</w:t>
            </w:r>
          </w:p>
          <w:p>
            <w:pPr>
              <w:pStyle w:val="TableParagraph"/>
              <w:ind w:left="108" w:right="286"/>
              <w:rPr>
                <w:sz w:val="20"/>
              </w:rPr>
            </w:pPr>
            <w:r>
              <w:rPr>
                <w:sz w:val="20"/>
              </w:rPr>
              <w:t>2 = Assurance masuk akal atau</w:t>
            </w:r>
            <w:r>
              <w:rPr>
                <w:spacing w:val="-13"/>
                <w:sz w:val="20"/>
              </w:rPr>
              <w:t> </w:t>
            </w:r>
            <w:r>
              <w:rPr>
                <w:sz w:val="20"/>
              </w:rPr>
              <w:t>assurance</w:t>
            </w:r>
            <w:r>
              <w:rPr>
                <w:spacing w:val="-12"/>
                <w:sz w:val="20"/>
              </w:rPr>
              <w:t> </w:t>
            </w:r>
            <w:r>
              <w:rPr>
                <w:sz w:val="20"/>
              </w:rPr>
              <w:t>terbatas</w:t>
            </w:r>
            <w:r>
              <w:rPr>
                <w:spacing w:val="-13"/>
                <w:sz w:val="20"/>
              </w:rPr>
              <w:t> </w:t>
            </w:r>
            <w:r>
              <w:rPr>
                <w:sz w:val="20"/>
              </w:rPr>
              <w:t>yang masuk akal (misalnya dua</w:t>
            </w:r>
          </w:p>
          <w:p>
            <w:pPr>
              <w:pStyle w:val="TableParagraph"/>
              <w:spacing w:line="228" w:lineRule="exact"/>
              <w:ind w:left="108" w:right="286"/>
              <w:rPr>
                <w:sz w:val="20"/>
              </w:rPr>
            </w:pPr>
            <w:r>
              <w:rPr>
                <w:sz w:val="20"/>
              </w:rPr>
              <w:t>tingkat</w:t>
            </w:r>
            <w:r>
              <w:rPr>
                <w:spacing w:val="-13"/>
                <w:sz w:val="20"/>
              </w:rPr>
              <w:t> </w:t>
            </w:r>
            <w:r>
              <w:rPr>
                <w:sz w:val="20"/>
              </w:rPr>
              <w:t>assurance</w:t>
            </w:r>
            <w:r>
              <w:rPr>
                <w:spacing w:val="-12"/>
                <w:sz w:val="20"/>
              </w:rPr>
              <w:t> </w:t>
            </w:r>
            <w:r>
              <w:rPr>
                <w:sz w:val="20"/>
              </w:rPr>
              <w:t>berbeda untuk bagian laporan)</w:t>
            </w:r>
          </w:p>
        </w:tc>
      </w:tr>
      <w:tr>
        <w:trPr>
          <w:trHeight w:val="1609" w:hRule="atLeast"/>
        </w:trPr>
        <w:tc>
          <w:tcPr>
            <w:tcW w:w="564" w:type="dxa"/>
          </w:tcPr>
          <w:p>
            <w:pPr>
              <w:pStyle w:val="TableParagraph"/>
              <w:rPr>
                <w:b/>
                <w:sz w:val="20"/>
              </w:rPr>
            </w:pPr>
          </w:p>
          <w:p>
            <w:pPr>
              <w:pStyle w:val="TableParagraph"/>
              <w:spacing w:before="224"/>
              <w:rPr>
                <w:b/>
                <w:sz w:val="20"/>
              </w:rPr>
            </w:pPr>
          </w:p>
          <w:p>
            <w:pPr>
              <w:pStyle w:val="TableParagraph"/>
              <w:ind w:left="106"/>
              <w:rPr>
                <w:sz w:val="20"/>
              </w:rPr>
            </w:pPr>
            <w:r>
              <w:rPr>
                <w:spacing w:val="-10"/>
                <w:sz w:val="20"/>
              </w:rPr>
              <w:t>5</w:t>
            </w:r>
          </w:p>
        </w:tc>
        <w:tc>
          <w:tcPr>
            <w:tcW w:w="1560" w:type="dxa"/>
          </w:tcPr>
          <w:p>
            <w:pPr>
              <w:pStyle w:val="TableParagraph"/>
              <w:spacing w:before="222"/>
              <w:rPr>
                <w:b/>
                <w:sz w:val="20"/>
              </w:rPr>
            </w:pPr>
          </w:p>
          <w:p>
            <w:pPr>
              <w:pStyle w:val="TableParagraph"/>
              <w:ind w:left="107" w:right="476"/>
              <w:rPr>
                <w:sz w:val="20"/>
              </w:rPr>
            </w:pPr>
            <w:r>
              <w:rPr>
                <w:spacing w:val="-2"/>
                <w:sz w:val="20"/>
              </w:rPr>
              <w:t>Cakupan engagement assurance</w:t>
            </w:r>
          </w:p>
        </w:tc>
        <w:tc>
          <w:tcPr>
            <w:tcW w:w="3116" w:type="dxa"/>
          </w:tcPr>
          <w:p>
            <w:pPr>
              <w:pStyle w:val="TableParagraph"/>
              <w:rPr>
                <w:b/>
                <w:sz w:val="20"/>
              </w:rPr>
            </w:pPr>
          </w:p>
          <w:p>
            <w:pPr>
              <w:pStyle w:val="TableParagraph"/>
              <w:spacing w:before="224"/>
              <w:rPr>
                <w:b/>
                <w:sz w:val="20"/>
              </w:rPr>
            </w:pPr>
          </w:p>
          <w:p>
            <w:pPr>
              <w:pStyle w:val="TableParagraph"/>
              <w:ind w:left="107"/>
              <w:rPr>
                <w:sz w:val="20"/>
              </w:rPr>
            </w:pPr>
            <w:r>
              <w:rPr>
                <w:sz w:val="20"/>
              </w:rPr>
              <w:t>Cakupan</w:t>
            </w:r>
            <w:r>
              <w:rPr>
                <w:spacing w:val="-3"/>
                <w:sz w:val="20"/>
              </w:rPr>
              <w:t> </w:t>
            </w:r>
            <w:r>
              <w:rPr>
                <w:sz w:val="20"/>
              </w:rPr>
              <w:t>pernyataan</w:t>
            </w:r>
            <w:r>
              <w:rPr>
                <w:spacing w:val="-2"/>
                <w:sz w:val="20"/>
              </w:rPr>
              <w:t> assurance.</w:t>
            </w:r>
          </w:p>
        </w:tc>
        <w:tc>
          <w:tcPr>
            <w:tcW w:w="2688" w:type="dxa"/>
          </w:tcPr>
          <w:p>
            <w:pPr>
              <w:pStyle w:val="TableParagraph"/>
              <w:spacing w:line="222" w:lineRule="exact"/>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before="2"/>
              <w:ind w:left="108"/>
              <w:rPr>
                <w:sz w:val="20"/>
              </w:rPr>
            </w:pPr>
            <w:r>
              <w:rPr>
                <w:sz w:val="20"/>
              </w:rPr>
              <w:t>1</w:t>
            </w:r>
            <w:r>
              <w:rPr>
                <w:spacing w:val="-8"/>
                <w:sz w:val="20"/>
              </w:rPr>
              <w:t> </w:t>
            </w:r>
            <w:r>
              <w:rPr>
                <w:sz w:val="20"/>
              </w:rPr>
              <w:t>=</w:t>
            </w:r>
            <w:r>
              <w:rPr>
                <w:spacing w:val="-8"/>
                <w:sz w:val="20"/>
              </w:rPr>
              <w:t> </w:t>
            </w:r>
            <w:r>
              <w:rPr>
                <w:sz w:val="20"/>
              </w:rPr>
              <w:t>Referensi</w:t>
            </w:r>
            <w:r>
              <w:rPr>
                <w:spacing w:val="-13"/>
                <w:sz w:val="20"/>
              </w:rPr>
              <w:t> </w:t>
            </w:r>
            <w:r>
              <w:rPr>
                <w:sz w:val="20"/>
              </w:rPr>
              <w:t>ke</w:t>
            </w:r>
            <w:r>
              <w:rPr>
                <w:spacing w:val="-3"/>
                <w:sz w:val="20"/>
              </w:rPr>
              <w:t> </w:t>
            </w:r>
            <w:r>
              <w:rPr>
                <w:sz w:val="20"/>
              </w:rPr>
              <w:t>bagian</w:t>
            </w:r>
            <w:r>
              <w:rPr>
                <w:spacing w:val="-11"/>
                <w:sz w:val="20"/>
              </w:rPr>
              <w:t> </w:t>
            </w:r>
            <w:r>
              <w:rPr>
                <w:sz w:val="20"/>
              </w:rPr>
              <w:t>GHG </w:t>
            </w:r>
            <w:r>
              <w:rPr>
                <w:spacing w:val="-2"/>
                <w:sz w:val="20"/>
              </w:rPr>
              <w:t>tertentu</w:t>
            </w:r>
          </w:p>
          <w:p>
            <w:pPr>
              <w:pStyle w:val="TableParagraph"/>
              <w:spacing w:line="237" w:lineRule="auto" w:before="2"/>
              <w:ind w:left="108" w:right="286"/>
              <w:rPr>
                <w:sz w:val="20"/>
              </w:rPr>
            </w:pPr>
            <w:r>
              <w:rPr>
                <w:sz w:val="20"/>
              </w:rPr>
              <w:t>2</w:t>
            </w:r>
            <w:r>
              <w:rPr>
                <w:spacing w:val="-13"/>
                <w:sz w:val="20"/>
              </w:rPr>
              <w:t> </w:t>
            </w:r>
            <w:r>
              <w:rPr>
                <w:sz w:val="20"/>
              </w:rPr>
              <w:t>=</w:t>
            </w:r>
            <w:r>
              <w:rPr>
                <w:spacing w:val="-11"/>
                <w:sz w:val="20"/>
              </w:rPr>
              <w:t> </w:t>
            </w:r>
            <w:r>
              <w:rPr>
                <w:sz w:val="20"/>
              </w:rPr>
              <w:t>Referensi</w:t>
            </w:r>
            <w:r>
              <w:rPr>
                <w:spacing w:val="-13"/>
                <w:sz w:val="20"/>
              </w:rPr>
              <w:t> </w:t>
            </w:r>
            <w:r>
              <w:rPr>
                <w:sz w:val="20"/>
              </w:rPr>
              <w:t>ke</w:t>
            </w:r>
            <w:r>
              <w:rPr>
                <w:spacing w:val="-7"/>
                <w:sz w:val="20"/>
              </w:rPr>
              <w:t> </w:t>
            </w:r>
            <w:r>
              <w:rPr>
                <w:sz w:val="20"/>
              </w:rPr>
              <w:t>beberapa </w:t>
            </w:r>
            <w:r>
              <w:rPr>
                <w:spacing w:val="-2"/>
                <w:sz w:val="20"/>
              </w:rPr>
              <w:t>bagian</w:t>
            </w:r>
          </w:p>
          <w:p>
            <w:pPr>
              <w:pStyle w:val="TableParagraph"/>
              <w:spacing w:line="228" w:lineRule="exact"/>
              <w:ind w:left="108" w:right="286"/>
              <w:rPr>
                <w:sz w:val="20"/>
              </w:rPr>
            </w:pPr>
            <w:r>
              <w:rPr>
                <w:sz w:val="20"/>
              </w:rPr>
              <w:t>3</w:t>
            </w:r>
            <w:r>
              <w:rPr>
                <w:spacing w:val="-10"/>
                <w:sz w:val="20"/>
              </w:rPr>
              <w:t> </w:t>
            </w:r>
            <w:r>
              <w:rPr>
                <w:sz w:val="20"/>
              </w:rPr>
              <w:t>=</w:t>
            </w:r>
            <w:r>
              <w:rPr>
                <w:spacing w:val="-9"/>
                <w:sz w:val="20"/>
              </w:rPr>
              <w:t> </w:t>
            </w:r>
            <w:r>
              <w:rPr>
                <w:sz w:val="20"/>
              </w:rPr>
              <w:t>Referensi</w:t>
            </w:r>
            <w:r>
              <w:rPr>
                <w:spacing w:val="-13"/>
                <w:sz w:val="20"/>
              </w:rPr>
              <w:t> </w:t>
            </w:r>
            <w:r>
              <w:rPr>
                <w:sz w:val="20"/>
              </w:rPr>
              <w:t>ke</w:t>
            </w:r>
            <w:r>
              <w:rPr>
                <w:spacing w:val="-8"/>
                <w:sz w:val="20"/>
              </w:rPr>
              <w:t> </w:t>
            </w:r>
            <w:r>
              <w:rPr>
                <w:sz w:val="20"/>
              </w:rPr>
              <w:t>seluruh </w:t>
            </w:r>
            <w:r>
              <w:rPr>
                <w:spacing w:val="-2"/>
                <w:sz w:val="20"/>
              </w:rPr>
              <w:t>laporan</w:t>
            </w:r>
          </w:p>
        </w:tc>
      </w:tr>
      <w:tr>
        <w:trPr>
          <w:trHeight w:val="1610" w:hRule="atLeast"/>
        </w:trPr>
        <w:tc>
          <w:tcPr>
            <w:tcW w:w="564" w:type="dxa"/>
          </w:tcPr>
          <w:p>
            <w:pPr>
              <w:pStyle w:val="TableParagraph"/>
              <w:rPr>
                <w:b/>
                <w:sz w:val="20"/>
              </w:rPr>
            </w:pPr>
          </w:p>
          <w:p>
            <w:pPr>
              <w:pStyle w:val="TableParagraph"/>
              <w:spacing w:before="224"/>
              <w:rPr>
                <w:b/>
                <w:sz w:val="20"/>
              </w:rPr>
            </w:pPr>
          </w:p>
          <w:p>
            <w:pPr>
              <w:pStyle w:val="TableParagraph"/>
              <w:ind w:left="106"/>
              <w:rPr>
                <w:sz w:val="20"/>
              </w:rPr>
            </w:pPr>
            <w:r>
              <w:rPr>
                <w:spacing w:val="-10"/>
                <w:sz w:val="20"/>
              </w:rPr>
              <w:t>6</w:t>
            </w:r>
          </w:p>
        </w:tc>
        <w:tc>
          <w:tcPr>
            <w:tcW w:w="1560" w:type="dxa"/>
          </w:tcPr>
          <w:p>
            <w:pPr>
              <w:pStyle w:val="TableParagraph"/>
              <w:rPr>
                <w:b/>
                <w:sz w:val="20"/>
              </w:rPr>
            </w:pPr>
          </w:p>
          <w:p>
            <w:pPr>
              <w:pStyle w:val="TableParagraph"/>
              <w:spacing w:before="108"/>
              <w:rPr>
                <w:b/>
                <w:sz w:val="20"/>
              </w:rPr>
            </w:pPr>
          </w:p>
          <w:p>
            <w:pPr>
              <w:pStyle w:val="TableParagraph"/>
              <w:spacing w:line="242" w:lineRule="auto"/>
              <w:ind w:left="107" w:right="348"/>
              <w:rPr>
                <w:sz w:val="20"/>
              </w:rPr>
            </w:pPr>
            <w:r>
              <w:rPr>
                <w:spacing w:val="-2"/>
                <w:sz w:val="20"/>
              </w:rPr>
              <w:t>Kriteria</w:t>
            </w:r>
            <w:r>
              <w:rPr>
                <w:spacing w:val="-11"/>
                <w:sz w:val="20"/>
              </w:rPr>
              <w:t> </w:t>
            </w:r>
            <w:r>
              <w:rPr>
                <w:spacing w:val="-2"/>
                <w:sz w:val="20"/>
              </w:rPr>
              <w:t>yang digunakan</w:t>
            </w:r>
          </w:p>
        </w:tc>
        <w:tc>
          <w:tcPr>
            <w:tcW w:w="3116" w:type="dxa"/>
          </w:tcPr>
          <w:p>
            <w:pPr>
              <w:pStyle w:val="TableParagraph"/>
              <w:spacing w:before="110"/>
              <w:rPr>
                <w:b/>
                <w:sz w:val="20"/>
              </w:rPr>
            </w:pPr>
          </w:p>
          <w:p>
            <w:pPr>
              <w:pStyle w:val="TableParagraph"/>
              <w:ind w:left="107"/>
              <w:rPr>
                <w:sz w:val="20"/>
              </w:rPr>
            </w:pPr>
            <w:r>
              <w:rPr>
                <w:sz w:val="20"/>
              </w:rPr>
              <w:t>Pernyataan yang merujuk pada kriteria tertentu yang digunakan laporan keberlanjutan disiapkan (misalnya</w:t>
            </w:r>
            <w:r>
              <w:rPr>
                <w:spacing w:val="-13"/>
                <w:sz w:val="20"/>
              </w:rPr>
              <w:t> </w:t>
            </w:r>
            <w:r>
              <w:rPr>
                <w:sz w:val="20"/>
              </w:rPr>
              <w:t>GRI,</w:t>
            </w:r>
            <w:r>
              <w:rPr>
                <w:spacing w:val="-12"/>
                <w:sz w:val="20"/>
              </w:rPr>
              <w:t> </w:t>
            </w:r>
            <w:r>
              <w:rPr>
                <w:sz w:val="20"/>
              </w:rPr>
              <w:t>kriteria</w:t>
            </w:r>
            <w:r>
              <w:rPr>
                <w:spacing w:val="-13"/>
                <w:sz w:val="20"/>
              </w:rPr>
              <w:t> </w:t>
            </w:r>
            <w:r>
              <w:rPr>
                <w:sz w:val="20"/>
              </w:rPr>
              <w:t>internal).</w:t>
            </w:r>
          </w:p>
        </w:tc>
        <w:tc>
          <w:tcPr>
            <w:tcW w:w="2688" w:type="dxa"/>
          </w:tcPr>
          <w:p>
            <w:pPr>
              <w:pStyle w:val="TableParagraph"/>
              <w:spacing w:line="223" w:lineRule="exact"/>
              <w:ind w:left="108"/>
              <w:jc w:val="both"/>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before="2"/>
              <w:ind w:left="108" w:right="189"/>
              <w:jc w:val="both"/>
              <w:rPr>
                <w:sz w:val="20"/>
              </w:rPr>
            </w:pPr>
            <w:r>
              <w:rPr>
                <w:sz w:val="20"/>
              </w:rPr>
              <w:t>1</w:t>
            </w:r>
            <w:r>
              <w:rPr>
                <w:spacing w:val="-10"/>
                <w:sz w:val="20"/>
              </w:rPr>
              <w:t> </w:t>
            </w:r>
            <w:r>
              <w:rPr>
                <w:sz w:val="20"/>
              </w:rPr>
              <w:t>=</w:t>
            </w:r>
            <w:r>
              <w:rPr>
                <w:spacing w:val="-9"/>
                <w:sz w:val="20"/>
              </w:rPr>
              <w:t> </w:t>
            </w:r>
            <w:r>
              <w:rPr>
                <w:sz w:val="20"/>
              </w:rPr>
              <w:t>Referensi</w:t>
            </w:r>
            <w:r>
              <w:rPr>
                <w:spacing w:val="-13"/>
                <w:sz w:val="20"/>
              </w:rPr>
              <w:t> </w:t>
            </w:r>
            <w:r>
              <w:rPr>
                <w:sz w:val="20"/>
              </w:rPr>
              <w:t>ke</w:t>
            </w:r>
            <w:r>
              <w:rPr>
                <w:spacing w:val="-8"/>
                <w:sz w:val="20"/>
              </w:rPr>
              <w:t> </w:t>
            </w:r>
            <w:r>
              <w:rPr>
                <w:sz w:val="20"/>
              </w:rPr>
              <w:t>kriteria</w:t>
            </w:r>
            <w:r>
              <w:rPr>
                <w:spacing w:val="-5"/>
                <w:sz w:val="20"/>
              </w:rPr>
              <w:t> </w:t>
            </w:r>
            <w:r>
              <w:rPr>
                <w:sz w:val="20"/>
              </w:rPr>
              <w:t>yang tidak tersedia public</w:t>
            </w:r>
          </w:p>
          <w:p>
            <w:pPr>
              <w:pStyle w:val="TableParagraph"/>
              <w:ind w:left="108" w:right="158"/>
              <w:jc w:val="both"/>
              <w:rPr>
                <w:sz w:val="20"/>
              </w:rPr>
            </w:pPr>
            <w:r>
              <w:rPr>
                <w:sz w:val="20"/>
              </w:rPr>
              <w:t>2</w:t>
            </w:r>
            <w:r>
              <w:rPr>
                <w:spacing w:val="-2"/>
                <w:sz w:val="20"/>
              </w:rPr>
              <w:t> </w:t>
            </w:r>
            <w:r>
              <w:rPr>
                <w:sz w:val="20"/>
              </w:rPr>
              <w:t>=</w:t>
            </w:r>
            <w:r>
              <w:rPr>
                <w:spacing w:val="-2"/>
                <w:sz w:val="20"/>
              </w:rPr>
              <w:t> </w:t>
            </w:r>
            <w:r>
              <w:rPr>
                <w:sz w:val="20"/>
              </w:rPr>
              <w:t>Referensi</w:t>
            </w:r>
            <w:r>
              <w:rPr>
                <w:spacing w:val="-9"/>
                <w:sz w:val="20"/>
              </w:rPr>
              <w:t> </w:t>
            </w:r>
            <w:r>
              <w:rPr>
                <w:sz w:val="20"/>
              </w:rPr>
              <w:t>ke</w:t>
            </w:r>
            <w:r>
              <w:rPr>
                <w:spacing w:val="-2"/>
                <w:sz w:val="20"/>
              </w:rPr>
              <w:t> </w:t>
            </w:r>
            <w:r>
              <w:rPr>
                <w:sz w:val="20"/>
              </w:rPr>
              <w:t>kriteria yang tersedia</w:t>
            </w:r>
            <w:r>
              <w:rPr>
                <w:spacing w:val="-13"/>
                <w:sz w:val="20"/>
              </w:rPr>
              <w:t> </w:t>
            </w:r>
            <w:r>
              <w:rPr>
                <w:sz w:val="20"/>
              </w:rPr>
              <w:t>publik</w:t>
            </w:r>
            <w:r>
              <w:rPr>
                <w:spacing w:val="-12"/>
                <w:sz w:val="20"/>
              </w:rPr>
              <w:t> </w:t>
            </w:r>
            <w:r>
              <w:rPr>
                <w:sz w:val="20"/>
              </w:rPr>
              <w:t>(misalnya</w:t>
            </w:r>
            <w:r>
              <w:rPr>
                <w:spacing w:val="-13"/>
                <w:sz w:val="20"/>
              </w:rPr>
              <w:t> </w:t>
            </w:r>
            <w:r>
              <w:rPr>
                <w:sz w:val="20"/>
              </w:rPr>
              <w:t>GRI atau kriteria internal yang</w:t>
            </w:r>
          </w:p>
          <w:p>
            <w:pPr>
              <w:pStyle w:val="TableParagraph"/>
              <w:spacing w:line="216" w:lineRule="exact"/>
              <w:ind w:left="108"/>
              <w:rPr>
                <w:sz w:val="20"/>
              </w:rPr>
            </w:pPr>
            <w:r>
              <w:rPr>
                <w:spacing w:val="-2"/>
                <w:sz w:val="20"/>
              </w:rPr>
              <w:t>dipublikasikan)</w:t>
            </w:r>
          </w:p>
        </w:tc>
      </w:tr>
      <w:tr>
        <w:trPr>
          <w:trHeight w:val="1606" w:hRule="atLeast"/>
        </w:trPr>
        <w:tc>
          <w:tcPr>
            <w:tcW w:w="564" w:type="dxa"/>
          </w:tcPr>
          <w:p>
            <w:pPr>
              <w:pStyle w:val="TableParagraph"/>
              <w:rPr>
                <w:b/>
                <w:sz w:val="20"/>
              </w:rPr>
            </w:pPr>
          </w:p>
          <w:p>
            <w:pPr>
              <w:pStyle w:val="TableParagraph"/>
              <w:spacing w:before="224"/>
              <w:rPr>
                <w:b/>
                <w:sz w:val="20"/>
              </w:rPr>
            </w:pPr>
          </w:p>
          <w:p>
            <w:pPr>
              <w:pStyle w:val="TableParagraph"/>
              <w:spacing w:before="1"/>
              <w:ind w:left="106"/>
              <w:rPr>
                <w:sz w:val="20"/>
              </w:rPr>
            </w:pPr>
            <w:r>
              <w:rPr>
                <w:spacing w:val="-10"/>
                <w:sz w:val="20"/>
              </w:rPr>
              <w:t>7</w:t>
            </w:r>
          </w:p>
        </w:tc>
        <w:tc>
          <w:tcPr>
            <w:tcW w:w="1560" w:type="dxa"/>
          </w:tcPr>
          <w:p>
            <w:pPr>
              <w:pStyle w:val="TableParagraph"/>
              <w:spacing w:before="222"/>
              <w:rPr>
                <w:b/>
                <w:sz w:val="20"/>
              </w:rPr>
            </w:pPr>
          </w:p>
          <w:p>
            <w:pPr>
              <w:pStyle w:val="TableParagraph"/>
              <w:spacing w:before="1"/>
              <w:ind w:left="107" w:right="219"/>
              <w:rPr>
                <w:sz w:val="20"/>
              </w:rPr>
            </w:pPr>
            <w:r>
              <w:rPr>
                <w:spacing w:val="-2"/>
                <w:sz w:val="20"/>
              </w:rPr>
              <w:t>Standar </w:t>
            </w:r>
            <w:r>
              <w:rPr>
                <w:sz w:val="20"/>
              </w:rPr>
              <w:t>assurance</w:t>
            </w:r>
            <w:r>
              <w:rPr>
                <w:spacing w:val="-13"/>
                <w:sz w:val="20"/>
              </w:rPr>
              <w:t> </w:t>
            </w:r>
            <w:r>
              <w:rPr>
                <w:sz w:val="20"/>
              </w:rPr>
              <w:t>yang </w:t>
            </w:r>
            <w:r>
              <w:rPr>
                <w:spacing w:val="-2"/>
                <w:sz w:val="20"/>
              </w:rPr>
              <w:t>digunakan</w:t>
            </w:r>
          </w:p>
        </w:tc>
        <w:tc>
          <w:tcPr>
            <w:tcW w:w="3116" w:type="dxa"/>
          </w:tcPr>
          <w:p>
            <w:pPr>
              <w:pStyle w:val="TableParagraph"/>
              <w:spacing w:before="222"/>
              <w:rPr>
                <w:b/>
                <w:sz w:val="20"/>
              </w:rPr>
            </w:pPr>
          </w:p>
          <w:p>
            <w:pPr>
              <w:pStyle w:val="TableParagraph"/>
              <w:spacing w:before="1"/>
              <w:ind w:left="107"/>
              <w:rPr>
                <w:sz w:val="20"/>
              </w:rPr>
            </w:pPr>
            <w:r>
              <w:rPr>
                <w:sz w:val="20"/>
              </w:rPr>
              <w:t>Standar</w:t>
            </w:r>
            <w:r>
              <w:rPr>
                <w:spacing w:val="-13"/>
                <w:sz w:val="20"/>
              </w:rPr>
              <w:t> </w:t>
            </w:r>
            <w:r>
              <w:rPr>
                <w:sz w:val="20"/>
              </w:rPr>
              <w:t>yang</w:t>
            </w:r>
            <w:r>
              <w:rPr>
                <w:spacing w:val="-12"/>
                <w:sz w:val="20"/>
              </w:rPr>
              <w:t> </w:t>
            </w:r>
            <w:r>
              <w:rPr>
                <w:sz w:val="20"/>
              </w:rPr>
              <w:t>mengatur</w:t>
            </w:r>
            <w:r>
              <w:rPr>
                <w:spacing w:val="-13"/>
                <w:sz w:val="20"/>
              </w:rPr>
              <w:t> </w:t>
            </w:r>
            <w:r>
              <w:rPr>
                <w:sz w:val="20"/>
              </w:rPr>
              <w:t>pekerjaan penyedia assurance (misalnya AA1000AS, ISAE3000).</w:t>
            </w:r>
          </w:p>
        </w:tc>
        <w:tc>
          <w:tcPr>
            <w:tcW w:w="2688" w:type="dxa"/>
          </w:tcPr>
          <w:p>
            <w:pPr>
              <w:pStyle w:val="TableParagraph"/>
              <w:spacing w:line="222" w:lineRule="exact"/>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before="2"/>
              <w:ind w:left="108"/>
              <w:rPr>
                <w:sz w:val="20"/>
              </w:rPr>
            </w:pPr>
            <w:r>
              <w:rPr>
                <w:sz w:val="20"/>
              </w:rPr>
              <w:t>1</w:t>
            </w:r>
            <w:r>
              <w:rPr>
                <w:spacing w:val="-10"/>
                <w:sz w:val="20"/>
              </w:rPr>
              <w:t> </w:t>
            </w:r>
            <w:r>
              <w:rPr>
                <w:sz w:val="20"/>
              </w:rPr>
              <w:t>=</w:t>
            </w:r>
            <w:r>
              <w:rPr>
                <w:spacing w:val="-9"/>
                <w:sz w:val="20"/>
              </w:rPr>
              <w:t> </w:t>
            </w:r>
            <w:r>
              <w:rPr>
                <w:sz w:val="20"/>
              </w:rPr>
              <w:t>Referensi</w:t>
            </w:r>
            <w:r>
              <w:rPr>
                <w:spacing w:val="-13"/>
                <w:sz w:val="20"/>
              </w:rPr>
              <w:t> </w:t>
            </w:r>
            <w:r>
              <w:rPr>
                <w:sz w:val="20"/>
              </w:rPr>
              <w:t>ke</w:t>
            </w:r>
            <w:r>
              <w:rPr>
                <w:spacing w:val="-8"/>
                <w:sz w:val="20"/>
              </w:rPr>
              <w:t> </w:t>
            </w:r>
            <w:r>
              <w:rPr>
                <w:sz w:val="20"/>
              </w:rPr>
              <w:t>kriteria</w:t>
            </w:r>
            <w:r>
              <w:rPr>
                <w:spacing w:val="-5"/>
                <w:sz w:val="20"/>
              </w:rPr>
              <w:t> </w:t>
            </w:r>
            <w:r>
              <w:rPr>
                <w:sz w:val="20"/>
              </w:rPr>
              <w:t>yang tidak tersedia public</w:t>
            </w:r>
          </w:p>
          <w:p>
            <w:pPr>
              <w:pStyle w:val="TableParagraph"/>
              <w:spacing w:line="237" w:lineRule="auto" w:before="2"/>
              <w:ind w:left="108"/>
              <w:rPr>
                <w:sz w:val="20"/>
              </w:rPr>
            </w:pPr>
            <w:r>
              <w:rPr>
                <w:sz w:val="20"/>
              </w:rPr>
              <w:t>2</w:t>
            </w:r>
            <w:r>
              <w:rPr>
                <w:spacing w:val="-8"/>
                <w:sz w:val="20"/>
              </w:rPr>
              <w:t> </w:t>
            </w:r>
            <w:r>
              <w:rPr>
                <w:sz w:val="20"/>
              </w:rPr>
              <w:t>=</w:t>
            </w:r>
            <w:r>
              <w:rPr>
                <w:spacing w:val="-8"/>
                <w:sz w:val="20"/>
              </w:rPr>
              <w:t> </w:t>
            </w:r>
            <w:r>
              <w:rPr>
                <w:sz w:val="20"/>
              </w:rPr>
              <w:t>Referensi</w:t>
            </w:r>
            <w:r>
              <w:rPr>
                <w:spacing w:val="-13"/>
                <w:sz w:val="20"/>
              </w:rPr>
              <w:t> </w:t>
            </w:r>
            <w:r>
              <w:rPr>
                <w:sz w:val="20"/>
              </w:rPr>
              <w:t>ke</w:t>
            </w:r>
            <w:r>
              <w:rPr>
                <w:spacing w:val="-7"/>
                <w:sz w:val="20"/>
              </w:rPr>
              <w:t> </w:t>
            </w:r>
            <w:r>
              <w:rPr>
                <w:sz w:val="20"/>
              </w:rPr>
              <w:t>kriteria</w:t>
            </w:r>
            <w:r>
              <w:rPr>
                <w:spacing w:val="-4"/>
                <w:sz w:val="20"/>
              </w:rPr>
              <w:t> </w:t>
            </w:r>
            <w:r>
              <w:rPr>
                <w:sz w:val="20"/>
              </w:rPr>
              <w:t>lokal yang tersedia public</w:t>
            </w:r>
          </w:p>
          <w:p>
            <w:pPr>
              <w:pStyle w:val="TableParagraph"/>
              <w:spacing w:line="228" w:lineRule="exact"/>
              <w:ind w:left="108"/>
              <w:rPr>
                <w:sz w:val="20"/>
              </w:rPr>
            </w:pPr>
            <w:r>
              <w:rPr>
                <w:sz w:val="20"/>
              </w:rPr>
              <w:t>3</w:t>
            </w:r>
            <w:r>
              <w:rPr>
                <w:spacing w:val="-13"/>
                <w:sz w:val="20"/>
              </w:rPr>
              <w:t> </w:t>
            </w:r>
            <w:r>
              <w:rPr>
                <w:sz w:val="20"/>
              </w:rPr>
              <w:t>=</w:t>
            </w:r>
            <w:r>
              <w:rPr>
                <w:spacing w:val="-12"/>
                <w:sz w:val="20"/>
              </w:rPr>
              <w:t> </w:t>
            </w:r>
            <w:r>
              <w:rPr>
                <w:sz w:val="20"/>
              </w:rPr>
              <w:t>Referensi</w:t>
            </w:r>
            <w:r>
              <w:rPr>
                <w:spacing w:val="-13"/>
                <w:sz w:val="20"/>
              </w:rPr>
              <w:t> </w:t>
            </w:r>
            <w:r>
              <w:rPr>
                <w:sz w:val="20"/>
              </w:rPr>
              <w:t>ke</w:t>
            </w:r>
            <w:r>
              <w:rPr>
                <w:spacing w:val="-12"/>
                <w:sz w:val="20"/>
              </w:rPr>
              <w:t> </w:t>
            </w:r>
            <w:r>
              <w:rPr>
                <w:sz w:val="20"/>
              </w:rPr>
              <w:t>AA1000AS, </w:t>
            </w:r>
            <w:r>
              <w:rPr>
                <w:spacing w:val="-2"/>
                <w:sz w:val="20"/>
              </w:rPr>
              <w:t>ISAE3000</w:t>
            </w:r>
          </w:p>
        </w:tc>
      </w:tr>
    </w:tbl>
    <w:p>
      <w:pPr>
        <w:spacing w:before="2"/>
        <w:ind w:left="568" w:right="0" w:firstLine="0"/>
        <w:jc w:val="left"/>
        <w:rPr>
          <w:i/>
          <w:sz w:val="24"/>
        </w:rPr>
      </w:pPr>
      <w:r>
        <w:rPr>
          <w:i/>
          <w:sz w:val="24"/>
        </w:rPr>
        <w:t>Disambung</w:t>
      </w:r>
      <w:r>
        <w:rPr>
          <w:i/>
          <w:spacing w:val="-3"/>
          <w:sz w:val="24"/>
        </w:rPr>
        <w:t> </w:t>
      </w:r>
      <w:r>
        <w:rPr>
          <w:i/>
          <w:sz w:val="24"/>
        </w:rPr>
        <w:t>ke</w:t>
      </w:r>
      <w:r>
        <w:rPr>
          <w:i/>
          <w:spacing w:val="-1"/>
          <w:sz w:val="24"/>
        </w:rPr>
        <w:t> </w:t>
      </w:r>
      <w:r>
        <w:rPr>
          <w:i/>
          <w:sz w:val="24"/>
        </w:rPr>
        <w:t>halaman</w:t>
      </w:r>
      <w:r>
        <w:rPr>
          <w:i/>
          <w:spacing w:val="-2"/>
          <w:sz w:val="24"/>
        </w:rPr>
        <w:t> berikutnya</w:t>
      </w:r>
    </w:p>
    <w:p>
      <w:pPr>
        <w:spacing w:after="0"/>
        <w:jc w:val="left"/>
        <w:rPr>
          <w:i/>
          <w:sz w:val="24"/>
        </w:rPr>
        <w:sectPr>
          <w:headerReference w:type="default" r:id="rId14"/>
          <w:pgSz w:w="11910" w:h="16840"/>
          <w:pgMar w:header="710" w:footer="0" w:top="1920" w:bottom="280" w:left="1700" w:right="1133"/>
          <w:pgNumType w:start="29"/>
        </w:sectPr>
      </w:pPr>
    </w:p>
    <w:p>
      <w:pPr>
        <w:pStyle w:val="BodyText"/>
        <w:spacing w:before="78"/>
        <w:rPr>
          <w:i/>
          <w:sz w:val="22"/>
        </w:rPr>
      </w:pPr>
    </w:p>
    <w:p>
      <w:pPr>
        <w:spacing w:before="0"/>
        <w:ind w:left="358" w:right="358" w:firstLine="0"/>
        <w:jc w:val="center"/>
        <w:rPr>
          <w:b/>
          <w:sz w:val="22"/>
        </w:rPr>
      </w:pPr>
      <w:r>
        <w:rPr>
          <w:b/>
          <w:sz w:val="22"/>
        </w:rPr>
        <w:t>Tabel</w:t>
      </w:r>
      <w:r>
        <w:rPr>
          <w:b/>
          <w:spacing w:val="-12"/>
          <w:sz w:val="22"/>
        </w:rPr>
        <w:t> </w:t>
      </w:r>
      <w:r>
        <w:rPr>
          <w:b/>
          <w:sz w:val="22"/>
        </w:rPr>
        <w:t>3.1</w:t>
      </w:r>
      <w:r>
        <w:rPr>
          <w:b/>
          <w:spacing w:val="-11"/>
          <w:sz w:val="22"/>
        </w:rPr>
        <w:t> </w:t>
      </w:r>
      <w:r>
        <w:rPr>
          <w:b/>
          <w:spacing w:val="-2"/>
          <w:sz w:val="22"/>
        </w:rPr>
        <w:t>Sambungan</w:t>
      </w:r>
    </w:p>
    <w:p>
      <w:pPr>
        <w:pStyle w:val="BodyText"/>
        <w:spacing w:before="206"/>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1560"/>
        <w:gridCol w:w="3116"/>
        <w:gridCol w:w="2688"/>
      </w:tblGrid>
      <w:tr>
        <w:trPr>
          <w:trHeight w:val="462" w:hRule="atLeast"/>
        </w:trPr>
        <w:tc>
          <w:tcPr>
            <w:tcW w:w="564" w:type="dxa"/>
          </w:tcPr>
          <w:p>
            <w:pPr>
              <w:pStyle w:val="TableParagraph"/>
              <w:spacing w:before="112"/>
              <w:ind w:left="106"/>
              <w:rPr>
                <w:b/>
                <w:sz w:val="20"/>
              </w:rPr>
            </w:pPr>
            <w:r>
              <w:rPr>
                <w:b/>
                <w:spacing w:val="-5"/>
                <w:sz w:val="20"/>
              </w:rPr>
              <w:t>No</w:t>
            </w:r>
          </w:p>
        </w:tc>
        <w:tc>
          <w:tcPr>
            <w:tcW w:w="1560" w:type="dxa"/>
          </w:tcPr>
          <w:p>
            <w:pPr>
              <w:pStyle w:val="TableParagraph"/>
              <w:spacing w:line="228" w:lineRule="exact"/>
              <w:ind w:left="355" w:right="348" w:firstLine="76"/>
              <w:rPr>
                <w:b/>
                <w:sz w:val="20"/>
              </w:rPr>
            </w:pPr>
            <w:r>
              <w:rPr>
                <w:b/>
                <w:spacing w:val="-2"/>
                <w:sz w:val="20"/>
              </w:rPr>
              <w:t>Kriteria Peringkat</w:t>
            </w:r>
          </w:p>
        </w:tc>
        <w:tc>
          <w:tcPr>
            <w:tcW w:w="3116" w:type="dxa"/>
          </w:tcPr>
          <w:p>
            <w:pPr>
              <w:pStyle w:val="TableParagraph"/>
              <w:spacing w:before="112"/>
              <w:ind w:left="10"/>
              <w:jc w:val="center"/>
              <w:rPr>
                <w:b/>
                <w:sz w:val="20"/>
              </w:rPr>
            </w:pPr>
            <w:r>
              <w:rPr>
                <w:b/>
                <w:spacing w:val="-2"/>
                <w:sz w:val="20"/>
              </w:rPr>
              <w:t>Definisi</w:t>
            </w:r>
          </w:p>
        </w:tc>
        <w:tc>
          <w:tcPr>
            <w:tcW w:w="2688" w:type="dxa"/>
          </w:tcPr>
          <w:p>
            <w:pPr>
              <w:pStyle w:val="TableParagraph"/>
              <w:spacing w:before="112"/>
              <w:ind w:left="480"/>
              <w:rPr>
                <w:b/>
                <w:sz w:val="20"/>
              </w:rPr>
            </w:pPr>
            <w:r>
              <w:rPr>
                <w:b/>
                <w:sz w:val="20"/>
              </w:rPr>
              <w:t>Skala (total</w:t>
            </w:r>
            <w:r>
              <w:rPr>
                <w:b/>
                <w:spacing w:val="-3"/>
                <w:sz w:val="20"/>
              </w:rPr>
              <w:t> </w:t>
            </w:r>
            <w:r>
              <w:rPr>
                <w:b/>
                <w:sz w:val="20"/>
              </w:rPr>
              <w:t>23</w:t>
            </w:r>
            <w:r>
              <w:rPr>
                <w:b/>
                <w:spacing w:val="1"/>
                <w:sz w:val="20"/>
              </w:rPr>
              <w:t> </w:t>
            </w:r>
            <w:r>
              <w:rPr>
                <w:b/>
                <w:spacing w:val="-2"/>
                <w:sz w:val="20"/>
              </w:rPr>
              <w:t>poin)</w:t>
            </w:r>
          </w:p>
        </w:tc>
      </w:tr>
      <w:tr>
        <w:trPr>
          <w:trHeight w:val="690" w:hRule="atLeast"/>
        </w:trPr>
        <w:tc>
          <w:tcPr>
            <w:tcW w:w="564" w:type="dxa"/>
          </w:tcPr>
          <w:p>
            <w:pPr>
              <w:pStyle w:val="TableParagraph"/>
              <w:spacing w:before="224"/>
              <w:ind w:left="106"/>
              <w:rPr>
                <w:sz w:val="20"/>
              </w:rPr>
            </w:pPr>
            <w:r>
              <w:rPr>
                <w:spacing w:val="-10"/>
                <w:sz w:val="20"/>
              </w:rPr>
              <w:t>8</w:t>
            </w:r>
          </w:p>
        </w:tc>
        <w:tc>
          <w:tcPr>
            <w:tcW w:w="1560" w:type="dxa"/>
          </w:tcPr>
          <w:p>
            <w:pPr>
              <w:pStyle w:val="TableParagraph"/>
              <w:spacing w:line="222" w:lineRule="exact"/>
              <w:ind w:left="107"/>
              <w:rPr>
                <w:sz w:val="20"/>
              </w:rPr>
            </w:pPr>
            <w:r>
              <w:rPr>
                <w:spacing w:val="-2"/>
                <w:sz w:val="20"/>
              </w:rPr>
              <w:t>Ringkasan</w:t>
            </w:r>
          </w:p>
          <w:p>
            <w:pPr>
              <w:pStyle w:val="TableParagraph"/>
              <w:spacing w:line="228" w:lineRule="exact"/>
              <w:ind w:left="107" w:right="219"/>
              <w:rPr>
                <w:sz w:val="20"/>
              </w:rPr>
            </w:pPr>
            <w:r>
              <w:rPr>
                <w:sz w:val="20"/>
              </w:rPr>
              <w:t>pekerjaan</w:t>
            </w:r>
            <w:r>
              <w:rPr>
                <w:spacing w:val="-13"/>
                <w:sz w:val="20"/>
              </w:rPr>
              <w:t> </w:t>
            </w:r>
            <w:r>
              <w:rPr>
                <w:sz w:val="20"/>
              </w:rPr>
              <w:t>yang </w:t>
            </w:r>
            <w:r>
              <w:rPr>
                <w:spacing w:val="-2"/>
                <w:sz w:val="20"/>
              </w:rPr>
              <w:t>dilakukan</w:t>
            </w:r>
          </w:p>
        </w:tc>
        <w:tc>
          <w:tcPr>
            <w:tcW w:w="3116" w:type="dxa"/>
          </w:tcPr>
          <w:p>
            <w:pPr>
              <w:pStyle w:val="TableParagraph"/>
              <w:spacing w:line="222" w:lineRule="exact"/>
              <w:ind w:left="107"/>
              <w:rPr>
                <w:sz w:val="20"/>
              </w:rPr>
            </w:pPr>
            <w:r>
              <w:rPr>
                <w:sz w:val="20"/>
              </w:rPr>
              <w:t>Pernyataan</w:t>
            </w:r>
            <w:r>
              <w:rPr>
                <w:spacing w:val="-3"/>
                <w:sz w:val="20"/>
              </w:rPr>
              <w:t> </w:t>
            </w:r>
            <w:r>
              <w:rPr>
                <w:sz w:val="20"/>
              </w:rPr>
              <w:t>yang</w:t>
            </w:r>
            <w:r>
              <w:rPr>
                <w:spacing w:val="1"/>
                <w:sz w:val="20"/>
              </w:rPr>
              <w:t> </w:t>
            </w:r>
            <w:r>
              <w:rPr>
                <w:spacing w:val="-2"/>
                <w:sz w:val="20"/>
              </w:rPr>
              <w:t>menjelaskan</w:t>
            </w:r>
          </w:p>
          <w:p>
            <w:pPr>
              <w:pStyle w:val="TableParagraph"/>
              <w:spacing w:line="228" w:lineRule="exact"/>
              <w:ind w:left="107"/>
              <w:rPr>
                <w:sz w:val="20"/>
              </w:rPr>
            </w:pPr>
            <w:r>
              <w:rPr>
                <w:sz w:val="20"/>
              </w:rPr>
              <w:t>tindakan</w:t>
            </w:r>
            <w:r>
              <w:rPr>
                <w:spacing w:val="-13"/>
                <w:sz w:val="20"/>
              </w:rPr>
              <w:t> </w:t>
            </w:r>
            <w:r>
              <w:rPr>
                <w:sz w:val="20"/>
              </w:rPr>
              <w:t>yang</w:t>
            </w:r>
            <w:r>
              <w:rPr>
                <w:spacing w:val="-10"/>
                <w:sz w:val="20"/>
              </w:rPr>
              <w:t> </w:t>
            </w:r>
            <w:r>
              <w:rPr>
                <w:sz w:val="20"/>
              </w:rPr>
              <w:t>diambil</w:t>
            </w:r>
            <w:r>
              <w:rPr>
                <w:spacing w:val="-13"/>
                <w:sz w:val="20"/>
              </w:rPr>
              <w:t> </w:t>
            </w:r>
            <w:r>
              <w:rPr>
                <w:sz w:val="20"/>
              </w:rPr>
              <w:t>untuk mencapai</w:t>
            </w:r>
            <w:r>
              <w:rPr>
                <w:spacing w:val="-3"/>
                <w:sz w:val="20"/>
              </w:rPr>
              <w:t> </w:t>
            </w:r>
            <w:r>
              <w:rPr>
                <w:sz w:val="20"/>
              </w:rPr>
              <w:t>kesimpulan.</w:t>
            </w:r>
          </w:p>
        </w:tc>
        <w:tc>
          <w:tcPr>
            <w:tcW w:w="2688" w:type="dxa"/>
          </w:tcPr>
          <w:p>
            <w:pPr>
              <w:pStyle w:val="TableParagraph"/>
              <w:spacing w:line="229" w:lineRule="exact" w:before="108"/>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line="229" w:lineRule="exact"/>
              <w:ind w:left="108"/>
              <w:rPr>
                <w:sz w:val="20"/>
              </w:rPr>
            </w:pPr>
            <w:r>
              <w:rPr>
                <w:sz w:val="20"/>
              </w:rPr>
              <w:t>1</w:t>
            </w:r>
            <w:r>
              <w:rPr>
                <w:spacing w:val="-1"/>
                <w:sz w:val="20"/>
              </w:rPr>
              <w:t> </w:t>
            </w:r>
            <w:r>
              <w:rPr>
                <w:sz w:val="20"/>
              </w:rPr>
              <w:t>=</w:t>
            </w:r>
            <w:r>
              <w:rPr>
                <w:spacing w:val="-13"/>
                <w:sz w:val="20"/>
              </w:rPr>
              <w:t> </w:t>
            </w:r>
            <w:r>
              <w:rPr>
                <w:sz w:val="20"/>
              </w:rPr>
              <w:t>Ada </w:t>
            </w:r>
            <w:r>
              <w:rPr>
                <w:spacing w:val="-2"/>
                <w:sz w:val="20"/>
              </w:rPr>
              <w:t>referensi</w:t>
            </w:r>
          </w:p>
        </w:tc>
      </w:tr>
      <w:tr>
        <w:trPr>
          <w:trHeight w:val="2990" w:hRule="atLeast"/>
        </w:trPr>
        <w:tc>
          <w:tcPr>
            <w:tcW w:w="564"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22"/>
              <w:rPr>
                <w:b/>
                <w:sz w:val="20"/>
              </w:rPr>
            </w:pPr>
          </w:p>
          <w:p>
            <w:pPr>
              <w:pStyle w:val="TableParagraph"/>
              <w:spacing w:before="1"/>
              <w:ind w:left="106"/>
              <w:rPr>
                <w:sz w:val="20"/>
              </w:rPr>
            </w:pPr>
            <w:r>
              <w:rPr>
                <w:spacing w:val="-10"/>
                <w:sz w:val="20"/>
              </w:rPr>
              <w:t>9</w:t>
            </w:r>
          </w:p>
        </w:tc>
        <w:tc>
          <w:tcPr>
            <w:tcW w:w="1560" w:type="dxa"/>
          </w:tcPr>
          <w:p>
            <w:pPr>
              <w:pStyle w:val="TableParagraph"/>
              <w:rPr>
                <w:b/>
                <w:sz w:val="20"/>
              </w:rPr>
            </w:pPr>
          </w:p>
          <w:p>
            <w:pPr>
              <w:pStyle w:val="TableParagraph"/>
              <w:rPr>
                <w:b/>
                <w:sz w:val="20"/>
              </w:rPr>
            </w:pPr>
          </w:p>
          <w:p>
            <w:pPr>
              <w:pStyle w:val="TableParagraph"/>
              <w:rPr>
                <w:b/>
                <w:sz w:val="20"/>
              </w:rPr>
            </w:pPr>
          </w:p>
          <w:p>
            <w:pPr>
              <w:pStyle w:val="TableParagraph"/>
              <w:spacing w:before="224"/>
              <w:rPr>
                <w:b/>
                <w:sz w:val="20"/>
              </w:rPr>
            </w:pPr>
          </w:p>
          <w:p>
            <w:pPr>
              <w:pStyle w:val="TableParagraph"/>
              <w:spacing w:before="1"/>
              <w:ind w:left="107" w:right="208"/>
              <w:rPr>
                <w:sz w:val="20"/>
              </w:rPr>
            </w:pPr>
            <w:r>
              <w:rPr>
                <w:spacing w:val="-2"/>
                <w:sz w:val="20"/>
              </w:rPr>
              <w:t>Materialitas </w:t>
            </w:r>
            <w:r>
              <w:rPr>
                <w:sz w:val="20"/>
              </w:rPr>
              <w:t>(dari</w:t>
            </w:r>
            <w:r>
              <w:rPr>
                <w:spacing w:val="-13"/>
                <w:sz w:val="20"/>
              </w:rPr>
              <w:t> </w:t>
            </w:r>
            <w:r>
              <w:rPr>
                <w:sz w:val="20"/>
              </w:rPr>
              <w:t>perspektif </w:t>
            </w:r>
            <w:r>
              <w:rPr>
                <w:i/>
                <w:spacing w:val="-2"/>
                <w:sz w:val="20"/>
              </w:rPr>
              <w:t>Stakeholder</w:t>
            </w:r>
            <w:r>
              <w:rPr>
                <w:spacing w:val="-2"/>
                <w:sz w:val="20"/>
              </w:rPr>
              <w:t>)</w:t>
            </w:r>
          </w:p>
        </w:tc>
        <w:tc>
          <w:tcPr>
            <w:tcW w:w="3116" w:type="dxa"/>
          </w:tcPr>
          <w:p>
            <w:pPr>
              <w:pStyle w:val="TableParagraph"/>
              <w:rPr>
                <w:b/>
                <w:sz w:val="20"/>
              </w:rPr>
            </w:pPr>
          </w:p>
          <w:p>
            <w:pPr>
              <w:pStyle w:val="TableParagraph"/>
              <w:rPr>
                <w:b/>
                <w:sz w:val="20"/>
              </w:rPr>
            </w:pPr>
          </w:p>
          <w:p>
            <w:pPr>
              <w:pStyle w:val="TableParagraph"/>
              <w:spacing w:before="106"/>
              <w:rPr>
                <w:b/>
                <w:sz w:val="20"/>
              </w:rPr>
            </w:pPr>
          </w:p>
          <w:p>
            <w:pPr>
              <w:pStyle w:val="TableParagraph"/>
              <w:ind w:left="107" w:right="154"/>
              <w:rPr>
                <w:sz w:val="20"/>
              </w:rPr>
            </w:pPr>
            <w:r>
              <w:rPr>
                <w:sz w:val="20"/>
              </w:rPr>
              <w:t>Tingkat informasi mengenai materialitas (jika laporan dinyatakan sesuai dengan prinsip AA1000AS: materialitas, kelengkapan,</w:t>
            </w:r>
            <w:r>
              <w:rPr>
                <w:spacing w:val="-10"/>
                <w:sz w:val="20"/>
              </w:rPr>
              <w:t> </w:t>
            </w:r>
            <w:r>
              <w:rPr>
                <w:sz w:val="20"/>
              </w:rPr>
              <w:t>responsivitas</w:t>
            </w:r>
            <w:r>
              <w:rPr>
                <w:spacing w:val="-13"/>
                <w:sz w:val="20"/>
              </w:rPr>
              <w:t> </w:t>
            </w:r>
            <w:r>
              <w:rPr>
                <w:sz w:val="20"/>
              </w:rPr>
              <w:t>→</w:t>
            </w:r>
            <w:r>
              <w:rPr>
                <w:spacing w:val="-12"/>
                <w:sz w:val="20"/>
              </w:rPr>
              <w:t> </w:t>
            </w:r>
            <w:r>
              <w:rPr>
                <w:sz w:val="20"/>
              </w:rPr>
              <w:t>skor 1 diberikan).</w:t>
            </w:r>
          </w:p>
        </w:tc>
        <w:tc>
          <w:tcPr>
            <w:tcW w:w="2688" w:type="dxa"/>
          </w:tcPr>
          <w:p>
            <w:pPr>
              <w:pStyle w:val="TableParagraph"/>
              <w:spacing w:line="222" w:lineRule="exact"/>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before="2"/>
              <w:ind w:left="108"/>
              <w:rPr>
                <w:sz w:val="20"/>
              </w:rPr>
            </w:pPr>
            <w:r>
              <w:rPr>
                <w:sz w:val="20"/>
              </w:rPr>
              <w:t>1 = Referensi terbatas (mis. “mencakup semua aspek material”,</w:t>
            </w:r>
            <w:r>
              <w:rPr>
                <w:spacing w:val="-13"/>
                <w:sz w:val="20"/>
              </w:rPr>
              <w:t> </w:t>
            </w:r>
            <w:r>
              <w:rPr>
                <w:sz w:val="20"/>
              </w:rPr>
              <w:t>tetapi</w:t>
            </w:r>
            <w:r>
              <w:rPr>
                <w:spacing w:val="-12"/>
                <w:sz w:val="20"/>
              </w:rPr>
              <w:t> </w:t>
            </w:r>
            <w:r>
              <w:rPr>
                <w:sz w:val="20"/>
              </w:rPr>
              <w:t>juga</w:t>
            </w:r>
            <w:r>
              <w:rPr>
                <w:spacing w:val="-13"/>
                <w:sz w:val="20"/>
              </w:rPr>
              <w:t> </w:t>
            </w:r>
            <w:r>
              <w:rPr>
                <w:sz w:val="20"/>
              </w:rPr>
              <w:t>termasuk klaim negatif bahwa penyedia assurance tidak meninjau masalah material)</w:t>
            </w:r>
          </w:p>
          <w:p>
            <w:pPr>
              <w:pStyle w:val="TableParagraph"/>
              <w:ind w:left="108" w:right="351"/>
              <w:rPr>
                <w:sz w:val="20"/>
              </w:rPr>
            </w:pPr>
            <w:r>
              <w:rPr>
                <w:sz w:val="20"/>
              </w:rPr>
              <w:t>2</w:t>
            </w:r>
            <w:r>
              <w:rPr>
                <w:spacing w:val="-8"/>
                <w:sz w:val="20"/>
              </w:rPr>
              <w:t> </w:t>
            </w:r>
            <w:r>
              <w:rPr>
                <w:sz w:val="20"/>
              </w:rPr>
              <w:t>=</w:t>
            </w:r>
            <w:r>
              <w:rPr>
                <w:spacing w:val="-8"/>
                <w:sz w:val="20"/>
              </w:rPr>
              <w:t> </w:t>
            </w:r>
            <w:r>
              <w:rPr>
                <w:sz w:val="20"/>
              </w:rPr>
              <w:t>Referensi</w:t>
            </w:r>
            <w:r>
              <w:rPr>
                <w:spacing w:val="-11"/>
                <w:sz w:val="20"/>
              </w:rPr>
              <w:t> </w:t>
            </w:r>
            <w:r>
              <w:rPr>
                <w:sz w:val="20"/>
              </w:rPr>
              <w:t>&amp;</w:t>
            </w:r>
            <w:r>
              <w:rPr>
                <w:spacing w:val="-11"/>
                <w:sz w:val="20"/>
              </w:rPr>
              <w:t> </w:t>
            </w:r>
            <w:r>
              <w:rPr>
                <w:sz w:val="20"/>
              </w:rPr>
              <w:t>penjelasan materialitas</w:t>
            </w:r>
            <w:r>
              <w:rPr>
                <w:spacing w:val="-13"/>
                <w:sz w:val="20"/>
              </w:rPr>
              <w:t> </w:t>
            </w:r>
            <w:r>
              <w:rPr>
                <w:sz w:val="20"/>
              </w:rPr>
              <w:t>atau</w:t>
            </w:r>
            <w:r>
              <w:rPr>
                <w:spacing w:val="-11"/>
                <w:sz w:val="20"/>
              </w:rPr>
              <w:t> </w:t>
            </w:r>
            <w:r>
              <w:rPr>
                <w:sz w:val="20"/>
              </w:rPr>
              <w:t>perspektif </w:t>
            </w:r>
            <w:r>
              <w:rPr>
                <w:i/>
                <w:sz w:val="20"/>
              </w:rPr>
              <w:t>Stakeholder </w:t>
            </w:r>
            <w:r>
              <w:rPr>
                <w:sz w:val="20"/>
              </w:rPr>
              <w:t>diperkenalkan 3 = Referensi, penjelasan materialitas, &amp; perspektif</w:t>
            </w:r>
          </w:p>
          <w:p>
            <w:pPr>
              <w:pStyle w:val="TableParagraph"/>
              <w:spacing w:line="216" w:lineRule="exact"/>
              <w:ind w:left="108"/>
              <w:rPr>
                <w:sz w:val="20"/>
              </w:rPr>
            </w:pPr>
            <w:r>
              <w:rPr>
                <w:i/>
                <w:sz w:val="20"/>
              </w:rPr>
              <w:t>Stakeholder</w:t>
            </w:r>
            <w:r>
              <w:rPr>
                <w:i/>
                <w:spacing w:val="-8"/>
                <w:sz w:val="20"/>
              </w:rPr>
              <w:t> </w:t>
            </w:r>
            <w:r>
              <w:rPr>
                <w:spacing w:val="-2"/>
                <w:sz w:val="20"/>
              </w:rPr>
              <w:t>dijelaskan</w:t>
            </w:r>
          </w:p>
        </w:tc>
      </w:tr>
      <w:tr>
        <w:trPr>
          <w:trHeight w:val="1378" w:hRule="atLeast"/>
        </w:trPr>
        <w:tc>
          <w:tcPr>
            <w:tcW w:w="564" w:type="dxa"/>
          </w:tcPr>
          <w:p>
            <w:pPr>
              <w:pStyle w:val="TableParagraph"/>
              <w:rPr>
                <w:b/>
                <w:sz w:val="20"/>
              </w:rPr>
            </w:pPr>
          </w:p>
          <w:p>
            <w:pPr>
              <w:pStyle w:val="TableParagraph"/>
              <w:spacing w:before="108"/>
              <w:rPr>
                <w:b/>
                <w:sz w:val="20"/>
              </w:rPr>
            </w:pPr>
          </w:p>
          <w:p>
            <w:pPr>
              <w:pStyle w:val="TableParagraph"/>
              <w:ind w:left="106"/>
              <w:rPr>
                <w:sz w:val="20"/>
              </w:rPr>
            </w:pPr>
            <w:r>
              <w:rPr>
                <w:spacing w:val="-5"/>
                <w:sz w:val="20"/>
              </w:rPr>
              <w:t>10</w:t>
            </w:r>
          </w:p>
        </w:tc>
        <w:tc>
          <w:tcPr>
            <w:tcW w:w="1560" w:type="dxa"/>
          </w:tcPr>
          <w:p>
            <w:pPr>
              <w:pStyle w:val="TableParagraph"/>
              <w:rPr>
                <w:b/>
                <w:sz w:val="20"/>
              </w:rPr>
            </w:pPr>
          </w:p>
          <w:p>
            <w:pPr>
              <w:pStyle w:val="TableParagraph"/>
              <w:spacing w:before="108"/>
              <w:rPr>
                <w:b/>
                <w:sz w:val="20"/>
              </w:rPr>
            </w:pPr>
          </w:p>
          <w:p>
            <w:pPr>
              <w:pStyle w:val="TableParagraph"/>
              <w:ind w:left="107"/>
              <w:rPr>
                <w:sz w:val="20"/>
              </w:rPr>
            </w:pPr>
            <w:r>
              <w:rPr>
                <w:spacing w:val="-2"/>
                <w:sz w:val="20"/>
              </w:rPr>
              <w:t>Kelengkapan</w:t>
            </w:r>
          </w:p>
        </w:tc>
        <w:tc>
          <w:tcPr>
            <w:tcW w:w="3116" w:type="dxa"/>
          </w:tcPr>
          <w:p>
            <w:pPr>
              <w:pStyle w:val="TableParagraph"/>
              <w:ind w:left="107"/>
              <w:rPr>
                <w:sz w:val="20"/>
              </w:rPr>
            </w:pPr>
            <w:r>
              <w:rPr>
                <w:sz w:val="20"/>
              </w:rPr>
              <w:t>Pernyataan bahwa semua aspek material</w:t>
            </w:r>
            <w:r>
              <w:rPr>
                <w:spacing w:val="-12"/>
                <w:sz w:val="20"/>
              </w:rPr>
              <w:t> </w:t>
            </w:r>
            <w:r>
              <w:rPr>
                <w:sz w:val="20"/>
              </w:rPr>
              <w:t>dicakup</w:t>
            </w:r>
            <w:r>
              <w:rPr>
                <w:spacing w:val="-6"/>
                <w:sz w:val="20"/>
              </w:rPr>
              <w:t> </w:t>
            </w:r>
            <w:r>
              <w:rPr>
                <w:sz w:val="20"/>
              </w:rPr>
              <w:t>oleh</w:t>
            </w:r>
            <w:r>
              <w:rPr>
                <w:spacing w:val="-6"/>
                <w:sz w:val="20"/>
              </w:rPr>
              <w:t> </w:t>
            </w:r>
            <w:r>
              <w:rPr>
                <w:sz w:val="20"/>
              </w:rPr>
              <w:t>laporan</w:t>
            </w:r>
            <w:r>
              <w:rPr>
                <w:spacing w:val="-10"/>
                <w:sz w:val="20"/>
              </w:rPr>
              <w:t> </w:t>
            </w:r>
            <w:r>
              <w:rPr>
                <w:sz w:val="20"/>
              </w:rPr>
              <w:t>(jika laporan sesuai dengan prinsip AA1000AS: materialitas, kelengkapan,</w:t>
            </w:r>
            <w:r>
              <w:rPr>
                <w:spacing w:val="-11"/>
                <w:sz w:val="20"/>
              </w:rPr>
              <w:t> </w:t>
            </w:r>
            <w:r>
              <w:rPr>
                <w:sz w:val="20"/>
              </w:rPr>
              <w:t>responsivitas</w:t>
            </w:r>
            <w:r>
              <w:rPr>
                <w:spacing w:val="-12"/>
                <w:sz w:val="20"/>
              </w:rPr>
              <w:t> </w:t>
            </w:r>
            <w:r>
              <w:rPr>
                <w:sz w:val="20"/>
              </w:rPr>
              <w:t>→</w:t>
            </w:r>
            <w:r>
              <w:rPr>
                <w:spacing w:val="-12"/>
                <w:sz w:val="20"/>
              </w:rPr>
              <w:t> </w:t>
            </w:r>
            <w:r>
              <w:rPr>
                <w:sz w:val="20"/>
              </w:rPr>
              <w:t>skor</w:t>
            </w:r>
          </w:p>
          <w:p>
            <w:pPr>
              <w:pStyle w:val="TableParagraph"/>
              <w:spacing w:line="214" w:lineRule="exact"/>
              <w:ind w:left="107"/>
              <w:rPr>
                <w:sz w:val="20"/>
              </w:rPr>
            </w:pPr>
            <w:r>
              <w:rPr>
                <w:sz w:val="20"/>
              </w:rPr>
              <w:t>1</w:t>
            </w:r>
            <w:r>
              <w:rPr>
                <w:spacing w:val="1"/>
                <w:sz w:val="20"/>
              </w:rPr>
              <w:t> </w:t>
            </w:r>
            <w:r>
              <w:rPr>
                <w:spacing w:val="-2"/>
                <w:sz w:val="20"/>
              </w:rPr>
              <w:t>diberikan).</w:t>
            </w:r>
          </w:p>
        </w:tc>
        <w:tc>
          <w:tcPr>
            <w:tcW w:w="2688" w:type="dxa"/>
          </w:tcPr>
          <w:p>
            <w:pPr>
              <w:pStyle w:val="TableParagraph"/>
              <w:spacing w:before="222"/>
              <w:rPr>
                <w:b/>
                <w:sz w:val="20"/>
              </w:rPr>
            </w:pPr>
          </w:p>
          <w:p>
            <w:pPr>
              <w:pStyle w:val="TableParagraph"/>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before="2"/>
              <w:ind w:left="108"/>
              <w:rPr>
                <w:sz w:val="20"/>
              </w:rPr>
            </w:pPr>
            <w:r>
              <w:rPr>
                <w:sz w:val="20"/>
              </w:rPr>
              <w:t>1</w:t>
            </w:r>
            <w:r>
              <w:rPr>
                <w:spacing w:val="-1"/>
                <w:sz w:val="20"/>
              </w:rPr>
              <w:t> </w:t>
            </w:r>
            <w:r>
              <w:rPr>
                <w:sz w:val="20"/>
              </w:rPr>
              <w:t>=</w:t>
            </w:r>
            <w:r>
              <w:rPr>
                <w:spacing w:val="-13"/>
                <w:sz w:val="20"/>
              </w:rPr>
              <w:t> </w:t>
            </w:r>
            <w:r>
              <w:rPr>
                <w:sz w:val="20"/>
              </w:rPr>
              <w:t>Ada </w:t>
            </w:r>
            <w:r>
              <w:rPr>
                <w:spacing w:val="-2"/>
                <w:sz w:val="20"/>
              </w:rPr>
              <w:t>referensi</w:t>
            </w:r>
          </w:p>
        </w:tc>
      </w:tr>
      <w:tr>
        <w:trPr>
          <w:trHeight w:val="922" w:hRule="atLeast"/>
        </w:trPr>
        <w:tc>
          <w:tcPr>
            <w:tcW w:w="564" w:type="dxa"/>
          </w:tcPr>
          <w:p>
            <w:pPr>
              <w:pStyle w:val="TableParagraph"/>
              <w:spacing w:before="110"/>
              <w:rPr>
                <w:b/>
                <w:sz w:val="20"/>
              </w:rPr>
            </w:pPr>
          </w:p>
          <w:p>
            <w:pPr>
              <w:pStyle w:val="TableParagraph"/>
              <w:ind w:left="106"/>
              <w:rPr>
                <w:sz w:val="20"/>
              </w:rPr>
            </w:pPr>
            <w:r>
              <w:rPr>
                <w:spacing w:val="-5"/>
                <w:sz w:val="20"/>
              </w:rPr>
              <w:t>11</w:t>
            </w:r>
          </w:p>
        </w:tc>
        <w:tc>
          <w:tcPr>
            <w:tcW w:w="1560" w:type="dxa"/>
          </w:tcPr>
          <w:p>
            <w:pPr>
              <w:pStyle w:val="TableParagraph"/>
              <w:spacing w:line="242" w:lineRule="auto" w:before="108"/>
              <w:ind w:left="107"/>
              <w:rPr>
                <w:sz w:val="20"/>
              </w:rPr>
            </w:pPr>
            <w:r>
              <w:rPr>
                <w:spacing w:val="-2"/>
                <w:sz w:val="20"/>
              </w:rPr>
              <w:t>Responsivitas terhadap</w:t>
            </w:r>
          </w:p>
          <w:p>
            <w:pPr>
              <w:pStyle w:val="TableParagraph"/>
              <w:spacing w:line="225" w:lineRule="exact"/>
              <w:ind w:left="107"/>
              <w:rPr>
                <w:i/>
                <w:sz w:val="20"/>
              </w:rPr>
            </w:pPr>
            <w:r>
              <w:rPr>
                <w:i/>
                <w:spacing w:val="-2"/>
                <w:sz w:val="20"/>
              </w:rPr>
              <w:t>Stakeholder</w:t>
            </w:r>
          </w:p>
        </w:tc>
        <w:tc>
          <w:tcPr>
            <w:tcW w:w="3116" w:type="dxa"/>
          </w:tcPr>
          <w:p>
            <w:pPr>
              <w:pStyle w:val="TableParagraph"/>
              <w:ind w:left="107" w:right="122"/>
              <w:rPr>
                <w:sz w:val="20"/>
              </w:rPr>
            </w:pPr>
            <w:r>
              <w:rPr>
                <w:sz w:val="20"/>
              </w:rPr>
              <w:t>Pernyataan mengenai prosedur organisasi (atau ketiadaannya) untuk</w:t>
            </w:r>
            <w:r>
              <w:rPr>
                <w:spacing w:val="-13"/>
                <w:sz w:val="20"/>
              </w:rPr>
              <w:t> </w:t>
            </w:r>
            <w:r>
              <w:rPr>
                <w:sz w:val="20"/>
              </w:rPr>
              <w:t>mengidentifikasi</w:t>
            </w:r>
            <w:r>
              <w:rPr>
                <w:spacing w:val="-12"/>
                <w:sz w:val="20"/>
              </w:rPr>
              <w:t> </w:t>
            </w:r>
            <w:r>
              <w:rPr>
                <w:sz w:val="20"/>
              </w:rPr>
              <w:t>kepentingan</w:t>
            </w:r>
          </w:p>
          <w:p>
            <w:pPr>
              <w:pStyle w:val="TableParagraph"/>
              <w:spacing w:line="216" w:lineRule="exact"/>
              <w:ind w:left="107"/>
              <w:rPr>
                <w:sz w:val="20"/>
              </w:rPr>
            </w:pPr>
            <w:r>
              <w:rPr>
                <w:sz w:val="20"/>
              </w:rPr>
              <w:t>&amp;</w:t>
            </w:r>
            <w:r>
              <w:rPr>
                <w:spacing w:val="-3"/>
                <w:sz w:val="20"/>
              </w:rPr>
              <w:t> </w:t>
            </w:r>
            <w:r>
              <w:rPr>
                <w:sz w:val="20"/>
              </w:rPr>
              <w:t>kekhawatiran</w:t>
            </w:r>
            <w:r>
              <w:rPr>
                <w:spacing w:val="-1"/>
                <w:sz w:val="20"/>
              </w:rPr>
              <w:t> </w:t>
            </w:r>
            <w:r>
              <w:rPr>
                <w:i/>
                <w:spacing w:val="-2"/>
                <w:sz w:val="20"/>
              </w:rPr>
              <w:t>Stakeholder</w:t>
            </w:r>
            <w:r>
              <w:rPr>
                <w:spacing w:val="-2"/>
                <w:sz w:val="20"/>
              </w:rPr>
              <w:t>.</w:t>
            </w:r>
          </w:p>
        </w:tc>
        <w:tc>
          <w:tcPr>
            <w:tcW w:w="2688" w:type="dxa"/>
          </w:tcPr>
          <w:p>
            <w:pPr>
              <w:pStyle w:val="TableParagraph"/>
              <w:spacing w:before="224"/>
              <w:ind w:left="108"/>
              <w:rPr>
                <w:sz w:val="20"/>
              </w:rPr>
            </w:pPr>
            <w:r>
              <w:rPr>
                <w:sz w:val="20"/>
              </w:rPr>
              <w:t>0</w:t>
            </w:r>
            <w:r>
              <w:rPr>
                <w:spacing w:val="-4"/>
                <w:sz w:val="20"/>
              </w:rPr>
              <w:t> </w:t>
            </w:r>
            <w:r>
              <w:rPr>
                <w:sz w:val="20"/>
              </w:rPr>
              <w:t>=</w:t>
            </w:r>
            <w:r>
              <w:rPr>
                <w:spacing w:val="-7"/>
                <w:sz w:val="20"/>
              </w:rPr>
              <w:t> </w:t>
            </w:r>
            <w:r>
              <w:rPr>
                <w:sz w:val="20"/>
              </w:rPr>
              <w:t>Tidak</w:t>
            </w:r>
            <w:r>
              <w:rPr>
                <w:spacing w:val="-3"/>
                <w:sz w:val="20"/>
              </w:rPr>
              <w:t> </w:t>
            </w:r>
            <w:r>
              <w:rPr>
                <w:sz w:val="20"/>
              </w:rPr>
              <w:t>ada</w:t>
            </w:r>
            <w:r>
              <w:rPr>
                <w:spacing w:val="-3"/>
                <w:sz w:val="20"/>
              </w:rPr>
              <w:t> </w:t>
            </w:r>
            <w:r>
              <w:rPr>
                <w:spacing w:val="-2"/>
                <w:sz w:val="20"/>
              </w:rPr>
              <w:t>referensi</w:t>
            </w:r>
          </w:p>
          <w:p>
            <w:pPr>
              <w:pStyle w:val="TableParagraph"/>
              <w:spacing w:before="2"/>
              <w:ind w:left="108"/>
              <w:rPr>
                <w:sz w:val="20"/>
              </w:rPr>
            </w:pPr>
            <w:r>
              <w:rPr>
                <w:sz w:val="20"/>
              </w:rPr>
              <w:t>1</w:t>
            </w:r>
            <w:r>
              <w:rPr>
                <w:spacing w:val="-1"/>
                <w:sz w:val="20"/>
              </w:rPr>
              <w:t> </w:t>
            </w:r>
            <w:r>
              <w:rPr>
                <w:sz w:val="20"/>
              </w:rPr>
              <w:t>=</w:t>
            </w:r>
            <w:r>
              <w:rPr>
                <w:spacing w:val="-13"/>
                <w:sz w:val="20"/>
              </w:rPr>
              <w:t> </w:t>
            </w:r>
            <w:r>
              <w:rPr>
                <w:sz w:val="20"/>
              </w:rPr>
              <w:t>Ada </w:t>
            </w:r>
            <w:r>
              <w:rPr>
                <w:spacing w:val="-2"/>
                <w:sz w:val="20"/>
              </w:rPr>
              <w:t>referensi</w:t>
            </w:r>
          </w:p>
        </w:tc>
      </w:tr>
      <w:tr>
        <w:trPr>
          <w:trHeight w:val="1606" w:hRule="atLeast"/>
        </w:trPr>
        <w:tc>
          <w:tcPr>
            <w:tcW w:w="564" w:type="dxa"/>
          </w:tcPr>
          <w:p>
            <w:pPr>
              <w:pStyle w:val="TableParagraph"/>
              <w:rPr>
                <w:b/>
                <w:sz w:val="20"/>
              </w:rPr>
            </w:pPr>
          </w:p>
          <w:p>
            <w:pPr>
              <w:pStyle w:val="TableParagraph"/>
              <w:spacing w:before="224"/>
              <w:rPr>
                <w:b/>
                <w:sz w:val="20"/>
              </w:rPr>
            </w:pPr>
          </w:p>
          <w:p>
            <w:pPr>
              <w:pStyle w:val="TableParagraph"/>
              <w:ind w:left="106"/>
              <w:rPr>
                <w:sz w:val="20"/>
              </w:rPr>
            </w:pPr>
            <w:r>
              <w:rPr>
                <w:spacing w:val="-5"/>
                <w:sz w:val="20"/>
              </w:rPr>
              <w:t>12</w:t>
            </w:r>
          </w:p>
        </w:tc>
        <w:tc>
          <w:tcPr>
            <w:tcW w:w="1560" w:type="dxa"/>
          </w:tcPr>
          <w:p>
            <w:pPr>
              <w:pStyle w:val="TableParagraph"/>
              <w:spacing w:before="222"/>
              <w:rPr>
                <w:b/>
                <w:sz w:val="20"/>
              </w:rPr>
            </w:pPr>
          </w:p>
          <w:p>
            <w:pPr>
              <w:pStyle w:val="TableParagraph"/>
              <w:ind w:left="107" w:right="520"/>
              <w:rPr>
                <w:sz w:val="20"/>
              </w:rPr>
            </w:pPr>
            <w:r>
              <w:rPr>
                <w:spacing w:val="-2"/>
                <w:sz w:val="20"/>
              </w:rPr>
              <w:t>Opini kesimpulan </w:t>
            </w:r>
            <w:r>
              <w:rPr>
                <w:spacing w:val="-4"/>
                <w:sz w:val="20"/>
              </w:rPr>
              <w:t>umum</w:t>
            </w:r>
          </w:p>
        </w:tc>
        <w:tc>
          <w:tcPr>
            <w:tcW w:w="3116" w:type="dxa"/>
          </w:tcPr>
          <w:p>
            <w:pPr>
              <w:pStyle w:val="TableParagraph"/>
              <w:spacing w:before="108"/>
              <w:ind w:left="107" w:right="154"/>
              <w:rPr>
                <w:sz w:val="20"/>
              </w:rPr>
            </w:pPr>
            <w:r>
              <w:rPr>
                <w:sz w:val="20"/>
              </w:rPr>
              <w:t>Pernyataan hasil engagement assurance (kesimpulan keseluruhan).</w:t>
            </w:r>
            <w:r>
              <w:rPr>
                <w:spacing w:val="-13"/>
                <w:sz w:val="20"/>
              </w:rPr>
              <w:t> </w:t>
            </w:r>
            <w:r>
              <w:rPr>
                <w:sz w:val="20"/>
              </w:rPr>
              <w:t>Jika</w:t>
            </w:r>
            <w:r>
              <w:rPr>
                <w:spacing w:val="-12"/>
                <w:sz w:val="20"/>
              </w:rPr>
              <w:t> </w:t>
            </w:r>
            <w:r>
              <w:rPr>
                <w:sz w:val="20"/>
              </w:rPr>
              <w:t>hanya</w:t>
            </w:r>
            <w:r>
              <w:rPr>
                <w:spacing w:val="-13"/>
                <w:sz w:val="20"/>
              </w:rPr>
              <w:t> </w:t>
            </w:r>
            <w:r>
              <w:rPr>
                <w:sz w:val="20"/>
              </w:rPr>
              <w:t>mengacu pada 3 prinsip AA1000AS (materialitas, kelengkapan, responsivitas) → skor 0.</w:t>
            </w:r>
          </w:p>
        </w:tc>
        <w:tc>
          <w:tcPr>
            <w:tcW w:w="2688" w:type="dxa"/>
          </w:tcPr>
          <w:p>
            <w:pPr>
              <w:pStyle w:val="TableParagraph"/>
              <w:ind w:left="108" w:right="156"/>
              <w:rPr>
                <w:sz w:val="20"/>
              </w:rPr>
            </w:pPr>
            <w:r>
              <w:rPr>
                <w:sz w:val="20"/>
              </w:rPr>
              <w:t>0 = Tidak ada pernyataan opini</w:t>
            </w:r>
            <w:r>
              <w:rPr>
                <w:spacing w:val="-13"/>
                <w:sz w:val="20"/>
              </w:rPr>
              <w:t> </w:t>
            </w:r>
            <w:r>
              <w:rPr>
                <w:sz w:val="20"/>
              </w:rPr>
              <w:t>dari</w:t>
            </w:r>
            <w:r>
              <w:rPr>
                <w:spacing w:val="-12"/>
                <w:sz w:val="20"/>
              </w:rPr>
              <w:t> </w:t>
            </w:r>
            <w:r>
              <w:rPr>
                <w:sz w:val="20"/>
              </w:rPr>
              <w:t>penyedia</w:t>
            </w:r>
            <w:r>
              <w:rPr>
                <w:spacing w:val="-13"/>
                <w:sz w:val="20"/>
              </w:rPr>
              <w:t> </w:t>
            </w:r>
            <w:r>
              <w:rPr>
                <w:sz w:val="20"/>
              </w:rPr>
              <w:t>assurance 1 = Pernyataan opini dari penyedia assurance</w:t>
            </w:r>
          </w:p>
          <w:p>
            <w:pPr>
              <w:pStyle w:val="TableParagraph"/>
              <w:ind w:left="108"/>
              <w:rPr>
                <w:sz w:val="20"/>
              </w:rPr>
            </w:pPr>
            <w:r>
              <w:rPr>
                <w:sz w:val="20"/>
              </w:rPr>
              <w:t>2</w:t>
            </w:r>
            <w:r>
              <w:rPr>
                <w:spacing w:val="-2"/>
                <w:sz w:val="20"/>
              </w:rPr>
              <w:t> </w:t>
            </w:r>
            <w:r>
              <w:rPr>
                <w:sz w:val="20"/>
              </w:rPr>
              <w:t>=</w:t>
            </w:r>
            <w:r>
              <w:rPr>
                <w:spacing w:val="-1"/>
                <w:sz w:val="20"/>
              </w:rPr>
              <w:t> </w:t>
            </w:r>
            <w:r>
              <w:rPr>
                <w:sz w:val="20"/>
              </w:rPr>
              <w:t>penjelasan</w:t>
            </w:r>
            <w:r>
              <w:rPr>
                <w:spacing w:val="-4"/>
                <w:sz w:val="20"/>
              </w:rPr>
              <w:t> </w:t>
            </w:r>
            <w:r>
              <w:rPr>
                <w:spacing w:val="-2"/>
                <w:sz w:val="20"/>
              </w:rPr>
              <w:t>tambahan</w:t>
            </w:r>
          </w:p>
          <w:p>
            <w:pPr>
              <w:pStyle w:val="TableParagraph"/>
              <w:spacing w:line="228" w:lineRule="exact"/>
              <w:ind w:left="108" w:right="286"/>
              <w:rPr>
                <w:sz w:val="20"/>
              </w:rPr>
            </w:pPr>
            <w:r>
              <w:rPr>
                <w:sz w:val="20"/>
              </w:rPr>
              <w:t>termasuk keterbatasan pekerjaan</w:t>
            </w:r>
            <w:r>
              <w:rPr>
                <w:spacing w:val="-13"/>
                <w:sz w:val="20"/>
              </w:rPr>
              <w:t> </w:t>
            </w:r>
            <w:r>
              <w:rPr>
                <w:sz w:val="20"/>
              </w:rPr>
              <w:t>yang</w:t>
            </w:r>
            <w:r>
              <w:rPr>
                <w:spacing w:val="-12"/>
                <w:sz w:val="20"/>
              </w:rPr>
              <w:t> </w:t>
            </w:r>
            <w:r>
              <w:rPr>
                <w:sz w:val="20"/>
              </w:rPr>
              <w:t>dilakukan</w:t>
            </w:r>
          </w:p>
        </w:tc>
      </w:tr>
    </w:tbl>
    <w:p>
      <w:pPr>
        <w:spacing w:before="223"/>
        <w:ind w:left="568" w:right="0" w:firstLine="0"/>
        <w:jc w:val="left"/>
        <w:rPr>
          <w:i/>
          <w:sz w:val="22"/>
        </w:rPr>
      </w:pPr>
      <w:bookmarkStart w:name="_bookmark33" w:id="34"/>
      <w:bookmarkEnd w:id="34"/>
      <w:r>
        <w:rPr/>
      </w:r>
      <w:r>
        <w:rPr>
          <w:i/>
          <w:sz w:val="22"/>
        </w:rPr>
        <w:t>Sumber</w:t>
      </w:r>
      <w:r>
        <w:rPr>
          <w:i/>
          <w:spacing w:val="-5"/>
          <w:sz w:val="22"/>
        </w:rPr>
        <w:t> </w:t>
      </w:r>
      <w:r>
        <w:rPr>
          <w:i/>
          <w:sz w:val="22"/>
        </w:rPr>
        <w:t>:</w:t>
      </w:r>
      <w:r>
        <w:rPr>
          <w:i/>
          <w:spacing w:val="-3"/>
          <w:sz w:val="22"/>
        </w:rPr>
        <w:t> </w:t>
      </w:r>
      <w:r>
        <w:rPr>
          <w:i/>
          <w:sz w:val="22"/>
        </w:rPr>
        <w:t>Martínez-Ferrero</w:t>
      </w:r>
      <w:r>
        <w:rPr>
          <w:i/>
          <w:spacing w:val="-1"/>
          <w:sz w:val="22"/>
        </w:rPr>
        <w:t> </w:t>
      </w:r>
      <w:r>
        <w:rPr>
          <w:i/>
          <w:sz w:val="22"/>
        </w:rPr>
        <w:t>et</w:t>
      </w:r>
      <w:r>
        <w:rPr>
          <w:i/>
          <w:spacing w:val="-5"/>
          <w:sz w:val="22"/>
        </w:rPr>
        <w:t> </w:t>
      </w:r>
      <w:r>
        <w:rPr>
          <w:i/>
          <w:sz w:val="22"/>
        </w:rPr>
        <w:t>al.</w:t>
      </w:r>
      <w:r>
        <w:rPr>
          <w:i/>
          <w:spacing w:val="-2"/>
          <w:sz w:val="22"/>
        </w:rPr>
        <w:t> (2018).</w:t>
      </w:r>
    </w:p>
    <w:p>
      <w:pPr>
        <w:pStyle w:val="Heading3"/>
        <w:numPr>
          <w:ilvl w:val="2"/>
          <w:numId w:val="27"/>
        </w:numPr>
        <w:tabs>
          <w:tab w:pos="1288" w:val="left" w:leader="none"/>
        </w:tabs>
        <w:spacing w:line="240" w:lineRule="auto" w:before="252" w:after="0"/>
        <w:ind w:left="1288" w:right="0" w:hanging="720"/>
        <w:jc w:val="both"/>
      </w:pPr>
      <w:bookmarkStart w:name="_bookmark34" w:id="35"/>
      <w:bookmarkEnd w:id="35"/>
      <w:r>
        <w:rPr>
          <w:b w:val="0"/>
        </w:rPr>
      </w:r>
      <w:r>
        <w:rPr/>
        <w:t>Variabel</w:t>
      </w:r>
      <w:r>
        <w:rPr>
          <w:spacing w:val="-6"/>
        </w:rPr>
        <w:t> </w:t>
      </w:r>
      <w:r>
        <w:rPr>
          <w:spacing w:val="-2"/>
        </w:rPr>
        <w:t>Independen</w:t>
      </w:r>
    </w:p>
    <w:p>
      <w:pPr>
        <w:pStyle w:val="BodyText"/>
        <w:spacing w:line="480" w:lineRule="auto" w:before="272"/>
        <w:ind w:left="568" w:right="564" w:firstLine="780"/>
        <w:jc w:val="both"/>
      </w:pPr>
      <w:r>
        <w:rPr/>
        <w:t>Ada beberapa variabel independen yang dipakai dalam penelitian ini. Diantaranya</w:t>
      </w:r>
      <w:r>
        <w:rPr>
          <w:spacing w:val="-4"/>
        </w:rPr>
        <w:t> </w:t>
      </w:r>
      <w:r>
        <w:rPr/>
        <w:t>adalah</w:t>
      </w:r>
      <w:r>
        <w:rPr>
          <w:spacing w:val="-6"/>
        </w:rPr>
        <w:t> </w:t>
      </w:r>
      <w:r>
        <w:rPr>
          <w:i/>
        </w:rPr>
        <w:t>leverage,</w:t>
      </w:r>
      <w:r>
        <w:rPr>
          <w:i/>
          <w:spacing w:val="-5"/>
        </w:rPr>
        <w:t> </w:t>
      </w:r>
      <w:r>
        <w:rPr>
          <w:i/>
        </w:rPr>
        <w:t>debt</w:t>
      </w:r>
      <w:r>
        <w:rPr>
          <w:i/>
          <w:spacing w:val="-5"/>
        </w:rPr>
        <w:t> </w:t>
      </w:r>
      <w:r>
        <w:rPr>
          <w:i/>
        </w:rPr>
        <w:t>maturity,</w:t>
      </w:r>
      <w:r>
        <w:rPr>
          <w:i/>
          <w:spacing w:val="-2"/>
        </w:rPr>
        <w:t> </w:t>
      </w:r>
      <w:r>
        <w:rPr/>
        <w:t>dan</w:t>
      </w:r>
      <w:r>
        <w:rPr>
          <w:spacing w:val="-5"/>
        </w:rPr>
        <w:t> </w:t>
      </w:r>
      <w:r>
        <w:rPr>
          <w:i/>
        </w:rPr>
        <w:t>Assurance</w:t>
      </w:r>
      <w:r>
        <w:rPr>
          <w:i/>
          <w:spacing w:val="-3"/>
        </w:rPr>
        <w:t> </w:t>
      </w:r>
      <w:r>
        <w:rPr>
          <w:i/>
        </w:rPr>
        <w:t>Tenure</w:t>
      </w:r>
      <w:r>
        <w:rPr/>
        <w:t>.</w:t>
      </w:r>
      <w:r>
        <w:rPr>
          <w:spacing w:val="-9"/>
        </w:rPr>
        <w:t> </w:t>
      </w:r>
      <w:r>
        <w:rPr/>
        <w:t>Berikut</w:t>
      </w:r>
      <w:r>
        <w:rPr>
          <w:spacing w:val="-5"/>
        </w:rPr>
        <w:t> </w:t>
      </w:r>
      <w:r>
        <w:rPr/>
        <w:t>adalah penjelasan mengenai variabel independen pada penelitian ini</w:t>
      </w:r>
    </w:p>
    <w:p>
      <w:pPr>
        <w:pStyle w:val="BodyText"/>
        <w:spacing w:after="0" w:line="480" w:lineRule="auto"/>
        <w:jc w:val="both"/>
        <w:sectPr>
          <w:pgSz w:w="11910" w:h="16840"/>
          <w:pgMar w:header="710" w:footer="0" w:top="1920" w:bottom="280" w:left="1700" w:right="1133"/>
        </w:sectPr>
      </w:pPr>
    </w:p>
    <w:p>
      <w:pPr>
        <w:pStyle w:val="BodyText"/>
        <w:spacing w:before="52"/>
      </w:pPr>
    </w:p>
    <w:p>
      <w:pPr>
        <w:pStyle w:val="Heading3"/>
        <w:numPr>
          <w:ilvl w:val="3"/>
          <w:numId w:val="27"/>
        </w:numPr>
        <w:tabs>
          <w:tab w:pos="1288" w:val="left" w:leader="none"/>
        </w:tabs>
        <w:spacing w:line="240" w:lineRule="auto" w:before="0" w:after="0"/>
        <w:ind w:left="1288" w:right="0" w:hanging="720"/>
        <w:jc w:val="both"/>
      </w:pPr>
      <w:bookmarkStart w:name="_bookmark35" w:id="36"/>
      <w:bookmarkEnd w:id="36"/>
      <w:r>
        <w:rPr>
          <w:b w:val="0"/>
        </w:rPr>
      </w:r>
      <w:r>
        <w:rPr>
          <w:spacing w:val="-2"/>
        </w:rPr>
        <w:t>Leverage</w:t>
      </w:r>
    </w:p>
    <w:p>
      <w:pPr>
        <w:pStyle w:val="BodyText"/>
        <w:spacing w:line="480" w:lineRule="auto" w:before="272"/>
        <w:ind w:left="568" w:right="567" w:firstLine="720"/>
        <w:jc w:val="both"/>
      </w:pPr>
      <w:r>
        <w:rPr>
          <w:i/>
        </w:rPr>
        <w:t>Leverage </w:t>
      </w:r>
      <w:r>
        <w:rPr/>
        <w:t>menggambarkan seberapa besar perusahaan menggunakan dana pinjaman (utang) dibandingkan dengan modal sendiri dalam membiayai asetnya. Tingkat </w:t>
      </w:r>
      <w:r>
        <w:rPr>
          <w:i/>
        </w:rPr>
        <w:t>leverage </w:t>
      </w:r>
      <w:r>
        <w:rPr/>
        <w:t>yang</w:t>
      </w:r>
      <w:r>
        <w:rPr>
          <w:spacing w:val="-4"/>
        </w:rPr>
        <w:t> </w:t>
      </w:r>
      <w:r>
        <w:rPr/>
        <w:t>tinggi menunjukkan ketergantungan perusahaan yang</w:t>
      </w:r>
      <w:r>
        <w:rPr>
          <w:spacing w:val="-4"/>
        </w:rPr>
        <w:t> </w:t>
      </w:r>
      <w:r>
        <w:rPr/>
        <w:t>lebih besar terhadap pembiayaan eksternal, yang dapat meningkatkan risiko keuangan namun juga berpotensi memperbesar keuntungan apabila dana tersebut digunakan secara efisien untuk kegiatan produktif.</w:t>
      </w:r>
    </w:p>
    <w:p>
      <w:pPr>
        <w:pStyle w:val="BodyText"/>
        <w:spacing w:line="480" w:lineRule="auto" w:before="161"/>
        <w:ind w:left="568" w:right="565" w:firstLine="720"/>
        <w:jc w:val="both"/>
      </w:pPr>
      <w:r>
        <w:rPr/>
        <w:t>Pada penelitian ini, </w:t>
      </w:r>
      <w:r>
        <w:rPr>
          <w:i/>
        </w:rPr>
        <w:t>Leverage </w:t>
      </w:r>
      <w:r>
        <w:rPr/>
        <w:t>diukur dengan membandingkan jumlah liabilitas dan jumlah aset (Rasio DAR) perusahaan. Rasio ini menggambarkan seberapa besar bagian aset perusahaan yang dibiayai oleh utang dibandingkan dengan</w:t>
      </w:r>
      <w:r>
        <w:rPr>
          <w:spacing w:val="-14"/>
        </w:rPr>
        <w:t> </w:t>
      </w:r>
      <w:r>
        <w:rPr/>
        <w:t>modal</w:t>
      </w:r>
      <w:r>
        <w:rPr>
          <w:spacing w:val="-14"/>
        </w:rPr>
        <w:t> </w:t>
      </w:r>
      <w:r>
        <w:rPr/>
        <w:t>sendiri.</w:t>
      </w:r>
      <w:r>
        <w:rPr>
          <w:spacing w:val="-11"/>
        </w:rPr>
        <w:t> </w:t>
      </w:r>
      <w:r>
        <w:rPr/>
        <w:t>Untuk</w:t>
      </w:r>
      <w:r>
        <w:rPr>
          <w:spacing w:val="-14"/>
        </w:rPr>
        <w:t> </w:t>
      </w:r>
      <w:r>
        <w:rPr/>
        <w:t>rumus</w:t>
      </w:r>
      <w:r>
        <w:rPr>
          <w:spacing w:val="-15"/>
        </w:rPr>
        <w:t> </w:t>
      </w:r>
      <w:r>
        <w:rPr/>
        <w:t>perhitungan</w:t>
      </w:r>
      <w:r>
        <w:rPr>
          <w:spacing w:val="-14"/>
        </w:rPr>
        <w:t> </w:t>
      </w:r>
      <w:r>
        <w:rPr/>
        <w:t>DAR,</w:t>
      </w:r>
      <w:r>
        <w:rPr>
          <w:spacing w:val="-14"/>
        </w:rPr>
        <w:t> </w:t>
      </w:r>
      <w:r>
        <w:rPr/>
        <w:t>penelitian</w:t>
      </w:r>
      <w:r>
        <w:rPr>
          <w:spacing w:val="-14"/>
        </w:rPr>
        <w:t> </w:t>
      </w:r>
      <w:r>
        <w:rPr/>
        <w:t>ini</w:t>
      </w:r>
      <w:r>
        <w:rPr>
          <w:spacing w:val="-14"/>
        </w:rPr>
        <w:t> </w:t>
      </w:r>
      <w:r>
        <w:rPr/>
        <w:t>mengacu</w:t>
      </w:r>
      <w:r>
        <w:rPr>
          <w:spacing w:val="-14"/>
        </w:rPr>
        <w:t> </w:t>
      </w:r>
      <w:r>
        <w:rPr/>
        <w:t>pada rumus penelitian Bugshan et al., (2024) yaitu:</w:t>
      </w:r>
    </w:p>
    <w:p>
      <w:pPr>
        <w:pStyle w:val="BodyText"/>
        <w:spacing w:before="7"/>
        <w:rPr>
          <w:sz w:val="12"/>
        </w:rPr>
      </w:pPr>
      <w:r>
        <w:rPr>
          <w:sz w:val="12"/>
        </w:rPr>
        <mc:AlternateContent>
          <mc:Choice Requires="wps">
            <w:drawing>
              <wp:anchor distT="0" distB="0" distL="0" distR="0" allowOverlap="1" layoutInCell="1" locked="0" behindDoc="1" simplePos="0" relativeHeight="487591936">
                <wp:simplePos x="0" y="0"/>
                <wp:positionH relativeFrom="page">
                  <wp:posOffset>1440561</wp:posOffset>
                </wp:positionH>
                <wp:positionV relativeFrom="paragraph">
                  <wp:posOffset>107672</wp:posOffset>
                </wp:positionV>
                <wp:extent cx="5041265" cy="50609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041265" cy="506095"/>
                          <a:chExt cx="5041265" cy="506095"/>
                        </a:xfrm>
                      </wpg:grpSpPr>
                      <wps:wsp>
                        <wps:cNvPr id="13" name="Graphic 13"/>
                        <wps:cNvSpPr/>
                        <wps:spPr>
                          <a:xfrm>
                            <a:off x="0" y="0"/>
                            <a:ext cx="5041265" cy="506095"/>
                          </a:xfrm>
                          <a:custGeom>
                            <a:avLst/>
                            <a:gdLst/>
                            <a:ahLst/>
                            <a:cxnLst/>
                            <a:rect l="l" t="t" r="r" b="b"/>
                            <a:pathLst>
                              <a:path w="5041265" h="506095">
                                <a:moveTo>
                                  <a:pt x="5080" y="7683"/>
                                </a:moveTo>
                                <a:lnTo>
                                  <a:pt x="0" y="7683"/>
                                </a:lnTo>
                                <a:lnTo>
                                  <a:pt x="0" y="500761"/>
                                </a:lnTo>
                                <a:lnTo>
                                  <a:pt x="5080" y="500761"/>
                                </a:lnTo>
                                <a:lnTo>
                                  <a:pt x="5080" y="7683"/>
                                </a:lnTo>
                                <a:close/>
                              </a:path>
                              <a:path w="5041265" h="506095">
                                <a:moveTo>
                                  <a:pt x="5040871" y="500773"/>
                                </a:moveTo>
                                <a:lnTo>
                                  <a:pt x="5035931" y="500773"/>
                                </a:lnTo>
                                <a:lnTo>
                                  <a:pt x="5035804" y="500773"/>
                                </a:lnTo>
                                <a:lnTo>
                                  <a:pt x="5080" y="500773"/>
                                </a:lnTo>
                                <a:lnTo>
                                  <a:pt x="0" y="500773"/>
                                </a:lnTo>
                                <a:lnTo>
                                  <a:pt x="0" y="505841"/>
                                </a:lnTo>
                                <a:lnTo>
                                  <a:pt x="5080" y="505841"/>
                                </a:lnTo>
                                <a:lnTo>
                                  <a:pt x="5035804" y="505841"/>
                                </a:lnTo>
                                <a:lnTo>
                                  <a:pt x="5035931" y="505841"/>
                                </a:lnTo>
                                <a:lnTo>
                                  <a:pt x="5040871" y="505841"/>
                                </a:lnTo>
                                <a:lnTo>
                                  <a:pt x="5040871" y="500773"/>
                                </a:lnTo>
                                <a:close/>
                              </a:path>
                              <a:path w="5041265" h="506095">
                                <a:moveTo>
                                  <a:pt x="5040871" y="7683"/>
                                </a:moveTo>
                                <a:lnTo>
                                  <a:pt x="5035804" y="7683"/>
                                </a:lnTo>
                                <a:lnTo>
                                  <a:pt x="5035804" y="500761"/>
                                </a:lnTo>
                                <a:lnTo>
                                  <a:pt x="5040871" y="500761"/>
                                </a:lnTo>
                                <a:lnTo>
                                  <a:pt x="5040871" y="7683"/>
                                </a:lnTo>
                                <a:close/>
                              </a:path>
                              <a:path w="5041265" h="506095">
                                <a:moveTo>
                                  <a:pt x="5040871" y="0"/>
                                </a:moveTo>
                                <a:lnTo>
                                  <a:pt x="5035804" y="0"/>
                                </a:lnTo>
                                <a:lnTo>
                                  <a:pt x="5080" y="12"/>
                                </a:lnTo>
                                <a:lnTo>
                                  <a:pt x="0" y="0"/>
                                </a:lnTo>
                                <a:lnTo>
                                  <a:pt x="0" y="5080"/>
                                </a:lnTo>
                                <a:lnTo>
                                  <a:pt x="0" y="7620"/>
                                </a:lnTo>
                                <a:lnTo>
                                  <a:pt x="5080" y="7620"/>
                                </a:lnTo>
                                <a:lnTo>
                                  <a:pt x="5080" y="5080"/>
                                </a:lnTo>
                                <a:lnTo>
                                  <a:pt x="5035804" y="5080"/>
                                </a:lnTo>
                                <a:lnTo>
                                  <a:pt x="5035804" y="7620"/>
                                </a:lnTo>
                                <a:lnTo>
                                  <a:pt x="5040871" y="7620"/>
                                </a:lnTo>
                                <a:lnTo>
                                  <a:pt x="5040871" y="5080"/>
                                </a:lnTo>
                                <a:lnTo>
                                  <a:pt x="5040871" y="12"/>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528573" y="19566"/>
                            <a:ext cx="4410075" cy="207645"/>
                          </a:xfrm>
                          <a:prstGeom prst="rect">
                            <a:avLst/>
                          </a:prstGeom>
                        </wps:spPr>
                        <wps:txbx>
                          <w:txbxContent>
                            <w:p>
                              <w:pPr>
                                <w:tabs>
                                  <w:tab w:pos="6924" w:val="right" w:leader="dot"/>
                                </w:tabs>
                                <w:spacing w:line="139" w:lineRule="auto" w:before="8"/>
                                <w:ind w:left="0" w:right="0" w:firstLine="0"/>
                                <w:jc w:val="left"/>
                                <w:rPr>
                                  <w:position w:val="-13"/>
                                  <w:sz w:val="24"/>
                                </w:rPr>
                              </w:pPr>
                              <w:r>
                                <w:rPr>
                                  <w:rFonts w:ascii="Cambria Math"/>
                                  <w:position w:val="-13"/>
                                  <w:sz w:val="24"/>
                                </w:rPr>
                                <w:t>DAR</w:t>
                              </w:r>
                              <w:r>
                                <w:rPr>
                                  <w:rFonts w:ascii="Cambria Math"/>
                                  <w:spacing w:val="26"/>
                                  <w:position w:val="-13"/>
                                  <w:sz w:val="24"/>
                                </w:rPr>
                                <w:t> </w:t>
                              </w:r>
                              <w:r>
                                <w:rPr>
                                  <w:rFonts w:ascii="Cambria Math"/>
                                  <w:position w:val="-13"/>
                                  <w:sz w:val="24"/>
                                </w:rPr>
                                <w:t>=</w:t>
                              </w:r>
                              <w:r>
                                <w:rPr>
                                  <w:rFonts w:ascii="Cambria Math"/>
                                  <w:spacing w:val="62"/>
                                  <w:w w:val="150"/>
                                  <w:position w:val="-13"/>
                                  <w:sz w:val="24"/>
                                </w:rPr>
                                <w:t> </w:t>
                              </w:r>
                              <w:r>
                                <w:rPr>
                                  <w:rFonts w:ascii="Cambria Math"/>
                                  <w:sz w:val="17"/>
                                  <w:u w:val="single"/>
                                </w:rPr>
                                <w:t>Total</w:t>
                              </w:r>
                              <w:r>
                                <w:rPr>
                                  <w:rFonts w:ascii="Cambria Math"/>
                                  <w:spacing w:val="7"/>
                                  <w:sz w:val="17"/>
                                  <w:u w:val="single"/>
                                </w:rPr>
                                <w:t> </w:t>
                              </w:r>
                              <w:r>
                                <w:rPr>
                                  <w:rFonts w:ascii="Cambria Math"/>
                                  <w:spacing w:val="-2"/>
                                  <w:sz w:val="17"/>
                                  <w:u w:val="single"/>
                                </w:rPr>
                                <w:t>Utang</w:t>
                              </w:r>
                              <w:r>
                                <w:rPr>
                                  <w:sz w:val="17"/>
                                </w:rPr>
                                <w:tab/>
                              </w:r>
                              <w:r>
                                <w:rPr>
                                  <w:spacing w:val="-5"/>
                                  <w:position w:val="-13"/>
                                  <w:sz w:val="24"/>
                                </w:rPr>
                                <w:t>3.1</w:t>
                              </w:r>
                            </w:p>
                          </w:txbxContent>
                        </wps:txbx>
                        <wps:bodyPr wrap="square" lIns="0" tIns="0" rIns="0" bIns="0" rtlCol="0">
                          <a:noAutofit/>
                        </wps:bodyPr>
                      </wps:wsp>
                      <wps:wsp>
                        <wps:cNvPr id="15" name="Textbox 15"/>
                        <wps:cNvSpPr txBox="1"/>
                        <wps:spPr>
                          <a:xfrm>
                            <a:off x="1084833" y="184539"/>
                            <a:ext cx="541020" cy="109220"/>
                          </a:xfrm>
                          <a:prstGeom prst="rect">
                            <a:avLst/>
                          </a:prstGeom>
                        </wps:spPr>
                        <wps:txbx>
                          <w:txbxContent>
                            <w:p>
                              <w:pPr>
                                <w:spacing w:line="172" w:lineRule="exact" w:before="0"/>
                                <w:ind w:left="0" w:right="0" w:firstLine="0"/>
                                <w:jc w:val="left"/>
                                <w:rPr>
                                  <w:rFonts w:ascii="Cambria Math"/>
                                  <w:sz w:val="17"/>
                                </w:rPr>
                              </w:pPr>
                              <w:r>
                                <w:rPr>
                                  <w:rFonts w:ascii="Cambria Math"/>
                                  <w:w w:val="110"/>
                                  <w:sz w:val="17"/>
                                </w:rPr>
                                <w:t>Total</w:t>
                              </w:r>
                              <w:r>
                                <w:rPr>
                                  <w:rFonts w:ascii="Cambria Math"/>
                                  <w:spacing w:val="5"/>
                                  <w:w w:val="115"/>
                                  <w:sz w:val="17"/>
                                </w:rPr>
                                <w:t> </w:t>
                              </w:r>
                              <w:r>
                                <w:rPr>
                                  <w:rFonts w:ascii="Cambria Math"/>
                                  <w:spacing w:val="-4"/>
                                  <w:w w:val="115"/>
                                  <w:sz w:val="17"/>
                                </w:rPr>
                                <w:t>Aset</w:t>
                              </w:r>
                            </w:p>
                          </w:txbxContent>
                        </wps:txbx>
                        <wps:bodyPr wrap="square" lIns="0" tIns="0" rIns="0" bIns="0" rtlCol="0">
                          <a:noAutofit/>
                        </wps:bodyPr>
                      </wps:wsp>
                    </wpg:wgp>
                  </a:graphicData>
                </a:graphic>
              </wp:anchor>
            </w:drawing>
          </mc:Choice>
          <mc:Fallback>
            <w:pict>
              <v:group style="position:absolute;margin-left:113.43pt;margin-top:8.478115pt;width:396.95pt;height:39.85pt;mso-position-horizontal-relative:page;mso-position-vertical-relative:paragraph;z-index:-15724544;mso-wrap-distance-left:0;mso-wrap-distance-right:0" id="docshapegroup8" coordorigin="2269,170" coordsize="7939,797">
                <v:shape style="position:absolute;left:2268;top:169;width:7939;height:797" id="docshape9" coordorigin="2269,170" coordsize="7939,797" path="m2277,182l2269,182,2269,958,2277,958,2277,182xm10207,958l10199,958,10199,958,2277,958,2269,958,2269,966,2277,966,10199,966,10199,966,10207,966,10207,958xm10207,182l10199,182,10199,958,10207,958,10207,182xm10207,170l10199,170,10199,170,2277,170,2277,170,2269,170,2269,170,2269,178,2269,182,2277,182,2277,178,10199,178,10199,182,10207,182,10207,178,10207,170,10207,170xe" filled="true" fillcolor="#000000" stroked="false">
                  <v:path arrowok="t"/>
                  <v:fill type="solid"/>
                </v:shape>
                <v:shape style="position:absolute;left:3101;top:200;width:6945;height:327" type="#_x0000_t202" id="docshape10" filled="false" stroked="false">
                  <v:textbox inset="0,0,0,0">
                    <w:txbxContent>
                      <w:p>
                        <w:pPr>
                          <w:tabs>
                            <w:tab w:pos="6924" w:val="right" w:leader="dot"/>
                          </w:tabs>
                          <w:spacing w:line="139" w:lineRule="auto" w:before="8"/>
                          <w:ind w:left="0" w:right="0" w:firstLine="0"/>
                          <w:jc w:val="left"/>
                          <w:rPr>
                            <w:position w:val="-13"/>
                            <w:sz w:val="24"/>
                          </w:rPr>
                        </w:pPr>
                        <w:r>
                          <w:rPr>
                            <w:rFonts w:ascii="Cambria Math"/>
                            <w:position w:val="-13"/>
                            <w:sz w:val="24"/>
                          </w:rPr>
                          <w:t>DAR</w:t>
                        </w:r>
                        <w:r>
                          <w:rPr>
                            <w:rFonts w:ascii="Cambria Math"/>
                            <w:spacing w:val="26"/>
                            <w:position w:val="-13"/>
                            <w:sz w:val="24"/>
                          </w:rPr>
                          <w:t> </w:t>
                        </w:r>
                        <w:r>
                          <w:rPr>
                            <w:rFonts w:ascii="Cambria Math"/>
                            <w:position w:val="-13"/>
                            <w:sz w:val="24"/>
                          </w:rPr>
                          <w:t>=</w:t>
                        </w:r>
                        <w:r>
                          <w:rPr>
                            <w:rFonts w:ascii="Cambria Math"/>
                            <w:spacing w:val="62"/>
                            <w:w w:val="150"/>
                            <w:position w:val="-13"/>
                            <w:sz w:val="24"/>
                          </w:rPr>
                          <w:t> </w:t>
                        </w:r>
                        <w:r>
                          <w:rPr>
                            <w:rFonts w:ascii="Cambria Math"/>
                            <w:sz w:val="17"/>
                            <w:u w:val="single"/>
                          </w:rPr>
                          <w:t>Total</w:t>
                        </w:r>
                        <w:r>
                          <w:rPr>
                            <w:rFonts w:ascii="Cambria Math"/>
                            <w:spacing w:val="7"/>
                            <w:sz w:val="17"/>
                            <w:u w:val="single"/>
                          </w:rPr>
                          <w:t> </w:t>
                        </w:r>
                        <w:r>
                          <w:rPr>
                            <w:rFonts w:ascii="Cambria Math"/>
                            <w:spacing w:val="-2"/>
                            <w:sz w:val="17"/>
                            <w:u w:val="single"/>
                          </w:rPr>
                          <w:t>Utang</w:t>
                        </w:r>
                        <w:r>
                          <w:rPr>
                            <w:sz w:val="17"/>
                          </w:rPr>
                          <w:tab/>
                        </w:r>
                        <w:r>
                          <w:rPr>
                            <w:spacing w:val="-5"/>
                            <w:position w:val="-13"/>
                            <w:sz w:val="24"/>
                          </w:rPr>
                          <w:t>3.1</w:t>
                        </w:r>
                      </w:p>
                    </w:txbxContent>
                  </v:textbox>
                  <w10:wrap type="none"/>
                </v:shape>
                <v:shape style="position:absolute;left:3977;top:460;width:852;height:172" type="#_x0000_t202" id="docshape11" filled="false" stroked="false">
                  <v:textbox inset="0,0,0,0">
                    <w:txbxContent>
                      <w:p>
                        <w:pPr>
                          <w:spacing w:line="172" w:lineRule="exact" w:before="0"/>
                          <w:ind w:left="0" w:right="0" w:firstLine="0"/>
                          <w:jc w:val="left"/>
                          <w:rPr>
                            <w:rFonts w:ascii="Cambria Math"/>
                            <w:sz w:val="17"/>
                          </w:rPr>
                        </w:pPr>
                        <w:r>
                          <w:rPr>
                            <w:rFonts w:ascii="Cambria Math"/>
                            <w:w w:val="110"/>
                            <w:sz w:val="17"/>
                          </w:rPr>
                          <w:t>Total</w:t>
                        </w:r>
                        <w:r>
                          <w:rPr>
                            <w:rFonts w:ascii="Cambria Math"/>
                            <w:spacing w:val="5"/>
                            <w:w w:val="115"/>
                            <w:sz w:val="17"/>
                          </w:rPr>
                          <w:t> </w:t>
                        </w:r>
                        <w:r>
                          <w:rPr>
                            <w:rFonts w:ascii="Cambria Math"/>
                            <w:spacing w:val="-4"/>
                            <w:w w:val="115"/>
                            <w:sz w:val="17"/>
                          </w:rPr>
                          <w:t>Aset</w:t>
                        </w:r>
                      </w:p>
                    </w:txbxContent>
                  </v:textbox>
                  <w10:wrap type="none"/>
                </v:shape>
                <w10:wrap type="topAndBottom"/>
              </v:group>
            </w:pict>
          </mc:Fallback>
        </mc:AlternateContent>
      </w:r>
    </w:p>
    <w:p>
      <w:pPr>
        <w:pStyle w:val="BodyText"/>
        <w:spacing w:before="175"/>
      </w:pPr>
    </w:p>
    <w:p>
      <w:pPr>
        <w:pStyle w:val="Heading3"/>
        <w:numPr>
          <w:ilvl w:val="3"/>
          <w:numId w:val="27"/>
        </w:numPr>
        <w:tabs>
          <w:tab w:pos="1288" w:val="left" w:leader="none"/>
        </w:tabs>
        <w:spacing w:line="240" w:lineRule="auto" w:before="1" w:after="0"/>
        <w:ind w:left="1288" w:right="0" w:hanging="720"/>
        <w:jc w:val="both"/>
      </w:pPr>
      <w:bookmarkStart w:name="_bookmark36" w:id="37"/>
      <w:bookmarkEnd w:id="37"/>
      <w:r>
        <w:rPr>
          <w:b w:val="0"/>
        </w:rPr>
      </w:r>
      <w:r>
        <w:rPr/>
        <w:t>Debt</w:t>
      </w:r>
      <w:r>
        <w:rPr>
          <w:spacing w:val="-7"/>
        </w:rPr>
        <w:t> </w:t>
      </w:r>
      <w:r>
        <w:rPr>
          <w:spacing w:val="-2"/>
        </w:rPr>
        <w:t>Maturity</w:t>
      </w:r>
    </w:p>
    <w:p>
      <w:pPr>
        <w:pStyle w:val="BodyText"/>
        <w:spacing w:line="480" w:lineRule="auto" w:before="271"/>
        <w:ind w:left="568" w:right="569" w:firstLine="720"/>
        <w:jc w:val="both"/>
      </w:pPr>
      <w:r>
        <w:rPr>
          <w:i/>
        </w:rPr>
        <w:t>Debt</w:t>
      </w:r>
      <w:r>
        <w:rPr>
          <w:i/>
          <w:spacing w:val="-6"/>
        </w:rPr>
        <w:t> </w:t>
      </w:r>
      <w:r>
        <w:rPr>
          <w:i/>
        </w:rPr>
        <w:t>maturity</w:t>
      </w:r>
      <w:r>
        <w:rPr>
          <w:i/>
          <w:spacing w:val="-4"/>
        </w:rPr>
        <w:t> </w:t>
      </w:r>
      <w:r>
        <w:rPr/>
        <w:t>(jatuh</w:t>
      </w:r>
      <w:r>
        <w:rPr>
          <w:spacing w:val="-7"/>
        </w:rPr>
        <w:t> </w:t>
      </w:r>
      <w:r>
        <w:rPr/>
        <w:t>tempo</w:t>
      </w:r>
      <w:r>
        <w:rPr>
          <w:spacing w:val="-7"/>
        </w:rPr>
        <w:t> </w:t>
      </w:r>
      <w:r>
        <w:rPr/>
        <w:t>utang)</w:t>
      </w:r>
      <w:r>
        <w:rPr>
          <w:spacing w:val="-6"/>
        </w:rPr>
        <w:t> </w:t>
      </w:r>
      <w:r>
        <w:rPr/>
        <w:t>merujuk</w:t>
      </w:r>
      <w:r>
        <w:rPr>
          <w:spacing w:val="-7"/>
        </w:rPr>
        <w:t> </w:t>
      </w:r>
      <w:r>
        <w:rPr/>
        <w:t>pada</w:t>
      </w:r>
      <w:r>
        <w:rPr>
          <w:spacing w:val="-6"/>
        </w:rPr>
        <w:t> </w:t>
      </w:r>
      <w:r>
        <w:rPr/>
        <w:t>tanggal</w:t>
      </w:r>
      <w:r>
        <w:rPr>
          <w:spacing w:val="-6"/>
        </w:rPr>
        <w:t> </w:t>
      </w:r>
      <w:r>
        <w:rPr/>
        <w:t>atau</w:t>
      </w:r>
      <w:r>
        <w:rPr>
          <w:spacing w:val="-7"/>
        </w:rPr>
        <w:t> </w:t>
      </w:r>
      <w:r>
        <w:rPr/>
        <w:t>jangka</w:t>
      </w:r>
      <w:r>
        <w:rPr>
          <w:spacing w:val="-6"/>
        </w:rPr>
        <w:t> </w:t>
      </w:r>
      <w:r>
        <w:rPr/>
        <w:t>waktu ketika</w:t>
      </w:r>
      <w:r>
        <w:rPr>
          <w:spacing w:val="-14"/>
        </w:rPr>
        <w:t> </w:t>
      </w:r>
      <w:r>
        <w:rPr/>
        <w:t>kewajiban</w:t>
      </w:r>
      <w:r>
        <w:rPr>
          <w:spacing w:val="-15"/>
        </w:rPr>
        <w:t> </w:t>
      </w:r>
      <w:r>
        <w:rPr/>
        <w:t>utang</w:t>
      </w:r>
      <w:r>
        <w:rPr>
          <w:spacing w:val="-15"/>
        </w:rPr>
        <w:t> </w:t>
      </w:r>
      <w:r>
        <w:rPr/>
        <w:t>harus</w:t>
      </w:r>
      <w:r>
        <w:rPr>
          <w:spacing w:val="-13"/>
        </w:rPr>
        <w:t> </w:t>
      </w:r>
      <w:r>
        <w:rPr/>
        <w:t>dilunasi</w:t>
      </w:r>
      <w:r>
        <w:rPr>
          <w:spacing w:val="-10"/>
        </w:rPr>
        <w:t> </w:t>
      </w:r>
      <w:r>
        <w:rPr/>
        <w:t>oleh</w:t>
      </w:r>
      <w:r>
        <w:rPr>
          <w:spacing w:val="-15"/>
        </w:rPr>
        <w:t> </w:t>
      </w:r>
      <w:r>
        <w:rPr/>
        <w:t>perusahaan.</w:t>
      </w:r>
      <w:r>
        <w:rPr>
          <w:spacing w:val="-15"/>
        </w:rPr>
        <w:t> </w:t>
      </w:r>
      <w:r>
        <w:rPr/>
        <w:t>Ini</w:t>
      </w:r>
      <w:r>
        <w:rPr>
          <w:spacing w:val="-10"/>
        </w:rPr>
        <w:t> </w:t>
      </w:r>
      <w:r>
        <w:rPr/>
        <w:t>berkaitan</w:t>
      </w:r>
      <w:r>
        <w:rPr>
          <w:spacing w:val="-15"/>
        </w:rPr>
        <w:t> </w:t>
      </w:r>
      <w:r>
        <w:rPr/>
        <w:t>dengan</w:t>
      </w:r>
      <w:r>
        <w:rPr>
          <w:spacing w:val="-11"/>
        </w:rPr>
        <w:t> </w:t>
      </w:r>
      <w:r>
        <w:rPr/>
        <w:t>jangka waktu pembayaran kembali atas pinjaman atau kewajiban keuangan. Strategi pengelolaan utang yang seimbang memungkinkan perusahaan untuk menjaga kelangsungan operasional, mendukung investasi hijau, serta mengurangi risiko sistemik yang dapat berdampak pada </w:t>
      </w:r>
      <w:r>
        <w:rPr>
          <w:i/>
        </w:rPr>
        <w:t>Stakeholder </w:t>
      </w:r>
      <w:r>
        <w:rPr/>
        <w:t>dan lingkungan secara luas.</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62" w:firstLine="720"/>
        <w:jc w:val="both"/>
      </w:pPr>
      <w:r>
        <w:rPr/>
        <w:t>Pada penelitian ini, </w:t>
      </w:r>
      <w:r>
        <w:rPr>
          <w:i/>
        </w:rPr>
        <w:t>Debt Maturity </w:t>
      </w:r>
      <w:r>
        <w:rPr/>
        <w:t>diukur dengan membandingkan rasio utang jangka panjang dengan total liabilitas perusahaan energi selama periode 2021-2024.</w:t>
      </w:r>
      <w:r>
        <w:rPr>
          <w:spacing w:val="-1"/>
        </w:rPr>
        <w:t> </w:t>
      </w:r>
      <w:r>
        <w:rPr/>
        <w:t>Dikarenakan</w:t>
      </w:r>
      <w:r>
        <w:rPr>
          <w:spacing w:val="-4"/>
        </w:rPr>
        <w:t> </w:t>
      </w:r>
      <w:r>
        <w:rPr/>
        <w:t>peneliti tidak</w:t>
      </w:r>
      <w:r>
        <w:rPr>
          <w:spacing w:val="-4"/>
        </w:rPr>
        <w:t> </w:t>
      </w:r>
      <w:r>
        <w:rPr/>
        <w:t>dapat</w:t>
      </w:r>
      <w:r>
        <w:rPr>
          <w:spacing w:val="-4"/>
        </w:rPr>
        <w:t> </w:t>
      </w:r>
      <w:r>
        <w:rPr/>
        <w:t>mengidentifikasi</w:t>
      </w:r>
      <w:r>
        <w:rPr>
          <w:spacing w:val="-4"/>
        </w:rPr>
        <w:t> </w:t>
      </w:r>
      <w:r>
        <w:rPr/>
        <w:t>tanggal</w:t>
      </w:r>
      <w:r>
        <w:rPr>
          <w:spacing w:val="-4"/>
        </w:rPr>
        <w:t> </w:t>
      </w:r>
      <w:r>
        <w:rPr/>
        <w:t>jatuh</w:t>
      </w:r>
      <w:r>
        <w:rPr>
          <w:spacing w:val="-4"/>
        </w:rPr>
        <w:t> </w:t>
      </w:r>
      <w:r>
        <w:rPr/>
        <w:t>tempo utang secara pasti, maka peneliti mengikuti penelitian terdahulu yang mendefinisikan</w:t>
      </w:r>
      <w:r>
        <w:rPr>
          <w:spacing w:val="-15"/>
        </w:rPr>
        <w:t> </w:t>
      </w:r>
      <w:r>
        <w:rPr/>
        <w:t>jatuh</w:t>
      </w:r>
      <w:r>
        <w:rPr>
          <w:spacing w:val="-15"/>
        </w:rPr>
        <w:t> </w:t>
      </w:r>
      <w:r>
        <w:rPr/>
        <w:t>tempo</w:t>
      </w:r>
      <w:r>
        <w:rPr>
          <w:spacing w:val="-15"/>
        </w:rPr>
        <w:t> </w:t>
      </w:r>
      <w:r>
        <w:rPr/>
        <w:t>utang</w:t>
      </w:r>
      <w:r>
        <w:rPr>
          <w:spacing w:val="-15"/>
        </w:rPr>
        <w:t> </w:t>
      </w:r>
      <w:r>
        <w:rPr/>
        <w:t>sebagai</w:t>
      </w:r>
      <w:r>
        <w:rPr>
          <w:spacing w:val="-15"/>
        </w:rPr>
        <w:t> </w:t>
      </w:r>
      <w:r>
        <w:rPr/>
        <w:t>utang</w:t>
      </w:r>
      <w:r>
        <w:rPr>
          <w:spacing w:val="-15"/>
        </w:rPr>
        <w:t> </w:t>
      </w:r>
      <w:r>
        <w:rPr/>
        <w:t>jangka</w:t>
      </w:r>
      <w:r>
        <w:rPr>
          <w:spacing w:val="-15"/>
        </w:rPr>
        <w:t> </w:t>
      </w:r>
      <w:r>
        <w:rPr/>
        <w:t>panjang</w:t>
      </w:r>
      <w:r>
        <w:rPr>
          <w:spacing w:val="-15"/>
        </w:rPr>
        <w:t> </w:t>
      </w:r>
      <w:r>
        <w:rPr/>
        <w:t>dibagi</w:t>
      </w:r>
      <w:r>
        <w:rPr>
          <w:spacing w:val="-15"/>
        </w:rPr>
        <w:t> </w:t>
      </w:r>
      <w:r>
        <w:rPr/>
        <w:t>dengan</w:t>
      </w:r>
      <w:r>
        <w:rPr>
          <w:spacing w:val="-15"/>
        </w:rPr>
        <w:t> </w:t>
      </w:r>
      <w:r>
        <w:rPr/>
        <w:t>total utang.</w:t>
      </w:r>
      <w:r>
        <w:rPr>
          <w:spacing w:val="-11"/>
        </w:rPr>
        <w:t> </w:t>
      </w:r>
      <w:r>
        <w:rPr/>
        <w:t>Untuk</w:t>
      </w:r>
      <w:r>
        <w:rPr>
          <w:spacing w:val="-12"/>
        </w:rPr>
        <w:t> </w:t>
      </w:r>
      <w:r>
        <w:rPr/>
        <w:t>rumus</w:t>
      </w:r>
      <w:r>
        <w:rPr>
          <w:spacing w:val="-14"/>
        </w:rPr>
        <w:t> </w:t>
      </w:r>
      <w:r>
        <w:rPr/>
        <w:t>perhitungan</w:t>
      </w:r>
      <w:r>
        <w:rPr>
          <w:spacing w:val="-10"/>
        </w:rPr>
        <w:t> </w:t>
      </w:r>
      <w:r>
        <w:rPr>
          <w:i/>
        </w:rPr>
        <w:t>Debt</w:t>
      </w:r>
      <w:r>
        <w:rPr>
          <w:i/>
          <w:spacing w:val="-11"/>
        </w:rPr>
        <w:t> </w:t>
      </w:r>
      <w:r>
        <w:rPr>
          <w:i/>
        </w:rPr>
        <w:t>Maturity,</w:t>
      </w:r>
      <w:r>
        <w:rPr>
          <w:i/>
          <w:spacing w:val="-11"/>
        </w:rPr>
        <w:t> </w:t>
      </w:r>
      <w:r>
        <w:rPr/>
        <w:t>penelitian</w:t>
      </w:r>
      <w:r>
        <w:rPr>
          <w:spacing w:val="-15"/>
        </w:rPr>
        <w:t> </w:t>
      </w:r>
      <w:r>
        <w:rPr/>
        <w:t>ini</w:t>
      </w:r>
      <w:r>
        <w:rPr>
          <w:spacing w:val="-15"/>
        </w:rPr>
        <w:t> </w:t>
      </w:r>
      <w:r>
        <w:rPr/>
        <w:t>mengacu</w:t>
      </w:r>
      <w:r>
        <w:rPr>
          <w:spacing w:val="-12"/>
        </w:rPr>
        <w:t> </w:t>
      </w:r>
      <w:r>
        <w:rPr/>
        <w:t>pada</w:t>
      </w:r>
      <w:r>
        <w:rPr>
          <w:spacing w:val="-11"/>
        </w:rPr>
        <w:t> </w:t>
      </w:r>
      <w:r>
        <w:rPr/>
        <w:t>rumus penelitian Zheng et al. (2012), Ben-Nasr et al. (2015) dan Nguyen et al., (2020) </w:t>
      </w:r>
      <w:r>
        <w:rPr>
          <w:spacing w:val="-2"/>
        </w:rPr>
        <w:t>yaitu:</w:t>
      </w:r>
    </w:p>
    <w:p>
      <w:pPr>
        <w:pStyle w:val="BodyText"/>
        <w:spacing w:before="8"/>
        <w:rPr>
          <w:sz w:val="12"/>
        </w:rPr>
      </w:pPr>
      <w:r>
        <w:rPr>
          <w:sz w:val="12"/>
        </w:rPr>
        <mc:AlternateContent>
          <mc:Choice Requires="wps">
            <w:drawing>
              <wp:anchor distT="0" distB="0" distL="0" distR="0" allowOverlap="1" layoutInCell="1" locked="0" behindDoc="1" simplePos="0" relativeHeight="487592448">
                <wp:simplePos x="0" y="0"/>
                <wp:positionH relativeFrom="page">
                  <wp:posOffset>1440561</wp:posOffset>
                </wp:positionH>
                <wp:positionV relativeFrom="paragraph">
                  <wp:posOffset>107948</wp:posOffset>
                </wp:positionV>
                <wp:extent cx="5041265" cy="41719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5041265" cy="417195"/>
                          <a:chExt cx="5041265" cy="417195"/>
                        </a:xfrm>
                      </wpg:grpSpPr>
                      <wps:wsp>
                        <wps:cNvPr id="17" name="Graphic 17"/>
                        <wps:cNvSpPr/>
                        <wps:spPr>
                          <a:xfrm>
                            <a:off x="0" y="0"/>
                            <a:ext cx="5041265" cy="417195"/>
                          </a:xfrm>
                          <a:custGeom>
                            <a:avLst/>
                            <a:gdLst/>
                            <a:ahLst/>
                            <a:cxnLst/>
                            <a:rect l="l" t="t" r="r" b="b"/>
                            <a:pathLst>
                              <a:path w="5041265" h="417195">
                                <a:moveTo>
                                  <a:pt x="3171190" y="139700"/>
                                </a:moveTo>
                                <a:lnTo>
                                  <a:pt x="1753235" y="139700"/>
                                </a:lnTo>
                                <a:lnTo>
                                  <a:pt x="1753235" y="149860"/>
                                </a:lnTo>
                                <a:lnTo>
                                  <a:pt x="3171190" y="149860"/>
                                </a:lnTo>
                                <a:lnTo>
                                  <a:pt x="3171190" y="139700"/>
                                </a:lnTo>
                                <a:close/>
                              </a:path>
                              <a:path w="5041265" h="417195">
                                <a:moveTo>
                                  <a:pt x="5040871" y="411746"/>
                                </a:moveTo>
                                <a:lnTo>
                                  <a:pt x="5035931" y="411746"/>
                                </a:lnTo>
                                <a:lnTo>
                                  <a:pt x="5035804" y="411746"/>
                                </a:lnTo>
                                <a:lnTo>
                                  <a:pt x="5080" y="411746"/>
                                </a:lnTo>
                                <a:lnTo>
                                  <a:pt x="0" y="411746"/>
                                </a:lnTo>
                                <a:lnTo>
                                  <a:pt x="0" y="416814"/>
                                </a:lnTo>
                                <a:lnTo>
                                  <a:pt x="5080" y="416814"/>
                                </a:lnTo>
                                <a:lnTo>
                                  <a:pt x="5035804" y="416814"/>
                                </a:lnTo>
                                <a:lnTo>
                                  <a:pt x="5035931" y="416814"/>
                                </a:lnTo>
                                <a:lnTo>
                                  <a:pt x="5040871" y="416814"/>
                                </a:lnTo>
                                <a:lnTo>
                                  <a:pt x="5040871" y="411746"/>
                                </a:lnTo>
                                <a:close/>
                              </a:path>
                              <a:path w="5041265" h="417195">
                                <a:moveTo>
                                  <a:pt x="5040871" y="0"/>
                                </a:moveTo>
                                <a:lnTo>
                                  <a:pt x="5035931" y="0"/>
                                </a:lnTo>
                                <a:lnTo>
                                  <a:pt x="5035804" y="0"/>
                                </a:lnTo>
                                <a:lnTo>
                                  <a:pt x="5080" y="0"/>
                                </a:lnTo>
                                <a:lnTo>
                                  <a:pt x="0" y="0"/>
                                </a:lnTo>
                                <a:lnTo>
                                  <a:pt x="0" y="5080"/>
                                </a:lnTo>
                                <a:lnTo>
                                  <a:pt x="0" y="7556"/>
                                </a:lnTo>
                                <a:lnTo>
                                  <a:pt x="0" y="411734"/>
                                </a:lnTo>
                                <a:lnTo>
                                  <a:pt x="5080" y="411734"/>
                                </a:lnTo>
                                <a:lnTo>
                                  <a:pt x="5080" y="7620"/>
                                </a:lnTo>
                                <a:lnTo>
                                  <a:pt x="5080" y="5080"/>
                                </a:lnTo>
                                <a:lnTo>
                                  <a:pt x="5035804" y="5080"/>
                                </a:lnTo>
                                <a:lnTo>
                                  <a:pt x="5035804" y="7556"/>
                                </a:lnTo>
                                <a:lnTo>
                                  <a:pt x="5035804" y="411734"/>
                                </a:lnTo>
                                <a:lnTo>
                                  <a:pt x="5040871" y="411734"/>
                                </a:lnTo>
                                <a:lnTo>
                                  <a:pt x="5040871" y="7620"/>
                                </a:lnTo>
                                <a:lnTo>
                                  <a:pt x="5040871" y="5080"/>
                                </a:lnTo>
                                <a:lnTo>
                                  <a:pt x="5040871"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528573" y="16645"/>
                            <a:ext cx="4370070" cy="208279"/>
                          </a:xfrm>
                          <a:prstGeom prst="rect">
                            <a:avLst/>
                          </a:prstGeom>
                        </wps:spPr>
                        <wps:txbx>
                          <w:txbxContent>
                            <w:p>
                              <w:pPr>
                                <w:tabs>
                                  <w:tab w:pos="6861" w:val="right" w:leader="dot"/>
                                </w:tabs>
                                <w:spacing w:line="139" w:lineRule="auto" w:before="8"/>
                                <w:ind w:left="0" w:right="0" w:firstLine="0"/>
                                <w:jc w:val="left"/>
                                <w:rPr>
                                  <w:position w:val="-13"/>
                                  <w:sz w:val="24"/>
                                </w:rPr>
                              </w:pPr>
                              <w:r>
                                <w:rPr>
                                  <w:rFonts w:ascii="Cambria Math" w:eastAsia="Cambria Math"/>
                                  <w:w w:val="105"/>
                                  <w:position w:val="-13"/>
                                  <w:sz w:val="24"/>
                                </w:rPr>
                                <w:t>𝐷𝑒𝑏𝑡</w:t>
                              </w:r>
                              <w:r>
                                <w:rPr>
                                  <w:rFonts w:ascii="Cambria Math" w:eastAsia="Cambria Math"/>
                                  <w:spacing w:val="3"/>
                                  <w:w w:val="105"/>
                                  <w:position w:val="-13"/>
                                  <w:sz w:val="24"/>
                                </w:rPr>
                                <w:t> </w:t>
                              </w:r>
                              <w:r>
                                <w:rPr>
                                  <w:rFonts w:ascii="Cambria Math" w:eastAsia="Cambria Math"/>
                                  <w:w w:val="105"/>
                                  <w:position w:val="-13"/>
                                  <w:sz w:val="24"/>
                                </w:rPr>
                                <w:t>𝑀𝑎𝑡𝑢𝑟𝑖𝑡𝑦</w:t>
                              </w:r>
                              <w:r>
                                <w:rPr>
                                  <w:rFonts w:ascii="Cambria Math" w:eastAsia="Cambria Math"/>
                                  <w:spacing w:val="17"/>
                                  <w:w w:val="105"/>
                                  <w:position w:val="-13"/>
                                  <w:sz w:val="24"/>
                                </w:rPr>
                                <w:t> </w:t>
                              </w:r>
                              <w:r>
                                <w:rPr>
                                  <w:rFonts w:ascii="Cambria Math" w:eastAsia="Cambria Math"/>
                                  <w:w w:val="105"/>
                                  <w:position w:val="-13"/>
                                  <w:sz w:val="24"/>
                                </w:rPr>
                                <w:t>=</w:t>
                              </w:r>
                              <w:r>
                                <w:rPr>
                                  <w:rFonts w:ascii="Cambria Math" w:eastAsia="Cambria Math"/>
                                  <w:spacing w:val="68"/>
                                  <w:w w:val="105"/>
                                  <w:position w:val="-13"/>
                                  <w:sz w:val="24"/>
                                </w:rPr>
                                <w:t> </w:t>
                              </w:r>
                              <w:r>
                                <w:rPr>
                                  <w:rFonts w:ascii="Cambria Math" w:eastAsia="Cambria Math"/>
                                  <w:w w:val="105"/>
                                  <w:sz w:val="17"/>
                                </w:rPr>
                                <w:t>Total</w:t>
                              </w:r>
                              <w:r>
                                <w:rPr>
                                  <w:rFonts w:ascii="Cambria Math" w:eastAsia="Cambria Math"/>
                                  <w:spacing w:val="-5"/>
                                  <w:w w:val="105"/>
                                  <w:sz w:val="17"/>
                                </w:rPr>
                                <w:t> </w:t>
                              </w:r>
                              <w:r>
                                <w:rPr>
                                  <w:rFonts w:ascii="Cambria Math" w:eastAsia="Cambria Math"/>
                                  <w:w w:val="105"/>
                                  <w:sz w:val="17"/>
                                </w:rPr>
                                <w:t>Utang</w:t>
                              </w:r>
                              <w:r>
                                <w:rPr>
                                  <w:rFonts w:ascii="Cambria Math" w:eastAsia="Cambria Math"/>
                                  <w:spacing w:val="-2"/>
                                  <w:w w:val="105"/>
                                  <w:sz w:val="17"/>
                                </w:rPr>
                                <w:t> </w:t>
                              </w:r>
                              <w:r>
                                <w:rPr>
                                  <w:rFonts w:ascii="Cambria Math" w:eastAsia="Cambria Math"/>
                                  <w:w w:val="105"/>
                                  <w:sz w:val="17"/>
                                </w:rPr>
                                <w:t>Jangka</w:t>
                              </w:r>
                              <w:r>
                                <w:rPr>
                                  <w:rFonts w:ascii="Cambria Math" w:eastAsia="Cambria Math"/>
                                  <w:spacing w:val="-2"/>
                                  <w:w w:val="105"/>
                                  <w:sz w:val="17"/>
                                </w:rPr>
                                <w:t> Panjang</w:t>
                              </w:r>
                              <w:r>
                                <w:rPr>
                                  <w:sz w:val="17"/>
                                </w:rPr>
                                <w:tab/>
                              </w:r>
                              <w:r>
                                <w:rPr>
                                  <w:spacing w:val="-5"/>
                                  <w:w w:val="110"/>
                                  <w:position w:val="-13"/>
                                  <w:sz w:val="24"/>
                                </w:rPr>
                                <w:t>3.2</w:t>
                              </w:r>
                            </w:p>
                          </w:txbxContent>
                        </wps:txbx>
                        <wps:bodyPr wrap="square" lIns="0" tIns="0" rIns="0" bIns="0" rtlCol="0">
                          <a:noAutofit/>
                        </wps:bodyPr>
                      </wps:wsp>
                      <wps:wsp>
                        <wps:cNvPr id="19" name="Textbox 19"/>
                        <wps:cNvSpPr txBox="1"/>
                        <wps:spPr>
                          <a:xfrm>
                            <a:off x="2070735" y="181745"/>
                            <a:ext cx="795655" cy="109220"/>
                          </a:xfrm>
                          <a:prstGeom prst="rect">
                            <a:avLst/>
                          </a:prstGeom>
                        </wps:spPr>
                        <wps:txbx>
                          <w:txbxContent>
                            <w:p>
                              <w:pPr>
                                <w:spacing w:line="172" w:lineRule="exact" w:before="0"/>
                                <w:ind w:left="0" w:right="0" w:firstLine="0"/>
                                <w:jc w:val="left"/>
                                <w:rPr>
                                  <w:rFonts w:ascii="Cambria Math"/>
                                  <w:sz w:val="17"/>
                                </w:rPr>
                              </w:pPr>
                              <w:r>
                                <w:rPr>
                                  <w:rFonts w:ascii="Cambria Math"/>
                                  <w:w w:val="110"/>
                                  <w:sz w:val="17"/>
                                </w:rPr>
                                <w:t>Total</w:t>
                              </w:r>
                              <w:r>
                                <w:rPr>
                                  <w:rFonts w:ascii="Cambria Math"/>
                                  <w:spacing w:val="5"/>
                                  <w:w w:val="115"/>
                                  <w:sz w:val="17"/>
                                </w:rPr>
                                <w:t> </w:t>
                              </w:r>
                              <w:r>
                                <w:rPr>
                                  <w:rFonts w:ascii="Cambria Math"/>
                                  <w:spacing w:val="-2"/>
                                  <w:w w:val="115"/>
                                  <w:sz w:val="17"/>
                                </w:rPr>
                                <w:t>Liabilitas</w:t>
                              </w:r>
                            </w:p>
                          </w:txbxContent>
                        </wps:txbx>
                        <wps:bodyPr wrap="square" lIns="0" tIns="0" rIns="0" bIns="0" rtlCol="0">
                          <a:noAutofit/>
                        </wps:bodyPr>
                      </wps:wsp>
                    </wpg:wgp>
                  </a:graphicData>
                </a:graphic>
              </wp:anchor>
            </w:drawing>
          </mc:Choice>
          <mc:Fallback>
            <w:pict>
              <v:group style="position:absolute;margin-left:113.43pt;margin-top:8.499902pt;width:396.95pt;height:32.85pt;mso-position-horizontal-relative:page;mso-position-vertical-relative:paragraph;z-index:-15724032;mso-wrap-distance-left:0;mso-wrap-distance-right:0" id="docshapegroup12" coordorigin="2269,170" coordsize="7939,657">
                <v:shape style="position:absolute;left:2268;top:170;width:7939;height:657" id="docshape13" coordorigin="2269,170" coordsize="7939,657" path="m7263,390l5030,390,5030,406,7263,406,7263,390xm10207,818l10199,818,10199,818,2277,818,2269,818,2269,826,2277,826,10199,826,10199,826,10207,826,10207,818xm10207,170l10199,170,10199,170,2277,170,2269,170,2269,178,2269,182,2269,182,2269,818,2277,818,2277,182,2277,182,2277,178,10199,178,10199,182,10199,182,10199,818,10207,818,10207,182,10207,182,10207,178,10207,170xe" filled="true" fillcolor="#000000" stroked="false">
                  <v:path arrowok="t"/>
                  <v:fill type="solid"/>
                </v:shape>
                <v:shape style="position:absolute;left:3101;top:196;width:6882;height:328" type="#_x0000_t202" id="docshape14" filled="false" stroked="false">
                  <v:textbox inset="0,0,0,0">
                    <w:txbxContent>
                      <w:p>
                        <w:pPr>
                          <w:tabs>
                            <w:tab w:pos="6861" w:val="right" w:leader="dot"/>
                          </w:tabs>
                          <w:spacing w:line="139" w:lineRule="auto" w:before="8"/>
                          <w:ind w:left="0" w:right="0" w:firstLine="0"/>
                          <w:jc w:val="left"/>
                          <w:rPr>
                            <w:position w:val="-13"/>
                            <w:sz w:val="24"/>
                          </w:rPr>
                        </w:pPr>
                        <w:r>
                          <w:rPr>
                            <w:rFonts w:ascii="Cambria Math" w:eastAsia="Cambria Math"/>
                            <w:w w:val="105"/>
                            <w:position w:val="-13"/>
                            <w:sz w:val="24"/>
                          </w:rPr>
                          <w:t>𝐷𝑒𝑏𝑡</w:t>
                        </w:r>
                        <w:r>
                          <w:rPr>
                            <w:rFonts w:ascii="Cambria Math" w:eastAsia="Cambria Math"/>
                            <w:spacing w:val="3"/>
                            <w:w w:val="105"/>
                            <w:position w:val="-13"/>
                            <w:sz w:val="24"/>
                          </w:rPr>
                          <w:t> </w:t>
                        </w:r>
                        <w:r>
                          <w:rPr>
                            <w:rFonts w:ascii="Cambria Math" w:eastAsia="Cambria Math"/>
                            <w:w w:val="105"/>
                            <w:position w:val="-13"/>
                            <w:sz w:val="24"/>
                          </w:rPr>
                          <w:t>𝑀𝑎𝑡𝑢𝑟𝑖𝑡𝑦</w:t>
                        </w:r>
                        <w:r>
                          <w:rPr>
                            <w:rFonts w:ascii="Cambria Math" w:eastAsia="Cambria Math"/>
                            <w:spacing w:val="17"/>
                            <w:w w:val="105"/>
                            <w:position w:val="-13"/>
                            <w:sz w:val="24"/>
                          </w:rPr>
                          <w:t> </w:t>
                        </w:r>
                        <w:r>
                          <w:rPr>
                            <w:rFonts w:ascii="Cambria Math" w:eastAsia="Cambria Math"/>
                            <w:w w:val="105"/>
                            <w:position w:val="-13"/>
                            <w:sz w:val="24"/>
                          </w:rPr>
                          <w:t>=</w:t>
                        </w:r>
                        <w:r>
                          <w:rPr>
                            <w:rFonts w:ascii="Cambria Math" w:eastAsia="Cambria Math"/>
                            <w:spacing w:val="68"/>
                            <w:w w:val="105"/>
                            <w:position w:val="-13"/>
                            <w:sz w:val="24"/>
                          </w:rPr>
                          <w:t> </w:t>
                        </w:r>
                        <w:r>
                          <w:rPr>
                            <w:rFonts w:ascii="Cambria Math" w:eastAsia="Cambria Math"/>
                            <w:w w:val="105"/>
                            <w:sz w:val="17"/>
                          </w:rPr>
                          <w:t>Total</w:t>
                        </w:r>
                        <w:r>
                          <w:rPr>
                            <w:rFonts w:ascii="Cambria Math" w:eastAsia="Cambria Math"/>
                            <w:spacing w:val="-5"/>
                            <w:w w:val="105"/>
                            <w:sz w:val="17"/>
                          </w:rPr>
                          <w:t> </w:t>
                        </w:r>
                        <w:r>
                          <w:rPr>
                            <w:rFonts w:ascii="Cambria Math" w:eastAsia="Cambria Math"/>
                            <w:w w:val="105"/>
                            <w:sz w:val="17"/>
                          </w:rPr>
                          <w:t>Utang</w:t>
                        </w:r>
                        <w:r>
                          <w:rPr>
                            <w:rFonts w:ascii="Cambria Math" w:eastAsia="Cambria Math"/>
                            <w:spacing w:val="-2"/>
                            <w:w w:val="105"/>
                            <w:sz w:val="17"/>
                          </w:rPr>
                          <w:t> </w:t>
                        </w:r>
                        <w:r>
                          <w:rPr>
                            <w:rFonts w:ascii="Cambria Math" w:eastAsia="Cambria Math"/>
                            <w:w w:val="105"/>
                            <w:sz w:val="17"/>
                          </w:rPr>
                          <w:t>Jangka</w:t>
                        </w:r>
                        <w:r>
                          <w:rPr>
                            <w:rFonts w:ascii="Cambria Math" w:eastAsia="Cambria Math"/>
                            <w:spacing w:val="-2"/>
                            <w:w w:val="105"/>
                            <w:sz w:val="17"/>
                          </w:rPr>
                          <w:t> Panjang</w:t>
                        </w:r>
                        <w:r>
                          <w:rPr>
                            <w:sz w:val="17"/>
                          </w:rPr>
                          <w:tab/>
                        </w:r>
                        <w:r>
                          <w:rPr>
                            <w:spacing w:val="-5"/>
                            <w:w w:val="110"/>
                            <w:position w:val="-13"/>
                            <w:sz w:val="24"/>
                          </w:rPr>
                          <w:t>3.2</w:t>
                        </w:r>
                      </w:p>
                    </w:txbxContent>
                  </v:textbox>
                  <w10:wrap type="none"/>
                </v:shape>
                <v:shape style="position:absolute;left:5529;top:456;width:1253;height:172" type="#_x0000_t202" id="docshape15" filled="false" stroked="false">
                  <v:textbox inset="0,0,0,0">
                    <w:txbxContent>
                      <w:p>
                        <w:pPr>
                          <w:spacing w:line="172" w:lineRule="exact" w:before="0"/>
                          <w:ind w:left="0" w:right="0" w:firstLine="0"/>
                          <w:jc w:val="left"/>
                          <w:rPr>
                            <w:rFonts w:ascii="Cambria Math"/>
                            <w:sz w:val="17"/>
                          </w:rPr>
                        </w:pPr>
                        <w:r>
                          <w:rPr>
                            <w:rFonts w:ascii="Cambria Math"/>
                            <w:w w:val="110"/>
                            <w:sz w:val="17"/>
                          </w:rPr>
                          <w:t>Total</w:t>
                        </w:r>
                        <w:r>
                          <w:rPr>
                            <w:rFonts w:ascii="Cambria Math"/>
                            <w:spacing w:val="5"/>
                            <w:w w:val="115"/>
                            <w:sz w:val="17"/>
                          </w:rPr>
                          <w:t> </w:t>
                        </w:r>
                        <w:r>
                          <w:rPr>
                            <w:rFonts w:ascii="Cambria Math"/>
                            <w:spacing w:val="-2"/>
                            <w:w w:val="115"/>
                            <w:sz w:val="17"/>
                          </w:rPr>
                          <w:t>Liabilitas</w:t>
                        </w:r>
                      </w:p>
                    </w:txbxContent>
                  </v:textbox>
                  <w10:wrap type="none"/>
                </v:shape>
                <w10:wrap type="topAndBottom"/>
              </v:group>
            </w:pict>
          </mc:Fallback>
        </mc:AlternateContent>
      </w:r>
    </w:p>
    <w:p>
      <w:pPr>
        <w:pStyle w:val="BodyText"/>
        <w:spacing w:before="175"/>
      </w:pPr>
    </w:p>
    <w:p>
      <w:pPr>
        <w:pStyle w:val="Heading3"/>
        <w:numPr>
          <w:ilvl w:val="3"/>
          <w:numId w:val="28"/>
        </w:numPr>
        <w:tabs>
          <w:tab w:pos="1288" w:val="left" w:leader="none"/>
        </w:tabs>
        <w:spacing w:line="240" w:lineRule="auto" w:before="1" w:after="0"/>
        <w:ind w:left="1288" w:right="0" w:hanging="720"/>
        <w:jc w:val="both"/>
      </w:pPr>
      <w:bookmarkStart w:name="_bookmark37" w:id="38"/>
      <w:bookmarkEnd w:id="38"/>
      <w:r>
        <w:rPr>
          <w:b w:val="0"/>
        </w:rPr>
      </w:r>
      <w:r>
        <w:rPr/>
        <w:t>Assurance</w:t>
      </w:r>
      <w:r>
        <w:rPr>
          <w:spacing w:val="-6"/>
        </w:rPr>
        <w:t> </w:t>
      </w:r>
      <w:r>
        <w:rPr>
          <w:spacing w:val="-2"/>
        </w:rPr>
        <w:t>Tenure</w:t>
      </w:r>
    </w:p>
    <w:p>
      <w:pPr>
        <w:pStyle w:val="BodyText"/>
        <w:spacing w:line="480" w:lineRule="auto" w:before="272"/>
        <w:ind w:left="568" w:right="564" w:firstLine="720"/>
        <w:jc w:val="both"/>
      </w:pPr>
      <w:r>
        <w:rPr>
          <w:i/>
        </w:rPr>
        <w:t>Assurance Tenure </w:t>
      </w:r>
      <w:r>
        <w:rPr/>
        <w:t>menggambarkan lamanya periode keterikatan kontraktual antara perusahaan dengan pihak penyedia jasa </w:t>
      </w:r>
      <w:r>
        <w:rPr>
          <w:i/>
        </w:rPr>
        <w:t>assurance </w:t>
      </w:r>
      <w:r>
        <w:rPr/>
        <w:t>dalam melakukan verifikasi atas laporan keberlanjutan. Dengan kata lain, variabel ini menunjukkan</w:t>
      </w:r>
      <w:r>
        <w:rPr>
          <w:spacing w:val="-3"/>
        </w:rPr>
        <w:t> </w:t>
      </w:r>
      <w:r>
        <w:rPr/>
        <w:t>seberapa</w:t>
      </w:r>
      <w:r>
        <w:rPr>
          <w:spacing w:val="-2"/>
        </w:rPr>
        <w:t> </w:t>
      </w:r>
      <w:r>
        <w:rPr/>
        <w:t>panjang</w:t>
      </w:r>
      <w:r>
        <w:rPr>
          <w:spacing w:val="-8"/>
        </w:rPr>
        <w:t> </w:t>
      </w:r>
      <w:r>
        <w:rPr/>
        <w:t>hubungan kerja</w:t>
      </w:r>
      <w:r>
        <w:rPr>
          <w:spacing w:val="-2"/>
        </w:rPr>
        <w:t> </w:t>
      </w:r>
      <w:r>
        <w:rPr/>
        <w:t>sama</w:t>
      </w:r>
      <w:r>
        <w:rPr>
          <w:spacing w:val="-2"/>
        </w:rPr>
        <w:t> </w:t>
      </w:r>
      <w:r>
        <w:rPr/>
        <w:t>berulang</w:t>
      </w:r>
      <w:r>
        <w:rPr>
          <w:spacing w:val="-4"/>
        </w:rPr>
        <w:t> </w:t>
      </w:r>
      <w:r>
        <w:rPr/>
        <w:t>yang</w:t>
      </w:r>
      <w:r>
        <w:rPr>
          <w:spacing w:val="-8"/>
        </w:rPr>
        <w:t> </w:t>
      </w:r>
      <w:r>
        <w:rPr/>
        <w:t>terjalin</w:t>
      </w:r>
      <w:r>
        <w:rPr>
          <w:spacing w:val="-8"/>
        </w:rPr>
        <w:t> </w:t>
      </w:r>
      <w:r>
        <w:rPr/>
        <w:t>antara perusahaan dan assuror.</w:t>
      </w:r>
    </w:p>
    <w:p>
      <w:pPr>
        <w:pStyle w:val="BodyText"/>
        <w:spacing w:line="480" w:lineRule="auto" w:before="161"/>
        <w:ind w:left="568" w:right="567" w:firstLine="720"/>
        <w:jc w:val="both"/>
      </w:pPr>
      <w:r>
        <w:rPr/>
        <w:t>Pada penelitian ini</w:t>
      </w:r>
      <w:r>
        <w:rPr>
          <w:b/>
        </w:rPr>
        <w:t>, </w:t>
      </w:r>
      <w:r>
        <w:rPr>
          <w:i/>
        </w:rPr>
        <w:t>Assurance Tenure </w:t>
      </w:r>
      <w:r>
        <w:rPr/>
        <w:t>diukur berdasarkan jumlah tahun hubungan</w:t>
      </w:r>
      <w:r>
        <w:rPr>
          <w:spacing w:val="-8"/>
        </w:rPr>
        <w:t> </w:t>
      </w:r>
      <w:r>
        <w:rPr>
          <w:i/>
        </w:rPr>
        <w:t>Assurance</w:t>
      </w:r>
      <w:r>
        <w:rPr>
          <w:i/>
          <w:spacing w:val="-6"/>
        </w:rPr>
        <w:t> </w:t>
      </w:r>
      <w:r>
        <w:rPr/>
        <w:t>dengan</w:t>
      </w:r>
      <w:r>
        <w:rPr>
          <w:spacing w:val="-9"/>
        </w:rPr>
        <w:t> </w:t>
      </w:r>
      <w:r>
        <w:rPr/>
        <w:t>perusahaan.</w:t>
      </w:r>
      <w:r>
        <w:rPr>
          <w:spacing w:val="-11"/>
        </w:rPr>
        <w:t> </w:t>
      </w:r>
      <w:r>
        <w:rPr/>
        <w:t>Pengukuran</w:t>
      </w:r>
      <w:r>
        <w:rPr>
          <w:spacing w:val="-9"/>
        </w:rPr>
        <w:t> </w:t>
      </w:r>
      <w:r>
        <w:rPr/>
        <w:t>ini</w:t>
      </w:r>
      <w:r>
        <w:rPr>
          <w:spacing w:val="-8"/>
        </w:rPr>
        <w:t> </w:t>
      </w:r>
      <w:r>
        <w:rPr/>
        <w:t>sejalan</w:t>
      </w:r>
      <w:r>
        <w:rPr>
          <w:spacing w:val="-9"/>
        </w:rPr>
        <w:t> </w:t>
      </w:r>
      <w:r>
        <w:rPr/>
        <w:t>dengan</w:t>
      </w:r>
      <w:r>
        <w:rPr>
          <w:spacing w:val="-9"/>
        </w:rPr>
        <w:t> </w:t>
      </w:r>
      <w:r>
        <w:rPr/>
        <w:t>penelitian terdahulu yang dilakukan oleh Ruiz-Barbadillo &amp; Martínez-Ferrero (2022).</w:t>
      </w:r>
    </w:p>
    <w:p>
      <w:pPr>
        <w:pStyle w:val="BodyText"/>
        <w:spacing w:after="0" w:line="480" w:lineRule="auto"/>
        <w:jc w:val="both"/>
        <w:sectPr>
          <w:pgSz w:w="11910" w:h="16840"/>
          <w:pgMar w:header="710" w:footer="0" w:top="1920" w:bottom="280" w:left="1700" w:right="1133"/>
        </w:sectPr>
      </w:pPr>
    </w:p>
    <w:p>
      <w:pPr>
        <w:pStyle w:val="BodyText"/>
        <w:spacing w:before="52"/>
      </w:pPr>
    </w:p>
    <w:p>
      <w:pPr>
        <w:pStyle w:val="Heading3"/>
        <w:numPr>
          <w:ilvl w:val="1"/>
          <w:numId w:val="27"/>
        </w:numPr>
        <w:tabs>
          <w:tab w:pos="1288" w:val="left" w:leader="none"/>
        </w:tabs>
        <w:spacing w:line="240" w:lineRule="auto" w:before="0" w:after="0"/>
        <w:ind w:left="1288" w:right="0" w:hanging="720"/>
        <w:jc w:val="both"/>
      </w:pPr>
      <w:bookmarkStart w:name="_bookmark38" w:id="39"/>
      <w:bookmarkEnd w:id="39"/>
      <w:r>
        <w:rPr>
          <w:b w:val="0"/>
        </w:rPr>
      </w:r>
      <w:r>
        <w:rPr/>
        <w:t>Populasi</w:t>
      </w:r>
      <w:r>
        <w:rPr>
          <w:spacing w:val="-3"/>
        </w:rPr>
        <w:t> </w:t>
      </w:r>
      <w:r>
        <w:rPr/>
        <w:t>dan</w:t>
      </w:r>
      <w:r>
        <w:rPr>
          <w:spacing w:val="-7"/>
        </w:rPr>
        <w:t> </w:t>
      </w:r>
      <w:r>
        <w:rPr>
          <w:spacing w:val="-2"/>
        </w:rPr>
        <w:t>Sampel</w:t>
      </w:r>
    </w:p>
    <w:p>
      <w:pPr>
        <w:pStyle w:val="BodyText"/>
        <w:rPr>
          <w:b/>
        </w:rPr>
      </w:pPr>
    </w:p>
    <w:p>
      <w:pPr>
        <w:pStyle w:val="Heading3"/>
        <w:numPr>
          <w:ilvl w:val="2"/>
          <w:numId w:val="27"/>
        </w:numPr>
        <w:tabs>
          <w:tab w:pos="1288" w:val="left" w:leader="none"/>
        </w:tabs>
        <w:spacing w:line="240" w:lineRule="auto" w:before="0" w:after="0"/>
        <w:ind w:left="1288" w:right="0" w:hanging="720"/>
        <w:jc w:val="both"/>
      </w:pPr>
      <w:bookmarkStart w:name="_bookmark39" w:id="40"/>
      <w:bookmarkEnd w:id="40"/>
      <w:r>
        <w:rPr>
          <w:b w:val="0"/>
        </w:rPr>
      </w:r>
      <w:r>
        <w:rPr>
          <w:spacing w:val="-2"/>
        </w:rPr>
        <w:t>Populasi</w:t>
      </w:r>
    </w:p>
    <w:p>
      <w:pPr>
        <w:pStyle w:val="BodyText"/>
        <w:spacing w:line="480" w:lineRule="auto" w:before="273"/>
        <w:ind w:left="568" w:right="562" w:firstLine="720"/>
        <w:jc w:val="both"/>
      </w:pPr>
      <w:r>
        <w:rPr/>
        <w:t>Perusahaan</w:t>
      </w:r>
      <w:r>
        <w:rPr>
          <w:spacing w:val="-1"/>
        </w:rPr>
        <w:t> </w:t>
      </w:r>
      <w:r>
        <w:rPr/>
        <w:t>sektor</w:t>
      </w:r>
      <w:r>
        <w:rPr>
          <w:spacing w:val="-4"/>
        </w:rPr>
        <w:t> </w:t>
      </w:r>
      <w:r>
        <w:rPr/>
        <w:t>energi dipilih</w:t>
      </w:r>
      <w:r>
        <w:rPr>
          <w:spacing w:val="-1"/>
        </w:rPr>
        <w:t> </w:t>
      </w:r>
      <w:r>
        <w:rPr/>
        <w:t>sebagai sampel pada penelitian</w:t>
      </w:r>
      <w:r>
        <w:rPr>
          <w:spacing w:val="-1"/>
        </w:rPr>
        <w:t> </w:t>
      </w:r>
      <w:r>
        <w:rPr/>
        <w:t>ini.</w:t>
      </w:r>
      <w:r>
        <w:rPr>
          <w:spacing w:val="-1"/>
        </w:rPr>
        <w:t> </w:t>
      </w:r>
      <w:r>
        <w:rPr/>
        <w:t>Sektor energi merupakan salah satu sektor yang terdaftar di Bursa Efek Indonesia. Perusahaan-perusahaan</w:t>
      </w:r>
      <w:r>
        <w:rPr>
          <w:spacing w:val="-12"/>
        </w:rPr>
        <w:t> </w:t>
      </w:r>
      <w:r>
        <w:rPr/>
        <w:t>pada</w:t>
      </w:r>
      <w:r>
        <w:rPr>
          <w:spacing w:val="-12"/>
        </w:rPr>
        <w:t> </w:t>
      </w:r>
      <w:r>
        <w:rPr/>
        <w:t>sektor</w:t>
      </w:r>
      <w:r>
        <w:rPr>
          <w:spacing w:val="-12"/>
        </w:rPr>
        <w:t> </w:t>
      </w:r>
      <w:r>
        <w:rPr/>
        <w:t>ini</w:t>
      </w:r>
      <w:r>
        <w:rPr>
          <w:spacing w:val="-12"/>
        </w:rPr>
        <w:t> </w:t>
      </w:r>
      <w:r>
        <w:rPr/>
        <w:t>bergerak</w:t>
      </w:r>
      <w:r>
        <w:rPr>
          <w:spacing w:val="-12"/>
        </w:rPr>
        <w:t> </w:t>
      </w:r>
      <w:r>
        <w:rPr/>
        <w:t>di</w:t>
      </w:r>
      <w:r>
        <w:rPr>
          <w:spacing w:val="-12"/>
        </w:rPr>
        <w:t> </w:t>
      </w:r>
      <w:r>
        <w:rPr/>
        <w:t>bidang</w:t>
      </w:r>
      <w:r>
        <w:rPr>
          <w:spacing w:val="-11"/>
        </w:rPr>
        <w:t> </w:t>
      </w:r>
      <w:r>
        <w:rPr/>
        <w:t>pertambangan</w:t>
      </w:r>
      <w:r>
        <w:rPr>
          <w:spacing w:val="-12"/>
        </w:rPr>
        <w:t> </w:t>
      </w:r>
      <w:r>
        <w:rPr/>
        <w:t>batu</w:t>
      </w:r>
      <w:r>
        <w:rPr>
          <w:spacing w:val="-12"/>
        </w:rPr>
        <w:t> </w:t>
      </w:r>
      <w:r>
        <w:rPr/>
        <w:t>bara, minyak dan gas, energi terbarukan, dan perdagangan bahan bakar. Adapun jumlah perusahaan</w:t>
      </w:r>
      <w:r>
        <w:rPr>
          <w:spacing w:val="-3"/>
        </w:rPr>
        <w:t> </w:t>
      </w:r>
      <w:r>
        <w:rPr/>
        <w:t>yang</w:t>
      </w:r>
      <w:r>
        <w:rPr>
          <w:spacing w:val="-8"/>
        </w:rPr>
        <w:t> </w:t>
      </w:r>
      <w:r>
        <w:rPr/>
        <w:t>terdaftar</w:t>
      </w:r>
      <w:r>
        <w:rPr>
          <w:spacing w:val="-3"/>
        </w:rPr>
        <w:t> </w:t>
      </w:r>
      <w:r>
        <w:rPr/>
        <w:t>dalam</w:t>
      </w:r>
      <w:r>
        <w:rPr>
          <w:spacing w:val="-3"/>
        </w:rPr>
        <w:t> </w:t>
      </w:r>
      <w:r>
        <w:rPr/>
        <w:t>populasi</w:t>
      </w:r>
      <w:r>
        <w:rPr>
          <w:spacing w:val="-7"/>
        </w:rPr>
        <w:t> </w:t>
      </w:r>
      <w:r>
        <w:rPr/>
        <w:t>penelitian</w:t>
      </w:r>
      <w:r>
        <w:rPr>
          <w:spacing w:val="-3"/>
        </w:rPr>
        <w:t> </w:t>
      </w:r>
      <w:r>
        <w:rPr/>
        <w:t>yaitu</w:t>
      </w:r>
      <w:r>
        <w:rPr>
          <w:spacing w:val="-3"/>
        </w:rPr>
        <w:t> </w:t>
      </w:r>
      <w:r>
        <w:rPr/>
        <w:t>sebanyak</w:t>
      </w:r>
      <w:r>
        <w:rPr>
          <w:spacing w:val="-3"/>
        </w:rPr>
        <w:t> </w:t>
      </w:r>
      <w:r>
        <w:rPr/>
        <w:t>91 perusahaan yang tercatat di Bursa Efek Indonesia selama periode 2021-2024.</w:t>
      </w:r>
    </w:p>
    <w:p>
      <w:pPr>
        <w:pStyle w:val="Heading3"/>
        <w:numPr>
          <w:ilvl w:val="2"/>
          <w:numId w:val="27"/>
        </w:numPr>
        <w:tabs>
          <w:tab w:pos="1288" w:val="left" w:leader="none"/>
        </w:tabs>
        <w:spacing w:line="240" w:lineRule="auto" w:before="165" w:after="0"/>
        <w:ind w:left="1288" w:right="0" w:hanging="720"/>
        <w:jc w:val="both"/>
      </w:pPr>
      <w:bookmarkStart w:name="_bookmark40" w:id="41"/>
      <w:bookmarkEnd w:id="41"/>
      <w:r>
        <w:rPr>
          <w:b w:val="0"/>
        </w:rPr>
      </w:r>
      <w:r>
        <w:rPr>
          <w:spacing w:val="-2"/>
        </w:rPr>
        <w:t>Sampel</w:t>
      </w:r>
    </w:p>
    <w:p>
      <w:pPr>
        <w:pStyle w:val="BodyText"/>
        <w:spacing w:line="480" w:lineRule="auto" w:before="272"/>
        <w:ind w:left="568" w:right="564" w:firstLine="720"/>
        <w:jc w:val="both"/>
        <w:rPr>
          <w:i/>
        </w:rPr>
      </w:pPr>
      <w:r>
        <w:rPr/>
        <w:t>Pemilihan sampel pada penelitian ini menggunakan teknik </w:t>
      </w:r>
      <w:r>
        <w:rPr>
          <w:i/>
        </w:rPr>
        <w:t>Purposive Sampling. </w:t>
      </w:r>
      <w:r>
        <w:rPr/>
        <w:t>Metode ini memilih sampel berdasarkan kriteria khusus yang telah ditentukan sebelumnya sesuai dengan tujuan penelitian, atau ditetapkan dengan mempertimbangkan</w:t>
      </w:r>
      <w:r>
        <w:rPr>
          <w:spacing w:val="-10"/>
        </w:rPr>
        <w:t> </w:t>
      </w:r>
      <w:r>
        <w:rPr/>
        <w:t>parameter</w:t>
      </w:r>
      <w:r>
        <w:rPr>
          <w:spacing w:val="-9"/>
        </w:rPr>
        <w:t> </w:t>
      </w:r>
      <w:r>
        <w:rPr/>
        <w:t>tertentu.</w:t>
      </w:r>
      <w:r>
        <w:rPr>
          <w:spacing w:val="-3"/>
        </w:rPr>
        <w:t> </w:t>
      </w:r>
      <w:r>
        <w:rPr/>
        <w:t>Berikut</w:t>
      </w:r>
      <w:r>
        <w:rPr>
          <w:spacing w:val="-9"/>
        </w:rPr>
        <w:t> </w:t>
      </w:r>
      <w:r>
        <w:rPr/>
        <w:t>adalah</w:t>
      </w:r>
      <w:r>
        <w:rPr>
          <w:spacing w:val="-7"/>
        </w:rPr>
        <w:t> </w:t>
      </w:r>
      <w:r>
        <w:rPr/>
        <w:t>beberapa</w:t>
      </w:r>
      <w:r>
        <w:rPr>
          <w:spacing w:val="-7"/>
        </w:rPr>
        <w:t> </w:t>
      </w:r>
      <w:r>
        <w:rPr/>
        <w:t>kriteria</w:t>
      </w:r>
      <w:r>
        <w:rPr>
          <w:spacing w:val="-8"/>
        </w:rPr>
        <w:t> </w:t>
      </w:r>
      <w:r>
        <w:rPr/>
        <w:t>pemilihan sampel yang digunakan pada penelitian ini</w:t>
      </w:r>
      <w:r>
        <w:rPr>
          <w:i/>
        </w:rPr>
        <w:t>:</w:t>
      </w:r>
    </w:p>
    <w:p>
      <w:pPr>
        <w:pStyle w:val="ListParagraph"/>
        <w:numPr>
          <w:ilvl w:val="0"/>
          <w:numId w:val="29"/>
        </w:numPr>
        <w:tabs>
          <w:tab w:pos="1288" w:val="left" w:leader="none"/>
        </w:tabs>
        <w:spacing w:line="480" w:lineRule="auto" w:before="161" w:after="0"/>
        <w:ind w:left="1288" w:right="563" w:hanging="360"/>
        <w:jc w:val="both"/>
        <w:rPr>
          <w:sz w:val="24"/>
        </w:rPr>
      </w:pPr>
      <w:r>
        <w:rPr>
          <w:sz w:val="24"/>
        </w:rPr>
        <w:t>Perusahaan sektor energi yang terdaftar di Bursa Efek Indonesia </w:t>
      </w:r>
      <w:hyperlink r:id="rId15">
        <w:r>
          <w:rPr>
            <w:sz w:val="24"/>
          </w:rPr>
          <w:t>(www.idx.co.id)</w:t>
        </w:r>
      </w:hyperlink>
      <w:r>
        <w:rPr>
          <w:sz w:val="24"/>
        </w:rPr>
        <w:t> periode 2021 sampai dengan 2024.</w:t>
      </w:r>
    </w:p>
    <w:p>
      <w:pPr>
        <w:pStyle w:val="ListParagraph"/>
        <w:numPr>
          <w:ilvl w:val="0"/>
          <w:numId w:val="29"/>
        </w:numPr>
        <w:tabs>
          <w:tab w:pos="1288" w:val="left" w:leader="none"/>
        </w:tabs>
        <w:spacing w:line="240" w:lineRule="auto" w:before="0" w:after="0"/>
        <w:ind w:left="1288" w:right="0" w:hanging="360"/>
        <w:jc w:val="both"/>
        <w:rPr>
          <w:sz w:val="24"/>
        </w:rPr>
      </w:pPr>
      <w:r>
        <w:rPr>
          <w:sz w:val="24"/>
        </w:rPr>
        <w:t>Perusahaan</w:t>
      </w:r>
      <w:r>
        <w:rPr>
          <w:spacing w:val="14"/>
          <w:sz w:val="24"/>
        </w:rPr>
        <w:t> </w:t>
      </w:r>
      <w:r>
        <w:rPr>
          <w:sz w:val="24"/>
        </w:rPr>
        <w:t>yang</w:t>
      </w:r>
      <w:r>
        <w:rPr>
          <w:spacing w:val="10"/>
          <w:sz w:val="24"/>
        </w:rPr>
        <w:t> </w:t>
      </w:r>
      <w:r>
        <w:rPr>
          <w:sz w:val="24"/>
        </w:rPr>
        <w:t>secara</w:t>
      </w:r>
      <w:r>
        <w:rPr>
          <w:spacing w:val="16"/>
          <w:sz w:val="24"/>
        </w:rPr>
        <w:t> </w:t>
      </w:r>
      <w:r>
        <w:rPr>
          <w:sz w:val="24"/>
        </w:rPr>
        <w:t>konsisten</w:t>
      </w:r>
      <w:r>
        <w:rPr>
          <w:spacing w:val="10"/>
          <w:sz w:val="24"/>
        </w:rPr>
        <w:t> </w:t>
      </w:r>
      <w:r>
        <w:rPr>
          <w:sz w:val="24"/>
        </w:rPr>
        <w:t>menerbitkan</w:t>
      </w:r>
      <w:r>
        <w:rPr>
          <w:spacing w:val="10"/>
          <w:sz w:val="24"/>
        </w:rPr>
        <w:t> </w:t>
      </w:r>
      <w:r>
        <w:rPr>
          <w:sz w:val="24"/>
        </w:rPr>
        <w:t>laporan</w:t>
      </w:r>
      <w:r>
        <w:rPr>
          <w:spacing w:val="10"/>
          <w:sz w:val="24"/>
        </w:rPr>
        <w:t> </w:t>
      </w:r>
      <w:r>
        <w:rPr>
          <w:sz w:val="24"/>
        </w:rPr>
        <w:t>keberlanjutan</w:t>
      </w:r>
      <w:r>
        <w:rPr>
          <w:spacing w:val="11"/>
          <w:sz w:val="24"/>
        </w:rPr>
        <w:t> </w:t>
      </w:r>
      <w:r>
        <w:rPr>
          <w:spacing w:val="-4"/>
          <w:sz w:val="24"/>
        </w:rPr>
        <w:t>atau</w:t>
      </w:r>
    </w:p>
    <w:p>
      <w:pPr>
        <w:pStyle w:val="BodyText"/>
      </w:pPr>
    </w:p>
    <w:p>
      <w:pPr>
        <w:spacing w:before="0"/>
        <w:ind w:left="1288" w:right="0" w:firstLine="0"/>
        <w:jc w:val="left"/>
        <w:rPr>
          <w:sz w:val="24"/>
        </w:rPr>
      </w:pPr>
      <w:r>
        <w:rPr>
          <w:i/>
          <w:sz w:val="24"/>
        </w:rPr>
        <w:t>sustainability</w:t>
      </w:r>
      <w:r>
        <w:rPr>
          <w:i/>
          <w:spacing w:val="-5"/>
          <w:sz w:val="24"/>
        </w:rPr>
        <w:t> </w:t>
      </w:r>
      <w:r>
        <w:rPr>
          <w:i/>
          <w:sz w:val="24"/>
        </w:rPr>
        <w:t>report</w:t>
      </w:r>
      <w:r>
        <w:rPr>
          <w:i/>
          <w:spacing w:val="-2"/>
          <w:sz w:val="24"/>
        </w:rPr>
        <w:t> </w:t>
      </w:r>
      <w:r>
        <w:rPr>
          <w:sz w:val="24"/>
        </w:rPr>
        <w:t>selama</w:t>
      </w:r>
      <w:r>
        <w:rPr>
          <w:spacing w:val="-5"/>
          <w:sz w:val="24"/>
        </w:rPr>
        <w:t> </w:t>
      </w:r>
      <w:r>
        <w:rPr>
          <w:sz w:val="24"/>
        </w:rPr>
        <w:t>periode</w:t>
      </w:r>
      <w:r>
        <w:rPr>
          <w:spacing w:val="-4"/>
          <w:sz w:val="24"/>
        </w:rPr>
        <w:t> </w:t>
      </w:r>
      <w:r>
        <w:rPr>
          <w:sz w:val="24"/>
        </w:rPr>
        <w:t>2021-</w:t>
      </w:r>
      <w:r>
        <w:rPr>
          <w:spacing w:val="-4"/>
          <w:sz w:val="24"/>
        </w:rPr>
        <w:t>2024</w:t>
      </w:r>
    </w:p>
    <w:p>
      <w:pPr>
        <w:pStyle w:val="BodyText"/>
      </w:pPr>
    </w:p>
    <w:p>
      <w:pPr>
        <w:pStyle w:val="ListParagraph"/>
        <w:numPr>
          <w:ilvl w:val="0"/>
          <w:numId w:val="29"/>
        </w:numPr>
        <w:tabs>
          <w:tab w:pos="1288" w:val="left" w:leader="none"/>
        </w:tabs>
        <w:spacing w:line="480" w:lineRule="auto" w:before="0" w:after="0"/>
        <w:ind w:left="1288" w:right="558" w:hanging="360"/>
        <w:jc w:val="both"/>
        <w:rPr>
          <w:sz w:val="24"/>
        </w:rPr>
      </w:pPr>
      <w:r>
        <w:rPr>
          <w:sz w:val="24"/>
        </w:rPr>
        <w:t>Perusahaan menerbitkan laporan keberlanjutan yang telah menerima penjaminan pihak eksternal (</w:t>
      </w:r>
      <w:r>
        <w:rPr>
          <w:i/>
          <w:sz w:val="24"/>
        </w:rPr>
        <w:t>External Assurance</w:t>
      </w:r>
      <w:r>
        <w:rPr>
          <w:sz w:val="24"/>
        </w:rPr>
        <w:t>) selama periode 2021- </w:t>
      </w:r>
      <w:r>
        <w:rPr>
          <w:spacing w:val="-4"/>
          <w:sz w:val="24"/>
        </w:rPr>
        <w:t>2024</w:t>
      </w:r>
    </w:p>
    <w:p>
      <w:pPr>
        <w:pStyle w:val="ListParagraph"/>
        <w:spacing w:after="0" w:line="480" w:lineRule="auto"/>
        <w:jc w:val="both"/>
        <w:rPr>
          <w:sz w:val="24"/>
        </w:rPr>
        <w:sectPr>
          <w:pgSz w:w="11910" w:h="16840"/>
          <w:pgMar w:header="710" w:footer="0" w:top="1920" w:bottom="280" w:left="1700" w:right="1133"/>
        </w:sectPr>
      </w:pPr>
    </w:p>
    <w:p>
      <w:pPr>
        <w:pStyle w:val="BodyText"/>
        <w:spacing w:before="78"/>
        <w:rPr>
          <w:sz w:val="22"/>
        </w:rPr>
      </w:pPr>
    </w:p>
    <w:p>
      <w:pPr>
        <w:spacing w:before="0"/>
        <w:ind w:left="363" w:right="5" w:firstLine="0"/>
        <w:jc w:val="center"/>
        <w:rPr>
          <w:b/>
          <w:sz w:val="22"/>
        </w:rPr>
      </w:pPr>
      <w:r>
        <w:rPr>
          <w:b/>
          <w:sz w:val="22"/>
        </w:rPr>
        <w:t>Tabel</w:t>
      </w:r>
      <w:r>
        <w:rPr>
          <w:b/>
          <w:spacing w:val="-8"/>
          <w:sz w:val="22"/>
        </w:rPr>
        <w:t> </w:t>
      </w:r>
      <w:r>
        <w:rPr>
          <w:b/>
          <w:sz w:val="22"/>
        </w:rPr>
        <w:t>3.2</w:t>
      </w:r>
      <w:r>
        <w:rPr>
          <w:b/>
          <w:spacing w:val="-8"/>
          <w:sz w:val="22"/>
        </w:rPr>
        <w:t> </w:t>
      </w:r>
      <w:r>
        <w:rPr>
          <w:b/>
          <w:sz w:val="22"/>
        </w:rPr>
        <w:t>Hasil</w:t>
      </w:r>
      <w:r>
        <w:rPr>
          <w:b/>
          <w:spacing w:val="-11"/>
          <w:sz w:val="22"/>
        </w:rPr>
        <w:t> </w:t>
      </w:r>
      <w:r>
        <w:rPr>
          <w:b/>
          <w:sz w:val="22"/>
        </w:rPr>
        <w:t>Pemilihan</w:t>
      </w:r>
      <w:r>
        <w:rPr>
          <w:b/>
          <w:spacing w:val="-8"/>
          <w:sz w:val="22"/>
        </w:rPr>
        <w:t> </w:t>
      </w:r>
      <w:r>
        <w:rPr>
          <w:b/>
          <w:spacing w:val="-2"/>
          <w:sz w:val="22"/>
        </w:rPr>
        <w:t>Sampel</w:t>
      </w:r>
    </w:p>
    <w:p>
      <w:pPr>
        <w:pStyle w:val="BodyText"/>
        <w:spacing w:before="22"/>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6098"/>
        <w:gridCol w:w="1561"/>
      </w:tblGrid>
      <w:tr>
        <w:trPr>
          <w:trHeight w:val="414" w:hRule="atLeast"/>
        </w:trPr>
        <w:tc>
          <w:tcPr>
            <w:tcW w:w="564" w:type="dxa"/>
          </w:tcPr>
          <w:p>
            <w:pPr>
              <w:pStyle w:val="TableParagraph"/>
              <w:spacing w:before="2"/>
              <w:ind w:left="8" w:right="1"/>
              <w:jc w:val="center"/>
              <w:rPr>
                <w:b/>
                <w:sz w:val="24"/>
              </w:rPr>
            </w:pPr>
            <w:r>
              <w:rPr>
                <w:b/>
                <w:spacing w:val="-5"/>
                <w:sz w:val="24"/>
              </w:rPr>
              <w:t>No</w:t>
            </w:r>
          </w:p>
        </w:tc>
        <w:tc>
          <w:tcPr>
            <w:tcW w:w="6098" w:type="dxa"/>
          </w:tcPr>
          <w:p>
            <w:pPr>
              <w:pStyle w:val="TableParagraph"/>
              <w:spacing w:before="2"/>
              <w:ind w:left="10" w:right="6"/>
              <w:jc w:val="center"/>
              <w:rPr>
                <w:b/>
                <w:sz w:val="24"/>
              </w:rPr>
            </w:pPr>
            <w:r>
              <w:rPr>
                <w:b/>
                <w:spacing w:val="-2"/>
                <w:sz w:val="24"/>
              </w:rPr>
              <w:t>Keterangan</w:t>
            </w:r>
          </w:p>
        </w:tc>
        <w:tc>
          <w:tcPr>
            <w:tcW w:w="1561" w:type="dxa"/>
          </w:tcPr>
          <w:p>
            <w:pPr>
              <w:pStyle w:val="TableParagraph"/>
              <w:spacing w:before="2"/>
              <w:ind w:left="7" w:right="7"/>
              <w:jc w:val="center"/>
              <w:rPr>
                <w:b/>
                <w:sz w:val="24"/>
              </w:rPr>
            </w:pPr>
            <w:r>
              <w:rPr>
                <w:b/>
                <w:spacing w:val="-2"/>
                <w:sz w:val="24"/>
              </w:rPr>
              <w:t>Jumlah</w:t>
            </w:r>
          </w:p>
        </w:tc>
      </w:tr>
      <w:tr>
        <w:trPr>
          <w:trHeight w:val="830" w:hRule="atLeast"/>
        </w:trPr>
        <w:tc>
          <w:tcPr>
            <w:tcW w:w="564" w:type="dxa"/>
          </w:tcPr>
          <w:p>
            <w:pPr>
              <w:pStyle w:val="TableParagraph"/>
              <w:spacing w:before="207"/>
              <w:ind w:left="8" w:right="4"/>
              <w:jc w:val="center"/>
              <w:rPr>
                <w:sz w:val="24"/>
              </w:rPr>
            </w:pPr>
            <w:r>
              <w:rPr>
                <w:spacing w:val="-10"/>
                <w:sz w:val="24"/>
              </w:rPr>
              <w:t>1</w:t>
            </w:r>
          </w:p>
        </w:tc>
        <w:tc>
          <w:tcPr>
            <w:tcW w:w="6098" w:type="dxa"/>
          </w:tcPr>
          <w:p>
            <w:pPr>
              <w:pStyle w:val="TableParagraph"/>
              <w:spacing w:line="275" w:lineRule="exact"/>
              <w:ind w:left="107"/>
              <w:rPr>
                <w:sz w:val="24"/>
              </w:rPr>
            </w:pPr>
            <w:r>
              <w:rPr>
                <w:sz w:val="24"/>
              </w:rPr>
              <w:t>Perusahaan</w:t>
            </w:r>
            <w:r>
              <w:rPr>
                <w:spacing w:val="5"/>
                <w:sz w:val="24"/>
              </w:rPr>
              <w:t> </w:t>
            </w:r>
            <w:r>
              <w:rPr>
                <w:sz w:val="24"/>
              </w:rPr>
              <w:t>sektor</w:t>
            </w:r>
            <w:r>
              <w:rPr>
                <w:spacing w:val="6"/>
                <w:sz w:val="24"/>
              </w:rPr>
              <w:t> </w:t>
            </w:r>
            <w:r>
              <w:rPr>
                <w:sz w:val="24"/>
              </w:rPr>
              <w:t>energi</w:t>
            </w:r>
            <w:r>
              <w:rPr>
                <w:spacing w:val="15"/>
                <w:sz w:val="24"/>
              </w:rPr>
              <w:t> </w:t>
            </w:r>
            <w:r>
              <w:rPr>
                <w:sz w:val="24"/>
              </w:rPr>
              <w:t>yang</w:t>
            </w:r>
            <w:r>
              <w:rPr>
                <w:spacing w:val="2"/>
                <w:sz w:val="24"/>
              </w:rPr>
              <w:t> </w:t>
            </w:r>
            <w:r>
              <w:rPr>
                <w:sz w:val="24"/>
              </w:rPr>
              <w:t>terdaftar</w:t>
            </w:r>
            <w:r>
              <w:rPr>
                <w:spacing w:val="9"/>
                <w:sz w:val="24"/>
              </w:rPr>
              <w:t> </w:t>
            </w:r>
            <w:r>
              <w:rPr>
                <w:sz w:val="24"/>
              </w:rPr>
              <w:t>di</w:t>
            </w:r>
            <w:r>
              <w:rPr>
                <w:spacing w:val="7"/>
                <w:sz w:val="24"/>
              </w:rPr>
              <w:t> </w:t>
            </w:r>
            <w:r>
              <w:rPr>
                <w:sz w:val="24"/>
              </w:rPr>
              <w:t>BEI</w:t>
            </w:r>
            <w:r>
              <w:rPr>
                <w:spacing w:val="2"/>
                <w:sz w:val="24"/>
              </w:rPr>
              <w:t> </w:t>
            </w:r>
            <w:r>
              <w:rPr>
                <w:sz w:val="24"/>
              </w:rPr>
              <w:t>periode</w:t>
            </w:r>
            <w:r>
              <w:rPr>
                <w:spacing w:val="7"/>
                <w:sz w:val="24"/>
              </w:rPr>
              <w:t> </w:t>
            </w:r>
            <w:r>
              <w:rPr>
                <w:spacing w:val="-4"/>
                <w:sz w:val="24"/>
              </w:rPr>
              <w:t>2021</w:t>
            </w:r>
          </w:p>
          <w:p>
            <w:pPr>
              <w:pStyle w:val="TableParagraph"/>
              <w:spacing w:before="136"/>
              <w:ind w:left="107"/>
              <w:rPr>
                <w:sz w:val="24"/>
              </w:rPr>
            </w:pPr>
            <w:r>
              <w:rPr>
                <w:sz w:val="24"/>
              </w:rPr>
              <w:t>sampai</w:t>
            </w:r>
            <w:r>
              <w:rPr>
                <w:spacing w:val="-2"/>
                <w:sz w:val="24"/>
              </w:rPr>
              <w:t> </w:t>
            </w:r>
            <w:r>
              <w:rPr>
                <w:sz w:val="24"/>
              </w:rPr>
              <w:t>dengan</w:t>
            </w:r>
            <w:r>
              <w:rPr>
                <w:spacing w:val="-1"/>
                <w:sz w:val="24"/>
              </w:rPr>
              <w:t> </w:t>
            </w:r>
            <w:r>
              <w:rPr>
                <w:spacing w:val="-2"/>
                <w:sz w:val="24"/>
              </w:rPr>
              <w:t>2024.</w:t>
            </w:r>
          </w:p>
        </w:tc>
        <w:tc>
          <w:tcPr>
            <w:tcW w:w="1561" w:type="dxa"/>
          </w:tcPr>
          <w:p>
            <w:pPr>
              <w:pStyle w:val="TableParagraph"/>
              <w:spacing w:line="275" w:lineRule="exact"/>
              <w:ind w:left="7"/>
              <w:jc w:val="center"/>
              <w:rPr>
                <w:sz w:val="24"/>
              </w:rPr>
            </w:pPr>
            <w:r>
              <w:rPr>
                <w:spacing w:val="-5"/>
                <w:sz w:val="24"/>
              </w:rPr>
              <w:t>91</w:t>
            </w:r>
          </w:p>
        </w:tc>
      </w:tr>
      <w:tr>
        <w:trPr>
          <w:trHeight w:val="825" w:hRule="atLeast"/>
        </w:trPr>
        <w:tc>
          <w:tcPr>
            <w:tcW w:w="564" w:type="dxa"/>
          </w:tcPr>
          <w:p>
            <w:pPr>
              <w:pStyle w:val="TableParagraph"/>
              <w:spacing w:before="203"/>
              <w:ind w:left="8" w:right="4"/>
              <w:jc w:val="center"/>
              <w:rPr>
                <w:sz w:val="24"/>
              </w:rPr>
            </w:pPr>
            <w:r>
              <w:rPr>
                <w:spacing w:val="-10"/>
                <w:sz w:val="24"/>
              </w:rPr>
              <w:t>2</w:t>
            </w:r>
          </w:p>
        </w:tc>
        <w:tc>
          <w:tcPr>
            <w:tcW w:w="6098" w:type="dxa"/>
          </w:tcPr>
          <w:p>
            <w:pPr>
              <w:pStyle w:val="TableParagraph"/>
              <w:spacing w:line="271" w:lineRule="exact"/>
              <w:ind w:left="107"/>
              <w:rPr>
                <w:sz w:val="24"/>
              </w:rPr>
            </w:pPr>
            <w:r>
              <w:rPr>
                <w:sz w:val="24"/>
              </w:rPr>
              <w:t>Perusahaan</w:t>
            </w:r>
            <w:r>
              <w:rPr>
                <w:spacing w:val="61"/>
                <w:sz w:val="24"/>
              </w:rPr>
              <w:t> </w:t>
            </w:r>
            <w:r>
              <w:rPr>
                <w:sz w:val="24"/>
              </w:rPr>
              <w:t>yang</w:t>
            </w:r>
            <w:r>
              <w:rPr>
                <w:spacing w:val="58"/>
                <w:sz w:val="24"/>
              </w:rPr>
              <w:t> </w:t>
            </w:r>
            <w:r>
              <w:rPr>
                <w:sz w:val="24"/>
              </w:rPr>
              <w:t>tidak</w:t>
            </w:r>
            <w:r>
              <w:rPr>
                <w:spacing w:val="61"/>
                <w:sz w:val="24"/>
              </w:rPr>
              <w:t> </w:t>
            </w:r>
            <w:r>
              <w:rPr>
                <w:sz w:val="24"/>
              </w:rPr>
              <w:t>menerbitkan</w:t>
            </w:r>
            <w:r>
              <w:rPr>
                <w:spacing w:val="58"/>
                <w:sz w:val="24"/>
              </w:rPr>
              <w:t> </w:t>
            </w:r>
            <w:r>
              <w:rPr>
                <w:sz w:val="24"/>
              </w:rPr>
              <w:t>laporan</w:t>
            </w:r>
            <w:r>
              <w:rPr>
                <w:spacing w:val="62"/>
                <w:sz w:val="24"/>
              </w:rPr>
              <w:t> </w:t>
            </w:r>
            <w:r>
              <w:rPr>
                <w:spacing w:val="-2"/>
                <w:sz w:val="24"/>
              </w:rPr>
              <w:t>keberlanjutan</w:t>
            </w:r>
          </w:p>
          <w:p>
            <w:pPr>
              <w:pStyle w:val="TableParagraph"/>
              <w:spacing w:before="140"/>
              <w:ind w:left="107"/>
              <w:rPr>
                <w:sz w:val="24"/>
              </w:rPr>
            </w:pPr>
            <w:r>
              <w:rPr>
                <w:sz w:val="24"/>
              </w:rPr>
              <w:t>atau</w:t>
            </w:r>
            <w:r>
              <w:rPr>
                <w:spacing w:val="-5"/>
                <w:sz w:val="24"/>
              </w:rPr>
              <w:t> </w:t>
            </w:r>
            <w:r>
              <w:rPr>
                <w:i/>
                <w:sz w:val="24"/>
              </w:rPr>
              <w:t>sustainability</w:t>
            </w:r>
            <w:r>
              <w:rPr>
                <w:i/>
                <w:spacing w:val="-3"/>
                <w:sz w:val="24"/>
              </w:rPr>
              <w:t> </w:t>
            </w:r>
            <w:r>
              <w:rPr>
                <w:i/>
                <w:sz w:val="24"/>
              </w:rPr>
              <w:t>report</w:t>
            </w:r>
            <w:r>
              <w:rPr>
                <w:i/>
                <w:spacing w:val="-2"/>
                <w:sz w:val="24"/>
              </w:rPr>
              <w:t> </w:t>
            </w:r>
            <w:r>
              <w:rPr>
                <w:sz w:val="24"/>
              </w:rPr>
              <w:t>selama</w:t>
            </w:r>
            <w:r>
              <w:rPr>
                <w:spacing w:val="-3"/>
                <w:sz w:val="24"/>
              </w:rPr>
              <w:t> </w:t>
            </w:r>
            <w:r>
              <w:rPr>
                <w:sz w:val="24"/>
              </w:rPr>
              <w:t>periode</w:t>
            </w:r>
            <w:r>
              <w:rPr>
                <w:spacing w:val="-7"/>
                <w:sz w:val="24"/>
              </w:rPr>
              <w:t> </w:t>
            </w:r>
            <w:r>
              <w:rPr>
                <w:spacing w:val="-2"/>
                <w:sz w:val="24"/>
              </w:rPr>
              <w:t>tersebut</w:t>
            </w:r>
          </w:p>
        </w:tc>
        <w:tc>
          <w:tcPr>
            <w:tcW w:w="1561" w:type="dxa"/>
          </w:tcPr>
          <w:p>
            <w:pPr>
              <w:pStyle w:val="TableParagraph"/>
              <w:spacing w:line="271" w:lineRule="exact"/>
              <w:ind w:left="7"/>
              <w:jc w:val="center"/>
              <w:rPr>
                <w:sz w:val="24"/>
              </w:rPr>
            </w:pPr>
            <w:r>
              <w:rPr>
                <w:spacing w:val="-4"/>
                <w:sz w:val="24"/>
              </w:rPr>
              <w:t>(25)</w:t>
            </w:r>
          </w:p>
        </w:tc>
      </w:tr>
      <w:tr>
        <w:trPr>
          <w:trHeight w:val="1242" w:hRule="atLeast"/>
        </w:trPr>
        <w:tc>
          <w:tcPr>
            <w:tcW w:w="564" w:type="dxa"/>
          </w:tcPr>
          <w:p>
            <w:pPr>
              <w:pStyle w:val="TableParagraph"/>
              <w:spacing w:before="135"/>
              <w:rPr>
                <w:b/>
                <w:sz w:val="24"/>
              </w:rPr>
            </w:pPr>
          </w:p>
          <w:p>
            <w:pPr>
              <w:pStyle w:val="TableParagraph"/>
              <w:ind w:left="8" w:right="4"/>
              <w:jc w:val="center"/>
              <w:rPr>
                <w:sz w:val="24"/>
              </w:rPr>
            </w:pPr>
            <w:r>
              <w:rPr>
                <w:spacing w:val="-10"/>
                <w:sz w:val="24"/>
              </w:rPr>
              <w:t>3</w:t>
            </w:r>
          </w:p>
        </w:tc>
        <w:tc>
          <w:tcPr>
            <w:tcW w:w="6098" w:type="dxa"/>
          </w:tcPr>
          <w:p>
            <w:pPr>
              <w:pStyle w:val="TableParagraph"/>
              <w:spacing w:line="360" w:lineRule="auto"/>
              <w:ind w:left="107"/>
              <w:rPr>
                <w:sz w:val="24"/>
              </w:rPr>
            </w:pPr>
            <w:r>
              <w:rPr>
                <w:sz w:val="24"/>
              </w:rPr>
              <w:t>Perusahaan</w:t>
            </w:r>
            <w:r>
              <w:rPr>
                <w:spacing w:val="40"/>
                <w:sz w:val="24"/>
              </w:rPr>
              <w:t> </w:t>
            </w:r>
            <w:r>
              <w:rPr>
                <w:sz w:val="24"/>
              </w:rPr>
              <w:t>menerbitkan</w:t>
            </w:r>
            <w:r>
              <w:rPr>
                <w:spacing w:val="40"/>
                <w:sz w:val="24"/>
              </w:rPr>
              <w:t> </w:t>
            </w:r>
            <w:r>
              <w:rPr>
                <w:sz w:val="24"/>
              </w:rPr>
              <w:t>laporan</w:t>
            </w:r>
            <w:r>
              <w:rPr>
                <w:spacing w:val="40"/>
                <w:sz w:val="24"/>
              </w:rPr>
              <w:t> </w:t>
            </w:r>
            <w:r>
              <w:rPr>
                <w:sz w:val="24"/>
              </w:rPr>
              <w:t>keberlanjutan</w:t>
            </w:r>
            <w:r>
              <w:rPr>
                <w:spacing w:val="40"/>
                <w:sz w:val="24"/>
              </w:rPr>
              <w:t> </w:t>
            </w:r>
            <w:r>
              <w:rPr>
                <w:sz w:val="24"/>
              </w:rPr>
              <w:t>yang</w:t>
            </w:r>
            <w:r>
              <w:rPr>
                <w:spacing w:val="40"/>
                <w:sz w:val="24"/>
              </w:rPr>
              <w:t> </w:t>
            </w:r>
            <w:r>
              <w:rPr>
                <w:sz w:val="24"/>
              </w:rPr>
              <w:t>tidak menerima</w:t>
            </w:r>
            <w:r>
              <w:rPr>
                <w:spacing w:val="24"/>
                <w:sz w:val="24"/>
              </w:rPr>
              <w:t> </w:t>
            </w:r>
            <w:r>
              <w:rPr>
                <w:sz w:val="24"/>
              </w:rPr>
              <w:t>penjaminan</w:t>
            </w:r>
            <w:r>
              <w:rPr>
                <w:spacing w:val="22"/>
                <w:sz w:val="24"/>
              </w:rPr>
              <w:t> </w:t>
            </w:r>
            <w:r>
              <w:rPr>
                <w:sz w:val="24"/>
              </w:rPr>
              <w:t>pihak</w:t>
            </w:r>
            <w:r>
              <w:rPr>
                <w:spacing w:val="22"/>
                <w:sz w:val="24"/>
              </w:rPr>
              <w:t> </w:t>
            </w:r>
            <w:r>
              <w:rPr>
                <w:sz w:val="24"/>
              </w:rPr>
              <w:t>eksternal</w:t>
            </w:r>
            <w:r>
              <w:rPr>
                <w:spacing w:val="23"/>
                <w:sz w:val="24"/>
              </w:rPr>
              <w:t> </w:t>
            </w:r>
            <w:r>
              <w:rPr>
                <w:sz w:val="24"/>
              </w:rPr>
              <w:t>(</w:t>
            </w:r>
            <w:r>
              <w:rPr>
                <w:i/>
                <w:sz w:val="24"/>
              </w:rPr>
              <w:t>External</w:t>
            </w:r>
            <w:r>
              <w:rPr>
                <w:i/>
                <w:spacing w:val="17"/>
                <w:sz w:val="24"/>
              </w:rPr>
              <w:t> </w:t>
            </w:r>
            <w:r>
              <w:rPr>
                <w:i/>
                <w:spacing w:val="-2"/>
                <w:sz w:val="24"/>
              </w:rPr>
              <w:t>Assurance</w:t>
            </w:r>
            <w:r>
              <w:rPr>
                <w:spacing w:val="-2"/>
                <w:sz w:val="24"/>
              </w:rPr>
              <w:t>)</w:t>
            </w:r>
          </w:p>
          <w:p>
            <w:pPr>
              <w:pStyle w:val="TableParagraph"/>
              <w:ind w:left="107"/>
              <w:rPr>
                <w:sz w:val="24"/>
              </w:rPr>
            </w:pPr>
            <w:r>
              <w:rPr>
                <w:sz w:val="24"/>
              </w:rPr>
              <w:t>selama</w:t>
            </w:r>
            <w:r>
              <w:rPr>
                <w:spacing w:val="-2"/>
                <w:sz w:val="24"/>
              </w:rPr>
              <w:t> </w:t>
            </w:r>
            <w:r>
              <w:rPr>
                <w:sz w:val="24"/>
              </w:rPr>
              <w:t>periode</w:t>
            </w:r>
            <w:r>
              <w:rPr>
                <w:spacing w:val="-2"/>
                <w:sz w:val="24"/>
              </w:rPr>
              <w:t> tersebut</w:t>
            </w:r>
          </w:p>
        </w:tc>
        <w:tc>
          <w:tcPr>
            <w:tcW w:w="1561" w:type="dxa"/>
          </w:tcPr>
          <w:p>
            <w:pPr>
              <w:pStyle w:val="TableParagraph"/>
              <w:spacing w:line="275" w:lineRule="exact"/>
              <w:ind w:left="7"/>
              <w:jc w:val="center"/>
              <w:rPr>
                <w:sz w:val="24"/>
              </w:rPr>
            </w:pPr>
            <w:r>
              <w:rPr>
                <w:spacing w:val="-4"/>
                <w:sz w:val="24"/>
              </w:rPr>
              <w:t>(58)</w:t>
            </w:r>
          </w:p>
        </w:tc>
      </w:tr>
      <w:tr>
        <w:trPr>
          <w:trHeight w:val="414" w:hRule="atLeast"/>
        </w:trPr>
        <w:tc>
          <w:tcPr>
            <w:tcW w:w="564" w:type="dxa"/>
          </w:tcPr>
          <w:p>
            <w:pPr>
              <w:pStyle w:val="TableParagraph"/>
              <w:spacing w:line="275" w:lineRule="exact"/>
              <w:ind w:left="8" w:right="4"/>
              <w:jc w:val="center"/>
              <w:rPr>
                <w:sz w:val="24"/>
              </w:rPr>
            </w:pPr>
            <w:r>
              <w:rPr>
                <w:spacing w:val="-10"/>
                <w:sz w:val="24"/>
              </w:rPr>
              <w:t>3</w:t>
            </w:r>
          </w:p>
        </w:tc>
        <w:tc>
          <w:tcPr>
            <w:tcW w:w="6098" w:type="dxa"/>
          </w:tcPr>
          <w:p>
            <w:pPr>
              <w:pStyle w:val="TableParagraph"/>
              <w:spacing w:before="3"/>
              <w:ind w:left="10"/>
              <w:jc w:val="center"/>
              <w:rPr>
                <w:b/>
                <w:sz w:val="24"/>
              </w:rPr>
            </w:pPr>
            <w:r>
              <w:rPr>
                <w:b/>
                <w:sz w:val="24"/>
              </w:rPr>
              <w:t>Jumlah</w:t>
            </w:r>
            <w:r>
              <w:rPr>
                <w:b/>
                <w:spacing w:val="-4"/>
                <w:sz w:val="24"/>
              </w:rPr>
              <w:t> </w:t>
            </w:r>
            <w:r>
              <w:rPr>
                <w:b/>
                <w:sz w:val="24"/>
              </w:rPr>
              <w:t>Sampel</w:t>
            </w:r>
            <w:r>
              <w:rPr>
                <w:b/>
                <w:spacing w:val="-4"/>
                <w:sz w:val="24"/>
              </w:rPr>
              <w:t> </w:t>
            </w:r>
            <w:r>
              <w:rPr>
                <w:b/>
                <w:spacing w:val="-2"/>
                <w:sz w:val="24"/>
              </w:rPr>
              <w:t>Penelitian</w:t>
            </w:r>
          </w:p>
        </w:tc>
        <w:tc>
          <w:tcPr>
            <w:tcW w:w="1561" w:type="dxa"/>
          </w:tcPr>
          <w:p>
            <w:pPr>
              <w:pStyle w:val="TableParagraph"/>
              <w:spacing w:before="3"/>
              <w:ind w:left="7"/>
              <w:jc w:val="center"/>
              <w:rPr>
                <w:b/>
                <w:sz w:val="24"/>
              </w:rPr>
            </w:pPr>
            <w:r>
              <w:rPr>
                <w:b/>
                <w:spacing w:val="-10"/>
                <w:sz w:val="24"/>
              </w:rPr>
              <w:t>8</w:t>
            </w:r>
          </w:p>
        </w:tc>
      </w:tr>
      <w:tr>
        <w:trPr>
          <w:trHeight w:val="413" w:hRule="atLeast"/>
        </w:trPr>
        <w:tc>
          <w:tcPr>
            <w:tcW w:w="564" w:type="dxa"/>
          </w:tcPr>
          <w:p>
            <w:pPr>
              <w:pStyle w:val="TableParagraph"/>
              <w:spacing w:line="275" w:lineRule="exact"/>
              <w:ind w:left="8" w:right="4"/>
              <w:jc w:val="center"/>
              <w:rPr>
                <w:sz w:val="24"/>
              </w:rPr>
            </w:pPr>
            <w:r>
              <w:rPr>
                <w:spacing w:val="-10"/>
                <w:sz w:val="24"/>
              </w:rPr>
              <w:t>4</w:t>
            </w:r>
          </w:p>
        </w:tc>
        <w:tc>
          <w:tcPr>
            <w:tcW w:w="6098" w:type="dxa"/>
          </w:tcPr>
          <w:p>
            <w:pPr>
              <w:pStyle w:val="TableParagraph"/>
              <w:spacing w:before="3"/>
              <w:ind w:left="10" w:right="2"/>
              <w:jc w:val="center"/>
              <w:rPr>
                <w:b/>
                <w:sz w:val="24"/>
              </w:rPr>
            </w:pPr>
            <w:r>
              <w:rPr>
                <w:b/>
                <w:sz w:val="24"/>
              </w:rPr>
              <w:t>Jangka</w:t>
            </w:r>
            <w:r>
              <w:rPr>
                <w:b/>
                <w:spacing w:val="-3"/>
                <w:sz w:val="24"/>
              </w:rPr>
              <w:t> </w:t>
            </w:r>
            <w:r>
              <w:rPr>
                <w:b/>
                <w:sz w:val="24"/>
              </w:rPr>
              <w:t>waktu</w:t>
            </w:r>
            <w:r>
              <w:rPr>
                <w:b/>
                <w:spacing w:val="-4"/>
                <w:sz w:val="24"/>
              </w:rPr>
              <w:t> </w:t>
            </w:r>
            <w:r>
              <w:rPr>
                <w:b/>
                <w:sz w:val="24"/>
              </w:rPr>
              <w:t>tahun pengamatan</w:t>
            </w:r>
            <w:r>
              <w:rPr>
                <w:b/>
                <w:spacing w:val="-4"/>
                <w:sz w:val="24"/>
              </w:rPr>
              <w:t> </w:t>
            </w:r>
            <w:r>
              <w:rPr>
                <w:b/>
                <w:sz w:val="24"/>
              </w:rPr>
              <w:t>(2021-</w:t>
            </w:r>
            <w:r>
              <w:rPr>
                <w:b/>
                <w:spacing w:val="-2"/>
                <w:sz w:val="24"/>
              </w:rPr>
              <w:t>2024)</w:t>
            </w:r>
          </w:p>
        </w:tc>
        <w:tc>
          <w:tcPr>
            <w:tcW w:w="1561" w:type="dxa"/>
          </w:tcPr>
          <w:p>
            <w:pPr>
              <w:pStyle w:val="TableParagraph"/>
              <w:spacing w:before="3"/>
              <w:ind w:left="7"/>
              <w:jc w:val="center"/>
              <w:rPr>
                <w:b/>
                <w:sz w:val="24"/>
              </w:rPr>
            </w:pPr>
            <w:r>
              <w:rPr>
                <w:b/>
                <w:spacing w:val="-10"/>
                <w:sz w:val="24"/>
              </w:rPr>
              <w:t>4</w:t>
            </w:r>
          </w:p>
        </w:tc>
      </w:tr>
      <w:tr>
        <w:trPr>
          <w:trHeight w:val="414" w:hRule="atLeast"/>
        </w:trPr>
        <w:tc>
          <w:tcPr>
            <w:tcW w:w="564" w:type="dxa"/>
          </w:tcPr>
          <w:p>
            <w:pPr>
              <w:pStyle w:val="TableParagraph"/>
              <w:spacing w:line="275" w:lineRule="exact"/>
              <w:ind w:left="8" w:right="4"/>
              <w:jc w:val="center"/>
              <w:rPr>
                <w:sz w:val="24"/>
              </w:rPr>
            </w:pPr>
            <w:r>
              <w:rPr>
                <w:spacing w:val="-10"/>
                <w:sz w:val="24"/>
              </w:rPr>
              <w:t>5</w:t>
            </w:r>
          </w:p>
        </w:tc>
        <w:tc>
          <w:tcPr>
            <w:tcW w:w="6098" w:type="dxa"/>
          </w:tcPr>
          <w:p>
            <w:pPr>
              <w:pStyle w:val="TableParagraph"/>
              <w:spacing w:before="2"/>
              <w:ind w:left="10" w:right="6"/>
              <w:jc w:val="center"/>
              <w:rPr>
                <w:b/>
                <w:sz w:val="24"/>
              </w:rPr>
            </w:pPr>
            <w:r>
              <w:rPr>
                <w:b/>
                <w:sz w:val="24"/>
              </w:rPr>
              <w:t>Jumlah</w:t>
            </w:r>
            <w:r>
              <w:rPr>
                <w:b/>
                <w:spacing w:val="-3"/>
                <w:sz w:val="24"/>
              </w:rPr>
              <w:t> </w:t>
            </w:r>
            <w:r>
              <w:rPr>
                <w:b/>
                <w:sz w:val="24"/>
              </w:rPr>
              <w:t>data</w:t>
            </w:r>
            <w:r>
              <w:rPr>
                <w:b/>
                <w:spacing w:val="-4"/>
                <w:sz w:val="24"/>
              </w:rPr>
              <w:t> </w:t>
            </w:r>
            <w:r>
              <w:rPr>
                <w:b/>
                <w:sz w:val="24"/>
              </w:rPr>
              <w:t>sampel</w:t>
            </w:r>
            <w:r>
              <w:rPr>
                <w:b/>
                <w:spacing w:val="-3"/>
                <w:sz w:val="24"/>
              </w:rPr>
              <w:t> </w:t>
            </w:r>
            <w:r>
              <w:rPr>
                <w:b/>
                <w:spacing w:val="-2"/>
                <w:sz w:val="24"/>
              </w:rPr>
              <w:t>(8×4)</w:t>
            </w:r>
          </w:p>
        </w:tc>
        <w:tc>
          <w:tcPr>
            <w:tcW w:w="1561" w:type="dxa"/>
          </w:tcPr>
          <w:p>
            <w:pPr>
              <w:pStyle w:val="TableParagraph"/>
              <w:spacing w:before="2"/>
              <w:ind w:left="7"/>
              <w:jc w:val="center"/>
              <w:rPr>
                <w:b/>
                <w:sz w:val="24"/>
              </w:rPr>
            </w:pPr>
            <w:r>
              <w:rPr>
                <w:b/>
                <w:spacing w:val="-5"/>
                <w:sz w:val="24"/>
              </w:rPr>
              <w:t>32</w:t>
            </w:r>
          </w:p>
        </w:tc>
      </w:tr>
    </w:tbl>
    <w:p>
      <w:pPr>
        <w:pStyle w:val="TableParagraph"/>
        <w:spacing w:after="0"/>
        <w:jc w:val="center"/>
        <w:rPr>
          <w:b/>
          <w:sz w:val="24"/>
        </w:rPr>
        <w:sectPr>
          <w:pgSz w:w="11910" w:h="16840"/>
          <w:pgMar w:header="710" w:footer="0" w:top="1920" w:bottom="280" w:left="1700" w:right="1133"/>
        </w:sectPr>
      </w:pPr>
    </w:p>
    <w:p>
      <w:pPr>
        <w:spacing w:before="221"/>
        <w:ind w:left="568" w:right="0" w:firstLine="0"/>
        <w:jc w:val="left"/>
        <w:rPr>
          <w:i/>
          <w:sz w:val="24"/>
        </w:rPr>
      </w:pPr>
      <w:bookmarkStart w:name="_bookmark41" w:id="42"/>
      <w:bookmarkEnd w:id="42"/>
      <w:r>
        <w:rPr/>
      </w:r>
      <w:r>
        <w:rPr>
          <w:i/>
          <w:sz w:val="24"/>
        </w:rPr>
        <w:t>Sumber:</w:t>
      </w:r>
      <w:r>
        <w:rPr>
          <w:i/>
          <w:spacing w:val="-4"/>
          <w:sz w:val="24"/>
        </w:rPr>
        <w:t> </w:t>
      </w:r>
      <w:r>
        <w:rPr>
          <w:i/>
          <w:sz w:val="24"/>
        </w:rPr>
        <w:t>Data</w:t>
      </w:r>
      <w:r>
        <w:rPr>
          <w:i/>
          <w:spacing w:val="-2"/>
          <w:sz w:val="24"/>
        </w:rPr>
        <w:t> </w:t>
      </w:r>
      <w:r>
        <w:rPr>
          <w:i/>
          <w:sz w:val="24"/>
        </w:rPr>
        <w:t>diolah,</w:t>
      </w:r>
      <w:r>
        <w:rPr>
          <w:i/>
          <w:spacing w:val="-1"/>
          <w:sz w:val="24"/>
        </w:rPr>
        <w:t> </w:t>
      </w:r>
      <w:r>
        <w:rPr>
          <w:i/>
          <w:spacing w:val="-4"/>
          <w:sz w:val="24"/>
        </w:rPr>
        <w:t>2025</w:t>
      </w:r>
    </w:p>
    <w:p>
      <w:pPr>
        <w:spacing w:before="2"/>
        <w:ind w:left="568" w:right="0" w:firstLine="0"/>
        <w:jc w:val="left"/>
        <w:rPr>
          <w:b/>
          <w:sz w:val="2"/>
        </w:rPr>
      </w:pPr>
      <w:r>
        <w:rPr/>
        <w:br w:type="column"/>
      </w:r>
      <w:r>
        <w:rPr>
          <w:b/>
          <w:color w:val="FFFFFF"/>
          <w:spacing w:val="-2"/>
          <w:sz w:val="2"/>
        </w:rPr>
        <w:t>Tabel</w:t>
      </w:r>
      <w:r>
        <w:rPr>
          <w:b/>
          <w:color w:val="FFFFFF"/>
          <w:spacing w:val="5"/>
          <w:sz w:val="2"/>
        </w:rPr>
        <w:t> </w:t>
      </w:r>
      <w:r>
        <w:rPr>
          <w:b/>
          <w:color w:val="FFFFFF"/>
          <w:spacing w:val="-10"/>
          <w:sz w:val="2"/>
        </w:rPr>
        <w:t>3</w:t>
      </w:r>
    </w:p>
    <w:p>
      <w:pPr>
        <w:spacing w:after="0"/>
        <w:jc w:val="left"/>
        <w:rPr>
          <w:b/>
          <w:sz w:val="2"/>
        </w:rPr>
        <w:sectPr>
          <w:type w:val="continuous"/>
          <w:pgSz w:w="11910" w:h="16840"/>
          <w:pgMar w:header="710" w:footer="0" w:top="1940" w:bottom="280" w:left="1700" w:right="1133"/>
          <w:cols w:num="2" w:equalWidth="0">
            <w:col w:w="3236" w:space="702"/>
            <w:col w:w="5139"/>
          </w:cols>
        </w:sectPr>
      </w:pPr>
    </w:p>
    <w:p>
      <w:pPr>
        <w:pStyle w:val="BodyText"/>
        <w:spacing w:line="480" w:lineRule="auto" w:before="160"/>
        <w:ind w:left="568" w:right="565" w:firstLine="720"/>
        <w:jc w:val="both"/>
      </w:pPr>
      <w:r>
        <w:rPr/>
        <w:t>Dengan metode </w:t>
      </w:r>
      <w:r>
        <w:rPr>
          <w:i/>
        </w:rPr>
        <w:t>purposive sampling</w:t>
      </w:r>
      <w:r>
        <w:rPr/>
        <w:t>, diperoleh sebanyak 8 sampel data perusahaan sektor energi dengan jangka amatan selama 4 tahun (2021-2023) sehingga jumlah menjadi 32 data sampel amatan.</w:t>
      </w:r>
    </w:p>
    <w:p>
      <w:pPr>
        <w:pStyle w:val="Heading3"/>
        <w:numPr>
          <w:ilvl w:val="1"/>
          <w:numId w:val="27"/>
        </w:numPr>
        <w:tabs>
          <w:tab w:pos="1288" w:val="left" w:leader="none"/>
        </w:tabs>
        <w:spacing w:line="240" w:lineRule="auto" w:before="165" w:after="0"/>
        <w:ind w:left="1288" w:right="0" w:hanging="720"/>
        <w:jc w:val="both"/>
      </w:pPr>
      <w:bookmarkStart w:name="_bookmark42" w:id="43"/>
      <w:bookmarkEnd w:id="43"/>
      <w:r>
        <w:rPr/>
        <w:t>J</w:t>
      </w:r>
      <w:r>
        <w:rPr/>
        <w:t>enis</w:t>
      </w:r>
      <w:r>
        <w:rPr>
          <w:spacing w:val="-7"/>
        </w:rPr>
        <w:t> </w:t>
      </w:r>
      <w:r>
        <w:rPr/>
        <w:t>dan</w:t>
      </w:r>
      <w:r>
        <w:rPr>
          <w:spacing w:val="-5"/>
        </w:rPr>
        <w:t> </w:t>
      </w:r>
      <w:r>
        <w:rPr/>
        <w:t>Sumber</w:t>
      </w:r>
      <w:r>
        <w:rPr>
          <w:spacing w:val="-2"/>
        </w:rPr>
        <w:t> </w:t>
      </w:r>
      <w:r>
        <w:rPr>
          <w:spacing w:val="-4"/>
        </w:rPr>
        <w:t>Data</w:t>
      </w:r>
    </w:p>
    <w:p>
      <w:pPr>
        <w:pStyle w:val="BodyText"/>
        <w:spacing w:line="480" w:lineRule="auto" w:before="272"/>
        <w:ind w:left="568" w:right="562" w:firstLine="720"/>
        <w:jc w:val="both"/>
      </w:pPr>
      <w:r>
        <w:rPr/>
        <w:t>Jenis data yang digunakan dalam penelitian ini bersifat kuantitatif, yaitu data</w:t>
      </w:r>
      <w:r>
        <w:rPr>
          <w:spacing w:val="-7"/>
        </w:rPr>
        <w:t> </w:t>
      </w:r>
      <w:r>
        <w:rPr/>
        <w:t>yang</w:t>
      </w:r>
      <w:r>
        <w:rPr>
          <w:spacing w:val="-13"/>
        </w:rPr>
        <w:t> </w:t>
      </w:r>
      <w:r>
        <w:rPr/>
        <w:t>dapat</w:t>
      </w:r>
      <w:r>
        <w:rPr>
          <w:spacing w:val="-8"/>
        </w:rPr>
        <w:t> </w:t>
      </w:r>
      <w:r>
        <w:rPr/>
        <w:t>diukur</w:t>
      </w:r>
      <w:r>
        <w:rPr>
          <w:spacing w:val="-8"/>
        </w:rPr>
        <w:t> </w:t>
      </w:r>
      <w:r>
        <w:rPr/>
        <w:t>dan</w:t>
      </w:r>
      <w:r>
        <w:rPr>
          <w:spacing w:val="-9"/>
        </w:rPr>
        <w:t> </w:t>
      </w:r>
      <w:r>
        <w:rPr/>
        <w:t>dianalisis</w:t>
      </w:r>
      <w:r>
        <w:rPr>
          <w:spacing w:val="-10"/>
        </w:rPr>
        <w:t> </w:t>
      </w:r>
      <w:r>
        <w:rPr/>
        <w:t>secara</w:t>
      </w:r>
      <w:r>
        <w:rPr>
          <w:spacing w:val="-3"/>
        </w:rPr>
        <w:t> </w:t>
      </w:r>
      <w:r>
        <w:rPr/>
        <w:t>numerik</w:t>
      </w:r>
      <w:r>
        <w:rPr>
          <w:spacing w:val="-9"/>
        </w:rPr>
        <w:t> </w:t>
      </w:r>
      <w:r>
        <w:rPr/>
        <w:t>serta</w:t>
      </w:r>
      <w:r>
        <w:rPr>
          <w:spacing w:val="-7"/>
        </w:rPr>
        <w:t> </w:t>
      </w:r>
      <w:r>
        <w:rPr/>
        <w:t>angka-angka</w:t>
      </w:r>
      <w:r>
        <w:rPr>
          <w:spacing w:val="-3"/>
        </w:rPr>
        <w:t> </w:t>
      </w:r>
      <w:r>
        <w:rPr/>
        <w:t>yang</w:t>
      </w:r>
      <w:r>
        <w:rPr>
          <w:spacing w:val="-11"/>
        </w:rPr>
        <w:t> </w:t>
      </w:r>
      <w:r>
        <w:rPr/>
        <w:t>dapat dihitung secara objektif. Data yang dianalisis bersumber dari laporan keuangan tahunan dan laporan keberlanjutan perusahaan yang dipublikasikan melalui situs resmi BEI atau situs resmi perusahaan untuk periode tahun 2021 sampai dengan </w:t>
      </w:r>
      <w:r>
        <w:rPr>
          <w:spacing w:val="-4"/>
        </w:rPr>
        <w:t>2024</w:t>
      </w:r>
    </w:p>
    <w:p>
      <w:pPr>
        <w:pStyle w:val="BodyText"/>
        <w:spacing w:line="480" w:lineRule="auto" w:before="161"/>
        <w:ind w:left="568" w:right="564" w:firstLine="720"/>
        <w:jc w:val="both"/>
      </w:pPr>
      <w:r>
        <w:rPr/>
        <w:t>Sumber data dalam penelitian ini adalah data sekunder. Data sekunder merupakan</w:t>
      </w:r>
      <w:r>
        <w:rPr>
          <w:spacing w:val="-15"/>
        </w:rPr>
        <w:t> </w:t>
      </w:r>
      <w:r>
        <w:rPr/>
        <w:t>informasi</w:t>
      </w:r>
      <w:r>
        <w:rPr>
          <w:spacing w:val="-7"/>
        </w:rPr>
        <w:t> </w:t>
      </w:r>
      <w:r>
        <w:rPr/>
        <w:t>yang</w:t>
      </w:r>
      <w:r>
        <w:rPr>
          <w:spacing w:val="-8"/>
        </w:rPr>
        <w:t> </w:t>
      </w:r>
      <w:r>
        <w:rPr/>
        <w:t>diperoleh</w:t>
      </w:r>
      <w:r>
        <w:rPr>
          <w:spacing w:val="-9"/>
        </w:rPr>
        <w:t> </w:t>
      </w:r>
      <w:r>
        <w:rPr/>
        <w:t>dari</w:t>
      </w:r>
      <w:r>
        <w:rPr>
          <w:spacing w:val="-6"/>
        </w:rPr>
        <w:t> </w:t>
      </w:r>
      <w:r>
        <w:rPr/>
        <w:t>dokumen</w:t>
      </w:r>
      <w:r>
        <w:rPr>
          <w:spacing w:val="-8"/>
        </w:rPr>
        <w:t> </w:t>
      </w:r>
      <w:r>
        <w:rPr/>
        <w:t>atau</w:t>
      </w:r>
      <w:r>
        <w:rPr>
          <w:spacing w:val="-9"/>
        </w:rPr>
        <w:t> </w:t>
      </w:r>
      <w:r>
        <w:rPr/>
        <w:t>sumber</w:t>
      </w:r>
      <w:r>
        <w:rPr>
          <w:spacing w:val="-8"/>
        </w:rPr>
        <w:t> </w:t>
      </w:r>
      <w:r>
        <w:rPr/>
        <w:t>yang</w:t>
      </w:r>
      <w:r>
        <w:rPr>
          <w:spacing w:val="-12"/>
        </w:rPr>
        <w:t> </w:t>
      </w:r>
      <w:r>
        <w:rPr/>
        <w:t>telah</w:t>
      </w:r>
      <w:r>
        <w:rPr>
          <w:spacing w:val="-4"/>
        </w:rPr>
        <w:t> </w:t>
      </w:r>
      <w:r>
        <w:rPr>
          <w:spacing w:val="-2"/>
        </w:rPr>
        <w:t>tersedia</w:t>
      </w:r>
    </w:p>
    <w:p>
      <w:pPr>
        <w:pStyle w:val="BodyText"/>
        <w:spacing w:after="0" w:line="480" w:lineRule="auto"/>
        <w:jc w:val="both"/>
        <w:sectPr>
          <w:type w:val="continuous"/>
          <w:pgSz w:w="11910" w:h="16840"/>
          <w:pgMar w:header="710" w:footer="0" w:top="1940" w:bottom="280" w:left="1700" w:right="1133"/>
        </w:sectPr>
      </w:pPr>
    </w:p>
    <w:p>
      <w:pPr>
        <w:pStyle w:val="BodyText"/>
        <w:spacing w:before="48"/>
      </w:pPr>
    </w:p>
    <w:p>
      <w:pPr>
        <w:pStyle w:val="BodyText"/>
        <w:spacing w:line="480" w:lineRule="auto"/>
        <w:ind w:left="568" w:right="566"/>
        <w:jc w:val="both"/>
      </w:pPr>
      <w:r>
        <w:rPr/>
        <w:t>sebelumnya dan tidak dikumpulkan secara langsung oleh peneliti. Data yang digunakan dalam penelitian ini berasal dari laporan keuangan dan laporan keberlanjutan</w:t>
      </w:r>
      <w:r>
        <w:rPr>
          <w:spacing w:val="40"/>
        </w:rPr>
        <w:t> </w:t>
      </w:r>
      <w:r>
        <w:rPr/>
        <w:t>perusahaan sektor energi yang telah terdaftar di BEI.</w:t>
      </w:r>
    </w:p>
    <w:p>
      <w:pPr>
        <w:pStyle w:val="Heading3"/>
        <w:numPr>
          <w:ilvl w:val="1"/>
          <w:numId w:val="27"/>
        </w:numPr>
        <w:tabs>
          <w:tab w:pos="1288" w:val="left" w:leader="none"/>
        </w:tabs>
        <w:spacing w:line="240" w:lineRule="auto" w:before="165" w:after="0"/>
        <w:ind w:left="1288" w:right="0" w:hanging="720"/>
        <w:jc w:val="both"/>
      </w:pPr>
      <w:bookmarkStart w:name="_bookmark43" w:id="44"/>
      <w:bookmarkEnd w:id="44"/>
      <w:r>
        <w:rPr>
          <w:b w:val="0"/>
        </w:rPr>
      </w:r>
      <w:r>
        <w:rPr/>
        <w:t>Metode</w:t>
      </w:r>
      <w:r>
        <w:rPr>
          <w:spacing w:val="-7"/>
        </w:rPr>
        <w:t> </w:t>
      </w:r>
      <w:r>
        <w:rPr/>
        <w:t>Pengumpulan</w:t>
      </w:r>
      <w:r>
        <w:rPr>
          <w:spacing w:val="-6"/>
        </w:rPr>
        <w:t> </w:t>
      </w:r>
      <w:r>
        <w:rPr>
          <w:spacing w:val="-4"/>
        </w:rPr>
        <w:t>Data</w:t>
      </w:r>
    </w:p>
    <w:p>
      <w:pPr>
        <w:pStyle w:val="BodyText"/>
        <w:spacing w:line="480" w:lineRule="auto" w:before="272"/>
        <w:ind w:left="568" w:right="562" w:firstLine="720"/>
        <w:jc w:val="both"/>
      </w:pPr>
      <w:r>
        <w:rPr/>
        <w:t>Pengumpulan data yang dilakukan dalam penelitian ini dilakukan dengan menggunakan metode dokumentasi. Metode ini dilakukan dengan menghimpun dan melakukan analisis terhadap laporan keuangan dan laporan keberlanjutan perusahaan</w:t>
      </w:r>
      <w:r>
        <w:rPr>
          <w:spacing w:val="40"/>
        </w:rPr>
        <w:t> </w:t>
      </w:r>
      <w:r>
        <w:rPr/>
        <w:t>sektor energi</w:t>
      </w:r>
      <w:r>
        <w:rPr>
          <w:spacing w:val="40"/>
        </w:rPr>
        <w:t> </w:t>
      </w:r>
      <w:r>
        <w:rPr/>
        <w:t>selama periode 2021 hingga 2024. Seluruh informasi keuangan yang diperlukan diperoleh dari sumber resmi, yakni melalui situs web Bursa Efek Indonesia </w:t>
      </w:r>
      <w:hyperlink r:id="rId15">
        <w:r>
          <w:rPr/>
          <w:t>(www.idx.co.id)</w:t>
        </w:r>
      </w:hyperlink>
      <w:r>
        <w:rPr/>
        <w:t> serta laman resmi masing-masing </w:t>
      </w:r>
      <w:r>
        <w:rPr>
          <w:spacing w:val="-2"/>
        </w:rPr>
        <w:t>perusahaan.</w:t>
      </w:r>
    </w:p>
    <w:p>
      <w:pPr>
        <w:pStyle w:val="Heading3"/>
        <w:numPr>
          <w:ilvl w:val="1"/>
          <w:numId w:val="27"/>
        </w:numPr>
        <w:tabs>
          <w:tab w:pos="1288" w:val="left" w:leader="none"/>
        </w:tabs>
        <w:spacing w:line="240" w:lineRule="auto" w:before="165" w:after="0"/>
        <w:ind w:left="1288" w:right="0" w:hanging="720"/>
        <w:jc w:val="both"/>
      </w:pPr>
      <w:bookmarkStart w:name="_bookmark44" w:id="45"/>
      <w:bookmarkEnd w:id="45"/>
      <w:r>
        <w:rPr>
          <w:b w:val="0"/>
        </w:rPr>
      </w:r>
      <w:r>
        <w:rPr/>
        <w:t>Alat</w:t>
      </w:r>
      <w:r>
        <w:rPr>
          <w:spacing w:val="-7"/>
        </w:rPr>
        <w:t> </w:t>
      </w:r>
      <w:r>
        <w:rPr/>
        <w:t>Analisis</w:t>
      </w:r>
      <w:r>
        <w:rPr>
          <w:spacing w:val="-5"/>
        </w:rPr>
        <w:t> </w:t>
      </w:r>
      <w:r>
        <w:rPr>
          <w:spacing w:val="-4"/>
        </w:rPr>
        <w:t>Data</w:t>
      </w:r>
    </w:p>
    <w:p>
      <w:pPr>
        <w:pStyle w:val="BodyText"/>
        <w:spacing w:line="480" w:lineRule="auto" w:before="273"/>
        <w:ind w:left="568" w:right="566" w:firstLine="720"/>
        <w:jc w:val="both"/>
      </w:pPr>
      <w:r>
        <w:rPr/>
        <w:t>Pada penelitian ini, proses analisis data dilakukan dengan memanfaatkan perangkat lunak IBM SPSS versi 27 sebagai alat bantu dalam mengolah data kuantitatif. Tujuan dari pengolahan ini adalah untuk mengidentifikasi hubungan antara variabel independen dan variabel dependen, serta menilai sejauh mana pengaruh yang ditimbulkan. Data yang telah dikumpulkan dianalisis dengan analisis regresi linear berganda, uji kelayakan model (Uji F), uji koefisien determinasi (R</w:t>
      </w:r>
      <w:r>
        <w:rPr>
          <w:vertAlign w:val="superscript"/>
        </w:rPr>
        <w:t>2</w:t>
      </w:r>
      <w:r>
        <w:rPr>
          <w:vertAlign w:val="baseline"/>
        </w:rPr>
        <w:t>), dan uji hipotesis (Uji T), serta uji asumsi klasik diantaranya uji normalitas, uji heteroskedastisitas, uji multikolinearitas dan uji autokorelasi.</w:t>
      </w:r>
    </w:p>
    <w:p>
      <w:pPr>
        <w:pStyle w:val="BodyText"/>
        <w:spacing w:after="0" w:line="480" w:lineRule="auto"/>
        <w:jc w:val="both"/>
        <w:sectPr>
          <w:pgSz w:w="11910" w:h="16840"/>
          <w:pgMar w:header="710" w:footer="0" w:top="1920" w:bottom="280" w:left="1700" w:right="1133"/>
        </w:sectPr>
      </w:pPr>
    </w:p>
    <w:p>
      <w:pPr>
        <w:pStyle w:val="BodyText"/>
        <w:spacing w:before="52"/>
      </w:pPr>
    </w:p>
    <w:p>
      <w:pPr>
        <w:pStyle w:val="Heading3"/>
        <w:numPr>
          <w:ilvl w:val="1"/>
          <w:numId w:val="27"/>
        </w:numPr>
        <w:tabs>
          <w:tab w:pos="1288" w:val="left" w:leader="none"/>
        </w:tabs>
        <w:spacing w:line="240" w:lineRule="auto" w:before="0" w:after="0"/>
        <w:ind w:left="1288" w:right="0" w:hanging="720"/>
        <w:jc w:val="both"/>
      </w:pPr>
      <w:bookmarkStart w:name="_bookmark45" w:id="46"/>
      <w:bookmarkEnd w:id="46"/>
      <w:r>
        <w:rPr>
          <w:b w:val="0"/>
        </w:rPr>
      </w:r>
      <w:r>
        <w:rPr/>
        <w:t>Teknik</w:t>
      </w:r>
      <w:r>
        <w:rPr>
          <w:spacing w:val="-8"/>
        </w:rPr>
        <w:t> </w:t>
      </w:r>
      <w:r>
        <w:rPr/>
        <w:t>Analisis</w:t>
      </w:r>
      <w:r>
        <w:rPr>
          <w:spacing w:val="-6"/>
        </w:rPr>
        <w:t> </w:t>
      </w:r>
      <w:r>
        <w:rPr>
          <w:spacing w:val="-4"/>
        </w:rPr>
        <w:t>Data</w:t>
      </w:r>
    </w:p>
    <w:p>
      <w:pPr>
        <w:pStyle w:val="BodyText"/>
        <w:spacing w:line="480" w:lineRule="auto" w:before="272"/>
        <w:ind w:left="568" w:right="562" w:firstLine="720"/>
        <w:jc w:val="both"/>
      </w:pPr>
      <w:r>
        <w:rPr/>
        <w:t>Teknik analisis data merupakan metode yang digunakan untuk mengolah data menjadi informasi yang</w:t>
      </w:r>
      <w:r>
        <w:rPr>
          <w:spacing w:val="-1"/>
        </w:rPr>
        <w:t> </w:t>
      </w:r>
      <w:r>
        <w:rPr/>
        <w:t>lebih terstruktur, sehingga memudahkan pemahaman serta memberikan manfaat dalam upaya menemukan solusi atas permasalahan, khususnya yang</w:t>
      </w:r>
      <w:r>
        <w:rPr>
          <w:spacing w:val="-8"/>
        </w:rPr>
        <w:t> </w:t>
      </w:r>
      <w:r>
        <w:rPr/>
        <w:t>terkait</w:t>
      </w:r>
      <w:r>
        <w:rPr>
          <w:spacing w:val="-3"/>
        </w:rPr>
        <w:t> </w:t>
      </w:r>
      <w:r>
        <w:rPr/>
        <w:t>dengan</w:t>
      </w:r>
      <w:r>
        <w:rPr>
          <w:spacing w:val="-3"/>
        </w:rPr>
        <w:t> </w:t>
      </w:r>
      <w:r>
        <w:rPr/>
        <w:t>suatu</w:t>
      </w:r>
      <w:r>
        <w:rPr>
          <w:spacing w:val="-3"/>
        </w:rPr>
        <w:t> </w:t>
      </w:r>
      <w:r>
        <w:rPr/>
        <w:t>penelitian.</w:t>
      </w:r>
      <w:r>
        <w:rPr>
          <w:spacing w:val="-3"/>
        </w:rPr>
        <w:t> </w:t>
      </w:r>
      <w:r>
        <w:rPr/>
        <w:t>Penelitian</w:t>
      </w:r>
      <w:r>
        <w:rPr>
          <w:spacing w:val="-3"/>
        </w:rPr>
        <w:t> </w:t>
      </w:r>
      <w:r>
        <w:rPr/>
        <w:t>ini</w:t>
      </w:r>
      <w:r>
        <w:rPr>
          <w:spacing w:val="-3"/>
        </w:rPr>
        <w:t> </w:t>
      </w:r>
      <w:r>
        <w:rPr/>
        <w:t>menerapkan</w:t>
      </w:r>
      <w:r>
        <w:rPr>
          <w:spacing w:val="-3"/>
        </w:rPr>
        <w:t> </w:t>
      </w:r>
      <w:r>
        <w:rPr/>
        <w:t>metode analisis data regresi linier berganda yang bertujuan untuk menyelidiki dampak variabel independen (X), seperti </w:t>
      </w:r>
      <w:r>
        <w:rPr>
          <w:i/>
        </w:rPr>
        <w:t>leverage, debt maturity, </w:t>
      </w:r>
      <w:r>
        <w:rPr/>
        <w:t>dan </w:t>
      </w:r>
      <w:r>
        <w:rPr>
          <w:i/>
        </w:rPr>
        <w:t>Assurance tenure</w:t>
      </w:r>
      <w:r>
        <w:rPr/>
        <w:t>, terhadap</w:t>
      </w:r>
      <w:r>
        <w:rPr>
          <w:spacing w:val="-13"/>
        </w:rPr>
        <w:t> </w:t>
      </w:r>
      <w:r>
        <w:rPr/>
        <w:t>variabel</w:t>
      </w:r>
      <w:r>
        <w:rPr>
          <w:spacing w:val="-12"/>
        </w:rPr>
        <w:t> </w:t>
      </w:r>
      <w:r>
        <w:rPr/>
        <w:t>dependen</w:t>
      </w:r>
      <w:r>
        <w:rPr>
          <w:spacing w:val="-13"/>
        </w:rPr>
        <w:t> </w:t>
      </w:r>
      <w:r>
        <w:rPr/>
        <w:t>(Y)</w:t>
      </w:r>
      <w:r>
        <w:rPr>
          <w:spacing w:val="-13"/>
        </w:rPr>
        <w:t> </w:t>
      </w:r>
      <w:r>
        <w:rPr/>
        <w:t>berupa</w:t>
      </w:r>
      <w:r>
        <w:rPr>
          <w:spacing w:val="-8"/>
        </w:rPr>
        <w:t> </w:t>
      </w:r>
      <w:r>
        <w:rPr>
          <w:i/>
        </w:rPr>
        <w:t>sustainability</w:t>
      </w:r>
      <w:r>
        <w:rPr>
          <w:i/>
          <w:spacing w:val="-12"/>
        </w:rPr>
        <w:t> </w:t>
      </w:r>
      <w:r>
        <w:rPr>
          <w:i/>
        </w:rPr>
        <w:t>assurance</w:t>
      </w:r>
      <w:r>
        <w:rPr>
          <w:i/>
          <w:spacing w:val="-12"/>
        </w:rPr>
        <w:t> </w:t>
      </w:r>
      <w:r>
        <w:rPr>
          <w:i/>
        </w:rPr>
        <w:t>quality</w:t>
      </w:r>
      <w:r>
        <w:rPr>
          <w:i/>
          <w:spacing w:val="-10"/>
        </w:rPr>
        <w:t> </w:t>
      </w:r>
      <w:r>
        <w:rPr/>
        <w:t>perusahaan energi pada periode 2021-2024.</w:t>
      </w:r>
    </w:p>
    <w:p>
      <w:pPr>
        <w:pStyle w:val="Heading3"/>
        <w:numPr>
          <w:ilvl w:val="2"/>
          <w:numId w:val="27"/>
        </w:numPr>
        <w:tabs>
          <w:tab w:pos="1288" w:val="left" w:leader="none"/>
        </w:tabs>
        <w:spacing w:line="240" w:lineRule="auto" w:before="166" w:after="0"/>
        <w:ind w:left="1288" w:right="0" w:hanging="720"/>
        <w:jc w:val="both"/>
      </w:pPr>
      <w:bookmarkStart w:name="_bookmark46" w:id="47"/>
      <w:bookmarkEnd w:id="47"/>
      <w:r>
        <w:rPr>
          <w:b w:val="0"/>
        </w:rPr>
      </w:r>
      <w:r>
        <w:rPr/>
        <w:t>Analisis</w:t>
      </w:r>
      <w:r>
        <w:rPr>
          <w:spacing w:val="-5"/>
        </w:rPr>
        <w:t> </w:t>
      </w:r>
      <w:r>
        <w:rPr/>
        <w:t>Statistik</w:t>
      </w:r>
      <w:r>
        <w:rPr>
          <w:spacing w:val="-7"/>
        </w:rPr>
        <w:t> </w:t>
      </w:r>
      <w:r>
        <w:rPr>
          <w:spacing w:val="-2"/>
        </w:rPr>
        <w:t>Deskriptif</w:t>
      </w:r>
    </w:p>
    <w:p>
      <w:pPr>
        <w:pStyle w:val="BodyText"/>
        <w:spacing w:line="480" w:lineRule="auto" w:before="272"/>
        <w:ind w:left="568" w:right="569" w:firstLine="720"/>
        <w:jc w:val="both"/>
      </w:pPr>
      <w:r>
        <w:rPr/>
        <w:t>Menurut</w:t>
      </w:r>
      <w:r>
        <w:rPr>
          <w:spacing w:val="-7"/>
        </w:rPr>
        <w:t> </w:t>
      </w:r>
      <w:r>
        <w:rPr/>
        <w:t>Ghozali</w:t>
      </w:r>
      <w:r>
        <w:rPr>
          <w:spacing w:val="-8"/>
        </w:rPr>
        <w:t> </w:t>
      </w:r>
      <w:r>
        <w:rPr/>
        <w:t>(2018),</w:t>
      </w:r>
      <w:r>
        <w:rPr>
          <w:spacing w:val="-8"/>
        </w:rPr>
        <w:t> </w:t>
      </w:r>
      <w:r>
        <w:rPr/>
        <w:t>analisis</w:t>
      </w:r>
      <w:r>
        <w:rPr>
          <w:spacing w:val="-10"/>
        </w:rPr>
        <w:t> </w:t>
      </w:r>
      <w:r>
        <w:rPr/>
        <w:t>statistik</w:t>
      </w:r>
      <w:r>
        <w:rPr>
          <w:spacing w:val="-12"/>
        </w:rPr>
        <w:t> </w:t>
      </w:r>
      <w:r>
        <w:rPr/>
        <w:t>deskriptif</w:t>
      </w:r>
      <w:r>
        <w:rPr>
          <w:spacing w:val="-8"/>
        </w:rPr>
        <w:t> </w:t>
      </w:r>
      <w:r>
        <w:rPr/>
        <w:t>memberikan</w:t>
      </w:r>
      <w:r>
        <w:rPr>
          <w:spacing w:val="-9"/>
        </w:rPr>
        <w:t> </w:t>
      </w:r>
      <w:r>
        <w:rPr/>
        <w:t>gambaran tentang data dengan mengungkap rata-rata (mean), standar deviasi, varians, nilai maksimum, nilai minimum, total, rentang, dan kurtosis kecondongan. Analisis statistik deskriptif digunakan untuk memberikan gambaran awal data sebelum menerapkan teknik analisis statistik dalam uji hipotesis. Dalam penelitian ini, penggunaan</w:t>
      </w:r>
      <w:r>
        <w:rPr>
          <w:spacing w:val="-10"/>
        </w:rPr>
        <w:t> </w:t>
      </w:r>
      <w:r>
        <w:rPr/>
        <w:t>statistik</w:t>
      </w:r>
      <w:r>
        <w:rPr>
          <w:spacing w:val="-10"/>
        </w:rPr>
        <w:t> </w:t>
      </w:r>
      <w:r>
        <w:rPr/>
        <w:t>deskriptif</w:t>
      </w:r>
      <w:r>
        <w:rPr>
          <w:spacing w:val="-9"/>
        </w:rPr>
        <w:t> </w:t>
      </w:r>
      <w:r>
        <w:rPr/>
        <w:t>dilakukan</w:t>
      </w:r>
      <w:r>
        <w:rPr>
          <w:spacing w:val="-12"/>
        </w:rPr>
        <w:t> </w:t>
      </w:r>
      <w:r>
        <w:rPr/>
        <w:t>untuk</w:t>
      </w:r>
      <w:r>
        <w:rPr>
          <w:spacing w:val="-10"/>
        </w:rPr>
        <w:t> </w:t>
      </w:r>
      <w:r>
        <w:rPr/>
        <w:t>menjelaskan</w:t>
      </w:r>
      <w:r>
        <w:rPr>
          <w:spacing w:val="-10"/>
        </w:rPr>
        <w:t> </w:t>
      </w:r>
      <w:r>
        <w:rPr/>
        <w:t>variabel</w:t>
      </w:r>
      <w:r>
        <w:rPr>
          <w:spacing w:val="-9"/>
        </w:rPr>
        <w:t> </w:t>
      </w:r>
      <w:r>
        <w:rPr/>
        <w:t>yang</w:t>
      </w:r>
      <w:r>
        <w:rPr>
          <w:spacing w:val="-13"/>
        </w:rPr>
        <w:t> </w:t>
      </w:r>
      <w:r>
        <w:rPr/>
        <w:t>terlibat, dan ukuran numerik penting untuk sampel juga diberikan.</w:t>
      </w:r>
    </w:p>
    <w:p>
      <w:pPr>
        <w:pStyle w:val="Heading3"/>
        <w:numPr>
          <w:ilvl w:val="2"/>
          <w:numId w:val="27"/>
        </w:numPr>
        <w:tabs>
          <w:tab w:pos="1288" w:val="left" w:leader="none"/>
        </w:tabs>
        <w:spacing w:line="240" w:lineRule="auto" w:before="165" w:after="0"/>
        <w:ind w:left="1288" w:right="0" w:hanging="720"/>
        <w:jc w:val="both"/>
      </w:pPr>
      <w:bookmarkStart w:name="_bookmark47" w:id="48"/>
      <w:bookmarkEnd w:id="48"/>
      <w:r>
        <w:rPr>
          <w:b w:val="0"/>
        </w:rPr>
      </w:r>
      <w:r>
        <w:rPr/>
        <w:t>Uji</w:t>
      </w:r>
      <w:r>
        <w:rPr>
          <w:spacing w:val="-4"/>
        </w:rPr>
        <w:t> </w:t>
      </w:r>
      <w:r>
        <w:rPr/>
        <w:t>Asumsi</w:t>
      </w:r>
      <w:r>
        <w:rPr>
          <w:spacing w:val="-1"/>
        </w:rPr>
        <w:t> </w:t>
      </w:r>
      <w:r>
        <w:rPr>
          <w:spacing w:val="-2"/>
        </w:rPr>
        <w:t>Klasik</w:t>
      </w:r>
    </w:p>
    <w:p>
      <w:pPr>
        <w:pStyle w:val="BodyText"/>
        <w:spacing w:line="480" w:lineRule="auto" w:before="272"/>
        <w:ind w:left="568" w:right="562" w:firstLine="720"/>
        <w:jc w:val="both"/>
      </w:pPr>
      <w:r>
        <w:rPr/>
        <w:t>Menurut Ghozali (2018) uji asumsi klasik pada bentuk regresi linier bertujuan untuk mengevaluasi kualitas model regresi dan memastikan apakah memenuhi</w:t>
      </w:r>
      <w:r>
        <w:rPr>
          <w:spacing w:val="-11"/>
        </w:rPr>
        <w:t> </w:t>
      </w:r>
      <w:r>
        <w:rPr/>
        <w:t>persyaratan</w:t>
      </w:r>
      <w:r>
        <w:rPr>
          <w:spacing w:val="-12"/>
        </w:rPr>
        <w:t> </w:t>
      </w:r>
      <w:r>
        <w:rPr/>
        <w:t>asumsi</w:t>
      </w:r>
      <w:r>
        <w:rPr>
          <w:spacing w:val="-11"/>
        </w:rPr>
        <w:t> </w:t>
      </w:r>
      <w:r>
        <w:rPr/>
        <w:t>yang</w:t>
      </w:r>
      <w:r>
        <w:rPr>
          <w:spacing w:val="-15"/>
        </w:rPr>
        <w:t> </w:t>
      </w:r>
      <w:r>
        <w:rPr/>
        <w:t>diperlukan</w:t>
      </w:r>
      <w:r>
        <w:rPr>
          <w:spacing w:val="-12"/>
        </w:rPr>
        <w:t> </w:t>
      </w:r>
      <w:r>
        <w:rPr/>
        <w:t>dan</w:t>
      </w:r>
      <w:r>
        <w:rPr>
          <w:spacing w:val="-12"/>
        </w:rPr>
        <w:t> </w:t>
      </w:r>
      <w:r>
        <w:rPr/>
        <w:t>mencegah</w:t>
      </w:r>
      <w:r>
        <w:rPr>
          <w:spacing w:val="-12"/>
        </w:rPr>
        <w:t> </w:t>
      </w:r>
      <w:r>
        <w:rPr/>
        <w:t>estimasi</w:t>
      </w:r>
      <w:r>
        <w:rPr>
          <w:spacing w:val="-11"/>
        </w:rPr>
        <w:t> </w:t>
      </w:r>
      <w:r>
        <w:rPr/>
        <w:t>bias. Empat tes digunakan dalam pengujian asumsi klasik ini: normalitas, multikolinearitas, heteroskedastisitas, dan autokorelasi.</w:t>
      </w:r>
    </w:p>
    <w:p>
      <w:pPr>
        <w:pStyle w:val="BodyText"/>
        <w:spacing w:after="0" w:line="480" w:lineRule="auto"/>
        <w:jc w:val="both"/>
        <w:sectPr>
          <w:pgSz w:w="11910" w:h="16840"/>
          <w:pgMar w:header="710" w:footer="0" w:top="1920" w:bottom="280" w:left="1700" w:right="1133"/>
        </w:sectPr>
      </w:pPr>
    </w:p>
    <w:p>
      <w:pPr>
        <w:pStyle w:val="BodyText"/>
        <w:spacing w:before="52"/>
      </w:pPr>
    </w:p>
    <w:p>
      <w:pPr>
        <w:pStyle w:val="Heading3"/>
        <w:numPr>
          <w:ilvl w:val="3"/>
          <w:numId w:val="27"/>
        </w:numPr>
        <w:tabs>
          <w:tab w:pos="1288" w:val="left" w:leader="none"/>
        </w:tabs>
        <w:spacing w:line="240" w:lineRule="auto" w:before="0" w:after="0"/>
        <w:ind w:left="1288" w:right="0" w:hanging="720"/>
        <w:jc w:val="both"/>
      </w:pPr>
      <w:bookmarkStart w:name="_bookmark48" w:id="49"/>
      <w:bookmarkEnd w:id="49"/>
      <w:r>
        <w:rPr>
          <w:b w:val="0"/>
        </w:rPr>
      </w:r>
      <w:r>
        <w:rPr/>
        <w:t>Uji</w:t>
      </w:r>
      <w:r>
        <w:rPr>
          <w:spacing w:val="-1"/>
        </w:rPr>
        <w:t> </w:t>
      </w:r>
      <w:r>
        <w:rPr>
          <w:spacing w:val="-2"/>
        </w:rPr>
        <w:t>Normalitas</w:t>
      </w:r>
    </w:p>
    <w:p>
      <w:pPr>
        <w:pStyle w:val="BodyText"/>
        <w:spacing w:line="480" w:lineRule="auto" w:before="272"/>
        <w:ind w:left="568" w:right="565" w:firstLine="720"/>
        <w:jc w:val="both"/>
      </w:pPr>
      <w:r>
        <w:rPr/>
        <w:t>Uji normalitas digunakan untuk menentukan apakah distribusi variabel terkait untuk setiap variabel bebas tertentu berdistribusi normal dalam model regresi linear, asumsia dalam hala ini didapatkan oleh nilai eror yang</w:t>
      </w:r>
      <w:r>
        <w:rPr>
          <w:spacing w:val="-2"/>
        </w:rPr>
        <w:t> </w:t>
      </w:r>
      <w:r>
        <w:rPr/>
        <w:t>berdistribusi normal. Jika data variabel bebas dan variabel terikat berdistribusi hampir normal, persamaan regresi dianggap berhasil. Menurut Ghozali (2018) Uji normalitas dilakukan</w:t>
      </w:r>
      <w:r>
        <w:rPr>
          <w:spacing w:val="-3"/>
        </w:rPr>
        <w:t> </w:t>
      </w:r>
      <w:r>
        <w:rPr/>
        <w:t>dengan</w:t>
      </w:r>
      <w:r>
        <w:rPr>
          <w:spacing w:val="-3"/>
        </w:rPr>
        <w:t> </w:t>
      </w:r>
      <w:r>
        <w:rPr/>
        <w:t>menggunakan</w:t>
      </w:r>
      <w:r>
        <w:rPr>
          <w:spacing w:val="-3"/>
        </w:rPr>
        <w:t> </w:t>
      </w:r>
      <w:r>
        <w:rPr/>
        <w:t>uji</w:t>
      </w:r>
      <w:r>
        <w:rPr>
          <w:spacing w:val="-3"/>
        </w:rPr>
        <w:t> </w:t>
      </w:r>
      <w:r>
        <w:rPr/>
        <w:t>normal</w:t>
      </w:r>
      <w:r>
        <w:rPr>
          <w:spacing w:val="-3"/>
        </w:rPr>
        <w:t> </w:t>
      </w:r>
      <w:r>
        <w:rPr/>
        <w:t>Kolmogrov-Smirnov</w:t>
      </w:r>
      <w:r>
        <w:rPr>
          <w:spacing w:val="-7"/>
        </w:rPr>
        <w:t> </w:t>
      </w:r>
      <w:r>
        <w:rPr/>
        <w:t>dengan</w:t>
      </w:r>
      <w:r>
        <w:rPr>
          <w:spacing w:val="-3"/>
        </w:rPr>
        <w:t> </w:t>
      </w:r>
      <w:r>
        <w:rPr/>
        <w:t>pedoman pengambilan keputusan</w:t>
      </w:r>
    </w:p>
    <w:p>
      <w:pPr>
        <w:pStyle w:val="ListParagraph"/>
        <w:numPr>
          <w:ilvl w:val="4"/>
          <w:numId w:val="27"/>
        </w:numPr>
        <w:tabs>
          <w:tab w:pos="1287" w:val="left" w:leader="none"/>
        </w:tabs>
        <w:spacing w:line="240" w:lineRule="auto" w:before="122" w:after="0"/>
        <w:ind w:left="1287" w:right="0" w:hanging="359"/>
        <w:jc w:val="both"/>
        <w:rPr>
          <w:sz w:val="24"/>
        </w:rPr>
      </w:pPr>
      <w:r>
        <w:rPr>
          <w:sz w:val="24"/>
        </w:rPr>
        <w:t>Nilai</w:t>
      </w:r>
      <w:r>
        <w:rPr>
          <w:spacing w:val="-2"/>
          <w:sz w:val="24"/>
        </w:rPr>
        <w:t> </w:t>
      </w:r>
      <w:r>
        <w:rPr>
          <w:sz w:val="24"/>
        </w:rPr>
        <w:t>signifikan &lt;0,05,</w:t>
      </w:r>
      <w:r>
        <w:rPr>
          <w:spacing w:val="-2"/>
          <w:sz w:val="24"/>
        </w:rPr>
        <w:t> </w:t>
      </w:r>
      <w:r>
        <w:rPr>
          <w:sz w:val="24"/>
        </w:rPr>
        <w:t>distribusi</w:t>
      </w:r>
      <w:r>
        <w:rPr>
          <w:spacing w:val="-1"/>
          <w:sz w:val="24"/>
        </w:rPr>
        <w:t> </w:t>
      </w:r>
      <w:r>
        <w:rPr>
          <w:sz w:val="24"/>
        </w:rPr>
        <w:t>adalah</w:t>
      </w:r>
      <w:r>
        <w:rPr>
          <w:spacing w:val="-4"/>
          <w:sz w:val="24"/>
        </w:rPr>
        <w:t> </w:t>
      </w:r>
      <w:r>
        <w:rPr>
          <w:sz w:val="24"/>
        </w:rPr>
        <w:t>tidak</w:t>
      </w:r>
      <w:r>
        <w:rPr>
          <w:spacing w:val="-1"/>
          <w:sz w:val="24"/>
        </w:rPr>
        <w:t> </w:t>
      </w:r>
      <w:r>
        <w:rPr>
          <w:spacing w:val="-2"/>
          <w:sz w:val="24"/>
        </w:rPr>
        <w:t>normal.</w:t>
      </w:r>
    </w:p>
    <w:p>
      <w:pPr>
        <w:pStyle w:val="BodyText"/>
      </w:pPr>
    </w:p>
    <w:p>
      <w:pPr>
        <w:pStyle w:val="ListParagraph"/>
        <w:numPr>
          <w:ilvl w:val="4"/>
          <w:numId w:val="27"/>
        </w:numPr>
        <w:tabs>
          <w:tab w:pos="1287" w:val="left" w:leader="none"/>
        </w:tabs>
        <w:spacing w:line="240" w:lineRule="auto" w:before="0" w:after="0"/>
        <w:ind w:left="1287" w:right="0" w:hanging="359"/>
        <w:jc w:val="both"/>
        <w:rPr>
          <w:sz w:val="24"/>
        </w:rPr>
      </w:pPr>
      <w:r>
        <w:rPr>
          <w:sz w:val="24"/>
        </w:rPr>
        <w:t>Nilai</w:t>
      </w:r>
      <w:r>
        <w:rPr>
          <w:spacing w:val="-1"/>
          <w:sz w:val="24"/>
        </w:rPr>
        <w:t> </w:t>
      </w:r>
      <w:r>
        <w:rPr>
          <w:sz w:val="24"/>
        </w:rPr>
        <w:t>signifikan</w:t>
      </w:r>
      <w:r>
        <w:rPr>
          <w:spacing w:val="-2"/>
          <w:sz w:val="24"/>
        </w:rPr>
        <w:t> </w:t>
      </w:r>
      <w:r>
        <w:rPr>
          <w:sz w:val="24"/>
        </w:rPr>
        <w:t>&gt;0,05,</w:t>
      </w:r>
      <w:r>
        <w:rPr>
          <w:spacing w:val="-1"/>
          <w:sz w:val="24"/>
        </w:rPr>
        <w:t> </w:t>
      </w:r>
      <w:r>
        <w:rPr>
          <w:sz w:val="24"/>
        </w:rPr>
        <w:t>distribusi</w:t>
      </w:r>
      <w:r>
        <w:rPr>
          <w:spacing w:val="-2"/>
          <w:sz w:val="24"/>
        </w:rPr>
        <w:t> </w:t>
      </w:r>
      <w:r>
        <w:rPr>
          <w:sz w:val="24"/>
        </w:rPr>
        <w:t>adalah</w:t>
      </w:r>
      <w:r>
        <w:rPr>
          <w:spacing w:val="-1"/>
          <w:sz w:val="24"/>
        </w:rPr>
        <w:t> </w:t>
      </w:r>
      <w:r>
        <w:rPr>
          <w:spacing w:val="-2"/>
          <w:sz w:val="24"/>
        </w:rPr>
        <w:t>normal</w:t>
      </w:r>
    </w:p>
    <w:p>
      <w:pPr>
        <w:pStyle w:val="BodyText"/>
      </w:pPr>
    </w:p>
    <w:p>
      <w:pPr>
        <w:pStyle w:val="BodyText"/>
        <w:spacing w:before="8"/>
      </w:pPr>
    </w:p>
    <w:p>
      <w:pPr>
        <w:pStyle w:val="Heading3"/>
        <w:numPr>
          <w:ilvl w:val="3"/>
          <w:numId w:val="27"/>
        </w:numPr>
        <w:tabs>
          <w:tab w:pos="1288" w:val="left" w:leader="none"/>
        </w:tabs>
        <w:spacing w:line="240" w:lineRule="auto" w:before="0" w:after="0"/>
        <w:ind w:left="1288" w:right="0" w:hanging="720"/>
        <w:jc w:val="both"/>
      </w:pPr>
      <w:bookmarkStart w:name="_bookmark49" w:id="50"/>
      <w:bookmarkEnd w:id="50"/>
      <w:r>
        <w:rPr>
          <w:b w:val="0"/>
        </w:rPr>
      </w:r>
      <w:r>
        <w:rPr/>
        <w:t>Uji</w:t>
      </w:r>
      <w:r>
        <w:rPr>
          <w:spacing w:val="-1"/>
        </w:rPr>
        <w:t> </w:t>
      </w:r>
      <w:r>
        <w:rPr>
          <w:spacing w:val="-2"/>
        </w:rPr>
        <w:t>Multikolinieritas</w:t>
      </w:r>
    </w:p>
    <w:p>
      <w:pPr>
        <w:pStyle w:val="BodyText"/>
        <w:spacing w:line="480" w:lineRule="auto" w:before="272"/>
        <w:ind w:left="568" w:right="568" w:firstLine="720"/>
        <w:jc w:val="both"/>
      </w:pPr>
      <w:r>
        <w:rPr/>
        <w:t>Uji Multikolinieritas mempunyai tujuan adalah untuk mengetahui apakah model</w:t>
      </w:r>
      <w:r>
        <w:rPr>
          <w:spacing w:val="-4"/>
        </w:rPr>
        <w:t> </w:t>
      </w:r>
      <w:r>
        <w:rPr/>
        <w:t>regresi</w:t>
      </w:r>
      <w:r>
        <w:rPr>
          <w:spacing w:val="-4"/>
        </w:rPr>
        <w:t> </w:t>
      </w:r>
      <w:r>
        <w:rPr/>
        <w:t>telah</w:t>
      </w:r>
      <w:r>
        <w:rPr>
          <w:spacing w:val="-4"/>
        </w:rPr>
        <w:t> </w:t>
      </w:r>
      <w:r>
        <w:rPr/>
        <w:t>menunjukkan</w:t>
      </w:r>
      <w:r>
        <w:rPr>
          <w:spacing w:val="-9"/>
        </w:rPr>
        <w:t> </w:t>
      </w:r>
      <w:r>
        <w:rPr/>
        <w:t>adanya</w:t>
      </w:r>
      <w:r>
        <w:rPr>
          <w:spacing w:val="-3"/>
        </w:rPr>
        <w:t> </w:t>
      </w:r>
      <w:r>
        <w:rPr/>
        <w:t>korelasi</w:t>
      </w:r>
      <w:r>
        <w:rPr>
          <w:spacing w:val="-8"/>
        </w:rPr>
        <w:t> </w:t>
      </w:r>
      <w:r>
        <w:rPr/>
        <w:t>antara</w:t>
      </w:r>
      <w:r>
        <w:rPr>
          <w:spacing w:val="-3"/>
        </w:rPr>
        <w:t> </w:t>
      </w:r>
      <w:r>
        <w:rPr/>
        <w:t>variabel</w:t>
      </w:r>
      <w:r>
        <w:rPr>
          <w:spacing w:val="-4"/>
        </w:rPr>
        <w:t> </w:t>
      </w:r>
      <w:r>
        <w:rPr/>
        <w:t>independen,</w:t>
      </w:r>
      <w:r>
        <w:rPr>
          <w:spacing w:val="-9"/>
        </w:rPr>
        <w:t> </w:t>
      </w:r>
      <w:r>
        <w:rPr/>
        <w:t>juga dikenal</w:t>
      </w:r>
      <w:r>
        <w:rPr>
          <w:spacing w:val="-15"/>
        </w:rPr>
        <w:t> </w:t>
      </w:r>
      <w:r>
        <w:rPr/>
        <w:t>sebagai</w:t>
      </w:r>
      <w:r>
        <w:rPr>
          <w:spacing w:val="-15"/>
        </w:rPr>
        <w:t> </w:t>
      </w:r>
      <w:r>
        <w:rPr/>
        <w:t>variabel</w:t>
      </w:r>
      <w:r>
        <w:rPr>
          <w:spacing w:val="-15"/>
        </w:rPr>
        <w:t> </w:t>
      </w:r>
      <w:r>
        <w:rPr/>
        <w:t>bebas.</w:t>
      </w:r>
      <w:r>
        <w:rPr>
          <w:spacing w:val="-15"/>
        </w:rPr>
        <w:t> </w:t>
      </w:r>
      <w:r>
        <w:rPr/>
        <w:t>Dalam</w:t>
      </w:r>
      <w:r>
        <w:rPr>
          <w:spacing w:val="-13"/>
        </w:rPr>
        <w:t> </w:t>
      </w:r>
      <w:r>
        <w:rPr/>
        <w:t>kasus</w:t>
      </w:r>
      <w:r>
        <w:rPr>
          <w:spacing w:val="-15"/>
        </w:rPr>
        <w:t> </w:t>
      </w:r>
      <w:r>
        <w:rPr/>
        <w:t>ini,</w:t>
      </w:r>
      <w:r>
        <w:rPr>
          <w:spacing w:val="-15"/>
        </w:rPr>
        <w:t> </w:t>
      </w:r>
      <w:r>
        <w:rPr/>
        <w:t>model</w:t>
      </w:r>
      <w:r>
        <w:rPr>
          <w:spacing w:val="-15"/>
        </w:rPr>
        <w:t> </w:t>
      </w:r>
      <w:r>
        <w:rPr/>
        <w:t>regresi</w:t>
      </w:r>
      <w:r>
        <w:rPr>
          <w:spacing w:val="-15"/>
        </w:rPr>
        <w:t> </w:t>
      </w:r>
      <w:r>
        <w:rPr/>
        <w:t>yang</w:t>
      </w:r>
      <w:r>
        <w:rPr>
          <w:spacing w:val="-15"/>
        </w:rPr>
        <w:t> </w:t>
      </w:r>
      <w:r>
        <w:rPr/>
        <w:t>baik</w:t>
      </w:r>
      <w:r>
        <w:rPr>
          <w:spacing w:val="-15"/>
        </w:rPr>
        <w:t> </w:t>
      </w:r>
      <w:r>
        <w:rPr/>
        <w:t>tidak</w:t>
      </w:r>
      <w:r>
        <w:rPr>
          <w:spacing w:val="-15"/>
        </w:rPr>
        <w:t> </w:t>
      </w:r>
      <w:r>
        <w:rPr/>
        <w:t>akan menunjukkan adanya korelasi. Penilaian dilakukan dengan memeriksa nilai Variance</w:t>
      </w:r>
      <w:r>
        <w:rPr>
          <w:spacing w:val="-14"/>
        </w:rPr>
        <w:t> </w:t>
      </w:r>
      <w:r>
        <w:rPr/>
        <w:t>Inflation</w:t>
      </w:r>
      <w:r>
        <w:rPr>
          <w:spacing w:val="-15"/>
        </w:rPr>
        <w:t> </w:t>
      </w:r>
      <w:r>
        <w:rPr/>
        <w:t>Factor</w:t>
      </w:r>
      <w:r>
        <w:rPr>
          <w:spacing w:val="-15"/>
        </w:rPr>
        <w:t> </w:t>
      </w:r>
      <w:r>
        <w:rPr/>
        <w:t>(VIF)</w:t>
      </w:r>
      <w:r>
        <w:rPr>
          <w:spacing w:val="-12"/>
        </w:rPr>
        <w:t> </w:t>
      </w:r>
      <w:r>
        <w:rPr/>
        <w:t>dan</w:t>
      </w:r>
      <w:r>
        <w:rPr>
          <w:spacing w:val="-15"/>
        </w:rPr>
        <w:t> </w:t>
      </w:r>
      <w:r>
        <w:rPr/>
        <w:t>Toleransi</w:t>
      </w:r>
      <w:r>
        <w:rPr>
          <w:spacing w:val="-15"/>
        </w:rPr>
        <w:t> </w:t>
      </w:r>
      <w:r>
        <w:rPr/>
        <w:t>dalam</w:t>
      </w:r>
      <w:r>
        <w:rPr>
          <w:spacing w:val="-15"/>
        </w:rPr>
        <w:t> </w:t>
      </w:r>
      <w:r>
        <w:rPr/>
        <w:t>pola</w:t>
      </w:r>
      <w:r>
        <w:rPr>
          <w:spacing w:val="-14"/>
        </w:rPr>
        <w:t> </w:t>
      </w:r>
      <w:r>
        <w:rPr/>
        <w:t>regresi.</w:t>
      </w:r>
      <w:r>
        <w:rPr>
          <w:spacing w:val="-15"/>
        </w:rPr>
        <w:t> </w:t>
      </w:r>
      <w:r>
        <w:rPr/>
        <w:t>Apabila</w:t>
      </w:r>
      <w:r>
        <w:rPr>
          <w:spacing w:val="-14"/>
        </w:rPr>
        <w:t> </w:t>
      </w:r>
      <w:r>
        <w:rPr/>
        <w:t>nilai</w:t>
      </w:r>
      <w:r>
        <w:rPr>
          <w:spacing w:val="-15"/>
        </w:rPr>
        <w:t> </w:t>
      </w:r>
      <w:r>
        <w:rPr/>
        <w:t>VIF kurang</w:t>
      </w:r>
      <w:r>
        <w:rPr>
          <w:spacing w:val="-15"/>
        </w:rPr>
        <w:t> </w:t>
      </w:r>
      <w:r>
        <w:rPr/>
        <w:t>dari</w:t>
      </w:r>
      <w:r>
        <w:rPr>
          <w:spacing w:val="-15"/>
        </w:rPr>
        <w:t> </w:t>
      </w:r>
      <w:r>
        <w:rPr/>
        <w:t>10</w:t>
      </w:r>
      <w:r>
        <w:rPr>
          <w:spacing w:val="-13"/>
        </w:rPr>
        <w:t> </w:t>
      </w:r>
      <w:r>
        <w:rPr/>
        <w:t>dan</w:t>
      </w:r>
      <w:r>
        <w:rPr>
          <w:spacing w:val="-13"/>
        </w:rPr>
        <w:t> </w:t>
      </w:r>
      <w:r>
        <w:rPr/>
        <w:t>nilai</w:t>
      </w:r>
      <w:r>
        <w:rPr>
          <w:spacing w:val="-13"/>
        </w:rPr>
        <w:t> </w:t>
      </w:r>
      <w:r>
        <w:rPr/>
        <w:t>Toleransi</w:t>
      </w:r>
      <w:r>
        <w:rPr>
          <w:spacing w:val="-13"/>
        </w:rPr>
        <w:t> </w:t>
      </w:r>
      <w:r>
        <w:rPr/>
        <w:t>lebih</w:t>
      </w:r>
      <w:r>
        <w:rPr>
          <w:spacing w:val="-14"/>
        </w:rPr>
        <w:t> </w:t>
      </w:r>
      <w:r>
        <w:rPr/>
        <w:t>dari</w:t>
      </w:r>
      <w:r>
        <w:rPr>
          <w:spacing w:val="-13"/>
        </w:rPr>
        <w:t> </w:t>
      </w:r>
      <w:r>
        <w:rPr/>
        <w:t>0,10,</w:t>
      </w:r>
      <w:r>
        <w:rPr>
          <w:spacing w:val="-13"/>
        </w:rPr>
        <w:t> </w:t>
      </w:r>
      <w:r>
        <w:rPr/>
        <w:t>bisa</w:t>
      </w:r>
      <w:r>
        <w:rPr>
          <w:spacing w:val="-13"/>
        </w:rPr>
        <w:t> </w:t>
      </w:r>
      <w:r>
        <w:rPr/>
        <w:t>diartilkan</w:t>
      </w:r>
      <w:r>
        <w:rPr>
          <w:spacing w:val="-13"/>
        </w:rPr>
        <w:t> </w:t>
      </w:r>
      <w:r>
        <w:rPr/>
        <w:t>bahwa</w:t>
      </w:r>
      <w:r>
        <w:rPr>
          <w:spacing w:val="-13"/>
        </w:rPr>
        <w:t> </w:t>
      </w:r>
      <w:r>
        <w:rPr/>
        <w:t>pola</w:t>
      </w:r>
      <w:r>
        <w:rPr>
          <w:spacing w:val="-13"/>
        </w:rPr>
        <w:t> </w:t>
      </w:r>
      <w:r>
        <w:rPr/>
        <w:t>regresi tidak terpengaruh oleh multikolinearitas (Asiah et al., 2020)</w:t>
      </w:r>
    </w:p>
    <w:p>
      <w:pPr>
        <w:pStyle w:val="Heading3"/>
        <w:numPr>
          <w:ilvl w:val="3"/>
          <w:numId w:val="27"/>
        </w:numPr>
        <w:tabs>
          <w:tab w:pos="1288" w:val="left" w:leader="none"/>
        </w:tabs>
        <w:spacing w:line="240" w:lineRule="auto" w:before="165" w:after="0"/>
        <w:ind w:left="1288" w:right="0" w:hanging="720"/>
        <w:jc w:val="both"/>
      </w:pPr>
      <w:bookmarkStart w:name="_bookmark50" w:id="51"/>
      <w:bookmarkEnd w:id="51"/>
      <w:r>
        <w:rPr>
          <w:b w:val="0"/>
        </w:rPr>
      </w:r>
      <w:r>
        <w:rPr/>
        <w:t>Uji</w:t>
      </w:r>
      <w:r>
        <w:rPr>
          <w:spacing w:val="-1"/>
        </w:rPr>
        <w:t> </w:t>
      </w:r>
      <w:r>
        <w:rPr>
          <w:spacing w:val="-2"/>
        </w:rPr>
        <w:t>Heteroskedastisitas</w:t>
      </w:r>
    </w:p>
    <w:p>
      <w:pPr>
        <w:pStyle w:val="BodyText"/>
        <w:spacing w:line="480" w:lineRule="auto" w:before="273"/>
        <w:ind w:left="568" w:right="564" w:firstLine="720"/>
        <w:jc w:val="both"/>
      </w:pPr>
      <w:r>
        <w:rPr/>
        <w:t>Uji Heteroskedastisitas dilakukan untuk mendeteksi adanya pelanggaran terhadap asumsi klasik, yaitu kondisi ketika varians residual tidak homogen atau berbeda</w:t>
      </w:r>
      <w:r>
        <w:rPr>
          <w:spacing w:val="40"/>
        </w:rPr>
        <w:t> </w:t>
      </w:r>
      <w:r>
        <w:rPr/>
        <w:t>pada</w:t>
      </w:r>
      <w:r>
        <w:rPr>
          <w:spacing w:val="40"/>
        </w:rPr>
        <w:t> </w:t>
      </w:r>
      <w:r>
        <w:rPr/>
        <w:t>seluruh</w:t>
      </w:r>
      <w:r>
        <w:rPr>
          <w:spacing w:val="40"/>
        </w:rPr>
        <w:t> </w:t>
      </w:r>
      <w:r>
        <w:rPr/>
        <w:t>observasi</w:t>
      </w:r>
      <w:r>
        <w:rPr>
          <w:spacing w:val="40"/>
        </w:rPr>
        <w:t> </w:t>
      </w:r>
      <w:r>
        <w:rPr/>
        <w:t>dalam</w:t>
      </w:r>
      <w:r>
        <w:rPr>
          <w:spacing w:val="40"/>
        </w:rPr>
        <w:t> </w:t>
      </w:r>
      <w:r>
        <w:rPr/>
        <w:t>model</w:t>
      </w:r>
      <w:r>
        <w:rPr>
          <w:spacing w:val="40"/>
        </w:rPr>
        <w:t> </w:t>
      </w:r>
      <w:r>
        <w:rPr/>
        <w:t>regresi.</w:t>
      </w:r>
      <w:r>
        <w:rPr>
          <w:spacing w:val="40"/>
        </w:rPr>
        <w:t> </w:t>
      </w:r>
      <w:r>
        <w:rPr/>
        <w:t>Menurut</w:t>
      </w:r>
      <w:r>
        <w:rPr>
          <w:spacing w:val="40"/>
        </w:rPr>
        <w:t> </w:t>
      </w:r>
      <w:r>
        <w:rPr/>
        <w:t>Ghozali</w:t>
      </w:r>
      <w:r>
        <w:rPr>
          <w:spacing w:val="40"/>
        </w:rPr>
        <w:t> </w:t>
      </w:r>
      <w:r>
        <w:rPr/>
        <w:t>(2018)</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75"/>
        <w:jc w:val="both"/>
      </w:pPr>
      <w:r>
        <w:rPr/>
        <w:t>model</w:t>
      </w:r>
      <w:r>
        <w:rPr>
          <w:spacing w:val="-15"/>
        </w:rPr>
        <w:t> </w:t>
      </w:r>
      <w:r>
        <w:rPr/>
        <w:t>regresi</w:t>
      </w:r>
      <w:r>
        <w:rPr>
          <w:spacing w:val="-15"/>
        </w:rPr>
        <w:t> </w:t>
      </w:r>
      <w:r>
        <w:rPr/>
        <w:t>yang</w:t>
      </w:r>
      <w:r>
        <w:rPr>
          <w:spacing w:val="-15"/>
        </w:rPr>
        <w:t> </w:t>
      </w:r>
      <w:r>
        <w:rPr/>
        <w:t>baik</w:t>
      </w:r>
      <w:r>
        <w:rPr>
          <w:spacing w:val="-15"/>
        </w:rPr>
        <w:t> </w:t>
      </w:r>
      <w:r>
        <w:rPr/>
        <w:t>yaitu</w:t>
      </w:r>
      <w:r>
        <w:rPr>
          <w:spacing w:val="-15"/>
        </w:rPr>
        <w:t> </w:t>
      </w:r>
      <w:r>
        <w:rPr/>
        <w:t>apabila</w:t>
      </w:r>
      <w:r>
        <w:rPr>
          <w:spacing w:val="-15"/>
        </w:rPr>
        <w:t> </w:t>
      </w:r>
      <w:r>
        <w:rPr/>
        <w:t>tidak</w:t>
      </w:r>
      <w:r>
        <w:rPr>
          <w:spacing w:val="-15"/>
        </w:rPr>
        <w:t> </w:t>
      </w:r>
      <w:r>
        <w:rPr/>
        <w:t>terjadi</w:t>
      </w:r>
      <w:r>
        <w:rPr>
          <w:spacing w:val="-15"/>
        </w:rPr>
        <w:t> </w:t>
      </w:r>
      <w:r>
        <w:rPr/>
        <w:t>heterokedastisitas,</w:t>
      </w:r>
      <w:r>
        <w:rPr>
          <w:spacing w:val="-15"/>
        </w:rPr>
        <w:t> </w:t>
      </w:r>
      <w:r>
        <w:rPr/>
        <w:t>apabila</w:t>
      </w:r>
      <w:r>
        <w:rPr>
          <w:spacing w:val="-15"/>
        </w:rPr>
        <w:t> </w:t>
      </w:r>
      <w:r>
        <w:rPr/>
        <w:t>varian dari pengamatan satu kepengamatan yang lain tetap maka ini bisa disebut sebagai homoskedastisitas. Uji heteroskedastisitas berpedoman pada dasar pengambilan keputusan sebagai berikut:</w:t>
      </w:r>
    </w:p>
    <w:p>
      <w:pPr>
        <w:pStyle w:val="ListParagraph"/>
        <w:numPr>
          <w:ilvl w:val="0"/>
          <w:numId w:val="30"/>
        </w:numPr>
        <w:tabs>
          <w:tab w:pos="1288" w:val="left" w:leader="none"/>
        </w:tabs>
        <w:spacing w:line="480" w:lineRule="auto" w:before="1" w:after="0"/>
        <w:ind w:left="1288" w:right="573" w:hanging="360"/>
        <w:jc w:val="both"/>
        <w:rPr>
          <w:sz w:val="24"/>
        </w:rPr>
      </w:pPr>
      <w:r>
        <w:rPr>
          <w:sz w:val="24"/>
        </w:rPr>
        <w:t>Jika terdapat pola seperti titik-titik yang membentuk pola tertentu yang teratur seperti berbentuk gelombang melebar kemudian menyempit, maka mengindikasikan terjadi heteroskedastisitas;</w:t>
      </w:r>
    </w:p>
    <w:p>
      <w:pPr>
        <w:pStyle w:val="ListParagraph"/>
        <w:numPr>
          <w:ilvl w:val="0"/>
          <w:numId w:val="30"/>
        </w:numPr>
        <w:tabs>
          <w:tab w:pos="1286" w:val="left" w:leader="none"/>
          <w:tab w:pos="1288" w:val="left" w:leader="none"/>
        </w:tabs>
        <w:spacing w:line="475" w:lineRule="auto" w:before="1" w:after="0"/>
        <w:ind w:left="1288" w:right="566" w:hanging="360"/>
        <w:jc w:val="both"/>
        <w:rPr>
          <w:rFonts w:ascii="Calibri"/>
          <w:sz w:val="22"/>
        </w:rPr>
      </w:pPr>
      <w:r>
        <w:rPr>
          <w:sz w:val="24"/>
        </w:rPr>
        <w:t>Jika tidak terdapat pola yang jelas dan juga titik-titik menyebar diatas dan dibawah pada angka 0 terletak pada sumbu Y, maka tidak terjadi </w:t>
      </w:r>
      <w:r>
        <w:rPr>
          <w:spacing w:val="-2"/>
          <w:sz w:val="24"/>
        </w:rPr>
        <w:t>heteroskedastisitas.</w:t>
      </w:r>
    </w:p>
    <w:p>
      <w:pPr>
        <w:pStyle w:val="BodyText"/>
        <w:spacing w:before="17"/>
      </w:pPr>
    </w:p>
    <w:p>
      <w:pPr>
        <w:pStyle w:val="Heading3"/>
        <w:numPr>
          <w:ilvl w:val="3"/>
          <w:numId w:val="27"/>
        </w:numPr>
        <w:tabs>
          <w:tab w:pos="1288" w:val="left" w:leader="none"/>
        </w:tabs>
        <w:spacing w:line="240" w:lineRule="auto" w:before="1" w:after="0"/>
        <w:ind w:left="1288" w:right="0" w:hanging="720"/>
        <w:jc w:val="both"/>
      </w:pPr>
      <w:bookmarkStart w:name="_bookmark51" w:id="52"/>
      <w:bookmarkEnd w:id="52"/>
      <w:r>
        <w:rPr>
          <w:b w:val="0"/>
        </w:rPr>
      </w:r>
      <w:r>
        <w:rPr/>
        <w:t>Uji</w:t>
      </w:r>
      <w:r>
        <w:rPr>
          <w:spacing w:val="-1"/>
        </w:rPr>
        <w:t> </w:t>
      </w:r>
      <w:r>
        <w:rPr>
          <w:spacing w:val="-2"/>
        </w:rPr>
        <w:t>Autokorelasi</w:t>
      </w:r>
    </w:p>
    <w:p>
      <w:pPr>
        <w:pStyle w:val="BodyText"/>
        <w:spacing w:line="480" w:lineRule="auto" w:before="272"/>
        <w:ind w:left="568" w:right="563" w:firstLine="720"/>
        <w:jc w:val="both"/>
      </w:pPr>
      <w:r>
        <w:rPr/>
        <w:t>Pengujian autokorelasi bertujuan untuk mengevaluasi ada atau tidaknya hubungan atau keterkaitan antara nilai residual pada satu observasi dengan nilai residual pada observasi lainnya dalam urutan waktu tertentu dalam suatu model regresi linier. Dalam penelitian ini, metode </w:t>
      </w:r>
      <w:r>
        <w:rPr>
          <w:i/>
        </w:rPr>
        <w:t>Durbin Watson </w:t>
      </w:r>
      <w:r>
        <w:rPr/>
        <w:t>dipilih sebagai pendekatan untuk mendeteksi adanya autokorelasi. Menurut Ghozali (2018) autokorelasi dapat diketahui dengan ketentuan:</w:t>
      </w:r>
    </w:p>
    <w:p>
      <w:pPr>
        <w:pStyle w:val="ListParagraph"/>
        <w:numPr>
          <w:ilvl w:val="4"/>
          <w:numId w:val="27"/>
        </w:numPr>
        <w:tabs>
          <w:tab w:pos="1287" w:val="left" w:leader="none"/>
        </w:tabs>
        <w:spacing w:line="240" w:lineRule="auto" w:before="1" w:after="0"/>
        <w:ind w:left="1287" w:right="0" w:hanging="359"/>
        <w:jc w:val="both"/>
        <w:rPr>
          <w:sz w:val="24"/>
        </w:rPr>
      </w:pPr>
      <w:r>
        <w:rPr>
          <w:sz w:val="24"/>
        </w:rPr>
        <w:t>Jika</w:t>
      </w:r>
      <w:r>
        <w:rPr>
          <w:spacing w:val="-1"/>
          <w:sz w:val="24"/>
        </w:rPr>
        <w:t> </w:t>
      </w:r>
      <w:r>
        <w:rPr>
          <w:sz w:val="24"/>
        </w:rPr>
        <w:t>0</w:t>
      </w:r>
      <w:r>
        <w:rPr>
          <w:spacing w:val="-7"/>
          <w:sz w:val="24"/>
        </w:rPr>
        <w:t> </w:t>
      </w:r>
      <w:r>
        <w:rPr>
          <w:sz w:val="24"/>
        </w:rPr>
        <w:t>&lt;</w:t>
      </w:r>
      <w:r>
        <w:rPr>
          <w:spacing w:val="-2"/>
          <w:sz w:val="24"/>
        </w:rPr>
        <w:t> </w:t>
      </w:r>
      <w:r>
        <w:rPr>
          <w:sz w:val="24"/>
        </w:rPr>
        <w:t>d</w:t>
      </w:r>
      <w:r>
        <w:rPr>
          <w:spacing w:val="-1"/>
          <w:sz w:val="24"/>
        </w:rPr>
        <w:t> </w:t>
      </w:r>
      <w:r>
        <w:rPr>
          <w:sz w:val="24"/>
        </w:rPr>
        <w:t>&lt;</w:t>
      </w:r>
      <w:r>
        <w:rPr>
          <w:spacing w:val="-2"/>
          <w:sz w:val="24"/>
        </w:rPr>
        <w:t> </w:t>
      </w:r>
      <w:r>
        <w:rPr>
          <w:sz w:val="24"/>
        </w:rPr>
        <w:t>dl,</w:t>
      </w:r>
      <w:r>
        <w:rPr>
          <w:spacing w:val="-2"/>
          <w:sz w:val="24"/>
        </w:rPr>
        <w:t> </w:t>
      </w:r>
      <w:r>
        <w:rPr>
          <w:sz w:val="24"/>
        </w:rPr>
        <w:t>maka</w:t>
      </w:r>
      <w:r>
        <w:rPr>
          <w:spacing w:val="-1"/>
          <w:sz w:val="24"/>
        </w:rPr>
        <w:t> </w:t>
      </w:r>
      <w:r>
        <w:rPr>
          <w:sz w:val="24"/>
        </w:rPr>
        <w:t>tidak</w:t>
      </w:r>
      <w:r>
        <w:rPr>
          <w:spacing w:val="-2"/>
          <w:sz w:val="24"/>
        </w:rPr>
        <w:t> </w:t>
      </w:r>
      <w:r>
        <w:rPr>
          <w:sz w:val="24"/>
        </w:rPr>
        <w:t>ada autokorelasi</w:t>
      </w:r>
      <w:r>
        <w:rPr>
          <w:spacing w:val="-2"/>
          <w:sz w:val="24"/>
        </w:rPr>
        <w:t> </w:t>
      </w:r>
      <w:r>
        <w:rPr>
          <w:sz w:val="24"/>
        </w:rPr>
        <w:t>positif,</w:t>
      </w:r>
      <w:r>
        <w:rPr>
          <w:spacing w:val="-2"/>
          <w:sz w:val="24"/>
        </w:rPr>
        <w:t> </w:t>
      </w:r>
      <w:r>
        <w:rPr>
          <w:sz w:val="24"/>
        </w:rPr>
        <w:t>dan</w:t>
      </w:r>
      <w:r>
        <w:rPr>
          <w:spacing w:val="-2"/>
          <w:sz w:val="24"/>
        </w:rPr>
        <w:t> </w:t>
      </w:r>
      <w:r>
        <w:rPr>
          <w:sz w:val="24"/>
        </w:rPr>
        <w:t>keputusan</w:t>
      </w:r>
      <w:r>
        <w:rPr>
          <w:spacing w:val="-1"/>
          <w:sz w:val="24"/>
        </w:rPr>
        <w:t> </w:t>
      </w:r>
      <w:r>
        <w:rPr>
          <w:spacing w:val="-2"/>
          <w:sz w:val="24"/>
        </w:rPr>
        <w:t>ditolak.</w:t>
      </w:r>
    </w:p>
    <w:p>
      <w:pPr>
        <w:pStyle w:val="BodyText"/>
      </w:pPr>
    </w:p>
    <w:p>
      <w:pPr>
        <w:pStyle w:val="ListParagraph"/>
        <w:numPr>
          <w:ilvl w:val="4"/>
          <w:numId w:val="27"/>
        </w:numPr>
        <w:tabs>
          <w:tab w:pos="1288" w:val="left" w:leader="none"/>
        </w:tabs>
        <w:spacing w:line="480" w:lineRule="auto" w:before="0" w:after="0"/>
        <w:ind w:left="1288" w:right="573" w:hanging="360"/>
        <w:jc w:val="both"/>
        <w:rPr>
          <w:sz w:val="24"/>
        </w:rPr>
      </w:pPr>
      <w:r>
        <w:rPr>
          <w:sz w:val="24"/>
        </w:rPr>
        <w:t>Jika dl ≤ d ≤ du, maka</w:t>
      </w:r>
      <w:r>
        <w:rPr>
          <w:spacing w:val="-2"/>
          <w:sz w:val="24"/>
        </w:rPr>
        <w:t> </w:t>
      </w:r>
      <w:r>
        <w:rPr>
          <w:sz w:val="24"/>
        </w:rPr>
        <w:t>tidak</w:t>
      </w:r>
      <w:r>
        <w:rPr>
          <w:spacing w:val="-3"/>
          <w:sz w:val="24"/>
        </w:rPr>
        <w:t> </w:t>
      </w:r>
      <w:r>
        <w:rPr>
          <w:sz w:val="24"/>
        </w:rPr>
        <w:t>ada autokorelasi positif, dan keputusan adalah No decision.</w:t>
      </w:r>
    </w:p>
    <w:p>
      <w:pPr>
        <w:pStyle w:val="ListParagraph"/>
        <w:numPr>
          <w:ilvl w:val="4"/>
          <w:numId w:val="27"/>
        </w:numPr>
        <w:tabs>
          <w:tab w:pos="1287" w:val="left" w:leader="none"/>
        </w:tabs>
        <w:spacing w:line="240" w:lineRule="auto" w:before="1" w:after="0"/>
        <w:ind w:left="1287" w:right="0" w:hanging="359"/>
        <w:jc w:val="both"/>
        <w:rPr>
          <w:sz w:val="24"/>
        </w:rPr>
      </w:pPr>
      <w:r>
        <w:rPr>
          <w:sz w:val="24"/>
        </w:rPr>
        <w:t>Jika</w:t>
      </w:r>
      <w:r>
        <w:rPr>
          <w:spacing w:val="-1"/>
          <w:sz w:val="24"/>
        </w:rPr>
        <w:t> </w:t>
      </w:r>
      <w:r>
        <w:rPr>
          <w:sz w:val="24"/>
        </w:rPr>
        <w:t>4</w:t>
      </w:r>
      <w:r>
        <w:rPr>
          <w:spacing w:val="-1"/>
          <w:sz w:val="24"/>
        </w:rPr>
        <w:t> </w:t>
      </w:r>
      <w:r>
        <w:rPr>
          <w:sz w:val="24"/>
        </w:rPr>
        <w:t>-</w:t>
      </w:r>
      <w:r>
        <w:rPr>
          <w:spacing w:val="-6"/>
          <w:sz w:val="24"/>
        </w:rPr>
        <w:t> </w:t>
      </w:r>
      <w:r>
        <w:rPr>
          <w:sz w:val="24"/>
        </w:rPr>
        <w:t>dl</w:t>
      </w:r>
      <w:r>
        <w:rPr>
          <w:spacing w:val="-1"/>
          <w:sz w:val="24"/>
        </w:rPr>
        <w:t> </w:t>
      </w:r>
      <w:r>
        <w:rPr>
          <w:sz w:val="24"/>
        </w:rPr>
        <w:t>&lt;</w:t>
      </w:r>
      <w:r>
        <w:rPr>
          <w:spacing w:val="-1"/>
          <w:sz w:val="24"/>
        </w:rPr>
        <w:t> </w:t>
      </w:r>
      <w:r>
        <w:rPr>
          <w:sz w:val="24"/>
        </w:rPr>
        <w:t>d</w:t>
      </w:r>
      <w:r>
        <w:rPr>
          <w:spacing w:val="-2"/>
          <w:sz w:val="24"/>
        </w:rPr>
        <w:t> </w:t>
      </w:r>
      <w:r>
        <w:rPr>
          <w:sz w:val="24"/>
        </w:rPr>
        <w:t>&lt;</w:t>
      </w:r>
      <w:r>
        <w:rPr>
          <w:spacing w:val="-1"/>
          <w:sz w:val="24"/>
        </w:rPr>
        <w:t> </w:t>
      </w:r>
      <w:r>
        <w:rPr>
          <w:sz w:val="24"/>
        </w:rPr>
        <w:t>4,</w:t>
      </w:r>
      <w:r>
        <w:rPr>
          <w:spacing w:val="-2"/>
          <w:sz w:val="24"/>
        </w:rPr>
        <w:t> </w:t>
      </w:r>
      <w:r>
        <w:rPr>
          <w:sz w:val="24"/>
        </w:rPr>
        <w:t>maka tidak</w:t>
      </w:r>
      <w:r>
        <w:rPr>
          <w:spacing w:val="-1"/>
          <w:sz w:val="24"/>
        </w:rPr>
        <w:t> </w:t>
      </w:r>
      <w:r>
        <w:rPr>
          <w:sz w:val="24"/>
        </w:rPr>
        <w:t>ada</w:t>
      </w:r>
      <w:r>
        <w:rPr>
          <w:spacing w:val="-1"/>
          <w:sz w:val="24"/>
        </w:rPr>
        <w:t> </w:t>
      </w:r>
      <w:r>
        <w:rPr>
          <w:sz w:val="24"/>
        </w:rPr>
        <w:t>korelasi</w:t>
      </w:r>
      <w:r>
        <w:rPr>
          <w:spacing w:val="-1"/>
          <w:sz w:val="24"/>
        </w:rPr>
        <w:t> </w:t>
      </w:r>
      <w:r>
        <w:rPr>
          <w:sz w:val="24"/>
        </w:rPr>
        <w:t>negatif,</w:t>
      </w:r>
      <w:r>
        <w:rPr>
          <w:spacing w:val="-2"/>
          <w:sz w:val="24"/>
        </w:rPr>
        <w:t> </w:t>
      </w:r>
      <w:r>
        <w:rPr>
          <w:sz w:val="24"/>
        </w:rPr>
        <w:t>dan</w:t>
      </w:r>
      <w:r>
        <w:rPr>
          <w:spacing w:val="-1"/>
          <w:sz w:val="24"/>
        </w:rPr>
        <w:t> </w:t>
      </w:r>
      <w:r>
        <w:rPr>
          <w:sz w:val="24"/>
        </w:rPr>
        <w:t>keputusan</w:t>
      </w:r>
      <w:r>
        <w:rPr>
          <w:spacing w:val="-1"/>
          <w:sz w:val="24"/>
        </w:rPr>
        <w:t> </w:t>
      </w:r>
      <w:r>
        <w:rPr>
          <w:spacing w:val="-2"/>
          <w:sz w:val="24"/>
        </w:rPr>
        <w:t>ditolak.</w:t>
      </w:r>
    </w:p>
    <w:p>
      <w:pPr>
        <w:pStyle w:val="ListParagraph"/>
        <w:numPr>
          <w:ilvl w:val="4"/>
          <w:numId w:val="27"/>
        </w:numPr>
        <w:tabs>
          <w:tab w:pos="1288" w:val="left" w:leader="none"/>
        </w:tabs>
        <w:spacing w:line="480" w:lineRule="auto" w:before="276" w:after="0"/>
        <w:ind w:left="1288" w:right="571" w:hanging="360"/>
        <w:jc w:val="both"/>
        <w:rPr>
          <w:sz w:val="24"/>
        </w:rPr>
      </w:pPr>
      <w:r>
        <w:rPr>
          <w:sz w:val="24"/>
        </w:rPr>
        <w:t>Jika 4 – du ≤ d ≤ 4 – dl, maka tidak ada korelasi negatif, dan keputusan adalah No decision.</w:t>
      </w:r>
    </w:p>
    <w:p>
      <w:pPr>
        <w:pStyle w:val="ListParagraph"/>
        <w:spacing w:after="0" w:line="480" w:lineRule="auto"/>
        <w:jc w:val="both"/>
        <w:rPr>
          <w:sz w:val="24"/>
        </w:rPr>
        <w:sectPr>
          <w:pgSz w:w="11910" w:h="16840"/>
          <w:pgMar w:header="710" w:footer="0" w:top="1920" w:bottom="280" w:left="1700" w:right="1133"/>
        </w:sectPr>
      </w:pPr>
    </w:p>
    <w:p>
      <w:pPr>
        <w:pStyle w:val="BodyText"/>
        <w:spacing w:before="52"/>
      </w:pPr>
    </w:p>
    <w:p>
      <w:pPr>
        <w:pStyle w:val="Heading3"/>
        <w:numPr>
          <w:ilvl w:val="2"/>
          <w:numId w:val="27"/>
        </w:numPr>
        <w:tabs>
          <w:tab w:pos="1288" w:val="left" w:leader="none"/>
        </w:tabs>
        <w:spacing w:line="240" w:lineRule="auto" w:before="0" w:after="0"/>
        <w:ind w:left="1288" w:right="0" w:hanging="720"/>
        <w:jc w:val="both"/>
      </w:pPr>
      <w:bookmarkStart w:name="_bookmark52" w:id="53"/>
      <w:bookmarkEnd w:id="53"/>
      <w:r>
        <w:rPr>
          <w:b w:val="0"/>
        </w:rPr>
      </w:r>
      <w:r>
        <w:rPr/>
        <w:t>Analisis</w:t>
      </w:r>
      <w:r>
        <w:rPr>
          <w:spacing w:val="-5"/>
        </w:rPr>
        <w:t> </w:t>
      </w:r>
      <w:r>
        <w:rPr/>
        <w:t>Regresi</w:t>
      </w:r>
      <w:r>
        <w:rPr>
          <w:spacing w:val="-3"/>
        </w:rPr>
        <w:t> </w:t>
      </w:r>
      <w:r>
        <w:rPr/>
        <w:t>Linear</w:t>
      </w:r>
      <w:r>
        <w:rPr>
          <w:spacing w:val="-1"/>
        </w:rPr>
        <w:t> </w:t>
      </w:r>
      <w:r>
        <w:rPr>
          <w:spacing w:val="-2"/>
        </w:rPr>
        <w:t>Berganda</w:t>
      </w:r>
    </w:p>
    <w:p>
      <w:pPr>
        <w:pStyle w:val="BodyText"/>
        <w:spacing w:line="480" w:lineRule="auto" w:before="272"/>
        <w:ind w:left="568" w:right="563" w:firstLine="720"/>
        <w:jc w:val="both"/>
      </w:pPr>
      <w:r>
        <w:rPr/>
        <w:t>Menurut</w:t>
      </w:r>
      <w:r>
        <w:rPr>
          <w:spacing w:val="-3"/>
        </w:rPr>
        <w:t> </w:t>
      </w:r>
      <w:r>
        <w:rPr/>
        <w:t>Ghozali</w:t>
      </w:r>
      <w:r>
        <w:rPr>
          <w:spacing w:val="-4"/>
        </w:rPr>
        <w:t> </w:t>
      </w:r>
      <w:r>
        <w:rPr/>
        <w:t>(2018)</w:t>
      </w:r>
      <w:r>
        <w:rPr>
          <w:spacing w:val="-4"/>
        </w:rPr>
        <w:t> </w:t>
      </w:r>
      <w:r>
        <w:rPr/>
        <w:t>Analisis</w:t>
      </w:r>
      <w:r>
        <w:rPr>
          <w:spacing w:val="-6"/>
        </w:rPr>
        <w:t> </w:t>
      </w:r>
      <w:r>
        <w:rPr/>
        <w:t>linier</w:t>
      </w:r>
      <w:r>
        <w:rPr>
          <w:spacing w:val="-4"/>
        </w:rPr>
        <w:t> </w:t>
      </w:r>
      <w:r>
        <w:rPr/>
        <w:t>berganda</w:t>
      </w:r>
      <w:r>
        <w:rPr>
          <w:spacing w:val="-3"/>
        </w:rPr>
        <w:t> </w:t>
      </w:r>
      <w:r>
        <w:rPr/>
        <w:t>digunakan</w:t>
      </w:r>
      <w:r>
        <w:rPr>
          <w:spacing w:val="-4"/>
        </w:rPr>
        <w:t> </w:t>
      </w:r>
      <w:r>
        <w:rPr/>
        <w:t>untuk</w:t>
      </w:r>
      <w:r>
        <w:rPr>
          <w:spacing w:val="-4"/>
        </w:rPr>
        <w:t> </w:t>
      </w:r>
      <w:r>
        <w:rPr/>
        <w:t>menguji pengaruh hubungan variabel independen yang jumlahnya lebih dari dua variabel terhadap variabel dependen. Analisis regresi linier berganda digunakan untuk menguji hubungan dan pengaruh simultan dari beberapa variabel independen terhadap variabel dependen yang diteliti. Dalam penelitian ini, </w:t>
      </w:r>
      <w:r>
        <w:rPr>
          <w:i/>
        </w:rPr>
        <w:t>leverage</w:t>
      </w:r>
      <w:r>
        <w:rPr/>
        <w:t>, </w:t>
      </w:r>
      <w:r>
        <w:rPr>
          <w:i/>
        </w:rPr>
        <w:t>debt maturity, </w:t>
      </w:r>
      <w:r>
        <w:rPr/>
        <w:t>dan </w:t>
      </w:r>
      <w:r>
        <w:rPr>
          <w:i/>
        </w:rPr>
        <w:t>Assurance tenure </w:t>
      </w:r>
      <w:r>
        <w:rPr/>
        <w:t>diuji pengaruhnya terhadap </w:t>
      </w:r>
      <w:r>
        <w:rPr>
          <w:i/>
        </w:rPr>
        <w:t>Sustainability Assurance Quality </w:t>
      </w:r>
      <w:r>
        <w:rPr/>
        <w:t>dengan menggunakan persamaan regresi linear berganda sebagai berikut:</w:t>
      </w:r>
    </w:p>
    <w:p>
      <w:pPr>
        <w:pStyle w:val="BodyText"/>
        <w:spacing w:before="9"/>
        <w:rPr>
          <w:sz w:val="14"/>
        </w:rPr>
      </w:pPr>
    </w:p>
    <w:p>
      <w:pPr>
        <w:pStyle w:val="BodyText"/>
        <w:ind w:left="568"/>
        <w:rPr>
          <w:sz w:val="20"/>
        </w:rPr>
      </w:pPr>
      <w:r>
        <w:rPr>
          <w:sz w:val="20"/>
        </w:rPr>
        <mc:AlternateContent>
          <mc:Choice Requires="wps">
            <w:drawing>
              <wp:inline distT="0" distB="0" distL="0" distR="0">
                <wp:extent cx="5094605" cy="266700"/>
                <wp:effectExtent l="9525" t="0" r="1270" b="9525"/>
                <wp:docPr id="20" name="Textbox 20"/>
                <wp:cNvGraphicFramePr>
                  <a:graphicFrameLocks/>
                </wp:cNvGraphicFramePr>
                <a:graphic>
                  <a:graphicData uri="http://schemas.microsoft.com/office/word/2010/wordprocessingShape">
                    <wps:wsp>
                      <wps:cNvPr id="20" name="Textbox 20"/>
                      <wps:cNvSpPr txBox="1"/>
                      <wps:spPr>
                        <a:xfrm>
                          <a:off x="0" y="0"/>
                          <a:ext cx="5094605" cy="266700"/>
                        </a:xfrm>
                        <a:prstGeom prst="rect">
                          <a:avLst/>
                        </a:prstGeom>
                        <a:ln w="5080">
                          <a:solidFill>
                            <a:srgbClr val="000000"/>
                          </a:solidFill>
                          <a:prstDash val="solid"/>
                        </a:ln>
                      </wps:spPr>
                      <wps:txbx>
                        <w:txbxContent>
                          <w:p>
                            <w:pPr>
                              <w:pStyle w:val="BodyText"/>
                              <w:tabs>
                                <w:tab w:pos="7788" w:val="right" w:leader="dot"/>
                              </w:tabs>
                              <w:spacing w:line="272" w:lineRule="exact"/>
                              <w:ind w:left="103"/>
                            </w:pPr>
                            <w:r>
                              <w:rPr>
                                <w:spacing w:val="-2"/>
                              </w:rPr>
                              <w:t>Y=ɑ+ꞵ1X</w:t>
                            </w:r>
                            <w:r>
                              <w:rPr>
                                <w:spacing w:val="-2"/>
                                <w:vertAlign w:val="subscript"/>
                              </w:rPr>
                              <w:t>1</w:t>
                            </w:r>
                            <w:r>
                              <w:rPr>
                                <w:spacing w:val="-2"/>
                                <w:vertAlign w:val="baseline"/>
                              </w:rPr>
                              <w:t>+ꞵ2X</w:t>
                            </w:r>
                            <w:r>
                              <w:rPr>
                                <w:spacing w:val="-2"/>
                                <w:vertAlign w:val="subscript"/>
                              </w:rPr>
                              <w:t>2</w:t>
                            </w:r>
                            <w:r>
                              <w:rPr>
                                <w:spacing w:val="-2"/>
                                <w:vertAlign w:val="baseline"/>
                              </w:rPr>
                              <w:t>+ꞵ3X</w:t>
                            </w:r>
                            <w:r>
                              <w:rPr>
                                <w:spacing w:val="-2"/>
                                <w:vertAlign w:val="subscript"/>
                              </w:rPr>
                              <w:t>3+</w:t>
                            </w:r>
                            <w:r>
                              <w:rPr>
                                <w:spacing w:val="9"/>
                                <w:vertAlign w:val="baseline"/>
                              </w:rPr>
                              <w:t> </w:t>
                            </w:r>
                            <w:r>
                              <w:rPr>
                                <w:spacing w:val="-10"/>
                                <w:vertAlign w:val="subscript"/>
                              </w:rPr>
                              <w:t>ε</w:t>
                            </w:r>
                            <w:r>
                              <w:rPr>
                                <w:position w:val="-1"/>
                                <w:sz w:val="16"/>
                                <w:szCs w:val="16"/>
                                <w:vertAlign w:val="baseline"/>
                              </w:rPr>
                              <w:tab/>
                            </w:r>
                            <w:r>
                              <w:rPr>
                                <w:spacing w:val="-5"/>
                                <w:vertAlign w:val="baseline"/>
                              </w:rPr>
                              <w:t>3.3</w:t>
                            </w:r>
                          </w:p>
                        </w:txbxContent>
                      </wps:txbx>
                      <wps:bodyPr wrap="square" lIns="0" tIns="0" rIns="0" bIns="0" rtlCol="0">
                        <a:noAutofit/>
                      </wps:bodyPr>
                    </wps:wsp>
                  </a:graphicData>
                </a:graphic>
              </wp:inline>
            </w:drawing>
          </mc:Choice>
          <mc:Fallback>
            <w:pict>
              <v:shape style="width:401.15pt;height:21pt;mso-position-horizontal-relative:char;mso-position-vertical-relative:line" type="#_x0000_t202" id="docshape16" filled="false" stroked="true" strokeweight=".40002pt" strokecolor="#000000">
                <w10:anchorlock/>
                <v:textbox inset="0,0,0,0">
                  <w:txbxContent>
                    <w:p>
                      <w:pPr>
                        <w:pStyle w:val="BodyText"/>
                        <w:tabs>
                          <w:tab w:pos="7788" w:val="right" w:leader="dot"/>
                        </w:tabs>
                        <w:spacing w:line="272" w:lineRule="exact"/>
                        <w:ind w:left="103"/>
                      </w:pPr>
                      <w:r>
                        <w:rPr>
                          <w:spacing w:val="-2"/>
                        </w:rPr>
                        <w:t>Y=ɑ+ꞵ1X</w:t>
                      </w:r>
                      <w:r>
                        <w:rPr>
                          <w:spacing w:val="-2"/>
                          <w:vertAlign w:val="subscript"/>
                        </w:rPr>
                        <w:t>1</w:t>
                      </w:r>
                      <w:r>
                        <w:rPr>
                          <w:spacing w:val="-2"/>
                          <w:vertAlign w:val="baseline"/>
                        </w:rPr>
                        <w:t>+ꞵ2X</w:t>
                      </w:r>
                      <w:r>
                        <w:rPr>
                          <w:spacing w:val="-2"/>
                          <w:vertAlign w:val="subscript"/>
                        </w:rPr>
                        <w:t>2</w:t>
                      </w:r>
                      <w:r>
                        <w:rPr>
                          <w:spacing w:val="-2"/>
                          <w:vertAlign w:val="baseline"/>
                        </w:rPr>
                        <w:t>+ꞵ3X</w:t>
                      </w:r>
                      <w:r>
                        <w:rPr>
                          <w:spacing w:val="-2"/>
                          <w:vertAlign w:val="subscript"/>
                        </w:rPr>
                        <w:t>3+</w:t>
                      </w:r>
                      <w:r>
                        <w:rPr>
                          <w:spacing w:val="9"/>
                          <w:vertAlign w:val="baseline"/>
                        </w:rPr>
                        <w:t> </w:t>
                      </w:r>
                      <w:r>
                        <w:rPr>
                          <w:spacing w:val="-10"/>
                          <w:vertAlign w:val="subscript"/>
                        </w:rPr>
                        <w:t>ε</w:t>
                      </w:r>
                      <w:r>
                        <w:rPr>
                          <w:position w:val="-1"/>
                          <w:sz w:val="16"/>
                          <w:szCs w:val="16"/>
                          <w:vertAlign w:val="baseline"/>
                        </w:rPr>
                        <w:tab/>
                      </w:r>
                      <w:r>
                        <w:rPr>
                          <w:spacing w:val="-5"/>
                          <w:vertAlign w:val="baseline"/>
                        </w:rPr>
                        <w:t>3.3</w:t>
                      </w:r>
                    </w:p>
                  </w:txbxContent>
                </v:textbox>
                <v:stroke dashstyle="solid"/>
              </v:shape>
            </w:pict>
          </mc:Fallback>
        </mc:AlternateContent>
      </w:r>
      <w:r>
        <w:rPr>
          <w:sz w:val="20"/>
        </w:rPr>
      </w:r>
    </w:p>
    <w:p>
      <w:pPr>
        <w:pStyle w:val="BodyText"/>
        <w:spacing w:after="0"/>
        <w:rPr>
          <w:sz w:val="20"/>
        </w:rPr>
        <w:sectPr>
          <w:pgSz w:w="11910" w:h="16840"/>
          <w:pgMar w:header="710" w:footer="0" w:top="1920" w:bottom="280" w:left="1700" w:right="1133"/>
        </w:sectPr>
      </w:pPr>
    </w:p>
    <w:p>
      <w:pPr>
        <w:pStyle w:val="BodyText"/>
        <w:spacing w:before="190"/>
        <w:ind w:left="568"/>
      </w:pPr>
      <w:r>
        <w:rPr/>
        <w:t>Keterangan</w:t>
      </w:r>
      <w:r>
        <w:rPr>
          <w:spacing w:val="-4"/>
        </w:rPr>
        <w:t> </w:t>
      </w:r>
      <w:r>
        <w:rPr>
          <w:spacing w:val="-10"/>
        </w:rPr>
        <w:t>:</w:t>
      </w:r>
    </w:p>
    <w:p>
      <w:pPr>
        <w:spacing w:line="10" w:lineRule="exact" w:before="0"/>
        <w:ind w:left="568" w:right="0" w:firstLine="0"/>
        <w:jc w:val="left"/>
        <w:rPr>
          <w:b/>
          <w:sz w:val="2"/>
        </w:rPr>
      </w:pPr>
      <w:r>
        <w:rPr/>
        <w:br w:type="column"/>
      </w:r>
      <w:r>
        <w:rPr>
          <w:b/>
          <w:color w:val="FFFFFF"/>
          <w:sz w:val="2"/>
        </w:rPr>
        <w:t>Rumus</w:t>
      </w:r>
      <w:r>
        <w:rPr>
          <w:b/>
          <w:color w:val="FFFFFF"/>
          <w:spacing w:val="-1"/>
          <w:sz w:val="2"/>
        </w:rPr>
        <w:t> </w:t>
      </w:r>
      <w:r>
        <w:rPr>
          <w:b/>
          <w:color w:val="FFFFFF"/>
          <w:spacing w:val="-10"/>
          <w:sz w:val="2"/>
        </w:rPr>
        <w:t>3</w:t>
      </w:r>
    </w:p>
    <w:p>
      <w:pPr>
        <w:spacing w:after="0" w:line="10" w:lineRule="exact"/>
        <w:jc w:val="left"/>
        <w:rPr>
          <w:b/>
          <w:sz w:val="2"/>
        </w:rPr>
        <w:sectPr>
          <w:type w:val="continuous"/>
          <w:pgSz w:w="11910" w:h="16840"/>
          <w:pgMar w:header="710" w:footer="0" w:top="1940" w:bottom="280" w:left="1700" w:right="1133"/>
          <w:cols w:num="2" w:equalWidth="0">
            <w:col w:w="1842" w:space="2088"/>
            <w:col w:w="5147"/>
          </w:cols>
        </w:sectPr>
      </w:pPr>
    </w:p>
    <w:p>
      <w:pPr>
        <w:tabs>
          <w:tab w:pos="2008" w:val="left" w:leader="none"/>
        </w:tabs>
        <w:spacing w:before="140"/>
        <w:ind w:left="568" w:right="0" w:firstLine="0"/>
        <w:jc w:val="left"/>
        <w:rPr>
          <w:i/>
          <w:sz w:val="24"/>
        </w:rPr>
      </w:pPr>
      <w:r>
        <w:rPr>
          <w:spacing w:val="-10"/>
          <w:sz w:val="24"/>
        </w:rPr>
        <w:t>Ү</w:t>
      </w:r>
      <w:r>
        <w:rPr>
          <w:sz w:val="24"/>
        </w:rPr>
        <w:tab/>
        <w:t>:</w:t>
      </w:r>
      <w:r>
        <w:rPr>
          <w:spacing w:val="-5"/>
          <w:sz w:val="24"/>
        </w:rPr>
        <w:t> </w:t>
      </w:r>
      <w:r>
        <w:rPr>
          <w:i/>
          <w:sz w:val="24"/>
        </w:rPr>
        <w:t>Sustainability</w:t>
      </w:r>
      <w:r>
        <w:rPr>
          <w:i/>
          <w:spacing w:val="-5"/>
          <w:sz w:val="24"/>
        </w:rPr>
        <w:t> </w:t>
      </w:r>
      <w:r>
        <w:rPr>
          <w:i/>
          <w:sz w:val="24"/>
        </w:rPr>
        <w:t>Assurance</w:t>
      </w:r>
      <w:r>
        <w:rPr>
          <w:i/>
          <w:spacing w:val="-1"/>
          <w:sz w:val="24"/>
        </w:rPr>
        <w:t> </w:t>
      </w:r>
      <w:r>
        <w:rPr>
          <w:i/>
          <w:spacing w:val="-2"/>
          <w:sz w:val="24"/>
        </w:rPr>
        <w:t>Quality</w:t>
      </w:r>
    </w:p>
    <w:p>
      <w:pPr>
        <w:tabs>
          <w:tab w:pos="2008" w:val="left" w:leader="none"/>
        </w:tabs>
        <w:spacing w:before="136"/>
        <w:ind w:left="568" w:right="0" w:firstLine="0"/>
        <w:jc w:val="left"/>
        <w:rPr>
          <w:i/>
          <w:sz w:val="24"/>
        </w:rPr>
      </w:pPr>
      <w:r>
        <w:rPr>
          <w:spacing w:val="-5"/>
          <w:sz w:val="24"/>
        </w:rPr>
        <w:t>X</w:t>
      </w:r>
      <w:r>
        <w:rPr>
          <w:spacing w:val="-5"/>
          <w:sz w:val="24"/>
          <w:vertAlign w:val="subscript"/>
        </w:rPr>
        <w:t>1</w:t>
      </w:r>
      <w:r>
        <w:rPr>
          <w:sz w:val="24"/>
          <w:vertAlign w:val="baseline"/>
        </w:rPr>
        <w:tab/>
        <w:t>:</w:t>
      </w:r>
      <w:r>
        <w:rPr>
          <w:spacing w:val="-3"/>
          <w:sz w:val="24"/>
          <w:vertAlign w:val="baseline"/>
        </w:rPr>
        <w:t> </w:t>
      </w:r>
      <w:r>
        <w:rPr>
          <w:i/>
          <w:spacing w:val="-2"/>
          <w:sz w:val="24"/>
          <w:vertAlign w:val="baseline"/>
        </w:rPr>
        <w:t>Leverage</w:t>
      </w:r>
    </w:p>
    <w:p>
      <w:pPr>
        <w:tabs>
          <w:tab w:pos="2008" w:val="left" w:leader="none"/>
        </w:tabs>
        <w:spacing w:before="140"/>
        <w:ind w:left="568" w:right="0" w:firstLine="0"/>
        <w:jc w:val="left"/>
        <w:rPr>
          <w:i/>
          <w:sz w:val="24"/>
        </w:rPr>
      </w:pPr>
      <w:r>
        <w:rPr>
          <w:spacing w:val="-5"/>
          <w:sz w:val="24"/>
        </w:rPr>
        <w:t>X</w:t>
      </w:r>
      <w:r>
        <w:rPr>
          <w:spacing w:val="-5"/>
          <w:sz w:val="24"/>
          <w:vertAlign w:val="subscript"/>
        </w:rPr>
        <w:t>2</w:t>
      </w:r>
      <w:r>
        <w:rPr>
          <w:sz w:val="24"/>
          <w:vertAlign w:val="baseline"/>
        </w:rPr>
        <w:tab/>
        <w:t>:</w:t>
      </w:r>
      <w:r>
        <w:rPr>
          <w:spacing w:val="-5"/>
          <w:sz w:val="24"/>
          <w:vertAlign w:val="baseline"/>
        </w:rPr>
        <w:t> </w:t>
      </w:r>
      <w:r>
        <w:rPr>
          <w:i/>
          <w:sz w:val="24"/>
          <w:vertAlign w:val="baseline"/>
        </w:rPr>
        <w:t>Debt </w:t>
      </w:r>
      <w:r>
        <w:rPr>
          <w:i/>
          <w:spacing w:val="-2"/>
          <w:sz w:val="24"/>
          <w:vertAlign w:val="baseline"/>
        </w:rPr>
        <w:t>maturity</w:t>
      </w:r>
    </w:p>
    <w:p>
      <w:pPr>
        <w:tabs>
          <w:tab w:pos="2008" w:val="left" w:leader="none"/>
        </w:tabs>
        <w:spacing w:before="136"/>
        <w:ind w:left="568" w:right="0" w:firstLine="0"/>
        <w:jc w:val="left"/>
        <w:rPr>
          <w:i/>
          <w:sz w:val="24"/>
        </w:rPr>
      </w:pPr>
      <w:r>
        <w:rPr>
          <w:spacing w:val="-5"/>
          <w:sz w:val="24"/>
        </w:rPr>
        <w:t>X</w:t>
      </w:r>
      <w:r>
        <w:rPr>
          <w:spacing w:val="-5"/>
          <w:sz w:val="24"/>
          <w:vertAlign w:val="subscript"/>
        </w:rPr>
        <w:t>3</w:t>
      </w:r>
      <w:r>
        <w:rPr>
          <w:sz w:val="24"/>
          <w:vertAlign w:val="baseline"/>
        </w:rPr>
        <w:tab/>
        <w:t>:</w:t>
      </w:r>
      <w:r>
        <w:rPr>
          <w:spacing w:val="-5"/>
          <w:sz w:val="24"/>
          <w:vertAlign w:val="baseline"/>
        </w:rPr>
        <w:t> </w:t>
      </w:r>
      <w:r>
        <w:rPr>
          <w:i/>
          <w:sz w:val="24"/>
          <w:vertAlign w:val="baseline"/>
        </w:rPr>
        <w:t>Assurance </w:t>
      </w:r>
      <w:r>
        <w:rPr>
          <w:i/>
          <w:spacing w:val="-2"/>
          <w:sz w:val="24"/>
          <w:vertAlign w:val="baseline"/>
        </w:rPr>
        <w:t>tenure</w:t>
      </w:r>
    </w:p>
    <w:p>
      <w:pPr>
        <w:pStyle w:val="BodyText"/>
        <w:tabs>
          <w:tab w:pos="2008" w:val="left" w:leader="none"/>
        </w:tabs>
        <w:spacing w:before="140"/>
        <w:ind w:left="568"/>
      </w:pPr>
      <w:r>
        <w:rPr>
          <w:spacing w:val="-10"/>
        </w:rPr>
        <w:t>Α</w:t>
      </w:r>
      <w:r>
        <w:rPr/>
        <w:tab/>
        <w:t>:</w:t>
      </w:r>
      <w:r>
        <w:rPr>
          <w:spacing w:val="1"/>
        </w:rPr>
        <w:t> </w:t>
      </w:r>
      <w:r>
        <w:rPr>
          <w:spacing w:val="-2"/>
        </w:rPr>
        <w:t>Konstanta</w:t>
      </w:r>
    </w:p>
    <w:p>
      <w:pPr>
        <w:pStyle w:val="BodyText"/>
        <w:tabs>
          <w:tab w:pos="2008" w:val="left" w:leader="none"/>
        </w:tabs>
        <w:spacing w:line="357" w:lineRule="auto" w:before="136"/>
        <w:ind w:left="568" w:right="5215"/>
      </w:pPr>
      <w:r>
        <w:rPr/>
        <w:t>β1, β2, β3</w:t>
        <w:tab/>
        <w:t>:</w:t>
      </w:r>
      <w:r>
        <w:rPr>
          <w:spacing w:val="-15"/>
        </w:rPr>
        <w:t> </w:t>
      </w:r>
      <w:r>
        <w:rPr/>
        <w:t>Koefisien</w:t>
      </w:r>
      <w:r>
        <w:rPr>
          <w:spacing w:val="-15"/>
        </w:rPr>
        <w:t> </w:t>
      </w:r>
      <w:r>
        <w:rPr/>
        <w:t>Regresi </w:t>
      </w:r>
      <w:r>
        <w:rPr>
          <w:spacing w:val="-10"/>
        </w:rPr>
        <w:t>ε</w:t>
      </w:r>
      <w:r>
        <w:rPr/>
        <w:tab/>
        <w:t>: Error Term</w:t>
      </w:r>
    </w:p>
    <w:p>
      <w:pPr>
        <w:pStyle w:val="BodyText"/>
        <w:spacing w:before="30"/>
      </w:pPr>
    </w:p>
    <w:p>
      <w:pPr>
        <w:pStyle w:val="Heading3"/>
        <w:numPr>
          <w:ilvl w:val="2"/>
          <w:numId w:val="27"/>
        </w:numPr>
        <w:tabs>
          <w:tab w:pos="1288" w:val="left" w:leader="none"/>
        </w:tabs>
        <w:spacing w:line="240" w:lineRule="auto" w:before="0" w:after="0"/>
        <w:ind w:left="1288" w:right="0" w:hanging="720"/>
        <w:jc w:val="both"/>
      </w:pPr>
      <w:bookmarkStart w:name="_bookmark53" w:id="54"/>
      <w:bookmarkEnd w:id="54"/>
      <w:r>
        <w:rPr>
          <w:b w:val="0"/>
        </w:rPr>
      </w:r>
      <w:r>
        <w:rPr/>
        <w:t>Analisis</w:t>
      </w:r>
      <w:r>
        <w:rPr>
          <w:spacing w:val="-7"/>
        </w:rPr>
        <w:t> </w:t>
      </w:r>
      <w:r>
        <w:rPr/>
        <w:t>Koefisien</w:t>
      </w:r>
      <w:r>
        <w:rPr>
          <w:spacing w:val="-7"/>
        </w:rPr>
        <w:t> </w:t>
      </w:r>
      <w:r>
        <w:rPr/>
        <w:t>Determinan</w:t>
      </w:r>
      <w:r>
        <w:rPr>
          <w:spacing w:val="-7"/>
        </w:rPr>
        <w:t> </w:t>
      </w:r>
      <w:r>
        <w:rPr>
          <w:spacing w:val="-4"/>
        </w:rPr>
        <w:t>(R</w:t>
      </w:r>
      <w:r>
        <w:rPr>
          <w:spacing w:val="-4"/>
          <w:vertAlign w:val="superscript"/>
        </w:rPr>
        <w:t>2</w:t>
      </w:r>
      <w:r>
        <w:rPr>
          <w:spacing w:val="-4"/>
          <w:vertAlign w:val="baseline"/>
        </w:rPr>
        <w:t>)</w:t>
      </w:r>
    </w:p>
    <w:p>
      <w:pPr>
        <w:pStyle w:val="BodyText"/>
        <w:spacing w:line="480" w:lineRule="auto" w:before="236"/>
        <w:ind w:left="568" w:right="572" w:firstLine="720"/>
        <w:jc w:val="both"/>
      </w:pPr>
      <w:r>
        <w:rPr/>
        <w:t>Koefisien determinasi (R²) merupakan indikator statistik yang digunakan untuk menilai sejauh mana suatu model regresi mampu menjelaskan variasi pada variabel dependen.</w:t>
      </w:r>
      <w:r>
        <w:rPr>
          <w:spacing w:val="-4"/>
        </w:rPr>
        <w:t> </w:t>
      </w:r>
      <w:r>
        <w:rPr/>
        <w:t>Nilai R²</w:t>
      </w:r>
      <w:r>
        <w:rPr>
          <w:spacing w:val="-4"/>
        </w:rPr>
        <w:t> </w:t>
      </w:r>
      <w:r>
        <w:rPr/>
        <w:t>berada pada rentang</w:t>
      </w:r>
      <w:r>
        <w:rPr>
          <w:spacing w:val="-4"/>
        </w:rPr>
        <w:t> </w:t>
      </w:r>
      <w:r>
        <w:rPr/>
        <w:t>0</w:t>
      </w:r>
      <w:r>
        <w:rPr>
          <w:spacing w:val="-1"/>
        </w:rPr>
        <w:t> </w:t>
      </w:r>
      <w:r>
        <w:rPr/>
        <w:t>hingga 1.</w:t>
      </w:r>
      <w:r>
        <w:rPr>
          <w:spacing w:val="-1"/>
        </w:rPr>
        <w:t> </w:t>
      </w:r>
      <w:r>
        <w:rPr/>
        <w:t>Semakin</w:t>
      </w:r>
      <w:r>
        <w:rPr>
          <w:spacing w:val="-4"/>
        </w:rPr>
        <w:t> </w:t>
      </w:r>
      <w:r>
        <w:rPr/>
        <w:t>mendekati</w:t>
      </w:r>
      <w:r>
        <w:rPr>
          <w:spacing w:val="-4"/>
        </w:rPr>
        <w:t> </w:t>
      </w:r>
      <w:r>
        <w:rPr/>
        <w:t>1 nilai</w:t>
      </w:r>
      <w:r>
        <w:rPr>
          <w:spacing w:val="-4"/>
        </w:rPr>
        <w:t> </w:t>
      </w:r>
      <w:r>
        <w:rPr/>
        <w:t>R²,</w:t>
      </w:r>
      <w:r>
        <w:rPr>
          <w:spacing w:val="-4"/>
        </w:rPr>
        <w:t> </w:t>
      </w:r>
      <w:r>
        <w:rPr/>
        <w:t>semakin</w:t>
      </w:r>
      <w:r>
        <w:rPr>
          <w:spacing w:val="-4"/>
        </w:rPr>
        <w:t> </w:t>
      </w:r>
      <w:r>
        <w:rPr/>
        <w:t>baik</w:t>
      </w:r>
      <w:r>
        <w:rPr>
          <w:spacing w:val="-4"/>
        </w:rPr>
        <w:t> </w:t>
      </w:r>
      <w:r>
        <w:rPr/>
        <w:t>pula kemampuan</w:t>
      </w:r>
      <w:r>
        <w:rPr>
          <w:spacing w:val="-4"/>
        </w:rPr>
        <w:t> </w:t>
      </w:r>
      <w:r>
        <w:rPr/>
        <w:t>model</w:t>
      </w:r>
      <w:r>
        <w:rPr>
          <w:spacing w:val="-4"/>
        </w:rPr>
        <w:t> </w:t>
      </w:r>
      <w:r>
        <w:rPr/>
        <w:t>regresi</w:t>
      </w:r>
      <w:r>
        <w:rPr>
          <w:spacing w:val="-4"/>
        </w:rPr>
        <w:t> </w:t>
      </w:r>
      <w:r>
        <w:rPr/>
        <w:t>dalam</w:t>
      </w:r>
      <w:r>
        <w:rPr>
          <w:spacing w:val="-8"/>
        </w:rPr>
        <w:t> </w:t>
      </w:r>
      <w:r>
        <w:rPr/>
        <w:t>menjelaskan</w:t>
      </w:r>
      <w:r>
        <w:rPr>
          <w:spacing w:val="-4"/>
        </w:rPr>
        <w:t> </w:t>
      </w:r>
      <w:r>
        <w:rPr/>
        <w:t>variabel dependen</w:t>
      </w:r>
      <w:r>
        <w:rPr>
          <w:spacing w:val="27"/>
        </w:rPr>
        <w:t> </w:t>
      </w:r>
      <w:r>
        <w:rPr/>
        <w:t>melalui</w:t>
      </w:r>
      <w:r>
        <w:rPr>
          <w:spacing w:val="29"/>
        </w:rPr>
        <w:t> </w:t>
      </w:r>
      <w:r>
        <w:rPr/>
        <w:t>variabel</w:t>
      </w:r>
      <w:r>
        <w:rPr>
          <w:spacing w:val="28"/>
        </w:rPr>
        <w:t> </w:t>
      </w:r>
      <w:r>
        <w:rPr/>
        <w:t>independennya.</w:t>
      </w:r>
      <w:r>
        <w:rPr>
          <w:spacing w:val="28"/>
        </w:rPr>
        <w:t> </w:t>
      </w:r>
      <w:r>
        <w:rPr/>
        <w:t>Sebaliknya,</w:t>
      </w:r>
      <w:r>
        <w:rPr>
          <w:spacing w:val="27"/>
        </w:rPr>
        <w:t> </w:t>
      </w:r>
      <w:r>
        <w:rPr/>
        <w:t>apabila</w:t>
      </w:r>
      <w:r>
        <w:rPr>
          <w:spacing w:val="29"/>
        </w:rPr>
        <w:t> </w:t>
      </w:r>
      <w:r>
        <w:rPr/>
        <w:t>nilai</w:t>
      </w:r>
      <w:r>
        <w:rPr>
          <w:spacing w:val="28"/>
        </w:rPr>
        <w:t> </w:t>
      </w:r>
      <w:r>
        <w:rPr/>
        <w:t>R²</w:t>
      </w:r>
      <w:r>
        <w:rPr>
          <w:spacing w:val="28"/>
        </w:rPr>
        <w:t> </w:t>
      </w:r>
      <w:r>
        <w:rPr>
          <w:spacing w:val="-2"/>
        </w:rPr>
        <w:t>semakin</w:t>
      </w:r>
    </w:p>
    <w:p>
      <w:pPr>
        <w:pStyle w:val="BodyText"/>
        <w:spacing w:after="0" w:line="480" w:lineRule="auto"/>
        <w:jc w:val="both"/>
        <w:sectPr>
          <w:type w:val="continuous"/>
          <w:pgSz w:w="11910" w:h="16840"/>
          <w:pgMar w:header="710" w:footer="0" w:top="1940" w:bottom="280" w:left="1700" w:right="1133"/>
        </w:sectPr>
      </w:pPr>
    </w:p>
    <w:p>
      <w:pPr>
        <w:pStyle w:val="BodyText"/>
        <w:spacing w:before="48"/>
      </w:pPr>
    </w:p>
    <w:p>
      <w:pPr>
        <w:pStyle w:val="BodyText"/>
        <w:spacing w:line="480" w:lineRule="auto"/>
        <w:ind w:left="568" w:right="567"/>
        <w:jc w:val="both"/>
      </w:pPr>
      <w:r>
        <w:rPr/>
        <w:t>mendekati 0, maka hal tersebut menunjukkan bahwa variabel independen secara keseluruhan</w:t>
      </w:r>
      <w:r>
        <w:rPr>
          <w:spacing w:val="-13"/>
        </w:rPr>
        <w:t> </w:t>
      </w:r>
      <w:r>
        <w:rPr/>
        <w:t>memiliki</w:t>
      </w:r>
      <w:r>
        <w:rPr>
          <w:spacing w:val="-11"/>
        </w:rPr>
        <w:t> </w:t>
      </w:r>
      <w:r>
        <w:rPr/>
        <w:t>kemampuan</w:t>
      </w:r>
      <w:r>
        <w:rPr>
          <w:spacing w:val="-12"/>
        </w:rPr>
        <w:t> </w:t>
      </w:r>
      <w:r>
        <w:rPr/>
        <w:t>yang</w:t>
      </w:r>
      <w:r>
        <w:rPr>
          <w:spacing w:val="-15"/>
        </w:rPr>
        <w:t> </w:t>
      </w:r>
      <w:r>
        <w:rPr/>
        <w:t>rendah</w:t>
      </w:r>
      <w:r>
        <w:rPr>
          <w:spacing w:val="-12"/>
        </w:rPr>
        <w:t> </w:t>
      </w:r>
      <w:r>
        <w:rPr/>
        <w:t>dalam</w:t>
      </w:r>
      <w:r>
        <w:rPr>
          <w:spacing w:val="-11"/>
        </w:rPr>
        <w:t> </w:t>
      </w:r>
      <w:r>
        <w:rPr/>
        <w:t>menjelaskan</w:t>
      </w:r>
      <w:r>
        <w:rPr>
          <w:spacing w:val="-12"/>
        </w:rPr>
        <w:t> </w:t>
      </w:r>
      <w:r>
        <w:rPr/>
        <w:t>variasi</w:t>
      </w:r>
      <w:r>
        <w:rPr>
          <w:spacing w:val="-11"/>
        </w:rPr>
        <w:t> </w:t>
      </w:r>
      <w:r>
        <w:rPr/>
        <w:t>variabel dependen (Ghozali, 2018).</w:t>
      </w:r>
    </w:p>
    <w:p>
      <w:pPr>
        <w:pStyle w:val="Heading3"/>
        <w:numPr>
          <w:ilvl w:val="2"/>
          <w:numId w:val="27"/>
        </w:numPr>
        <w:tabs>
          <w:tab w:pos="1288" w:val="left" w:leader="none"/>
        </w:tabs>
        <w:spacing w:line="240" w:lineRule="auto" w:before="165" w:after="0"/>
        <w:ind w:left="1288" w:right="0" w:hanging="720"/>
        <w:jc w:val="both"/>
      </w:pPr>
      <w:bookmarkStart w:name="_bookmark54" w:id="55"/>
      <w:bookmarkEnd w:id="55"/>
      <w:r>
        <w:rPr>
          <w:b w:val="0"/>
        </w:rPr>
      </w:r>
      <w:r>
        <w:rPr/>
        <w:t>Uji</w:t>
      </w:r>
      <w:r>
        <w:rPr>
          <w:spacing w:val="-3"/>
        </w:rPr>
        <w:t> </w:t>
      </w:r>
      <w:r>
        <w:rPr/>
        <w:t>Kelayakan</w:t>
      </w:r>
      <w:r>
        <w:rPr>
          <w:spacing w:val="-5"/>
        </w:rPr>
        <w:t> </w:t>
      </w:r>
      <w:r>
        <w:rPr/>
        <w:t>Model</w:t>
      </w:r>
      <w:r>
        <w:rPr>
          <w:spacing w:val="-1"/>
        </w:rPr>
        <w:t> </w:t>
      </w:r>
      <w:r>
        <w:rPr/>
        <w:t>(Uji</w:t>
      </w:r>
      <w:r>
        <w:rPr>
          <w:spacing w:val="-2"/>
        </w:rPr>
        <w:t> </w:t>
      </w:r>
      <w:r>
        <w:rPr>
          <w:spacing w:val="-5"/>
        </w:rPr>
        <w:t>F)</w:t>
      </w:r>
    </w:p>
    <w:p>
      <w:pPr>
        <w:pStyle w:val="BodyText"/>
        <w:spacing w:line="480" w:lineRule="auto" w:before="272"/>
        <w:ind w:left="568" w:right="566" w:firstLine="720"/>
        <w:jc w:val="both"/>
      </w:pPr>
      <w:r>
        <w:rPr/>
        <w:t>Uji kelayakan model atau uji statistik F digunakan untuk mengevaluasi apakah variabel independen secara bersamaan berpengaruh terhadap variabel dependen. Jika nilai F hitung &gt; F tabel atau probabilitas &lt; nilai signifikan (Sig ≤ 0,05), yang artinya bahwa secara simultan variabel bebas (independen) memiliki pengaruh signifikan terhadap</w:t>
      </w:r>
      <w:r>
        <w:rPr>
          <w:spacing w:val="-3"/>
        </w:rPr>
        <w:t> </w:t>
      </w:r>
      <w:r>
        <w:rPr/>
        <w:t>variabel terikat (dependen).</w:t>
      </w:r>
      <w:r>
        <w:rPr>
          <w:spacing w:val="-2"/>
        </w:rPr>
        <w:t> </w:t>
      </w:r>
      <w:r>
        <w:rPr/>
        <w:t>b</w:t>
      </w:r>
      <w:r>
        <w:rPr>
          <w:spacing w:val="-2"/>
        </w:rPr>
        <w:t> </w:t>
      </w:r>
      <w:r>
        <w:rPr/>
        <w:t>Jika F</w:t>
      </w:r>
      <w:r>
        <w:rPr>
          <w:spacing w:val="-8"/>
        </w:rPr>
        <w:t> </w:t>
      </w:r>
      <w:r>
        <w:rPr/>
        <w:t>hitung</w:t>
      </w:r>
      <w:r>
        <w:rPr>
          <w:spacing w:val="-3"/>
        </w:rPr>
        <w:t> </w:t>
      </w:r>
      <w:r>
        <w:rPr/>
        <w:t>&lt; F</w:t>
      </w:r>
      <w:r>
        <w:rPr>
          <w:spacing w:val="-8"/>
        </w:rPr>
        <w:t> </w:t>
      </w:r>
      <w:r>
        <w:rPr/>
        <w:t>tabel atau probabilitas &gt; nilai signifikan (Sig ≥ 0,05), yang artinya bahwa secara bersamaan variabel bebas (independen) tidak memiliki pengaruh signifikan terhadap variabel terikat (dependen).</w:t>
      </w:r>
    </w:p>
    <w:p>
      <w:pPr>
        <w:pStyle w:val="Heading3"/>
        <w:numPr>
          <w:ilvl w:val="2"/>
          <w:numId w:val="27"/>
        </w:numPr>
        <w:tabs>
          <w:tab w:pos="1288" w:val="left" w:leader="none"/>
        </w:tabs>
        <w:spacing w:line="240" w:lineRule="auto" w:before="246" w:after="0"/>
        <w:ind w:left="1288" w:right="0" w:hanging="720"/>
        <w:jc w:val="both"/>
      </w:pPr>
      <w:r>
        <w:rPr/>
        <w:t>Uji</w:t>
      </w:r>
      <w:r>
        <w:rPr>
          <w:spacing w:val="-2"/>
        </w:rPr>
        <w:t> </w:t>
      </w:r>
      <w:r>
        <w:rPr/>
        <w:t>Signifikan</w:t>
      </w:r>
      <w:r>
        <w:rPr>
          <w:spacing w:val="-5"/>
        </w:rPr>
        <w:t> </w:t>
      </w:r>
      <w:r>
        <w:rPr/>
        <w:t>Pengaruh</w:t>
      </w:r>
      <w:r>
        <w:rPr>
          <w:spacing w:val="-3"/>
        </w:rPr>
        <w:t> </w:t>
      </w:r>
      <w:r>
        <w:rPr/>
        <w:t>(Uji</w:t>
      </w:r>
      <w:r>
        <w:rPr>
          <w:spacing w:val="-1"/>
        </w:rPr>
        <w:t> </w:t>
      </w:r>
      <w:r>
        <w:rPr>
          <w:spacing w:val="-5"/>
        </w:rPr>
        <w:t>t)</w:t>
      </w:r>
    </w:p>
    <w:p>
      <w:pPr>
        <w:pStyle w:val="BodyText"/>
        <w:spacing w:line="480" w:lineRule="auto" w:before="272"/>
        <w:ind w:left="568" w:right="565" w:firstLine="720"/>
        <w:jc w:val="both"/>
      </w:pPr>
      <w:r>
        <w:rPr/>
        <w:t>Uji T menunjukkan seberapa jauh pengaruh satu variabel independen (variabel bebas) secara individual dalam menerangkan variasi varibel dependen (Ghozali, 2018). Nilai ukur pengujian pada uji t yaitu sebagai berikut.</w:t>
      </w:r>
    </w:p>
    <w:p>
      <w:pPr>
        <w:pStyle w:val="ListParagraph"/>
        <w:numPr>
          <w:ilvl w:val="0"/>
          <w:numId w:val="31"/>
        </w:numPr>
        <w:tabs>
          <w:tab w:pos="1288" w:val="left" w:leader="none"/>
        </w:tabs>
        <w:spacing w:line="480" w:lineRule="auto" w:before="0" w:after="0"/>
        <w:ind w:left="1288" w:right="564" w:hanging="360"/>
        <w:jc w:val="both"/>
        <w:rPr>
          <w:sz w:val="24"/>
        </w:rPr>
      </w:pPr>
      <w:r>
        <w:rPr>
          <w:sz w:val="24"/>
        </w:rPr>
        <w:t>Apabila nilai signifikan &lt; 0,05 maka disimpulkan Ho ditolak dan Ha diterima, artinya terdapat pengaruh signifikan antara variabel bebas terhadap variabel terikat secara individual.</w:t>
      </w:r>
    </w:p>
    <w:p>
      <w:pPr>
        <w:pStyle w:val="ListParagraph"/>
        <w:numPr>
          <w:ilvl w:val="0"/>
          <w:numId w:val="31"/>
        </w:numPr>
        <w:tabs>
          <w:tab w:pos="1288" w:val="left" w:leader="none"/>
        </w:tabs>
        <w:spacing w:line="480" w:lineRule="auto" w:before="1" w:after="0"/>
        <w:ind w:left="1288" w:right="572" w:hanging="360"/>
        <w:jc w:val="both"/>
        <w:rPr>
          <w:sz w:val="24"/>
        </w:rPr>
      </w:pPr>
      <w:r>
        <w:rPr>
          <w:spacing w:val="-14"/>
          <w:sz w:val="24"/>
        </w:rPr>
        <w:t> </w:t>
      </w:r>
      <w:r>
        <w:rPr>
          <w:sz w:val="24"/>
        </w:rPr>
        <w:t>Apabila nilai signifikan &gt; 0,05 maka disimpulkan Ho diterima dan Ha ditolak, artinya tidak terdapat pengaruh signifikan antara variabel bebas terhadap variabel terikat.</w:t>
      </w:r>
    </w:p>
    <w:p>
      <w:pPr>
        <w:pStyle w:val="ListParagraph"/>
        <w:spacing w:after="0" w:line="480" w:lineRule="auto"/>
        <w:jc w:val="both"/>
        <w:rPr>
          <w:sz w:val="24"/>
        </w:rPr>
        <w:sectPr>
          <w:pgSz w:w="11910" w:h="16840"/>
          <w:pgMar w:header="710" w:footer="0" w:top="1920" w:bottom="280" w:left="1700" w:right="1133"/>
        </w:sectPr>
      </w:pPr>
    </w:p>
    <w:p>
      <w:pPr>
        <w:pStyle w:val="BodyText"/>
        <w:spacing w:before="89"/>
        <w:rPr>
          <w:sz w:val="28"/>
        </w:rPr>
      </w:pPr>
    </w:p>
    <w:p>
      <w:pPr>
        <w:pStyle w:val="Heading2"/>
        <w:ind w:left="358" w:right="359"/>
      </w:pPr>
      <w:bookmarkStart w:name="_bookmark55" w:id="56"/>
      <w:bookmarkEnd w:id="56"/>
      <w:r>
        <w:rPr>
          <w:b w:val="0"/>
        </w:rPr>
      </w:r>
      <w:r>
        <w:rPr/>
        <w:t>BAB</w:t>
      </w:r>
      <w:r>
        <w:rPr>
          <w:spacing w:val="-1"/>
        </w:rPr>
        <w:t> </w:t>
      </w:r>
      <w:r>
        <w:rPr>
          <w:spacing w:val="-5"/>
        </w:rPr>
        <w:t>IV</w:t>
      </w:r>
    </w:p>
    <w:p>
      <w:pPr>
        <w:pStyle w:val="Heading3"/>
        <w:spacing w:before="264"/>
        <w:ind w:left="358" w:right="363" w:firstLine="0"/>
        <w:jc w:val="center"/>
      </w:pPr>
      <w:r>
        <w:rPr/>
        <w:t>HASIL</w:t>
      </w:r>
      <w:r>
        <w:rPr>
          <w:spacing w:val="-4"/>
        </w:rPr>
        <w:t> </w:t>
      </w:r>
      <w:r>
        <w:rPr/>
        <w:t>DAN</w:t>
      </w:r>
      <w:r>
        <w:rPr>
          <w:spacing w:val="-4"/>
        </w:rPr>
        <w:t> </w:t>
      </w:r>
      <w:r>
        <w:rPr>
          <w:spacing w:val="-2"/>
        </w:rPr>
        <w:t>PEMBAHASAN</w:t>
      </w:r>
    </w:p>
    <w:p>
      <w:pPr>
        <w:pStyle w:val="BodyText"/>
        <w:spacing w:before="164"/>
        <w:rPr>
          <w:b/>
        </w:rPr>
      </w:pPr>
    </w:p>
    <w:p>
      <w:pPr>
        <w:pStyle w:val="Heading3"/>
        <w:numPr>
          <w:ilvl w:val="1"/>
          <w:numId w:val="32"/>
        </w:numPr>
        <w:tabs>
          <w:tab w:pos="1288" w:val="left" w:leader="none"/>
        </w:tabs>
        <w:spacing w:line="240" w:lineRule="auto" w:before="0" w:after="0"/>
        <w:ind w:left="1288" w:right="0" w:hanging="720"/>
        <w:jc w:val="both"/>
      </w:pPr>
      <w:bookmarkStart w:name="_bookmark56" w:id="57"/>
      <w:bookmarkEnd w:id="57"/>
      <w:r>
        <w:rPr>
          <w:b w:val="0"/>
        </w:rPr>
      </w:r>
      <w:r>
        <w:rPr/>
        <w:t>Hasil</w:t>
      </w:r>
      <w:r>
        <w:rPr>
          <w:spacing w:val="-2"/>
        </w:rPr>
        <w:t> Penelitian</w:t>
      </w:r>
    </w:p>
    <w:p>
      <w:pPr>
        <w:pStyle w:val="BodyText"/>
        <w:spacing w:line="480" w:lineRule="auto" w:before="252"/>
        <w:ind w:left="568" w:right="562" w:firstLine="720"/>
        <w:jc w:val="both"/>
      </w:pPr>
      <w:r>
        <w:rPr/>
        <w:t>Penelitian ini membahas mengenai pengaruh </w:t>
      </w:r>
      <w:r>
        <w:rPr>
          <w:i/>
        </w:rPr>
        <w:t>leverage</w:t>
      </w:r>
      <w:r>
        <w:rPr/>
        <w:t>, </w:t>
      </w:r>
      <w:r>
        <w:rPr>
          <w:i/>
        </w:rPr>
        <w:t>debt maturity</w:t>
      </w:r>
      <w:r>
        <w:rPr/>
        <w:t>, dan </w:t>
      </w:r>
      <w:r>
        <w:rPr>
          <w:i/>
        </w:rPr>
        <w:t>assurance</w:t>
      </w:r>
      <w:r>
        <w:rPr>
          <w:i/>
          <w:spacing w:val="-15"/>
        </w:rPr>
        <w:t> </w:t>
      </w:r>
      <w:r>
        <w:rPr>
          <w:i/>
        </w:rPr>
        <w:t>tenure</w:t>
      </w:r>
      <w:r>
        <w:rPr>
          <w:i/>
          <w:spacing w:val="-15"/>
        </w:rPr>
        <w:t> </w:t>
      </w:r>
      <w:r>
        <w:rPr/>
        <w:t>terhadap</w:t>
      </w:r>
      <w:r>
        <w:rPr>
          <w:spacing w:val="-15"/>
        </w:rPr>
        <w:t> </w:t>
      </w:r>
      <w:r>
        <w:rPr>
          <w:i/>
        </w:rPr>
        <w:t>sustainability</w:t>
      </w:r>
      <w:r>
        <w:rPr>
          <w:i/>
          <w:spacing w:val="-15"/>
        </w:rPr>
        <w:t> </w:t>
      </w:r>
      <w:r>
        <w:rPr>
          <w:i/>
        </w:rPr>
        <w:t>assurance</w:t>
      </w:r>
      <w:r>
        <w:rPr>
          <w:i/>
          <w:spacing w:val="-15"/>
        </w:rPr>
        <w:t> </w:t>
      </w:r>
      <w:r>
        <w:rPr>
          <w:i/>
        </w:rPr>
        <w:t>quality</w:t>
      </w:r>
      <w:r>
        <w:rPr/>
        <w:t>.</w:t>
      </w:r>
      <w:r>
        <w:rPr>
          <w:spacing w:val="-15"/>
        </w:rPr>
        <w:t> </w:t>
      </w:r>
      <w:r>
        <w:rPr/>
        <w:t>Hubungan</w:t>
      </w:r>
      <w:r>
        <w:rPr>
          <w:spacing w:val="-15"/>
        </w:rPr>
        <w:t> </w:t>
      </w:r>
      <w:r>
        <w:rPr/>
        <w:t>dari</w:t>
      </w:r>
      <w:r>
        <w:rPr>
          <w:spacing w:val="-15"/>
        </w:rPr>
        <w:t> </w:t>
      </w:r>
      <w:r>
        <w:rPr/>
        <w:t>masing- masing variabel dilandaskan dan diimplementasikan dari </w:t>
      </w:r>
      <w:r>
        <w:rPr>
          <w:i/>
        </w:rPr>
        <w:t>Stakeholder Theory </w:t>
      </w:r>
      <w:r>
        <w:rPr/>
        <w:t>dan analisis</w:t>
      </w:r>
      <w:r>
        <w:rPr>
          <w:spacing w:val="-14"/>
        </w:rPr>
        <w:t> </w:t>
      </w:r>
      <w:r>
        <w:rPr/>
        <w:t>data</w:t>
      </w:r>
      <w:r>
        <w:rPr>
          <w:spacing w:val="-12"/>
        </w:rPr>
        <w:t> </w:t>
      </w:r>
      <w:r>
        <w:rPr/>
        <w:t>menggunakan</w:t>
      </w:r>
      <w:r>
        <w:rPr>
          <w:spacing w:val="-12"/>
        </w:rPr>
        <w:t> </w:t>
      </w:r>
      <w:r>
        <w:rPr/>
        <w:t>metode</w:t>
      </w:r>
      <w:r>
        <w:rPr>
          <w:spacing w:val="-11"/>
        </w:rPr>
        <w:t> </w:t>
      </w:r>
      <w:r>
        <w:rPr/>
        <w:t>regresi</w:t>
      </w:r>
      <w:r>
        <w:rPr>
          <w:spacing w:val="-11"/>
        </w:rPr>
        <w:t> </w:t>
      </w:r>
      <w:r>
        <w:rPr/>
        <w:t>linear</w:t>
      </w:r>
      <w:r>
        <w:rPr>
          <w:spacing w:val="-15"/>
        </w:rPr>
        <w:t> </w:t>
      </w:r>
      <w:r>
        <w:rPr/>
        <w:t>berganda.</w:t>
      </w:r>
      <w:r>
        <w:rPr>
          <w:spacing w:val="-12"/>
        </w:rPr>
        <w:t> </w:t>
      </w:r>
      <w:r>
        <w:rPr/>
        <w:t>Pada</w:t>
      </w:r>
      <w:r>
        <w:rPr>
          <w:spacing w:val="-11"/>
        </w:rPr>
        <w:t> </w:t>
      </w:r>
      <w:r>
        <w:rPr/>
        <w:t>penelitian</w:t>
      </w:r>
      <w:r>
        <w:rPr>
          <w:spacing w:val="-15"/>
        </w:rPr>
        <w:t> </w:t>
      </w:r>
      <w:r>
        <w:rPr/>
        <w:t>ini</w:t>
      </w:r>
      <w:r>
        <w:rPr>
          <w:spacing w:val="-15"/>
        </w:rPr>
        <w:t> </w:t>
      </w:r>
      <w:r>
        <w:rPr/>
        <w:t>akan memfokuskan pengujian pada perusahaan sektor energi yang tercatat pada BEI dengan jangka waktu empat tahun yakni dari tahun 2021 hingga 2024.</w:t>
      </w:r>
    </w:p>
    <w:p>
      <w:pPr>
        <w:pStyle w:val="Heading3"/>
        <w:numPr>
          <w:ilvl w:val="2"/>
          <w:numId w:val="32"/>
        </w:numPr>
        <w:tabs>
          <w:tab w:pos="1288" w:val="left" w:leader="none"/>
        </w:tabs>
        <w:spacing w:line="240" w:lineRule="auto" w:before="169" w:after="0"/>
        <w:ind w:left="1288" w:right="0" w:hanging="720"/>
        <w:jc w:val="both"/>
      </w:pPr>
      <w:bookmarkStart w:name="_bookmark57" w:id="58"/>
      <w:bookmarkEnd w:id="58"/>
      <w:r>
        <w:rPr>
          <w:b w:val="0"/>
        </w:rPr>
      </w:r>
      <w:r>
        <w:rPr/>
        <w:t>Gambaran</w:t>
      </w:r>
      <w:r>
        <w:rPr>
          <w:spacing w:val="-6"/>
        </w:rPr>
        <w:t> </w:t>
      </w:r>
      <w:r>
        <w:rPr/>
        <w:t>Data</w:t>
      </w:r>
      <w:r>
        <w:rPr>
          <w:spacing w:val="-3"/>
        </w:rPr>
        <w:t> </w:t>
      </w:r>
      <w:r>
        <w:rPr>
          <w:spacing w:val="-2"/>
        </w:rPr>
        <w:t>Penelitian</w:t>
      </w:r>
    </w:p>
    <w:p>
      <w:pPr>
        <w:pStyle w:val="BodyText"/>
        <w:spacing w:line="480" w:lineRule="auto" w:before="256"/>
        <w:ind w:left="568" w:right="564" w:firstLine="720"/>
        <w:jc w:val="both"/>
      </w:pPr>
      <w:r>
        <w:rPr/>
        <w:t>Sumber</w:t>
      </w:r>
      <w:r>
        <w:rPr>
          <w:spacing w:val="-15"/>
        </w:rPr>
        <w:t> </w:t>
      </w:r>
      <w:r>
        <w:rPr/>
        <w:t>data</w:t>
      </w:r>
      <w:r>
        <w:rPr>
          <w:spacing w:val="-15"/>
        </w:rPr>
        <w:t> </w:t>
      </w:r>
      <w:r>
        <w:rPr/>
        <w:t>yang</w:t>
      </w:r>
      <w:r>
        <w:rPr>
          <w:spacing w:val="-15"/>
        </w:rPr>
        <w:t> </w:t>
      </w:r>
      <w:r>
        <w:rPr/>
        <w:t>didapat</w:t>
      </w:r>
      <w:r>
        <w:rPr>
          <w:spacing w:val="-15"/>
        </w:rPr>
        <w:t> </w:t>
      </w:r>
      <w:r>
        <w:rPr/>
        <w:t>tergolong</w:t>
      </w:r>
      <w:r>
        <w:rPr>
          <w:spacing w:val="-15"/>
        </w:rPr>
        <w:t> </w:t>
      </w:r>
      <w:r>
        <w:rPr/>
        <w:t>sumber</w:t>
      </w:r>
      <w:r>
        <w:rPr>
          <w:spacing w:val="-15"/>
        </w:rPr>
        <w:t> </w:t>
      </w:r>
      <w:r>
        <w:rPr/>
        <w:t>data</w:t>
      </w:r>
      <w:r>
        <w:rPr>
          <w:spacing w:val="-15"/>
        </w:rPr>
        <w:t> </w:t>
      </w:r>
      <w:r>
        <w:rPr/>
        <w:t>sekunder</w:t>
      </w:r>
      <w:r>
        <w:rPr>
          <w:spacing w:val="-13"/>
        </w:rPr>
        <w:t> </w:t>
      </w:r>
      <w:r>
        <w:rPr/>
        <w:t>yang</w:t>
      </w:r>
      <w:r>
        <w:rPr>
          <w:spacing w:val="-15"/>
        </w:rPr>
        <w:t> </w:t>
      </w:r>
      <w:r>
        <w:rPr/>
        <w:t>berasal</w:t>
      </w:r>
      <w:r>
        <w:rPr>
          <w:spacing w:val="-14"/>
        </w:rPr>
        <w:t> </w:t>
      </w:r>
      <w:r>
        <w:rPr/>
        <w:t>dari laporan</w:t>
      </w:r>
      <w:r>
        <w:rPr>
          <w:spacing w:val="-8"/>
        </w:rPr>
        <w:t> </w:t>
      </w:r>
      <w:r>
        <w:rPr/>
        <w:t>tahunan</w:t>
      </w:r>
      <w:r>
        <w:rPr>
          <w:spacing w:val="-4"/>
        </w:rPr>
        <w:t> </w:t>
      </w:r>
      <w:r>
        <w:rPr/>
        <w:t>dan</w:t>
      </w:r>
      <w:r>
        <w:rPr>
          <w:spacing w:val="-8"/>
        </w:rPr>
        <w:t> </w:t>
      </w:r>
      <w:r>
        <w:rPr/>
        <w:t>laporan</w:t>
      </w:r>
      <w:r>
        <w:rPr>
          <w:spacing w:val="-4"/>
        </w:rPr>
        <w:t> </w:t>
      </w:r>
      <w:r>
        <w:rPr/>
        <w:t>keberlanjutan</w:t>
      </w:r>
      <w:r>
        <w:rPr>
          <w:spacing w:val="-8"/>
        </w:rPr>
        <w:t> </w:t>
      </w:r>
      <w:r>
        <w:rPr/>
        <w:t>perusahaan</w:t>
      </w:r>
      <w:r>
        <w:rPr>
          <w:spacing w:val="-4"/>
        </w:rPr>
        <w:t> </w:t>
      </w:r>
      <w:r>
        <w:rPr/>
        <w:t>yang</w:t>
      </w:r>
      <w:r>
        <w:rPr>
          <w:spacing w:val="-8"/>
        </w:rPr>
        <w:t> </w:t>
      </w:r>
      <w:r>
        <w:rPr/>
        <w:t>diperoleh</w:t>
      </w:r>
      <w:r>
        <w:rPr>
          <w:spacing w:val="-4"/>
        </w:rPr>
        <w:t> </w:t>
      </w:r>
      <w:r>
        <w:rPr/>
        <w:t>dari</w:t>
      </w:r>
      <w:r>
        <w:rPr>
          <w:spacing w:val="-3"/>
        </w:rPr>
        <w:t> </w:t>
      </w:r>
      <w:r>
        <w:rPr/>
        <w:t>website resmi BEI dan juga website resmi perusahaan. Berdasarkan </w:t>
      </w:r>
      <w:r>
        <w:rPr>
          <w:i/>
        </w:rPr>
        <w:t>purposive sampling </w:t>
      </w:r>
      <w:r>
        <w:rPr/>
        <w:t>terhadap populasi penelitian terdapat 8 perusahaan dan 32 data sekunder untuk sampel penelitian. Berikut daftar sampel penelitian dapat dilihat pada tabel 4.1</w:t>
      </w:r>
    </w:p>
    <w:p>
      <w:pPr>
        <w:spacing w:before="8"/>
        <w:ind w:left="0" w:right="4" w:firstLine="0"/>
        <w:jc w:val="center"/>
        <w:rPr>
          <w:b/>
          <w:sz w:val="22"/>
        </w:rPr>
      </w:pPr>
      <w:r>
        <w:rPr>
          <w:b/>
          <w:sz w:val="22"/>
        </w:rPr>
        <w:t>Tabel</w:t>
      </w:r>
      <w:r>
        <w:rPr>
          <w:b/>
          <w:spacing w:val="-7"/>
          <w:sz w:val="22"/>
        </w:rPr>
        <w:t> </w:t>
      </w:r>
      <w:r>
        <w:rPr>
          <w:b/>
          <w:sz w:val="22"/>
        </w:rPr>
        <w:t>4.1</w:t>
      </w:r>
      <w:r>
        <w:rPr>
          <w:b/>
          <w:spacing w:val="-7"/>
          <w:sz w:val="22"/>
        </w:rPr>
        <w:t> </w:t>
      </w:r>
      <w:r>
        <w:rPr>
          <w:b/>
          <w:sz w:val="22"/>
        </w:rPr>
        <w:t>Daftar</w:t>
      </w:r>
      <w:r>
        <w:rPr>
          <w:b/>
          <w:spacing w:val="-10"/>
          <w:sz w:val="22"/>
        </w:rPr>
        <w:t> </w:t>
      </w:r>
      <w:r>
        <w:rPr>
          <w:b/>
          <w:sz w:val="22"/>
        </w:rPr>
        <w:t>Sampel</w:t>
      </w:r>
      <w:r>
        <w:rPr>
          <w:b/>
          <w:spacing w:val="-10"/>
          <w:sz w:val="22"/>
        </w:rPr>
        <w:t> </w:t>
      </w:r>
      <w:r>
        <w:rPr>
          <w:b/>
          <w:sz w:val="22"/>
        </w:rPr>
        <w:t>Perusahaan</w:t>
      </w:r>
      <w:r>
        <w:rPr>
          <w:b/>
          <w:spacing w:val="-5"/>
          <w:sz w:val="22"/>
        </w:rPr>
        <w:t> </w:t>
      </w:r>
      <w:r>
        <w:rPr>
          <w:b/>
          <w:sz w:val="22"/>
        </w:rPr>
        <w:t>Sektor</w:t>
      </w:r>
      <w:r>
        <w:rPr>
          <w:b/>
          <w:spacing w:val="-10"/>
          <w:sz w:val="22"/>
        </w:rPr>
        <w:t> </w:t>
      </w:r>
      <w:r>
        <w:rPr>
          <w:b/>
          <w:spacing w:val="-2"/>
          <w:sz w:val="22"/>
        </w:rPr>
        <w:t>Energi</w:t>
      </w:r>
    </w:p>
    <w:p>
      <w:pPr>
        <w:pStyle w:val="BodyText"/>
        <w:spacing w:before="4"/>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992"/>
        <w:gridCol w:w="6382"/>
      </w:tblGrid>
      <w:tr>
        <w:trPr>
          <w:trHeight w:val="386" w:hRule="atLeast"/>
        </w:trPr>
        <w:tc>
          <w:tcPr>
            <w:tcW w:w="564" w:type="dxa"/>
          </w:tcPr>
          <w:p>
            <w:pPr>
              <w:pStyle w:val="TableParagraph"/>
              <w:spacing w:before="77"/>
              <w:ind w:left="8"/>
              <w:jc w:val="center"/>
              <w:rPr>
                <w:b/>
                <w:sz w:val="20"/>
              </w:rPr>
            </w:pPr>
            <w:r>
              <w:rPr>
                <w:b/>
                <w:spacing w:val="-5"/>
                <w:sz w:val="20"/>
              </w:rPr>
              <w:t>No</w:t>
            </w:r>
          </w:p>
        </w:tc>
        <w:tc>
          <w:tcPr>
            <w:tcW w:w="992" w:type="dxa"/>
          </w:tcPr>
          <w:p>
            <w:pPr>
              <w:pStyle w:val="TableParagraph"/>
              <w:spacing w:before="77"/>
              <w:ind w:left="14" w:right="1"/>
              <w:jc w:val="center"/>
              <w:rPr>
                <w:b/>
                <w:sz w:val="20"/>
              </w:rPr>
            </w:pPr>
            <w:r>
              <w:rPr>
                <w:b/>
                <w:spacing w:val="-4"/>
                <w:sz w:val="20"/>
              </w:rPr>
              <w:t>Kode</w:t>
            </w:r>
          </w:p>
        </w:tc>
        <w:tc>
          <w:tcPr>
            <w:tcW w:w="6382" w:type="dxa"/>
          </w:tcPr>
          <w:p>
            <w:pPr>
              <w:pStyle w:val="TableParagraph"/>
              <w:spacing w:before="77"/>
              <w:jc w:val="center"/>
              <w:rPr>
                <w:b/>
                <w:sz w:val="20"/>
              </w:rPr>
            </w:pPr>
            <w:r>
              <w:rPr>
                <w:b/>
                <w:sz w:val="20"/>
              </w:rPr>
              <w:t>Nama</w:t>
            </w:r>
            <w:r>
              <w:rPr>
                <w:b/>
                <w:spacing w:val="-2"/>
                <w:sz w:val="20"/>
              </w:rPr>
              <w:t> Perushaan</w:t>
            </w:r>
          </w:p>
        </w:tc>
      </w:tr>
      <w:tr>
        <w:trPr>
          <w:trHeight w:val="497" w:hRule="atLeast"/>
        </w:trPr>
        <w:tc>
          <w:tcPr>
            <w:tcW w:w="564" w:type="dxa"/>
          </w:tcPr>
          <w:p>
            <w:pPr>
              <w:pStyle w:val="TableParagraph"/>
              <w:spacing w:before="128"/>
              <w:ind w:left="8"/>
              <w:jc w:val="center"/>
              <w:rPr>
                <w:sz w:val="20"/>
              </w:rPr>
            </w:pPr>
            <w:r>
              <w:rPr>
                <w:spacing w:val="-10"/>
                <w:sz w:val="20"/>
              </w:rPr>
              <w:t>1</w:t>
            </w:r>
          </w:p>
        </w:tc>
        <w:tc>
          <w:tcPr>
            <w:tcW w:w="992" w:type="dxa"/>
          </w:tcPr>
          <w:p>
            <w:pPr>
              <w:pStyle w:val="TableParagraph"/>
              <w:spacing w:before="128"/>
              <w:ind w:left="13" w:right="7"/>
              <w:jc w:val="center"/>
              <w:rPr>
                <w:sz w:val="20"/>
              </w:rPr>
            </w:pPr>
            <w:r>
              <w:rPr>
                <w:spacing w:val="-4"/>
                <w:sz w:val="20"/>
              </w:rPr>
              <w:t>ABMM</w:t>
            </w:r>
          </w:p>
        </w:tc>
        <w:tc>
          <w:tcPr>
            <w:tcW w:w="6382" w:type="dxa"/>
          </w:tcPr>
          <w:p>
            <w:pPr>
              <w:pStyle w:val="TableParagraph"/>
              <w:spacing w:before="128"/>
              <w:ind w:left="107"/>
              <w:rPr>
                <w:sz w:val="20"/>
              </w:rPr>
            </w:pPr>
            <w:r>
              <w:rPr>
                <w:sz w:val="20"/>
              </w:rPr>
              <w:t>ABM</w:t>
            </w:r>
            <w:r>
              <w:rPr>
                <w:spacing w:val="-7"/>
                <w:sz w:val="20"/>
              </w:rPr>
              <w:t> </w:t>
            </w:r>
            <w:r>
              <w:rPr>
                <w:sz w:val="20"/>
              </w:rPr>
              <w:t>Investama</w:t>
            </w:r>
            <w:r>
              <w:rPr>
                <w:spacing w:val="-5"/>
                <w:sz w:val="20"/>
              </w:rPr>
              <w:t> </w:t>
            </w:r>
            <w:r>
              <w:rPr>
                <w:spacing w:val="-4"/>
                <w:sz w:val="20"/>
              </w:rPr>
              <w:t>Tbk.</w:t>
            </w:r>
          </w:p>
        </w:tc>
      </w:tr>
      <w:tr>
        <w:trPr>
          <w:trHeight w:val="502" w:hRule="atLeast"/>
        </w:trPr>
        <w:tc>
          <w:tcPr>
            <w:tcW w:w="564" w:type="dxa"/>
          </w:tcPr>
          <w:p>
            <w:pPr>
              <w:pStyle w:val="TableParagraph"/>
              <w:spacing w:before="132"/>
              <w:ind w:left="8"/>
              <w:jc w:val="center"/>
              <w:rPr>
                <w:sz w:val="20"/>
              </w:rPr>
            </w:pPr>
            <w:r>
              <w:rPr>
                <w:spacing w:val="-10"/>
                <w:sz w:val="20"/>
              </w:rPr>
              <w:t>2</w:t>
            </w:r>
          </w:p>
        </w:tc>
        <w:tc>
          <w:tcPr>
            <w:tcW w:w="992" w:type="dxa"/>
          </w:tcPr>
          <w:p>
            <w:pPr>
              <w:pStyle w:val="TableParagraph"/>
              <w:spacing w:before="132"/>
              <w:ind w:left="13" w:right="13"/>
              <w:jc w:val="center"/>
              <w:rPr>
                <w:sz w:val="20"/>
              </w:rPr>
            </w:pPr>
            <w:r>
              <w:rPr>
                <w:spacing w:val="-4"/>
                <w:sz w:val="20"/>
              </w:rPr>
              <w:t>BUMI</w:t>
            </w:r>
          </w:p>
        </w:tc>
        <w:tc>
          <w:tcPr>
            <w:tcW w:w="6382" w:type="dxa"/>
          </w:tcPr>
          <w:p>
            <w:pPr>
              <w:pStyle w:val="TableParagraph"/>
              <w:spacing w:before="132"/>
              <w:ind w:left="107"/>
              <w:rPr>
                <w:sz w:val="20"/>
              </w:rPr>
            </w:pPr>
            <w:r>
              <w:rPr>
                <w:sz w:val="20"/>
              </w:rPr>
              <w:t>Bumi</w:t>
            </w:r>
            <w:r>
              <w:rPr>
                <w:spacing w:val="-6"/>
                <w:sz w:val="20"/>
              </w:rPr>
              <w:t> </w:t>
            </w:r>
            <w:r>
              <w:rPr>
                <w:sz w:val="20"/>
              </w:rPr>
              <w:t>Resources</w:t>
            </w:r>
            <w:r>
              <w:rPr>
                <w:spacing w:val="-4"/>
                <w:sz w:val="20"/>
              </w:rPr>
              <w:t> Tbk.</w:t>
            </w:r>
          </w:p>
        </w:tc>
      </w:tr>
      <w:tr>
        <w:trPr>
          <w:trHeight w:val="497" w:hRule="atLeast"/>
        </w:trPr>
        <w:tc>
          <w:tcPr>
            <w:tcW w:w="564" w:type="dxa"/>
          </w:tcPr>
          <w:p>
            <w:pPr>
              <w:pStyle w:val="TableParagraph"/>
              <w:spacing w:before="132"/>
              <w:ind w:left="8"/>
              <w:jc w:val="center"/>
              <w:rPr>
                <w:sz w:val="20"/>
              </w:rPr>
            </w:pPr>
            <w:r>
              <w:rPr>
                <w:spacing w:val="-10"/>
                <w:sz w:val="20"/>
              </w:rPr>
              <w:t>3</w:t>
            </w:r>
          </w:p>
        </w:tc>
        <w:tc>
          <w:tcPr>
            <w:tcW w:w="992" w:type="dxa"/>
          </w:tcPr>
          <w:p>
            <w:pPr>
              <w:pStyle w:val="TableParagraph"/>
              <w:spacing w:before="132"/>
              <w:ind w:left="13" w:right="4"/>
              <w:jc w:val="center"/>
              <w:rPr>
                <w:sz w:val="20"/>
              </w:rPr>
            </w:pPr>
            <w:r>
              <w:rPr>
                <w:spacing w:val="-4"/>
                <w:sz w:val="20"/>
              </w:rPr>
              <w:t>DEWA</w:t>
            </w:r>
          </w:p>
        </w:tc>
        <w:tc>
          <w:tcPr>
            <w:tcW w:w="6382" w:type="dxa"/>
          </w:tcPr>
          <w:p>
            <w:pPr>
              <w:pStyle w:val="TableParagraph"/>
              <w:spacing w:before="132"/>
              <w:ind w:left="107"/>
              <w:rPr>
                <w:sz w:val="20"/>
              </w:rPr>
            </w:pPr>
            <w:r>
              <w:rPr>
                <w:sz w:val="20"/>
              </w:rPr>
              <w:t>Darma</w:t>
            </w:r>
            <w:r>
              <w:rPr>
                <w:spacing w:val="-3"/>
                <w:sz w:val="20"/>
              </w:rPr>
              <w:t> </w:t>
            </w:r>
            <w:r>
              <w:rPr>
                <w:sz w:val="20"/>
              </w:rPr>
              <w:t>Henwa</w:t>
            </w:r>
            <w:r>
              <w:rPr>
                <w:spacing w:val="-7"/>
                <w:sz w:val="20"/>
              </w:rPr>
              <w:t> </w:t>
            </w:r>
            <w:r>
              <w:rPr>
                <w:spacing w:val="-5"/>
                <w:sz w:val="20"/>
              </w:rPr>
              <w:t>Tbk</w:t>
            </w:r>
          </w:p>
        </w:tc>
      </w:tr>
    </w:tbl>
    <w:p>
      <w:pPr>
        <w:spacing w:before="1"/>
        <w:ind w:left="568" w:right="0" w:firstLine="0"/>
        <w:jc w:val="left"/>
        <w:rPr>
          <w:i/>
          <w:sz w:val="24"/>
        </w:rPr>
      </w:pPr>
      <w:r>
        <w:rPr>
          <w:i/>
          <w:sz w:val="24"/>
        </w:rPr>
        <w:t>Disambung</w:t>
      </w:r>
      <w:r>
        <w:rPr>
          <w:i/>
          <w:spacing w:val="-3"/>
          <w:sz w:val="24"/>
        </w:rPr>
        <w:t> </w:t>
      </w:r>
      <w:r>
        <w:rPr>
          <w:i/>
          <w:sz w:val="24"/>
        </w:rPr>
        <w:t>ke</w:t>
      </w:r>
      <w:r>
        <w:rPr>
          <w:i/>
          <w:spacing w:val="-1"/>
          <w:sz w:val="24"/>
        </w:rPr>
        <w:t> </w:t>
      </w:r>
      <w:r>
        <w:rPr>
          <w:i/>
          <w:sz w:val="24"/>
        </w:rPr>
        <w:t>halaman</w:t>
      </w:r>
      <w:r>
        <w:rPr>
          <w:i/>
          <w:spacing w:val="-2"/>
          <w:sz w:val="24"/>
        </w:rPr>
        <w:t> berikutnya</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4"/>
        <w:rPr>
          <w:i/>
        </w:rPr>
      </w:pPr>
    </w:p>
    <w:p>
      <w:pPr>
        <w:pStyle w:val="BodyText"/>
        <w:ind w:left="358" w:right="358"/>
        <w:jc w:val="center"/>
      </w:pPr>
      <w:r>
        <w:rPr>
          <w:spacing w:val="-5"/>
        </w:rPr>
        <w:t>41</w:t>
      </w:r>
    </w:p>
    <w:p>
      <w:pPr>
        <w:pStyle w:val="BodyText"/>
        <w:spacing w:after="0"/>
        <w:jc w:val="center"/>
        <w:sectPr>
          <w:headerReference w:type="default" r:id="rId16"/>
          <w:pgSz w:w="11910" w:h="16840"/>
          <w:pgMar w:header="0" w:footer="0" w:top="1920" w:bottom="280" w:left="1700" w:right="1133"/>
        </w:sectPr>
      </w:pPr>
    </w:p>
    <w:p>
      <w:pPr>
        <w:pStyle w:val="BodyText"/>
        <w:spacing w:before="102"/>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992"/>
        <w:gridCol w:w="6382"/>
      </w:tblGrid>
      <w:tr>
        <w:trPr>
          <w:trHeight w:val="501" w:hRule="atLeast"/>
        </w:trPr>
        <w:tc>
          <w:tcPr>
            <w:tcW w:w="564" w:type="dxa"/>
          </w:tcPr>
          <w:p>
            <w:pPr>
              <w:pStyle w:val="TableParagraph"/>
              <w:spacing w:before="128"/>
              <w:ind w:left="8"/>
              <w:jc w:val="center"/>
              <w:rPr>
                <w:sz w:val="20"/>
              </w:rPr>
            </w:pPr>
            <w:r>
              <w:rPr>
                <w:spacing w:val="-10"/>
                <w:sz w:val="20"/>
              </w:rPr>
              <w:t>4</w:t>
            </w:r>
          </w:p>
        </w:tc>
        <w:tc>
          <w:tcPr>
            <w:tcW w:w="992" w:type="dxa"/>
          </w:tcPr>
          <w:p>
            <w:pPr>
              <w:pStyle w:val="TableParagraph"/>
              <w:spacing w:before="128"/>
              <w:ind w:left="13" w:right="8"/>
              <w:jc w:val="center"/>
              <w:rPr>
                <w:sz w:val="20"/>
              </w:rPr>
            </w:pPr>
            <w:r>
              <w:rPr>
                <w:spacing w:val="-4"/>
                <w:sz w:val="20"/>
              </w:rPr>
              <w:t>INDY</w:t>
            </w:r>
          </w:p>
        </w:tc>
        <w:tc>
          <w:tcPr>
            <w:tcW w:w="6382" w:type="dxa"/>
          </w:tcPr>
          <w:p>
            <w:pPr>
              <w:pStyle w:val="TableParagraph"/>
              <w:spacing w:before="128"/>
              <w:ind w:left="107"/>
              <w:rPr>
                <w:sz w:val="20"/>
              </w:rPr>
            </w:pPr>
            <w:r>
              <w:rPr>
                <w:sz w:val="20"/>
              </w:rPr>
              <w:t>Indika</w:t>
            </w:r>
            <w:r>
              <w:rPr>
                <w:spacing w:val="-5"/>
                <w:sz w:val="20"/>
              </w:rPr>
              <w:t> </w:t>
            </w:r>
            <w:r>
              <w:rPr>
                <w:sz w:val="20"/>
              </w:rPr>
              <w:t>Energy</w:t>
            </w:r>
            <w:r>
              <w:rPr>
                <w:spacing w:val="-12"/>
                <w:sz w:val="20"/>
              </w:rPr>
              <w:t> </w:t>
            </w:r>
            <w:r>
              <w:rPr>
                <w:spacing w:val="-4"/>
                <w:sz w:val="20"/>
              </w:rPr>
              <w:t>Tbk.</w:t>
            </w:r>
          </w:p>
        </w:tc>
      </w:tr>
      <w:tr>
        <w:trPr>
          <w:trHeight w:val="502" w:hRule="atLeast"/>
        </w:trPr>
        <w:tc>
          <w:tcPr>
            <w:tcW w:w="564" w:type="dxa"/>
          </w:tcPr>
          <w:p>
            <w:pPr>
              <w:pStyle w:val="TableParagraph"/>
              <w:spacing w:before="128"/>
              <w:ind w:left="8"/>
              <w:jc w:val="center"/>
              <w:rPr>
                <w:sz w:val="20"/>
              </w:rPr>
            </w:pPr>
            <w:r>
              <w:rPr>
                <w:spacing w:val="-10"/>
                <w:sz w:val="20"/>
              </w:rPr>
              <w:t>5</w:t>
            </w:r>
          </w:p>
        </w:tc>
        <w:tc>
          <w:tcPr>
            <w:tcW w:w="992" w:type="dxa"/>
          </w:tcPr>
          <w:p>
            <w:pPr>
              <w:pStyle w:val="TableParagraph"/>
              <w:spacing w:before="128"/>
              <w:ind w:left="13" w:right="5"/>
              <w:jc w:val="center"/>
              <w:rPr>
                <w:sz w:val="20"/>
              </w:rPr>
            </w:pPr>
            <w:r>
              <w:rPr>
                <w:spacing w:val="-4"/>
                <w:sz w:val="20"/>
              </w:rPr>
              <w:t>ITMG</w:t>
            </w:r>
          </w:p>
        </w:tc>
        <w:tc>
          <w:tcPr>
            <w:tcW w:w="6382" w:type="dxa"/>
          </w:tcPr>
          <w:p>
            <w:pPr>
              <w:pStyle w:val="TableParagraph"/>
              <w:spacing w:before="128"/>
              <w:ind w:left="107"/>
              <w:rPr>
                <w:sz w:val="20"/>
              </w:rPr>
            </w:pPr>
            <w:r>
              <w:rPr>
                <w:sz w:val="20"/>
              </w:rPr>
              <w:t>Indo</w:t>
            </w:r>
            <w:r>
              <w:rPr>
                <w:spacing w:val="-12"/>
                <w:sz w:val="20"/>
              </w:rPr>
              <w:t> </w:t>
            </w:r>
            <w:r>
              <w:rPr>
                <w:sz w:val="20"/>
              </w:rPr>
              <w:t>Tambangraya</w:t>
            </w:r>
            <w:r>
              <w:rPr>
                <w:spacing w:val="-6"/>
                <w:sz w:val="20"/>
              </w:rPr>
              <w:t> </w:t>
            </w:r>
            <w:r>
              <w:rPr>
                <w:sz w:val="20"/>
              </w:rPr>
              <w:t>Megah</w:t>
            </w:r>
            <w:r>
              <w:rPr>
                <w:spacing w:val="-12"/>
                <w:sz w:val="20"/>
              </w:rPr>
              <w:t> </w:t>
            </w:r>
            <w:r>
              <w:rPr>
                <w:spacing w:val="-4"/>
                <w:sz w:val="20"/>
              </w:rPr>
              <w:t>Tbk.</w:t>
            </w:r>
          </w:p>
        </w:tc>
      </w:tr>
      <w:tr>
        <w:trPr>
          <w:trHeight w:val="497" w:hRule="atLeast"/>
        </w:trPr>
        <w:tc>
          <w:tcPr>
            <w:tcW w:w="564" w:type="dxa"/>
          </w:tcPr>
          <w:p>
            <w:pPr>
              <w:pStyle w:val="TableParagraph"/>
              <w:spacing w:before="128"/>
              <w:ind w:left="8"/>
              <w:jc w:val="center"/>
              <w:rPr>
                <w:sz w:val="20"/>
              </w:rPr>
            </w:pPr>
            <w:r>
              <w:rPr>
                <w:spacing w:val="-10"/>
                <w:sz w:val="20"/>
              </w:rPr>
              <w:t>6</w:t>
            </w:r>
          </w:p>
        </w:tc>
        <w:tc>
          <w:tcPr>
            <w:tcW w:w="992" w:type="dxa"/>
          </w:tcPr>
          <w:p>
            <w:pPr>
              <w:pStyle w:val="TableParagraph"/>
              <w:spacing w:before="128"/>
              <w:ind w:left="13" w:right="3"/>
              <w:jc w:val="center"/>
              <w:rPr>
                <w:sz w:val="20"/>
              </w:rPr>
            </w:pPr>
            <w:r>
              <w:rPr>
                <w:spacing w:val="-4"/>
                <w:sz w:val="20"/>
              </w:rPr>
              <w:t>MEDC</w:t>
            </w:r>
          </w:p>
        </w:tc>
        <w:tc>
          <w:tcPr>
            <w:tcW w:w="6382" w:type="dxa"/>
          </w:tcPr>
          <w:p>
            <w:pPr>
              <w:pStyle w:val="TableParagraph"/>
              <w:spacing w:before="128"/>
              <w:ind w:left="107"/>
              <w:rPr>
                <w:sz w:val="20"/>
              </w:rPr>
            </w:pPr>
            <w:r>
              <w:rPr>
                <w:sz w:val="20"/>
              </w:rPr>
              <w:t>Medco Energi</w:t>
            </w:r>
            <w:r>
              <w:rPr>
                <w:spacing w:val="-10"/>
                <w:sz w:val="20"/>
              </w:rPr>
              <w:t> </w:t>
            </w:r>
            <w:r>
              <w:rPr>
                <w:sz w:val="20"/>
              </w:rPr>
              <w:t>Internasional</w:t>
            </w:r>
            <w:r>
              <w:rPr>
                <w:spacing w:val="-10"/>
                <w:sz w:val="20"/>
              </w:rPr>
              <w:t> </w:t>
            </w:r>
            <w:r>
              <w:rPr>
                <w:spacing w:val="-5"/>
                <w:sz w:val="20"/>
              </w:rPr>
              <w:t>Tbk</w:t>
            </w:r>
          </w:p>
        </w:tc>
      </w:tr>
      <w:tr>
        <w:trPr>
          <w:trHeight w:val="502" w:hRule="atLeast"/>
        </w:trPr>
        <w:tc>
          <w:tcPr>
            <w:tcW w:w="564" w:type="dxa"/>
          </w:tcPr>
          <w:p>
            <w:pPr>
              <w:pStyle w:val="TableParagraph"/>
              <w:spacing w:before="132"/>
              <w:ind w:left="8"/>
              <w:jc w:val="center"/>
              <w:rPr>
                <w:sz w:val="20"/>
              </w:rPr>
            </w:pPr>
            <w:r>
              <w:rPr>
                <w:spacing w:val="-10"/>
                <w:sz w:val="20"/>
              </w:rPr>
              <w:t>7</w:t>
            </w:r>
          </w:p>
        </w:tc>
        <w:tc>
          <w:tcPr>
            <w:tcW w:w="992" w:type="dxa"/>
          </w:tcPr>
          <w:p>
            <w:pPr>
              <w:pStyle w:val="TableParagraph"/>
              <w:spacing w:before="132"/>
              <w:ind w:left="13" w:right="10"/>
              <w:jc w:val="center"/>
              <w:rPr>
                <w:sz w:val="20"/>
              </w:rPr>
            </w:pPr>
            <w:r>
              <w:rPr>
                <w:spacing w:val="-4"/>
                <w:sz w:val="20"/>
              </w:rPr>
              <w:t>PGAS</w:t>
            </w:r>
          </w:p>
        </w:tc>
        <w:tc>
          <w:tcPr>
            <w:tcW w:w="6382" w:type="dxa"/>
          </w:tcPr>
          <w:p>
            <w:pPr>
              <w:pStyle w:val="TableParagraph"/>
              <w:spacing w:before="132"/>
              <w:ind w:left="107"/>
              <w:rPr>
                <w:sz w:val="20"/>
              </w:rPr>
            </w:pPr>
            <w:r>
              <w:rPr>
                <w:sz w:val="20"/>
              </w:rPr>
              <w:t>Perusahaan</w:t>
            </w:r>
            <w:r>
              <w:rPr>
                <w:spacing w:val="-7"/>
                <w:sz w:val="20"/>
              </w:rPr>
              <w:t> </w:t>
            </w:r>
            <w:r>
              <w:rPr>
                <w:sz w:val="20"/>
              </w:rPr>
              <w:t>Gas</w:t>
            </w:r>
            <w:r>
              <w:rPr>
                <w:spacing w:val="-4"/>
                <w:sz w:val="20"/>
              </w:rPr>
              <w:t> </w:t>
            </w:r>
            <w:r>
              <w:rPr>
                <w:sz w:val="20"/>
              </w:rPr>
              <w:t>Negara</w:t>
            </w:r>
            <w:r>
              <w:rPr>
                <w:spacing w:val="-4"/>
                <w:sz w:val="20"/>
              </w:rPr>
              <w:t> Tbk.</w:t>
            </w:r>
          </w:p>
        </w:tc>
      </w:tr>
      <w:tr>
        <w:trPr>
          <w:trHeight w:val="497" w:hRule="atLeast"/>
        </w:trPr>
        <w:tc>
          <w:tcPr>
            <w:tcW w:w="564" w:type="dxa"/>
          </w:tcPr>
          <w:p>
            <w:pPr>
              <w:pStyle w:val="TableParagraph"/>
              <w:spacing w:before="128"/>
              <w:ind w:left="8"/>
              <w:jc w:val="center"/>
              <w:rPr>
                <w:sz w:val="20"/>
              </w:rPr>
            </w:pPr>
            <w:r>
              <w:rPr>
                <w:spacing w:val="-10"/>
                <w:sz w:val="20"/>
              </w:rPr>
              <w:t>8</w:t>
            </w:r>
          </w:p>
        </w:tc>
        <w:tc>
          <w:tcPr>
            <w:tcW w:w="992" w:type="dxa"/>
          </w:tcPr>
          <w:p>
            <w:pPr>
              <w:pStyle w:val="TableParagraph"/>
              <w:spacing w:before="128"/>
              <w:ind w:left="13" w:right="5"/>
              <w:jc w:val="center"/>
              <w:rPr>
                <w:sz w:val="20"/>
              </w:rPr>
            </w:pPr>
            <w:r>
              <w:rPr>
                <w:spacing w:val="-4"/>
                <w:sz w:val="20"/>
              </w:rPr>
              <w:t>PTRO</w:t>
            </w:r>
          </w:p>
        </w:tc>
        <w:tc>
          <w:tcPr>
            <w:tcW w:w="6382" w:type="dxa"/>
          </w:tcPr>
          <w:p>
            <w:pPr>
              <w:pStyle w:val="TableParagraph"/>
              <w:spacing w:before="128"/>
              <w:ind w:left="107"/>
              <w:rPr>
                <w:sz w:val="20"/>
              </w:rPr>
            </w:pPr>
            <w:r>
              <w:rPr>
                <w:sz w:val="20"/>
              </w:rPr>
              <w:t>Petrosea</w:t>
            </w:r>
            <w:r>
              <w:rPr>
                <w:spacing w:val="-3"/>
                <w:sz w:val="20"/>
              </w:rPr>
              <w:t> </w:t>
            </w:r>
            <w:r>
              <w:rPr>
                <w:spacing w:val="-4"/>
                <w:sz w:val="20"/>
              </w:rPr>
              <w:t>Tbk.</w:t>
            </w:r>
          </w:p>
        </w:tc>
      </w:tr>
    </w:tbl>
    <w:p>
      <w:pPr>
        <w:spacing w:before="1"/>
        <w:ind w:left="568" w:right="0" w:firstLine="0"/>
        <w:jc w:val="left"/>
        <w:rPr>
          <w:i/>
          <w:sz w:val="24"/>
        </w:rPr>
      </w:pPr>
      <w:r>
        <w:rPr>
          <w:i/>
          <w:sz w:val="24"/>
        </w:rPr>
        <w:t>Sumber:</w:t>
      </w:r>
      <w:r>
        <w:rPr>
          <w:i/>
          <w:spacing w:val="-2"/>
          <w:sz w:val="24"/>
        </w:rPr>
        <w:t> </w:t>
      </w:r>
      <w:r>
        <w:rPr>
          <w:i/>
          <w:sz w:val="24"/>
        </w:rPr>
        <w:t>Bursa</w:t>
      </w:r>
      <w:r>
        <w:rPr>
          <w:i/>
          <w:spacing w:val="-1"/>
          <w:sz w:val="24"/>
        </w:rPr>
        <w:t> </w:t>
      </w:r>
      <w:r>
        <w:rPr>
          <w:i/>
          <w:sz w:val="24"/>
        </w:rPr>
        <w:t>Efek Indonesia,</w:t>
      </w:r>
      <w:r>
        <w:rPr>
          <w:i/>
          <w:spacing w:val="-1"/>
          <w:sz w:val="24"/>
        </w:rPr>
        <w:t> </w:t>
      </w:r>
      <w:r>
        <w:rPr>
          <w:i/>
          <w:spacing w:val="-4"/>
          <w:sz w:val="24"/>
        </w:rPr>
        <w:t>2025</w:t>
      </w:r>
    </w:p>
    <w:p>
      <w:pPr>
        <w:pStyle w:val="Heading3"/>
        <w:numPr>
          <w:ilvl w:val="2"/>
          <w:numId w:val="32"/>
        </w:numPr>
        <w:tabs>
          <w:tab w:pos="1288" w:val="left" w:leader="none"/>
        </w:tabs>
        <w:spacing w:line="240" w:lineRule="auto" w:before="184" w:after="0"/>
        <w:ind w:left="1288" w:right="0" w:hanging="720"/>
        <w:jc w:val="both"/>
      </w:pPr>
      <w:bookmarkStart w:name="_bookmark58" w:id="59"/>
      <w:bookmarkEnd w:id="59"/>
      <w:r>
        <w:rPr>
          <w:b w:val="0"/>
        </w:rPr>
      </w:r>
      <w:r>
        <w:rPr/>
        <w:t>Hasil</w:t>
      </w:r>
      <w:r>
        <w:rPr>
          <w:spacing w:val="-3"/>
        </w:rPr>
        <w:t> </w:t>
      </w:r>
      <w:r>
        <w:rPr/>
        <w:t>Analisis</w:t>
      </w:r>
      <w:r>
        <w:rPr>
          <w:spacing w:val="-4"/>
        </w:rPr>
        <w:t> </w:t>
      </w:r>
      <w:r>
        <w:rPr/>
        <w:t>Statistik</w:t>
      </w:r>
      <w:r>
        <w:rPr>
          <w:spacing w:val="-11"/>
        </w:rPr>
        <w:t> </w:t>
      </w:r>
      <w:r>
        <w:rPr>
          <w:spacing w:val="-2"/>
        </w:rPr>
        <w:t>Deskriptif</w:t>
      </w:r>
    </w:p>
    <w:p>
      <w:pPr>
        <w:pStyle w:val="BodyText"/>
        <w:spacing w:line="480" w:lineRule="auto" w:before="273"/>
        <w:ind w:left="568" w:right="563" w:firstLine="720"/>
        <w:jc w:val="both"/>
      </w:pPr>
      <w:r>
        <w:rPr/>
        <w:t>Analisis statistik deskriptif dilakukan untuk menentukan nilai rata-rata (</w:t>
      </w:r>
      <w:r>
        <w:rPr>
          <w:i/>
        </w:rPr>
        <w:t>mean</w:t>
      </w:r>
      <w:r>
        <w:rPr/>
        <w:t>), standar deviasi, nilai maksimum, dan nilai minimum data variabel penelitian. Hasil analisis statistik deskriptif dapat dilihat pada Tabel 4.2 di bawah </w:t>
      </w:r>
      <w:r>
        <w:rPr>
          <w:spacing w:val="-4"/>
        </w:rPr>
        <w:t>ini:</w:t>
      </w:r>
    </w:p>
    <w:p>
      <w:pPr>
        <w:spacing w:before="167"/>
        <w:ind w:left="358" w:right="360" w:firstLine="0"/>
        <w:jc w:val="center"/>
        <w:rPr>
          <w:b/>
          <w:sz w:val="22"/>
        </w:rPr>
      </w:pPr>
      <w:r>
        <w:rPr>
          <w:b/>
          <w:sz w:val="22"/>
        </w:rPr>
        <w:t>Tabel</w:t>
      </w:r>
      <w:r>
        <w:rPr>
          <w:b/>
          <w:spacing w:val="-14"/>
          <w:sz w:val="22"/>
        </w:rPr>
        <w:t> </w:t>
      </w:r>
      <w:r>
        <w:rPr>
          <w:b/>
          <w:sz w:val="22"/>
        </w:rPr>
        <w:t>4.2</w:t>
      </w:r>
      <w:r>
        <w:rPr>
          <w:b/>
          <w:spacing w:val="-10"/>
          <w:sz w:val="22"/>
        </w:rPr>
        <w:t> </w:t>
      </w:r>
      <w:r>
        <w:rPr>
          <w:b/>
          <w:sz w:val="22"/>
        </w:rPr>
        <w:t>Hasil</w:t>
      </w:r>
      <w:r>
        <w:rPr>
          <w:b/>
          <w:spacing w:val="-14"/>
          <w:sz w:val="22"/>
        </w:rPr>
        <w:t> </w:t>
      </w:r>
      <w:r>
        <w:rPr>
          <w:b/>
          <w:sz w:val="22"/>
        </w:rPr>
        <w:t>Analisis</w:t>
      </w:r>
      <w:r>
        <w:rPr>
          <w:b/>
          <w:spacing w:val="-9"/>
          <w:sz w:val="22"/>
        </w:rPr>
        <w:t> </w:t>
      </w:r>
      <w:r>
        <w:rPr>
          <w:b/>
          <w:sz w:val="22"/>
        </w:rPr>
        <w:t>Statistik</w:t>
      </w:r>
      <w:r>
        <w:rPr>
          <w:b/>
          <w:spacing w:val="-10"/>
          <w:sz w:val="22"/>
        </w:rPr>
        <w:t> </w:t>
      </w:r>
      <w:r>
        <w:rPr>
          <w:b/>
          <w:spacing w:val="-2"/>
          <w:sz w:val="22"/>
        </w:rPr>
        <w:t>Deskriptif</w:t>
      </w:r>
    </w:p>
    <w:p>
      <w:pPr>
        <w:pStyle w:val="BodyText"/>
        <w:spacing w:before="5"/>
        <w:rPr>
          <w:b/>
          <w:sz w:val="17"/>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5"/>
        <w:gridCol w:w="708"/>
        <w:gridCol w:w="1276"/>
        <w:gridCol w:w="1136"/>
        <w:gridCol w:w="1272"/>
        <w:gridCol w:w="1704"/>
      </w:tblGrid>
      <w:tr>
        <w:trPr>
          <w:trHeight w:val="230" w:hRule="atLeast"/>
        </w:trPr>
        <w:tc>
          <w:tcPr>
            <w:tcW w:w="7941" w:type="dxa"/>
            <w:gridSpan w:val="6"/>
          </w:tcPr>
          <w:p>
            <w:pPr>
              <w:pStyle w:val="TableParagraph"/>
              <w:spacing w:line="210" w:lineRule="exact"/>
              <w:ind w:left="5"/>
              <w:jc w:val="center"/>
              <w:rPr>
                <w:b/>
                <w:sz w:val="20"/>
              </w:rPr>
            </w:pPr>
            <w:r>
              <w:rPr>
                <w:b/>
                <w:sz w:val="20"/>
              </w:rPr>
              <w:t>Descriptive</w:t>
            </w:r>
            <w:r>
              <w:rPr>
                <w:b/>
                <w:spacing w:val="-5"/>
                <w:sz w:val="20"/>
              </w:rPr>
              <w:t> </w:t>
            </w:r>
            <w:r>
              <w:rPr>
                <w:b/>
                <w:spacing w:val="-2"/>
                <w:sz w:val="20"/>
              </w:rPr>
              <w:t>Statistics</w:t>
            </w:r>
          </w:p>
        </w:tc>
      </w:tr>
      <w:tr>
        <w:trPr>
          <w:trHeight w:val="230" w:hRule="atLeast"/>
        </w:trPr>
        <w:tc>
          <w:tcPr>
            <w:tcW w:w="1845" w:type="dxa"/>
          </w:tcPr>
          <w:p>
            <w:pPr>
              <w:pStyle w:val="TableParagraph"/>
              <w:rPr>
                <w:sz w:val="16"/>
              </w:rPr>
            </w:pPr>
          </w:p>
        </w:tc>
        <w:tc>
          <w:tcPr>
            <w:tcW w:w="708" w:type="dxa"/>
          </w:tcPr>
          <w:p>
            <w:pPr>
              <w:pStyle w:val="TableParagraph"/>
              <w:spacing w:line="210" w:lineRule="exact"/>
              <w:ind w:right="49"/>
              <w:jc w:val="center"/>
              <w:rPr>
                <w:sz w:val="20"/>
              </w:rPr>
            </w:pPr>
            <w:r>
              <w:rPr>
                <w:spacing w:val="-10"/>
                <w:sz w:val="20"/>
              </w:rPr>
              <w:t>N</w:t>
            </w:r>
          </w:p>
        </w:tc>
        <w:tc>
          <w:tcPr>
            <w:tcW w:w="1276" w:type="dxa"/>
          </w:tcPr>
          <w:p>
            <w:pPr>
              <w:pStyle w:val="TableParagraph"/>
              <w:spacing w:line="210" w:lineRule="exact"/>
              <w:ind w:left="223"/>
              <w:rPr>
                <w:i/>
                <w:sz w:val="20"/>
              </w:rPr>
            </w:pPr>
            <w:r>
              <w:rPr>
                <w:i/>
                <w:spacing w:val="-2"/>
                <w:sz w:val="20"/>
              </w:rPr>
              <w:t>Minimum</w:t>
            </w:r>
          </w:p>
        </w:tc>
        <w:tc>
          <w:tcPr>
            <w:tcW w:w="1136" w:type="dxa"/>
          </w:tcPr>
          <w:p>
            <w:pPr>
              <w:pStyle w:val="TableParagraph"/>
              <w:spacing w:line="210" w:lineRule="exact"/>
              <w:ind w:right="188"/>
              <w:jc w:val="right"/>
              <w:rPr>
                <w:i/>
                <w:sz w:val="20"/>
              </w:rPr>
            </w:pPr>
            <w:r>
              <w:rPr>
                <w:i/>
                <w:spacing w:val="-2"/>
                <w:sz w:val="20"/>
              </w:rPr>
              <w:t>Maximum</w:t>
            </w:r>
          </w:p>
        </w:tc>
        <w:tc>
          <w:tcPr>
            <w:tcW w:w="1272" w:type="dxa"/>
          </w:tcPr>
          <w:p>
            <w:pPr>
              <w:pStyle w:val="TableParagraph"/>
              <w:spacing w:line="210" w:lineRule="exact"/>
              <w:ind w:left="375"/>
              <w:rPr>
                <w:i/>
                <w:sz w:val="20"/>
              </w:rPr>
            </w:pPr>
            <w:r>
              <w:rPr>
                <w:i/>
                <w:spacing w:val="-4"/>
                <w:sz w:val="20"/>
              </w:rPr>
              <w:t>Mean</w:t>
            </w:r>
          </w:p>
        </w:tc>
        <w:tc>
          <w:tcPr>
            <w:tcW w:w="1704" w:type="dxa"/>
          </w:tcPr>
          <w:p>
            <w:pPr>
              <w:pStyle w:val="TableParagraph"/>
              <w:spacing w:line="210" w:lineRule="exact"/>
              <w:ind w:left="248"/>
              <w:rPr>
                <w:i/>
                <w:sz w:val="20"/>
              </w:rPr>
            </w:pPr>
            <w:r>
              <w:rPr>
                <w:i/>
                <w:sz w:val="20"/>
              </w:rPr>
              <w:t>Std.</w:t>
            </w:r>
            <w:r>
              <w:rPr>
                <w:i/>
                <w:spacing w:val="4"/>
                <w:sz w:val="20"/>
              </w:rPr>
              <w:t> </w:t>
            </w:r>
            <w:r>
              <w:rPr>
                <w:i/>
                <w:spacing w:val="-2"/>
                <w:sz w:val="20"/>
              </w:rPr>
              <w:t>Deviation</w:t>
            </w:r>
          </w:p>
        </w:tc>
      </w:tr>
      <w:tr>
        <w:trPr>
          <w:trHeight w:val="230" w:hRule="atLeast"/>
        </w:trPr>
        <w:tc>
          <w:tcPr>
            <w:tcW w:w="1845" w:type="dxa"/>
          </w:tcPr>
          <w:p>
            <w:pPr>
              <w:pStyle w:val="TableParagraph"/>
              <w:spacing w:line="211" w:lineRule="exact"/>
              <w:ind w:left="106"/>
              <w:rPr>
                <w:i/>
                <w:sz w:val="20"/>
              </w:rPr>
            </w:pPr>
            <w:r>
              <w:rPr>
                <w:i/>
                <w:spacing w:val="-2"/>
                <w:sz w:val="20"/>
              </w:rPr>
              <w:t>Leverage</w:t>
            </w:r>
          </w:p>
        </w:tc>
        <w:tc>
          <w:tcPr>
            <w:tcW w:w="708" w:type="dxa"/>
          </w:tcPr>
          <w:p>
            <w:pPr>
              <w:pStyle w:val="TableParagraph"/>
              <w:spacing w:line="211" w:lineRule="exact"/>
              <w:ind w:right="156"/>
              <w:jc w:val="right"/>
              <w:rPr>
                <w:sz w:val="20"/>
              </w:rPr>
            </w:pPr>
            <w:r>
              <w:rPr>
                <w:spacing w:val="-5"/>
                <w:sz w:val="20"/>
              </w:rPr>
              <w:t>32</w:t>
            </w:r>
          </w:p>
        </w:tc>
        <w:tc>
          <w:tcPr>
            <w:tcW w:w="1276" w:type="dxa"/>
          </w:tcPr>
          <w:p>
            <w:pPr>
              <w:pStyle w:val="TableParagraph"/>
              <w:spacing w:line="211" w:lineRule="exact"/>
              <w:ind w:right="158"/>
              <w:jc w:val="right"/>
              <w:rPr>
                <w:sz w:val="20"/>
              </w:rPr>
            </w:pPr>
            <w:r>
              <w:rPr>
                <w:spacing w:val="-2"/>
                <w:sz w:val="20"/>
              </w:rPr>
              <w:t>0.1825</w:t>
            </w:r>
          </w:p>
        </w:tc>
        <w:tc>
          <w:tcPr>
            <w:tcW w:w="1136" w:type="dxa"/>
          </w:tcPr>
          <w:p>
            <w:pPr>
              <w:pStyle w:val="TableParagraph"/>
              <w:spacing w:line="211" w:lineRule="exact"/>
              <w:ind w:right="160"/>
              <w:jc w:val="right"/>
              <w:rPr>
                <w:sz w:val="20"/>
              </w:rPr>
            </w:pPr>
            <w:r>
              <w:rPr>
                <w:spacing w:val="-2"/>
                <w:sz w:val="20"/>
              </w:rPr>
              <w:t>0.8469</w:t>
            </w:r>
          </w:p>
        </w:tc>
        <w:tc>
          <w:tcPr>
            <w:tcW w:w="1272" w:type="dxa"/>
          </w:tcPr>
          <w:p>
            <w:pPr>
              <w:pStyle w:val="TableParagraph"/>
              <w:spacing w:line="211" w:lineRule="exact"/>
              <w:ind w:right="157"/>
              <w:jc w:val="right"/>
              <w:rPr>
                <w:sz w:val="20"/>
              </w:rPr>
            </w:pPr>
            <w:r>
              <w:rPr>
                <w:spacing w:val="-2"/>
                <w:sz w:val="20"/>
              </w:rPr>
              <w:t>0.5462</w:t>
            </w:r>
          </w:p>
        </w:tc>
        <w:tc>
          <w:tcPr>
            <w:tcW w:w="1704" w:type="dxa"/>
          </w:tcPr>
          <w:p>
            <w:pPr>
              <w:pStyle w:val="TableParagraph"/>
              <w:spacing w:line="211" w:lineRule="exact"/>
              <w:ind w:right="159"/>
              <w:jc w:val="right"/>
              <w:rPr>
                <w:sz w:val="20"/>
              </w:rPr>
            </w:pPr>
            <w:r>
              <w:rPr>
                <w:spacing w:val="-2"/>
                <w:sz w:val="20"/>
              </w:rPr>
              <w:t>0.1757</w:t>
            </w:r>
          </w:p>
        </w:tc>
      </w:tr>
      <w:tr>
        <w:trPr>
          <w:trHeight w:val="230" w:hRule="atLeast"/>
        </w:trPr>
        <w:tc>
          <w:tcPr>
            <w:tcW w:w="1845" w:type="dxa"/>
          </w:tcPr>
          <w:p>
            <w:pPr>
              <w:pStyle w:val="TableParagraph"/>
              <w:spacing w:line="210" w:lineRule="exact"/>
              <w:ind w:left="106"/>
              <w:rPr>
                <w:i/>
                <w:sz w:val="20"/>
              </w:rPr>
            </w:pPr>
            <w:r>
              <w:rPr>
                <w:i/>
                <w:sz w:val="20"/>
              </w:rPr>
              <w:t>Debt </w:t>
            </w:r>
            <w:r>
              <w:rPr>
                <w:i/>
                <w:spacing w:val="-2"/>
                <w:sz w:val="20"/>
              </w:rPr>
              <w:t>Maturity</w:t>
            </w:r>
          </w:p>
        </w:tc>
        <w:tc>
          <w:tcPr>
            <w:tcW w:w="708" w:type="dxa"/>
          </w:tcPr>
          <w:p>
            <w:pPr>
              <w:pStyle w:val="TableParagraph"/>
              <w:spacing w:line="210" w:lineRule="exact"/>
              <w:ind w:right="156"/>
              <w:jc w:val="right"/>
              <w:rPr>
                <w:sz w:val="20"/>
              </w:rPr>
            </w:pPr>
            <w:r>
              <w:rPr>
                <w:spacing w:val="-5"/>
                <w:sz w:val="20"/>
              </w:rPr>
              <w:t>32</w:t>
            </w:r>
          </w:p>
        </w:tc>
        <w:tc>
          <w:tcPr>
            <w:tcW w:w="1276" w:type="dxa"/>
          </w:tcPr>
          <w:p>
            <w:pPr>
              <w:pStyle w:val="TableParagraph"/>
              <w:spacing w:line="210" w:lineRule="exact"/>
              <w:ind w:right="158"/>
              <w:jc w:val="right"/>
              <w:rPr>
                <w:sz w:val="20"/>
              </w:rPr>
            </w:pPr>
            <w:r>
              <w:rPr>
                <w:spacing w:val="-2"/>
                <w:sz w:val="20"/>
              </w:rPr>
              <w:t>0.1353</w:t>
            </w:r>
          </w:p>
        </w:tc>
        <w:tc>
          <w:tcPr>
            <w:tcW w:w="1136" w:type="dxa"/>
          </w:tcPr>
          <w:p>
            <w:pPr>
              <w:pStyle w:val="TableParagraph"/>
              <w:spacing w:line="210" w:lineRule="exact"/>
              <w:ind w:right="160"/>
              <w:jc w:val="right"/>
              <w:rPr>
                <w:sz w:val="20"/>
              </w:rPr>
            </w:pPr>
            <w:r>
              <w:rPr>
                <w:spacing w:val="-2"/>
                <w:sz w:val="20"/>
              </w:rPr>
              <w:t>0.7955</w:t>
            </w:r>
          </w:p>
        </w:tc>
        <w:tc>
          <w:tcPr>
            <w:tcW w:w="1272" w:type="dxa"/>
          </w:tcPr>
          <w:p>
            <w:pPr>
              <w:pStyle w:val="TableParagraph"/>
              <w:spacing w:line="210" w:lineRule="exact"/>
              <w:ind w:right="157"/>
              <w:jc w:val="right"/>
              <w:rPr>
                <w:sz w:val="20"/>
              </w:rPr>
            </w:pPr>
            <w:r>
              <w:rPr>
                <w:spacing w:val="-2"/>
                <w:sz w:val="20"/>
              </w:rPr>
              <w:t>0.4752</w:t>
            </w:r>
          </w:p>
        </w:tc>
        <w:tc>
          <w:tcPr>
            <w:tcW w:w="1704" w:type="dxa"/>
          </w:tcPr>
          <w:p>
            <w:pPr>
              <w:pStyle w:val="TableParagraph"/>
              <w:spacing w:line="210" w:lineRule="exact"/>
              <w:ind w:right="159"/>
              <w:jc w:val="right"/>
              <w:rPr>
                <w:sz w:val="20"/>
              </w:rPr>
            </w:pPr>
            <w:r>
              <w:rPr>
                <w:spacing w:val="-2"/>
                <w:sz w:val="20"/>
              </w:rPr>
              <w:t>0.1949</w:t>
            </w:r>
          </w:p>
        </w:tc>
      </w:tr>
      <w:tr>
        <w:trPr>
          <w:trHeight w:val="230" w:hRule="atLeast"/>
        </w:trPr>
        <w:tc>
          <w:tcPr>
            <w:tcW w:w="1845" w:type="dxa"/>
          </w:tcPr>
          <w:p>
            <w:pPr>
              <w:pStyle w:val="TableParagraph"/>
              <w:spacing w:line="210" w:lineRule="exact"/>
              <w:ind w:left="106"/>
              <w:rPr>
                <w:i/>
                <w:sz w:val="20"/>
              </w:rPr>
            </w:pPr>
            <w:r>
              <w:rPr>
                <w:i/>
                <w:sz w:val="20"/>
              </w:rPr>
              <w:t>Assurance</w:t>
            </w:r>
            <w:r>
              <w:rPr>
                <w:i/>
                <w:spacing w:val="-6"/>
                <w:sz w:val="20"/>
              </w:rPr>
              <w:t> </w:t>
            </w:r>
            <w:r>
              <w:rPr>
                <w:i/>
                <w:spacing w:val="-2"/>
                <w:sz w:val="20"/>
              </w:rPr>
              <w:t>Tenure</w:t>
            </w:r>
          </w:p>
        </w:tc>
        <w:tc>
          <w:tcPr>
            <w:tcW w:w="708" w:type="dxa"/>
          </w:tcPr>
          <w:p>
            <w:pPr>
              <w:pStyle w:val="TableParagraph"/>
              <w:spacing w:line="210" w:lineRule="exact"/>
              <w:ind w:right="156"/>
              <w:jc w:val="right"/>
              <w:rPr>
                <w:sz w:val="20"/>
              </w:rPr>
            </w:pPr>
            <w:r>
              <w:rPr>
                <w:spacing w:val="-5"/>
                <w:sz w:val="20"/>
              </w:rPr>
              <w:t>32</w:t>
            </w:r>
          </w:p>
        </w:tc>
        <w:tc>
          <w:tcPr>
            <w:tcW w:w="1276" w:type="dxa"/>
          </w:tcPr>
          <w:p>
            <w:pPr>
              <w:pStyle w:val="TableParagraph"/>
              <w:spacing w:line="210" w:lineRule="exact"/>
              <w:ind w:right="156"/>
              <w:jc w:val="right"/>
              <w:rPr>
                <w:sz w:val="20"/>
              </w:rPr>
            </w:pPr>
            <w:r>
              <w:rPr>
                <w:spacing w:val="-10"/>
                <w:sz w:val="20"/>
              </w:rPr>
              <w:t>1</w:t>
            </w:r>
          </w:p>
        </w:tc>
        <w:tc>
          <w:tcPr>
            <w:tcW w:w="1136" w:type="dxa"/>
          </w:tcPr>
          <w:p>
            <w:pPr>
              <w:pStyle w:val="TableParagraph"/>
              <w:spacing w:line="210" w:lineRule="exact"/>
              <w:ind w:right="160"/>
              <w:jc w:val="right"/>
              <w:rPr>
                <w:sz w:val="20"/>
              </w:rPr>
            </w:pPr>
            <w:r>
              <w:rPr>
                <w:spacing w:val="-10"/>
                <w:sz w:val="20"/>
              </w:rPr>
              <w:t>8</w:t>
            </w:r>
          </w:p>
        </w:tc>
        <w:tc>
          <w:tcPr>
            <w:tcW w:w="1272" w:type="dxa"/>
          </w:tcPr>
          <w:p>
            <w:pPr>
              <w:pStyle w:val="TableParagraph"/>
              <w:spacing w:line="210" w:lineRule="exact"/>
              <w:ind w:right="157"/>
              <w:jc w:val="right"/>
              <w:rPr>
                <w:sz w:val="20"/>
              </w:rPr>
            </w:pPr>
            <w:r>
              <w:rPr>
                <w:spacing w:val="-4"/>
                <w:sz w:val="20"/>
              </w:rPr>
              <w:t>4.12</w:t>
            </w:r>
          </w:p>
        </w:tc>
        <w:tc>
          <w:tcPr>
            <w:tcW w:w="1704" w:type="dxa"/>
          </w:tcPr>
          <w:p>
            <w:pPr>
              <w:pStyle w:val="TableParagraph"/>
              <w:spacing w:line="210" w:lineRule="exact"/>
              <w:ind w:right="159"/>
              <w:jc w:val="right"/>
              <w:rPr>
                <w:sz w:val="20"/>
              </w:rPr>
            </w:pPr>
            <w:r>
              <w:rPr>
                <w:spacing w:val="-2"/>
                <w:sz w:val="20"/>
              </w:rPr>
              <w:t>2.028</w:t>
            </w:r>
          </w:p>
        </w:tc>
      </w:tr>
      <w:tr>
        <w:trPr>
          <w:trHeight w:val="458" w:hRule="atLeast"/>
        </w:trPr>
        <w:tc>
          <w:tcPr>
            <w:tcW w:w="1845" w:type="dxa"/>
          </w:tcPr>
          <w:p>
            <w:pPr>
              <w:pStyle w:val="TableParagraph"/>
              <w:spacing w:line="222" w:lineRule="exact"/>
              <w:ind w:left="106"/>
              <w:rPr>
                <w:i/>
                <w:sz w:val="20"/>
              </w:rPr>
            </w:pPr>
            <w:r>
              <w:rPr>
                <w:i/>
                <w:spacing w:val="-2"/>
                <w:sz w:val="20"/>
              </w:rPr>
              <w:t>Sustainability</w:t>
            </w:r>
          </w:p>
          <w:p>
            <w:pPr>
              <w:pStyle w:val="TableParagraph"/>
              <w:spacing w:line="214" w:lineRule="exact" w:before="2"/>
              <w:ind w:left="106"/>
              <w:rPr>
                <w:i/>
                <w:sz w:val="20"/>
              </w:rPr>
            </w:pPr>
            <w:r>
              <w:rPr>
                <w:i/>
                <w:sz w:val="20"/>
              </w:rPr>
              <w:t>Assurance</w:t>
            </w:r>
            <w:r>
              <w:rPr>
                <w:i/>
                <w:spacing w:val="-6"/>
                <w:sz w:val="20"/>
              </w:rPr>
              <w:t> </w:t>
            </w:r>
            <w:r>
              <w:rPr>
                <w:i/>
                <w:spacing w:val="-2"/>
                <w:sz w:val="20"/>
              </w:rPr>
              <w:t>Quality</w:t>
            </w:r>
          </w:p>
        </w:tc>
        <w:tc>
          <w:tcPr>
            <w:tcW w:w="708" w:type="dxa"/>
          </w:tcPr>
          <w:p>
            <w:pPr>
              <w:pStyle w:val="TableParagraph"/>
              <w:spacing w:before="108"/>
              <w:ind w:right="156"/>
              <w:jc w:val="right"/>
              <w:rPr>
                <w:sz w:val="20"/>
              </w:rPr>
            </w:pPr>
            <w:r>
              <w:rPr>
                <w:spacing w:val="-5"/>
                <w:sz w:val="20"/>
              </w:rPr>
              <w:t>32</w:t>
            </w:r>
          </w:p>
        </w:tc>
        <w:tc>
          <w:tcPr>
            <w:tcW w:w="1276" w:type="dxa"/>
          </w:tcPr>
          <w:p>
            <w:pPr>
              <w:pStyle w:val="TableParagraph"/>
              <w:spacing w:before="108"/>
              <w:ind w:right="158"/>
              <w:jc w:val="right"/>
              <w:rPr>
                <w:sz w:val="20"/>
              </w:rPr>
            </w:pPr>
            <w:r>
              <w:rPr>
                <w:spacing w:val="-2"/>
                <w:sz w:val="20"/>
              </w:rPr>
              <w:t>0.6086</w:t>
            </w:r>
          </w:p>
        </w:tc>
        <w:tc>
          <w:tcPr>
            <w:tcW w:w="1136" w:type="dxa"/>
          </w:tcPr>
          <w:p>
            <w:pPr>
              <w:pStyle w:val="TableParagraph"/>
              <w:spacing w:before="108"/>
              <w:ind w:right="160"/>
              <w:jc w:val="right"/>
              <w:rPr>
                <w:sz w:val="20"/>
              </w:rPr>
            </w:pPr>
            <w:r>
              <w:rPr>
                <w:spacing w:val="-2"/>
                <w:sz w:val="20"/>
              </w:rPr>
              <w:t>1.0000</w:t>
            </w:r>
          </w:p>
        </w:tc>
        <w:tc>
          <w:tcPr>
            <w:tcW w:w="1272" w:type="dxa"/>
          </w:tcPr>
          <w:p>
            <w:pPr>
              <w:pStyle w:val="TableParagraph"/>
              <w:spacing w:before="108"/>
              <w:ind w:right="157"/>
              <w:jc w:val="right"/>
              <w:rPr>
                <w:sz w:val="20"/>
              </w:rPr>
            </w:pPr>
            <w:r>
              <w:rPr>
                <w:spacing w:val="-2"/>
                <w:sz w:val="20"/>
              </w:rPr>
              <w:t>0.7894</w:t>
            </w:r>
          </w:p>
        </w:tc>
        <w:tc>
          <w:tcPr>
            <w:tcW w:w="1704" w:type="dxa"/>
          </w:tcPr>
          <w:p>
            <w:pPr>
              <w:pStyle w:val="TableParagraph"/>
              <w:spacing w:before="108"/>
              <w:ind w:right="159"/>
              <w:jc w:val="right"/>
              <w:rPr>
                <w:sz w:val="20"/>
              </w:rPr>
            </w:pPr>
            <w:r>
              <w:rPr>
                <w:spacing w:val="-2"/>
                <w:sz w:val="20"/>
              </w:rPr>
              <w:t>0.1370</w:t>
            </w:r>
          </w:p>
        </w:tc>
      </w:tr>
      <w:tr>
        <w:trPr>
          <w:trHeight w:val="230" w:hRule="atLeast"/>
        </w:trPr>
        <w:tc>
          <w:tcPr>
            <w:tcW w:w="1845" w:type="dxa"/>
          </w:tcPr>
          <w:p>
            <w:pPr>
              <w:pStyle w:val="TableParagraph"/>
              <w:spacing w:line="210" w:lineRule="exact"/>
              <w:ind w:left="106"/>
              <w:rPr>
                <w:i/>
                <w:sz w:val="20"/>
              </w:rPr>
            </w:pPr>
            <w:r>
              <w:rPr>
                <w:i/>
                <w:spacing w:val="-2"/>
                <w:sz w:val="20"/>
              </w:rPr>
              <w:t>Valid</w:t>
            </w:r>
            <w:r>
              <w:rPr>
                <w:i/>
                <w:spacing w:val="-7"/>
                <w:sz w:val="20"/>
              </w:rPr>
              <w:t> </w:t>
            </w:r>
            <w:r>
              <w:rPr>
                <w:i/>
                <w:spacing w:val="-2"/>
                <w:sz w:val="20"/>
              </w:rPr>
              <w:t>N</w:t>
            </w:r>
            <w:r>
              <w:rPr>
                <w:i/>
                <w:spacing w:val="-7"/>
                <w:sz w:val="20"/>
              </w:rPr>
              <w:t> </w:t>
            </w:r>
            <w:r>
              <w:rPr>
                <w:i/>
                <w:spacing w:val="-2"/>
                <w:sz w:val="20"/>
              </w:rPr>
              <w:t>(listwise)</w:t>
            </w:r>
          </w:p>
        </w:tc>
        <w:tc>
          <w:tcPr>
            <w:tcW w:w="708" w:type="dxa"/>
          </w:tcPr>
          <w:p>
            <w:pPr>
              <w:pStyle w:val="TableParagraph"/>
              <w:spacing w:line="210" w:lineRule="exact"/>
              <w:ind w:right="156"/>
              <w:jc w:val="right"/>
              <w:rPr>
                <w:sz w:val="20"/>
              </w:rPr>
            </w:pPr>
            <w:r>
              <w:rPr>
                <w:spacing w:val="-5"/>
                <w:sz w:val="20"/>
              </w:rPr>
              <w:t>32</w:t>
            </w:r>
          </w:p>
        </w:tc>
        <w:tc>
          <w:tcPr>
            <w:tcW w:w="1276" w:type="dxa"/>
          </w:tcPr>
          <w:p>
            <w:pPr>
              <w:pStyle w:val="TableParagraph"/>
              <w:rPr>
                <w:sz w:val="16"/>
              </w:rPr>
            </w:pPr>
          </w:p>
        </w:tc>
        <w:tc>
          <w:tcPr>
            <w:tcW w:w="1136" w:type="dxa"/>
          </w:tcPr>
          <w:p>
            <w:pPr>
              <w:pStyle w:val="TableParagraph"/>
              <w:rPr>
                <w:sz w:val="16"/>
              </w:rPr>
            </w:pPr>
          </w:p>
        </w:tc>
        <w:tc>
          <w:tcPr>
            <w:tcW w:w="1272" w:type="dxa"/>
          </w:tcPr>
          <w:p>
            <w:pPr>
              <w:pStyle w:val="TableParagraph"/>
              <w:rPr>
                <w:sz w:val="16"/>
              </w:rPr>
            </w:pPr>
          </w:p>
        </w:tc>
        <w:tc>
          <w:tcPr>
            <w:tcW w:w="1704" w:type="dxa"/>
          </w:tcPr>
          <w:p>
            <w:pPr>
              <w:pStyle w:val="TableParagraph"/>
              <w:rPr>
                <w:sz w:val="16"/>
              </w:rPr>
            </w:pPr>
          </w:p>
        </w:tc>
      </w:tr>
    </w:tbl>
    <w:p>
      <w:pPr>
        <w:spacing w:before="0"/>
        <w:ind w:left="568" w:right="0" w:firstLine="0"/>
        <w:jc w:val="left"/>
        <w:rPr>
          <w:i/>
          <w:sz w:val="24"/>
        </w:rPr>
      </w:pPr>
      <w:r>
        <w:rPr>
          <w:i/>
          <w:sz w:val="24"/>
        </w:rPr>
        <w:t>Sumber:</w:t>
      </w:r>
      <w:r>
        <w:rPr>
          <w:i/>
          <w:spacing w:val="-2"/>
          <w:sz w:val="24"/>
        </w:rPr>
        <w:t> </w:t>
      </w:r>
      <w:r>
        <w:rPr>
          <w:i/>
          <w:sz w:val="24"/>
        </w:rPr>
        <w:t>Data</w:t>
      </w:r>
      <w:r>
        <w:rPr>
          <w:i/>
          <w:spacing w:val="-1"/>
          <w:sz w:val="24"/>
        </w:rPr>
        <w:t> </w:t>
      </w:r>
      <w:r>
        <w:rPr>
          <w:i/>
          <w:sz w:val="24"/>
        </w:rPr>
        <w:t>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70"/>
        <w:ind w:left="568" w:right="564" w:firstLine="720"/>
        <w:jc w:val="both"/>
      </w:pPr>
      <w:r>
        <w:rPr/>
        <w:t>Berdasarkan hasil analisis statistik deskriptif, variabel </w:t>
      </w:r>
      <w:r>
        <w:rPr>
          <w:i/>
        </w:rPr>
        <w:t>leverage </w:t>
      </w:r>
      <w:r>
        <w:rPr/>
        <w:t>memiliki nilai</w:t>
      </w:r>
      <w:r>
        <w:rPr>
          <w:spacing w:val="-14"/>
        </w:rPr>
        <w:t> </w:t>
      </w:r>
      <w:r>
        <w:rPr/>
        <w:t>minimum</w:t>
      </w:r>
      <w:r>
        <w:rPr>
          <w:spacing w:val="-14"/>
        </w:rPr>
        <w:t> </w:t>
      </w:r>
      <w:r>
        <w:rPr/>
        <w:t>sebesar</w:t>
      </w:r>
      <w:r>
        <w:rPr>
          <w:spacing w:val="-14"/>
        </w:rPr>
        <w:t> </w:t>
      </w:r>
      <w:r>
        <w:rPr/>
        <w:t>0,1825</w:t>
      </w:r>
      <w:r>
        <w:rPr>
          <w:spacing w:val="-14"/>
        </w:rPr>
        <w:t> </w:t>
      </w:r>
      <w:r>
        <w:rPr/>
        <w:t>dan</w:t>
      </w:r>
      <w:r>
        <w:rPr>
          <w:spacing w:val="-14"/>
        </w:rPr>
        <w:t> </w:t>
      </w:r>
      <w:r>
        <w:rPr/>
        <w:t>maksimum</w:t>
      </w:r>
      <w:r>
        <w:rPr>
          <w:spacing w:val="-14"/>
        </w:rPr>
        <w:t> </w:t>
      </w:r>
      <w:r>
        <w:rPr/>
        <w:t>0,8469,</w:t>
      </w:r>
      <w:r>
        <w:rPr>
          <w:spacing w:val="-14"/>
        </w:rPr>
        <w:t> </w:t>
      </w:r>
      <w:r>
        <w:rPr/>
        <w:t>dengan</w:t>
      </w:r>
      <w:r>
        <w:rPr>
          <w:spacing w:val="-14"/>
        </w:rPr>
        <w:t> </w:t>
      </w:r>
      <w:r>
        <w:rPr/>
        <w:t>nilai</w:t>
      </w:r>
      <w:r>
        <w:rPr>
          <w:spacing w:val="-14"/>
        </w:rPr>
        <w:t> </w:t>
      </w:r>
      <w:r>
        <w:rPr/>
        <w:t>rata-rata</w:t>
      </w:r>
      <w:r>
        <w:rPr>
          <w:spacing w:val="-13"/>
        </w:rPr>
        <w:t> </w:t>
      </w:r>
      <w:r>
        <w:rPr/>
        <w:t>0,5463 serta standar deviasi 0,1757. Variabel </w:t>
      </w:r>
      <w:r>
        <w:rPr>
          <w:i/>
        </w:rPr>
        <w:t>debt maturity </w:t>
      </w:r>
      <w:r>
        <w:rPr/>
        <w:t>juga menunjukkan tingkat heterogenitas yang tinggi, dengan nilai minimum 0,1353 dan maksimum 0,7956, serta rata-rata 0,4752 dan standar deviasi 0,1950. Selanjutnya, variabel </w:t>
      </w:r>
      <w:r>
        <w:rPr>
          <w:i/>
        </w:rPr>
        <w:t>assurance tenure</w:t>
      </w:r>
      <w:r>
        <w:rPr>
          <w:i/>
          <w:spacing w:val="-10"/>
        </w:rPr>
        <w:t> </w:t>
      </w:r>
      <w:r>
        <w:rPr/>
        <w:t>merefleksikan</w:t>
      </w:r>
      <w:r>
        <w:rPr>
          <w:spacing w:val="-12"/>
        </w:rPr>
        <w:t> </w:t>
      </w:r>
      <w:r>
        <w:rPr/>
        <w:t>lamanya</w:t>
      </w:r>
      <w:r>
        <w:rPr>
          <w:spacing w:val="-11"/>
        </w:rPr>
        <w:t> </w:t>
      </w:r>
      <w:r>
        <w:rPr/>
        <w:t>hubungan</w:t>
      </w:r>
      <w:r>
        <w:rPr>
          <w:spacing w:val="-12"/>
        </w:rPr>
        <w:t> </w:t>
      </w:r>
      <w:r>
        <w:rPr/>
        <w:t>kerja</w:t>
      </w:r>
      <w:r>
        <w:rPr>
          <w:spacing w:val="-11"/>
        </w:rPr>
        <w:t> </w:t>
      </w:r>
      <w:r>
        <w:rPr/>
        <w:t>antara</w:t>
      </w:r>
      <w:r>
        <w:rPr>
          <w:spacing w:val="-11"/>
        </w:rPr>
        <w:t> </w:t>
      </w:r>
      <w:r>
        <w:rPr/>
        <w:t>perusahaan</w:t>
      </w:r>
      <w:r>
        <w:rPr>
          <w:spacing w:val="-12"/>
        </w:rPr>
        <w:t> </w:t>
      </w:r>
      <w:r>
        <w:rPr/>
        <w:t>dan</w:t>
      </w:r>
      <w:r>
        <w:rPr>
          <w:spacing w:val="-12"/>
        </w:rPr>
        <w:t> </w:t>
      </w:r>
      <w:r>
        <w:rPr/>
        <w:t>penyedia</w:t>
      </w:r>
      <w:r>
        <w:rPr>
          <w:spacing w:val="-11"/>
        </w:rPr>
        <w:t> </w:t>
      </w:r>
      <w:r>
        <w:rPr/>
        <w:t>jasa assurance,</w:t>
      </w:r>
      <w:r>
        <w:rPr>
          <w:spacing w:val="9"/>
        </w:rPr>
        <w:t> </w:t>
      </w:r>
      <w:r>
        <w:rPr/>
        <w:t>yang</w:t>
      </w:r>
      <w:r>
        <w:rPr>
          <w:spacing w:val="6"/>
        </w:rPr>
        <w:t> </w:t>
      </w:r>
      <w:r>
        <w:rPr/>
        <w:t>berkisar</w:t>
      </w:r>
      <w:r>
        <w:rPr>
          <w:spacing w:val="9"/>
        </w:rPr>
        <w:t> </w:t>
      </w:r>
      <w:r>
        <w:rPr/>
        <w:t>antara</w:t>
      </w:r>
      <w:r>
        <w:rPr>
          <w:spacing w:val="11"/>
        </w:rPr>
        <w:t> </w:t>
      </w:r>
      <w:r>
        <w:rPr/>
        <w:t>1</w:t>
      </w:r>
      <w:r>
        <w:rPr>
          <w:spacing w:val="5"/>
        </w:rPr>
        <w:t> </w:t>
      </w:r>
      <w:r>
        <w:rPr/>
        <w:t>hingga</w:t>
      </w:r>
      <w:r>
        <w:rPr>
          <w:spacing w:val="11"/>
        </w:rPr>
        <w:t> </w:t>
      </w:r>
      <w:r>
        <w:rPr/>
        <w:t>8</w:t>
      </w:r>
      <w:r>
        <w:rPr>
          <w:spacing w:val="10"/>
        </w:rPr>
        <w:t> </w:t>
      </w:r>
      <w:r>
        <w:rPr/>
        <w:t>tahun,</w:t>
      </w:r>
      <w:r>
        <w:rPr>
          <w:spacing w:val="5"/>
        </w:rPr>
        <w:t> </w:t>
      </w:r>
      <w:r>
        <w:rPr/>
        <w:t>dengan</w:t>
      </w:r>
      <w:r>
        <w:rPr>
          <w:spacing w:val="10"/>
        </w:rPr>
        <w:t> </w:t>
      </w:r>
      <w:r>
        <w:rPr/>
        <w:t>rata-rata</w:t>
      </w:r>
      <w:r>
        <w:rPr>
          <w:spacing w:val="7"/>
        </w:rPr>
        <w:t> </w:t>
      </w:r>
      <w:r>
        <w:rPr/>
        <w:t>4,12</w:t>
      </w:r>
      <w:r>
        <w:rPr>
          <w:spacing w:val="10"/>
        </w:rPr>
        <w:t> </w:t>
      </w:r>
      <w:r>
        <w:rPr/>
        <w:t>tahun</w:t>
      </w:r>
      <w:r>
        <w:rPr>
          <w:spacing w:val="10"/>
        </w:rPr>
        <w:t> </w:t>
      </w:r>
      <w:r>
        <w:rPr>
          <w:spacing w:val="-5"/>
        </w:rPr>
        <w:t>dan</w:t>
      </w:r>
    </w:p>
    <w:p>
      <w:pPr>
        <w:pStyle w:val="BodyText"/>
        <w:spacing w:after="0" w:line="480" w:lineRule="auto"/>
        <w:jc w:val="both"/>
        <w:sectPr>
          <w:headerReference w:type="default" r:id="rId17"/>
          <w:pgSz w:w="11910" w:h="16840"/>
          <w:pgMar w:header="710" w:footer="0" w:top="1920" w:bottom="280" w:left="1700" w:right="1133"/>
          <w:pgNumType w:start="42"/>
        </w:sectPr>
      </w:pPr>
    </w:p>
    <w:p>
      <w:pPr>
        <w:pStyle w:val="BodyText"/>
        <w:spacing w:before="48"/>
      </w:pPr>
    </w:p>
    <w:p>
      <w:pPr>
        <w:pStyle w:val="BodyText"/>
        <w:spacing w:line="480" w:lineRule="auto"/>
        <w:ind w:left="568" w:right="564"/>
        <w:jc w:val="both"/>
      </w:pPr>
      <w:r>
        <w:rPr/>
        <w:t>standar deviasi 2,028. Sementara itu, variabel </w:t>
      </w:r>
      <w:r>
        <w:rPr>
          <w:i/>
        </w:rPr>
        <w:t>sustainability assurance quality </w:t>
      </w:r>
      <w:r>
        <w:rPr/>
        <w:t>memiliki nilai minimum 0,6087 dan maksimum 1,0000, dengan nilai rata-rata 0,7894 dan standar deviasi 0,1371.</w:t>
      </w:r>
    </w:p>
    <w:p>
      <w:pPr>
        <w:pStyle w:val="Heading3"/>
        <w:numPr>
          <w:ilvl w:val="2"/>
          <w:numId w:val="32"/>
        </w:numPr>
        <w:tabs>
          <w:tab w:pos="1288" w:val="left" w:leader="none"/>
        </w:tabs>
        <w:spacing w:line="240" w:lineRule="auto" w:before="169" w:after="0"/>
        <w:ind w:left="1288" w:right="0" w:hanging="720"/>
        <w:jc w:val="both"/>
      </w:pPr>
      <w:bookmarkStart w:name="_bookmark59" w:id="60"/>
      <w:bookmarkEnd w:id="60"/>
      <w:r>
        <w:rPr>
          <w:b w:val="0"/>
        </w:rPr>
      </w:r>
      <w:r>
        <w:rPr/>
        <w:t>Hasil</w:t>
      </w:r>
      <w:r>
        <w:rPr>
          <w:spacing w:val="-4"/>
        </w:rPr>
        <w:t> </w:t>
      </w:r>
      <w:r>
        <w:rPr/>
        <w:t>Uji</w:t>
      </w:r>
      <w:r>
        <w:rPr>
          <w:spacing w:val="-4"/>
        </w:rPr>
        <w:t> </w:t>
      </w:r>
      <w:r>
        <w:rPr/>
        <w:t>Asumsi</w:t>
      </w:r>
      <w:r>
        <w:rPr>
          <w:spacing w:val="-3"/>
        </w:rPr>
        <w:t> </w:t>
      </w:r>
      <w:r>
        <w:rPr>
          <w:spacing w:val="-2"/>
        </w:rPr>
        <w:t>Klasik</w:t>
      </w:r>
    </w:p>
    <w:p>
      <w:pPr>
        <w:pStyle w:val="BodyText"/>
        <w:spacing w:line="480" w:lineRule="auto" w:before="252"/>
        <w:ind w:left="568" w:right="563" w:firstLine="720"/>
        <w:jc w:val="both"/>
      </w:pPr>
      <w:r>
        <w:rPr/>
        <w:t>Uji asumsi klasik dilakukan sebagai pemenuhan persyaratan dalam model regresi. Uji asumsi klasik bertujuan untuk memastikan bahwa model regresi yang digunakan</w:t>
      </w:r>
      <w:r>
        <w:rPr>
          <w:spacing w:val="-15"/>
        </w:rPr>
        <w:t> </w:t>
      </w:r>
      <w:r>
        <w:rPr/>
        <w:t>tidak</w:t>
      </w:r>
      <w:r>
        <w:rPr>
          <w:spacing w:val="-15"/>
        </w:rPr>
        <w:t> </w:t>
      </w:r>
      <w:r>
        <w:rPr/>
        <w:t>mengalami</w:t>
      </w:r>
      <w:r>
        <w:rPr>
          <w:spacing w:val="-13"/>
        </w:rPr>
        <w:t> </w:t>
      </w:r>
      <w:r>
        <w:rPr/>
        <w:t>penyimpangan</w:t>
      </w:r>
      <w:r>
        <w:rPr>
          <w:spacing w:val="-10"/>
        </w:rPr>
        <w:t> </w:t>
      </w:r>
      <w:r>
        <w:rPr/>
        <w:t>yang</w:t>
      </w:r>
      <w:r>
        <w:rPr>
          <w:spacing w:val="-15"/>
        </w:rPr>
        <w:t> </w:t>
      </w:r>
      <w:r>
        <w:rPr/>
        <w:t>dapat</w:t>
      </w:r>
      <w:r>
        <w:rPr>
          <w:spacing w:val="-12"/>
        </w:rPr>
        <w:t> </w:t>
      </w:r>
      <w:r>
        <w:rPr/>
        <w:t>memengaruhi</w:t>
      </w:r>
      <w:r>
        <w:rPr>
          <w:spacing w:val="-12"/>
        </w:rPr>
        <w:t> </w:t>
      </w:r>
      <w:r>
        <w:rPr/>
        <w:t>validitas</w:t>
      </w:r>
      <w:r>
        <w:rPr>
          <w:spacing w:val="-15"/>
        </w:rPr>
        <w:t> </w:t>
      </w:r>
      <w:r>
        <w:rPr/>
        <w:t>hasil estimasi. Uji asumsi klasik yang akan dilakukan meliputi: uji normalitas, uji multikolinearitas, uji heterokedastisitas, serta uji autokorelasi.</w:t>
      </w:r>
    </w:p>
    <w:p>
      <w:pPr>
        <w:pStyle w:val="Heading3"/>
        <w:numPr>
          <w:ilvl w:val="3"/>
          <w:numId w:val="32"/>
        </w:numPr>
        <w:tabs>
          <w:tab w:pos="1288" w:val="left" w:leader="none"/>
        </w:tabs>
        <w:spacing w:line="240" w:lineRule="auto" w:before="169" w:after="0"/>
        <w:ind w:left="1288" w:right="0" w:hanging="720"/>
        <w:jc w:val="both"/>
      </w:pPr>
      <w:bookmarkStart w:name="_bookmark60" w:id="61"/>
      <w:bookmarkEnd w:id="61"/>
      <w:r>
        <w:rPr>
          <w:b w:val="0"/>
        </w:rPr>
      </w:r>
      <w:r>
        <w:rPr/>
        <w:t>Uji</w:t>
      </w:r>
      <w:r>
        <w:rPr>
          <w:spacing w:val="-1"/>
        </w:rPr>
        <w:t> </w:t>
      </w:r>
      <w:r>
        <w:rPr>
          <w:spacing w:val="-2"/>
        </w:rPr>
        <w:t>Normalitas</w:t>
      </w:r>
    </w:p>
    <w:p>
      <w:pPr>
        <w:pStyle w:val="BodyText"/>
        <w:spacing w:line="480" w:lineRule="auto" w:before="256"/>
        <w:ind w:left="568" w:right="562" w:firstLine="720"/>
        <w:jc w:val="both"/>
      </w:pPr>
      <w:r>
        <w:rPr/>
        <w:t>Uji normalitas dilakukan untuk mengetahui apakah data variabel berdistribusi normal atau tidak. Dalam penelitian uji normalitas ini digunakan uji </w:t>
      </w:r>
      <w:r>
        <w:rPr>
          <w:i/>
        </w:rPr>
        <w:t>One</w:t>
      </w:r>
      <w:r>
        <w:rPr>
          <w:i/>
          <w:spacing w:val="-2"/>
        </w:rPr>
        <w:t> </w:t>
      </w:r>
      <w:r>
        <w:rPr>
          <w:i/>
        </w:rPr>
        <w:t>Sample</w:t>
      </w:r>
      <w:r>
        <w:rPr>
          <w:i/>
          <w:spacing w:val="-2"/>
        </w:rPr>
        <w:t> </w:t>
      </w:r>
      <w:r>
        <w:rPr>
          <w:i/>
        </w:rPr>
        <w:t>Kolmogorov-smirnov Test</w:t>
      </w:r>
      <w:r>
        <w:rPr/>
        <w:t>.</w:t>
      </w:r>
      <w:r>
        <w:rPr>
          <w:spacing w:val="-3"/>
        </w:rPr>
        <w:t> </w:t>
      </w:r>
      <w:r>
        <w:rPr/>
        <w:t>Dalam</w:t>
      </w:r>
      <w:r>
        <w:rPr>
          <w:spacing w:val="-3"/>
        </w:rPr>
        <w:t> </w:t>
      </w:r>
      <w:r>
        <w:rPr/>
        <w:t>pengujian</w:t>
      </w:r>
      <w:r>
        <w:rPr>
          <w:spacing w:val="-3"/>
        </w:rPr>
        <w:t> </w:t>
      </w:r>
      <w:r>
        <w:rPr/>
        <w:t>ini,</w:t>
      </w:r>
      <w:r>
        <w:rPr>
          <w:spacing w:val="-3"/>
        </w:rPr>
        <w:t> </w:t>
      </w:r>
      <w:r>
        <w:rPr/>
        <w:t>jika</w:t>
      </w:r>
      <w:r>
        <w:rPr>
          <w:spacing w:val="-2"/>
        </w:rPr>
        <w:t> </w:t>
      </w:r>
      <w:r>
        <w:rPr/>
        <w:t>nilai</w:t>
      </w:r>
      <w:r>
        <w:rPr>
          <w:spacing w:val="-3"/>
        </w:rPr>
        <w:t> </w:t>
      </w:r>
      <w:r>
        <w:rPr/>
        <w:t>dari </w:t>
      </w:r>
      <w:r>
        <w:rPr>
          <w:i/>
        </w:rPr>
        <w:t>Asymp Sig (2-tailed) </w:t>
      </w:r>
      <w:r>
        <w:rPr/>
        <w:t>yang dihasilkan lebih besar dari nilai alpha yaitu sebesar 0,5, maka data dapat dikatakan berdistribusi secara normal. Hasil dari pengujian normalitas dapat dilihat pada Tabel 4.3 dibawah ini:</w:t>
      </w:r>
    </w:p>
    <w:p>
      <w:pPr>
        <w:spacing w:before="8"/>
        <w:ind w:left="358" w:right="357" w:firstLine="0"/>
        <w:jc w:val="center"/>
        <w:rPr>
          <w:b/>
          <w:i/>
          <w:sz w:val="22"/>
        </w:rPr>
      </w:pPr>
      <w:r>
        <w:rPr>
          <w:b/>
          <w:sz w:val="22"/>
        </w:rPr>
        <w:t>Tabel</w:t>
      </w:r>
      <w:r>
        <w:rPr>
          <w:b/>
          <w:spacing w:val="-8"/>
          <w:sz w:val="22"/>
        </w:rPr>
        <w:t> </w:t>
      </w:r>
      <w:r>
        <w:rPr>
          <w:b/>
          <w:sz w:val="22"/>
        </w:rPr>
        <w:t>4.3</w:t>
      </w:r>
      <w:r>
        <w:rPr>
          <w:b/>
          <w:spacing w:val="-8"/>
          <w:sz w:val="22"/>
        </w:rPr>
        <w:t> </w:t>
      </w:r>
      <w:r>
        <w:rPr>
          <w:b/>
          <w:sz w:val="22"/>
        </w:rPr>
        <w:t>Hasil</w:t>
      </w:r>
      <w:r>
        <w:rPr>
          <w:b/>
          <w:spacing w:val="-7"/>
          <w:sz w:val="22"/>
        </w:rPr>
        <w:t> </w:t>
      </w:r>
      <w:r>
        <w:rPr>
          <w:b/>
          <w:sz w:val="22"/>
        </w:rPr>
        <w:t>Uji</w:t>
      </w:r>
      <w:r>
        <w:rPr>
          <w:b/>
          <w:spacing w:val="-8"/>
          <w:sz w:val="22"/>
        </w:rPr>
        <w:t> </w:t>
      </w:r>
      <w:r>
        <w:rPr>
          <w:b/>
          <w:sz w:val="22"/>
        </w:rPr>
        <w:t>Normalitas</w:t>
      </w:r>
      <w:r>
        <w:rPr>
          <w:b/>
          <w:spacing w:val="-5"/>
          <w:sz w:val="22"/>
        </w:rPr>
        <w:t> </w:t>
      </w:r>
      <w:r>
        <w:rPr>
          <w:b/>
          <w:i/>
          <w:sz w:val="22"/>
        </w:rPr>
        <w:t>One-Sample</w:t>
      </w:r>
      <w:r>
        <w:rPr>
          <w:b/>
          <w:i/>
          <w:spacing w:val="-11"/>
          <w:sz w:val="22"/>
        </w:rPr>
        <w:t> </w:t>
      </w:r>
      <w:r>
        <w:rPr>
          <w:b/>
          <w:i/>
          <w:sz w:val="22"/>
        </w:rPr>
        <w:t>Kolmogorov-</w:t>
      </w:r>
      <w:r>
        <w:rPr>
          <w:b/>
          <w:i/>
          <w:spacing w:val="-2"/>
          <w:sz w:val="22"/>
        </w:rPr>
        <w:t>Smirnov</w:t>
      </w:r>
    </w:p>
    <w:p>
      <w:pPr>
        <w:pStyle w:val="BodyText"/>
        <w:spacing w:before="5"/>
        <w:rPr>
          <w:b/>
          <w:i/>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3965"/>
      </w:tblGrid>
      <w:tr>
        <w:trPr>
          <w:trHeight w:val="230" w:hRule="atLeast"/>
        </w:trPr>
        <w:tc>
          <w:tcPr>
            <w:tcW w:w="7930" w:type="dxa"/>
            <w:gridSpan w:val="2"/>
          </w:tcPr>
          <w:p>
            <w:pPr>
              <w:pStyle w:val="TableParagraph"/>
              <w:spacing w:line="210" w:lineRule="exact"/>
              <w:ind w:left="2" w:right="3"/>
              <w:jc w:val="center"/>
              <w:rPr>
                <w:b/>
                <w:sz w:val="20"/>
              </w:rPr>
            </w:pPr>
            <w:r>
              <w:rPr>
                <w:b/>
                <w:sz w:val="20"/>
              </w:rPr>
              <w:t>One-Sample</w:t>
            </w:r>
            <w:r>
              <w:rPr>
                <w:b/>
                <w:spacing w:val="-9"/>
                <w:sz w:val="20"/>
              </w:rPr>
              <w:t> </w:t>
            </w:r>
            <w:r>
              <w:rPr>
                <w:b/>
                <w:sz w:val="20"/>
              </w:rPr>
              <w:t>Kolmogorov-Smirnov</w:t>
            </w:r>
            <w:r>
              <w:rPr>
                <w:b/>
                <w:spacing w:val="-11"/>
                <w:sz w:val="20"/>
              </w:rPr>
              <w:t> </w:t>
            </w:r>
            <w:r>
              <w:rPr>
                <w:b/>
                <w:spacing w:val="-4"/>
                <w:sz w:val="20"/>
              </w:rPr>
              <w:t>Test</w:t>
            </w:r>
          </w:p>
        </w:tc>
      </w:tr>
      <w:tr>
        <w:trPr>
          <w:trHeight w:val="230" w:hRule="atLeast"/>
        </w:trPr>
        <w:tc>
          <w:tcPr>
            <w:tcW w:w="3965" w:type="dxa"/>
          </w:tcPr>
          <w:p>
            <w:pPr>
              <w:pStyle w:val="TableParagraph"/>
              <w:rPr>
                <w:sz w:val="16"/>
              </w:rPr>
            </w:pPr>
          </w:p>
        </w:tc>
        <w:tc>
          <w:tcPr>
            <w:tcW w:w="3965" w:type="dxa"/>
          </w:tcPr>
          <w:p>
            <w:pPr>
              <w:pStyle w:val="TableParagraph"/>
              <w:spacing w:line="210" w:lineRule="exact"/>
              <w:ind w:right="99"/>
              <w:jc w:val="right"/>
              <w:rPr>
                <w:b/>
                <w:sz w:val="20"/>
              </w:rPr>
            </w:pPr>
            <w:r>
              <w:rPr>
                <w:b/>
                <w:sz w:val="20"/>
              </w:rPr>
              <w:t>Unstandardized</w:t>
            </w:r>
            <w:r>
              <w:rPr>
                <w:b/>
                <w:spacing w:val="-9"/>
                <w:sz w:val="20"/>
              </w:rPr>
              <w:t> </w:t>
            </w:r>
            <w:r>
              <w:rPr>
                <w:b/>
                <w:spacing w:val="-2"/>
                <w:sz w:val="20"/>
              </w:rPr>
              <w:t>Residual</w:t>
            </w:r>
          </w:p>
        </w:tc>
      </w:tr>
      <w:tr>
        <w:trPr>
          <w:trHeight w:val="230" w:hRule="atLeast"/>
        </w:trPr>
        <w:tc>
          <w:tcPr>
            <w:tcW w:w="3965" w:type="dxa"/>
          </w:tcPr>
          <w:p>
            <w:pPr>
              <w:pStyle w:val="TableParagraph"/>
              <w:spacing w:line="210" w:lineRule="exact"/>
              <w:ind w:left="106"/>
              <w:rPr>
                <w:sz w:val="20"/>
              </w:rPr>
            </w:pPr>
            <w:r>
              <w:rPr>
                <w:spacing w:val="-10"/>
                <w:sz w:val="20"/>
              </w:rPr>
              <w:t>N</w:t>
            </w:r>
          </w:p>
        </w:tc>
        <w:tc>
          <w:tcPr>
            <w:tcW w:w="3965" w:type="dxa"/>
          </w:tcPr>
          <w:p>
            <w:pPr>
              <w:pStyle w:val="TableParagraph"/>
              <w:spacing w:line="210" w:lineRule="exact"/>
              <w:ind w:right="96"/>
              <w:jc w:val="right"/>
              <w:rPr>
                <w:sz w:val="20"/>
              </w:rPr>
            </w:pPr>
            <w:r>
              <w:rPr>
                <w:spacing w:val="-5"/>
                <w:sz w:val="20"/>
              </w:rPr>
              <w:t>32</w:t>
            </w:r>
          </w:p>
        </w:tc>
      </w:tr>
      <w:tr>
        <w:trPr>
          <w:trHeight w:val="317" w:hRule="atLeast"/>
        </w:trPr>
        <w:tc>
          <w:tcPr>
            <w:tcW w:w="3965" w:type="dxa"/>
          </w:tcPr>
          <w:p>
            <w:pPr>
              <w:pStyle w:val="TableParagraph"/>
              <w:spacing w:before="40"/>
              <w:ind w:left="106"/>
              <w:rPr>
                <w:i/>
                <w:sz w:val="20"/>
              </w:rPr>
            </w:pPr>
            <w:r>
              <w:rPr>
                <w:i/>
                <w:sz w:val="20"/>
              </w:rPr>
              <w:t>Asymp.</w:t>
            </w:r>
            <w:r>
              <w:rPr>
                <w:i/>
                <w:spacing w:val="1"/>
                <w:sz w:val="20"/>
              </w:rPr>
              <w:t> </w:t>
            </w:r>
            <w:r>
              <w:rPr>
                <w:i/>
                <w:sz w:val="20"/>
              </w:rPr>
              <w:t>Sig.</w:t>
            </w:r>
            <w:r>
              <w:rPr>
                <w:i/>
                <w:spacing w:val="-1"/>
                <w:sz w:val="20"/>
              </w:rPr>
              <w:t> </w:t>
            </w:r>
            <w:r>
              <w:rPr>
                <w:i/>
                <w:sz w:val="20"/>
              </w:rPr>
              <w:t>(2-</w:t>
            </w:r>
            <w:r>
              <w:rPr>
                <w:i/>
                <w:spacing w:val="-2"/>
                <w:sz w:val="20"/>
              </w:rPr>
              <w:t>tailed)c</w:t>
            </w:r>
          </w:p>
        </w:tc>
        <w:tc>
          <w:tcPr>
            <w:tcW w:w="3965" w:type="dxa"/>
          </w:tcPr>
          <w:p>
            <w:pPr>
              <w:pStyle w:val="TableParagraph"/>
              <w:spacing w:line="214" w:lineRule="exact" w:before="84"/>
              <w:ind w:right="154"/>
              <w:jc w:val="right"/>
              <w:rPr>
                <w:sz w:val="20"/>
              </w:rPr>
            </w:pPr>
            <w:r>
              <w:rPr>
                <w:spacing w:val="-2"/>
                <w:sz w:val="20"/>
              </w:rPr>
              <w:t>,200</w:t>
            </w:r>
            <w:r>
              <w:rPr>
                <w:spacing w:val="-2"/>
                <w:sz w:val="20"/>
                <w:vertAlign w:val="superscript"/>
              </w:rPr>
              <w:t>d</w:t>
            </w:r>
          </w:p>
        </w:tc>
      </w:tr>
      <w:tr>
        <w:trPr>
          <w:trHeight w:val="318" w:hRule="atLeast"/>
        </w:trPr>
        <w:tc>
          <w:tcPr>
            <w:tcW w:w="3965" w:type="dxa"/>
          </w:tcPr>
          <w:p>
            <w:pPr>
              <w:pStyle w:val="TableParagraph"/>
              <w:spacing w:before="40"/>
              <w:ind w:left="106"/>
              <w:rPr>
                <w:i/>
                <w:sz w:val="20"/>
              </w:rPr>
            </w:pPr>
            <w:r>
              <w:rPr>
                <w:i/>
                <w:sz w:val="20"/>
              </w:rPr>
              <w:t>Monte</w:t>
            </w:r>
            <w:r>
              <w:rPr>
                <w:i/>
                <w:spacing w:val="-1"/>
                <w:sz w:val="20"/>
              </w:rPr>
              <w:t> </w:t>
            </w:r>
            <w:r>
              <w:rPr>
                <w:i/>
                <w:sz w:val="20"/>
              </w:rPr>
              <w:t>Carlo</w:t>
            </w:r>
            <w:r>
              <w:rPr>
                <w:i/>
                <w:spacing w:val="1"/>
                <w:sz w:val="20"/>
              </w:rPr>
              <w:t> </w:t>
            </w:r>
            <w:r>
              <w:rPr>
                <w:i/>
                <w:sz w:val="20"/>
              </w:rPr>
              <w:t>Sig.</w:t>
            </w:r>
            <w:r>
              <w:rPr>
                <w:i/>
                <w:spacing w:val="-1"/>
                <w:sz w:val="20"/>
              </w:rPr>
              <w:t> </w:t>
            </w:r>
            <w:r>
              <w:rPr>
                <w:i/>
                <w:sz w:val="20"/>
              </w:rPr>
              <w:t>(2-</w:t>
            </w:r>
            <w:r>
              <w:rPr>
                <w:i/>
                <w:spacing w:val="-2"/>
                <w:sz w:val="20"/>
              </w:rPr>
              <w:t>tailed)</w:t>
            </w:r>
            <w:r>
              <w:rPr>
                <w:i/>
                <w:spacing w:val="-2"/>
                <w:sz w:val="20"/>
                <w:vertAlign w:val="superscript"/>
              </w:rPr>
              <w:t>e</w:t>
            </w:r>
          </w:p>
        </w:tc>
        <w:tc>
          <w:tcPr>
            <w:tcW w:w="3965" w:type="dxa"/>
          </w:tcPr>
          <w:p>
            <w:pPr>
              <w:pStyle w:val="TableParagraph"/>
              <w:spacing w:line="210" w:lineRule="exact" w:before="88"/>
              <w:ind w:right="156"/>
              <w:jc w:val="right"/>
              <w:rPr>
                <w:sz w:val="20"/>
              </w:rPr>
            </w:pPr>
            <w:r>
              <w:rPr>
                <w:spacing w:val="-4"/>
                <w:sz w:val="20"/>
              </w:rPr>
              <w:t>,824</w:t>
            </w:r>
          </w:p>
        </w:tc>
      </w:tr>
    </w:tbl>
    <w:p>
      <w:pPr>
        <w:spacing w:before="0"/>
        <w:ind w:left="568" w:right="0" w:firstLine="0"/>
        <w:jc w:val="both"/>
        <w:rPr>
          <w:i/>
          <w:sz w:val="24"/>
        </w:rPr>
      </w:pPr>
      <w:r>
        <w:rPr>
          <w:i/>
          <w:sz w:val="24"/>
        </w:rPr>
        <w:t>Sumber:</w:t>
      </w:r>
      <w:r>
        <w:rPr>
          <w:i/>
          <w:spacing w:val="-2"/>
          <w:sz w:val="24"/>
        </w:rPr>
        <w:t> </w:t>
      </w:r>
      <w:r>
        <w:rPr>
          <w:i/>
          <w:sz w:val="24"/>
        </w:rPr>
        <w:t>Data</w:t>
      </w:r>
      <w:r>
        <w:rPr>
          <w:i/>
          <w:spacing w:val="-1"/>
          <w:sz w:val="24"/>
        </w:rPr>
        <w:t> </w:t>
      </w:r>
      <w:r>
        <w:rPr>
          <w:i/>
          <w:sz w:val="24"/>
        </w:rPr>
        <w:t>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71"/>
        <w:ind w:left="568" w:right="563" w:firstLine="720"/>
        <w:jc w:val="both"/>
      </w:pPr>
      <w:r>
        <w:rPr/>
        <w:t>Berdasarkan hasil pengujian, diperoleh nilai </w:t>
      </w:r>
      <w:r>
        <w:rPr>
          <w:i/>
        </w:rPr>
        <w:t>Asymp. Sig. (2-tailed) </w:t>
      </w:r>
      <w:r>
        <w:rPr/>
        <w:t>sebesar 0,824</w:t>
      </w:r>
      <w:r>
        <w:rPr>
          <w:spacing w:val="1"/>
        </w:rPr>
        <w:t> </w:t>
      </w:r>
      <w:r>
        <w:rPr/>
        <w:t>yang</w:t>
      </w:r>
      <w:r>
        <w:rPr>
          <w:spacing w:val="-7"/>
        </w:rPr>
        <w:t> </w:t>
      </w:r>
      <w:r>
        <w:rPr/>
        <w:t>lebih</w:t>
      </w:r>
      <w:r>
        <w:rPr>
          <w:spacing w:val="-3"/>
        </w:rPr>
        <w:t> </w:t>
      </w:r>
      <w:r>
        <w:rPr/>
        <w:t>besar</w:t>
      </w:r>
      <w:r>
        <w:rPr>
          <w:spacing w:val="-2"/>
        </w:rPr>
        <w:t> </w:t>
      </w:r>
      <w:r>
        <w:rPr/>
        <w:t>dari</w:t>
      </w:r>
      <w:r>
        <w:rPr>
          <w:spacing w:val="-2"/>
        </w:rPr>
        <w:t> </w:t>
      </w:r>
      <w:r>
        <w:rPr/>
        <w:t>0,05.</w:t>
      </w:r>
      <w:r>
        <w:rPr>
          <w:spacing w:val="-3"/>
        </w:rPr>
        <w:t> </w:t>
      </w:r>
      <w:r>
        <w:rPr/>
        <w:t>Dengan</w:t>
      </w:r>
      <w:r>
        <w:rPr>
          <w:spacing w:val="-2"/>
        </w:rPr>
        <w:t> </w:t>
      </w:r>
      <w:r>
        <w:rPr/>
        <w:t>demikian,</w:t>
      </w:r>
      <w:r>
        <w:rPr>
          <w:spacing w:val="-2"/>
        </w:rPr>
        <w:t> </w:t>
      </w:r>
      <w:r>
        <w:rPr/>
        <w:t>dapat</w:t>
      </w:r>
      <w:r>
        <w:rPr>
          <w:spacing w:val="-3"/>
        </w:rPr>
        <w:t> </w:t>
      </w:r>
      <w:r>
        <w:rPr/>
        <w:t>disimpulkan</w:t>
      </w:r>
      <w:r>
        <w:rPr>
          <w:spacing w:val="-2"/>
        </w:rPr>
        <w:t> </w:t>
      </w:r>
      <w:r>
        <w:rPr/>
        <w:t>bahwa</w:t>
      </w:r>
      <w:r>
        <w:rPr>
          <w:spacing w:val="-1"/>
        </w:rPr>
        <w:t> </w:t>
      </w:r>
      <w:r>
        <w:rPr>
          <w:spacing w:val="-4"/>
        </w:rPr>
        <w:t>data</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77"/>
        <w:jc w:val="both"/>
      </w:pPr>
      <w:r>
        <w:rPr/>
        <w:t>penelitian berdistribusi normal, sehingga memenuhi asumsi dasar regresi linier </w:t>
      </w:r>
      <w:r>
        <w:rPr>
          <w:spacing w:val="-2"/>
        </w:rPr>
        <w:t>klasik.</w:t>
      </w:r>
    </w:p>
    <w:p>
      <w:pPr>
        <w:pStyle w:val="Heading3"/>
        <w:numPr>
          <w:ilvl w:val="3"/>
          <w:numId w:val="32"/>
        </w:numPr>
        <w:tabs>
          <w:tab w:pos="1288" w:val="left" w:leader="none"/>
        </w:tabs>
        <w:spacing w:line="240" w:lineRule="auto" w:before="169" w:after="0"/>
        <w:ind w:left="1288" w:right="0" w:hanging="720"/>
        <w:jc w:val="both"/>
      </w:pPr>
      <w:bookmarkStart w:name="_bookmark61" w:id="62"/>
      <w:bookmarkEnd w:id="62"/>
      <w:r>
        <w:rPr>
          <w:b w:val="0"/>
        </w:rPr>
      </w:r>
      <w:r>
        <w:rPr/>
        <w:t>Uji</w:t>
      </w:r>
      <w:r>
        <w:rPr>
          <w:spacing w:val="-1"/>
        </w:rPr>
        <w:t> </w:t>
      </w:r>
      <w:r>
        <w:rPr>
          <w:spacing w:val="-2"/>
        </w:rPr>
        <w:t>Multikolinearitas</w:t>
      </w:r>
    </w:p>
    <w:p>
      <w:pPr>
        <w:pStyle w:val="BodyText"/>
        <w:spacing w:line="480" w:lineRule="auto" w:before="252"/>
        <w:ind w:left="568" w:right="567" w:firstLine="720"/>
        <w:jc w:val="both"/>
      </w:pPr>
      <w:r>
        <w:rPr/>
        <w:t>Uji Multikolinearitas dilakukan untuk mengetahui nilai korelasi antar variabel bebas (independen). Jika kolerasi diantara variabel independent sangat tinggi</w:t>
      </w:r>
      <w:r>
        <w:rPr>
          <w:spacing w:val="-6"/>
        </w:rPr>
        <w:t> </w:t>
      </w:r>
      <w:r>
        <w:rPr/>
        <w:t>sehingga</w:t>
      </w:r>
      <w:r>
        <w:rPr>
          <w:spacing w:val="-6"/>
        </w:rPr>
        <w:t> </w:t>
      </w:r>
      <w:r>
        <w:rPr/>
        <w:t>mengindikasikan</w:t>
      </w:r>
      <w:r>
        <w:rPr>
          <w:spacing w:val="-11"/>
        </w:rPr>
        <w:t> </w:t>
      </w:r>
      <w:r>
        <w:rPr/>
        <w:t>adanya</w:t>
      </w:r>
      <w:r>
        <w:rPr>
          <w:spacing w:val="-6"/>
        </w:rPr>
        <w:t> </w:t>
      </w:r>
      <w:r>
        <w:rPr/>
        <w:t>multikolinearitas. Apabila</w:t>
      </w:r>
      <w:r>
        <w:rPr>
          <w:spacing w:val="-6"/>
        </w:rPr>
        <w:t> </w:t>
      </w:r>
      <w:r>
        <w:rPr/>
        <w:t>nilai</w:t>
      </w:r>
      <w:r>
        <w:rPr>
          <w:spacing w:val="-6"/>
        </w:rPr>
        <w:t> </w:t>
      </w:r>
      <w:r>
        <w:rPr/>
        <w:t>VIF</w:t>
      </w:r>
      <w:r>
        <w:rPr>
          <w:spacing w:val="-15"/>
        </w:rPr>
        <w:t> </w:t>
      </w:r>
      <w:r>
        <w:rPr/>
        <w:t>lebih dari 10 dan nilai tolerance kurang dari 0,10 maka terjadi multikolinearitas, sebaliknya</w:t>
      </w:r>
      <w:r>
        <w:rPr>
          <w:spacing w:val="-15"/>
        </w:rPr>
        <w:t> </w:t>
      </w:r>
      <w:r>
        <w:rPr/>
        <w:t>apabila</w:t>
      </w:r>
      <w:r>
        <w:rPr>
          <w:spacing w:val="-15"/>
        </w:rPr>
        <w:t> </w:t>
      </w:r>
      <w:r>
        <w:rPr/>
        <w:t>nilai</w:t>
      </w:r>
      <w:r>
        <w:rPr>
          <w:spacing w:val="-15"/>
        </w:rPr>
        <w:t> </w:t>
      </w:r>
      <w:r>
        <w:rPr/>
        <w:t>VIF</w:t>
      </w:r>
      <w:r>
        <w:rPr>
          <w:spacing w:val="-15"/>
        </w:rPr>
        <w:t> </w:t>
      </w:r>
      <w:r>
        <w:rPr/>
        <w:t>kurang</w:t>
      </w:r>
      <w:r>
        <w:rPr>
          <w:spacing w:val="-15"/>
        </w:rPr>
        <w:t> </w:t>
      </w:r>
      <w:r>
        <w:rPr/>
        <w:t>dari</w:t>
      </w:r>
      <w:r>
        <w:rPr>
          <w:spacing w:val="-15"/>
        </w:rPr>
        <w:t> </w:t>
      </w:r>
      <w:r>
        <w:rPr/>
        <w:t>10</w:t>
      </w:r>
      <w:r>
        <w:rPr>
          <w:spacing w:val="-15"/>
        </w:rPr>
        <w:t> </w:t>
      </w:r>
      <w:r>
        <w:rPr/>
        <w:t>dan</w:t>
      </w:r>
      <w:r>
        <w:rPr>
          <w:spacing w:val="-15"/>
        </w:rPr>
        <w:t> </w:t>
      </w:r>
      <w:r>
        <w:rPr/>
        <w:t>nilai</w:t>
      </w:r>
      <w:r>
        <w:rPr>
          <w:spacing w:val="-15"/>
        </w:rPr>
        <w:t> </w:t>
      </w:r>
      <w:r>
        <w:rPr/>
        <w:t>tolerance</w:t>
      </w:r>
      <w:r>
        <w:rPr>
          <w:spacing w:val="-15"/>
        </w:rPr>
        <w:t> </w:t>
      </w:r>
      <w:r>
        <w:rPr/>
        <w:t>lebih</w:t>
      </w:r>
      <w:r>
        <w:rPr>
          <w:spacing w:val="-15"/>
        </w:rPr>
        <w:t> </w:t>
      </w:r>
      <w:r>
        <w:rPr/>
        <w:t>dari</w:t>
      </w:r>
      <w:r>
        <w:rPr>
          <w:spacing w:val="-15"/>
        </w:rPr>
        <w:t> </w:t>
      </w:r>
      <w:r>
        <w:rPr/>
        <w:t>0,10,</w:t>
      </w:r>
      <w:r>
        <w:rPr>
          <w:spacing w:val="-15"/>
        </w:rPr>
        <w:t> </w:t>
      </w:r>
      <w:r>
        <w:rPr/>
        <w:t>maka tidak terjadi multikolinearitas</w:t>
      </w:r>
      <w:r>
        <w:rPr>
          <w:spacing w:val="-1"/>
        </w:rPr>
        <w:t> </w:t>
      </w:r>
      <w:r>
        <w:rPr/>
        <w:t>antara variabel. Hasil dari pengujian multikorealitas dapat dilihat pada tabel 4.4 dibawah ini:</w:t>
      </w:r>
    </w:p>
    <w:p>
      <w:pPr>
        <w:spacing w:before="8"/>
        <w:ind w:left="358" w:right="360" w:firstLine="0"/>
        <w:jc w:val="center"/>
        <w:rPr>
          <w:b/>
          <w:sz w:val="22"/>
        </w:rPr>
      </w:pPr>
      <w:r>
        <w:rPr>
          <w:b/>
          <w:sz w:val="22"/>
        </w:rPr>
        <w:t>Tabel</w:t>
      </w:r>
      <w:r>
        <w:rPr>
          <w:b/>
          <w:spacing w:val="-7"/>
          <w:sz w:val="22"/>
        </w:rPr>
        <w:t> </w:t>
      </w:r>
      <w:r>
        <w:rPr>
          <w:b/>
          <w:sz w:val="22"/>
        </w:rPr>
        <w:t>4.4</w:t>
      </w:r>
      <w:r>
        <w:rPr>
          <w:b/>
          <w:spacing w:val="-8"/>
          <w:sz w:val="22"/>
        </w:rPr>
        <w:t> </w:t>
      </w:r>
      <w:r>
        <w:rPr>
          <w:b/>
          <w:sz w:val="22"/>
        </w:rPr>
        <w:t>Hasil</w:t>
      </w:r>
      <w:r>
        <w:rPr>
          <w:b/>
          <w:spacing w:val="-8"/>
          <w:sz w:val="22"/>
        </w:rPr>
        <w:t> </w:t>
      </w:r>
      <w:r>
        <w:rPr>
          <w:b/>
          <w:sz w:val="22"/>
        </w:rPr>
        <w:t>Uji</w:t>
      </w:r>
      <w:r>
        <w:rPr>
          <w:b/>
          <w:spacing w:val="-7"/>
          <w:sz w:val="22"/>
        </w:rPr>
        <w:t> </w:t>
      </w:r>
      <w:r>
        <w:rPr>
          <w:b/>
          <w:spacing w:val="-2"/>
          <w:sz w:val="22"/>
        </w:rPr>
        <w:t>Multikolinearitas</w:t>
      </w:r>
    </w:p>
    <w:p>
      <w:pPr>
        <w:pStyle w:val="BodyText"/>
        <w:spacing w:before="9"/>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5"/>
        <w:gridCol w:w="2641"/>
        <w:gridCol w:w="2644"/>
      </w:tblGrid>
      <w:tr>
        <w:trPr>
          <w:trHeight w:val="230" w:hRule="atLeast"/>
        </w:trPr>
        <w:tc>
          <w:tcPr>
            <w:tcW w:w="7930" w:type="dxa"/>
            <w:gridSpan w:val="3"/>
          </w:tcPr>
          <w:p>
            <w:pPr>
              <w:pStyle w:val="TableParagraph"/>
              <w:spacing w:line="210" w:lineRule="exact"/>
              <w:ind w:left="3" w:right="1"/>
              <w:jc w:val="center"/>
              <w:rPr>
                <w:b/>
                <w:sz w:val="20"/>
              </w:rPr>
            </w:pPr>
            <w:r>
              <w:rPr>
                <w:b/>
                <w:color w:val="000104"/>
                <w:spacing w:val="-2"/>
                <w:sz w:val="20"/>
              </w:rPr>
              <w:t>Coefficients</w:t>
            </w:r>
            <w:r>
              <w:rPr>
                <w:b/>
                <w:color w:val="000104"/>
                <w:spacing w:val="-2"/>
                <w:sz w:val="20"/>
                <w:vertAlign w:val="superscript"/>
              </w:rPr>
              <w:t>a</w:t>
            </w:r>
          </w:p>
        </w:tc>
      </w:tr>
      <w:tr>
        <w:trPr>
          <w:trHeight w:val="230" w:hRule="atLeast"/>
        </w:trPr>
        <w:tc>
          <w:tcPr>
            <w:tcW w:w="2645" w:type="dxa"/>
            <w:vMerge w:val="restart"/>
          </w:tcPr>
          <w:p>
            <w:pPr>
              <w:pStyle w:val="TableParagraph"/>
              <w:spacing w:before="112"/>
              <w:ind w:left="106"/>
              <w:rPr>
                <w:sz w:val="20"/>
              </w:rPr>
            </w:pPr>
            <w:r>
              <w:rPr>
                <w:spacing w:val="-2"/>
                <w:sz w:val="20"/>
              </w:rPr>
              <w:t>Model</w:t>
            </w:r>
          </w:p>
        </w:tc>
        <w:tc>
          <w:tcPr>
            <w:tcW w:w="5285" w:type="dxa"/>
            <w:gridSpan w:val="2"/>
          </w:tcPr>
          <w:p>
            <w:pPr>
              <w:pStyle w:val="TableParagraph"/>
              <w:spacing w:line="210" w:lineRule="exact"/>
              <w:ind w:left="1719"/>
              <w:rPr>
                <w:b/>
                <w:sz w:val="20"/>
              </w:rPr>
            </w:pPr>
            <w:r>
              <w:rPr>
                <w:b/>
                <w:sz w:val="20"/>
              </w:rPr>
              <w:t>Collinearity</w:t>
            </w:r>
            <w:r>
              <w:rPr>
                <w:b/>
                <w:spacing w:val="-6"/>
                <w:sz w:val="20"/>
              </w:rPr>
              <w:t> </w:t>
            </w:r>
            <w:r>
              <w:rPr>
                <w:b/>
                <w:spacing w:val="-2"/>
                <w:sz w:val="20"/>
              </w:rPr>
              <w:t>Statistics</w:t>
            </w:r>
          </w:p>
        </w:tc>
      </w:tr>
      <w:tr>
        <w:trPr>
          <w:trHeight w:val="230" w:hRule="atLeast"/>
        </w:trPr>
        <w:tc>
          <w:tcPr>
            <w:tcW w:w="2645" w:type="dxa"/>
            <w:vMerge/>
            <w:tcBorders>
              <w:top w:val="nil"/>
            </w:tcBorders>
          </w:tcPr>
          <w:p>
            <w:pPr>
              <w:rPr>
                <w:sz w:val="2"/>
                <w:szCs w:val="2"/>
              </w:rPr>
            </w:pPr>
          </w:p>
        </w:tc>
        <w:tc>
          <w:tcPr>
            <w:tcW w:w="2641" w:type="dxa"/>
          </w:tcPr>
          <w:p>
            <w:pPr>
              <w:pStyle w:val="TableParagraph"/>
              <w:spacing w:line="210" w:lineRule="exact"/>
              <w:ind w:left="7"/>
              <w:jc w:val="center"/>
              <w:rPr>
                <w:b/>
                <w:sz w:val="20"/>
              </w:rPr>
            </w:pPr>
            <w:r>
              <w:rPr>
                <w:b/>
                <w:spacing w:val="-2"/>
                <w:sz w:val="20"/>
              </w:rPr>
              <w:t>Tolerance</w:t>
            </w:r>
          </w:p>
        </w:tc>
        <w:tc>
          <w:tcPr>
            <w:tcW w:w="2644" w:type="dxa"/>
          </w:tcPr>
          <w:p>
            <w:pPr>
              <w:pStyle w:val="TableParagraph"/>
              <w:spacing w:line="210" w:lineRule="exact"/>
              <w:ind w:left="2"/>
              <w:jc w:val="center"/>
              <w:rPr>
                <w:b/>
                <w:sz w:val="20"/>
              </w:rPr>
            </w:pPr>
            <w:r>
              <w:rPr>
                <w:b/>
                <w:spacing w:val="-5"/>
                <w:sz w:val="20"/>
              </w:rPr>
              <w:t>VIF</w:t>
            </w:r>
          </w:p>
        </w:tc>
      </w:tr>
      <w:tr>
        <w:trPr>
          <w:trHeight w:val="230" w:hRule="atLeast"/>
        </w:trPr>
        <w:tc>
          <w:tcPr>
            <w:tcW w:w="2645" w:type="dxa"/>
          </w:tcPr>
          <w:p>
            <w:pPr>
              <w:pStyle w:val="TableParagraph"/>
              <w:spacing w:line="210" w:lineRule="exact"/>
              <w:ind w:left="167"/>
              <w:rPr>
                <w:sz w:val="20"/>
              </w:rPr>
            </w:pPr>
            <w:r>
              <w:rPr>
                <w:spacing w:val="-2"/>
                <w:sz w:val="20"/>
              </w:rPr>
              <w:t>Leverage</w:t>
            </w:r>
          </w:p>
        </w:tc>
        <w:tc>
          <w:tcPr>
            <w:tcW w:w="2641" w:type="dxa"/>
          </w:tcPr>
          <w:p>
            <w:pPr>
              <w:pStyle w:val="TableParagraph"/>
              <w:spacing w:line="210" w:lineRule="exact"/>
              <w:ind w:right="153"/>
              <w:jc w:val="right"/>
              <w:rPr>
                <w:sz w:val="20"/>
              </w:rPr>
            </w:pPr>
            <w:r>
              <w:rPr>
                <w:spacing w:val="-4"/>
                <w:sz w:val="20"/>
              </w:rPr>
              <w:t>,483</w:t>
            </w:r>
          </w:p>
        </w:tc>
        <w:tc>
          <w:tcPr>
            <w:tcW w:w="2644" w:type="dxa"/>
          </w:tcPr>
          <w:p>
            <w:pPr>
              <w:pStyle w:val="TableParagraph"/>
              <w:spacing w:line="210" w:lineRule="exact"/>
              <w:ind w:right="156"/>
              <w:jc w:val="right"/>
              <w:rPr>
                <w:sz w:val="20"/>
              </w:rPr>
            </w:pPr>
            <w:r>
              <w:rPr>
                <w:spacing w:val="-2"/>
                <w:sz w:val="20"/>
              </w:rPr>
              <w:t>2,071</w:t>
            </w:r>
          </w:p>
        </w:tc>
      </w:tr>
      <w:tr>
        <w:trPr>
          <w:trHeight w:val="230" w:hRule="atLeast"/>
        </w:trPr>
        <w:tc>
          <w:tcPr>
            <w:tcW w:w="2645" w:type="dxa"/>
          </w:tcPr>
          <w:p>
            <w:pPr>
              <w:pStyle w:val="TableParagraph"/>
              <w:spacing w:line="211" w:lineRule="exact"/>
              <w:ind w:left="167"/>
              <w:rPr>
                <w:sz w:val="20"/>
              </w:rPr>
            </w:pPr>
            <w:r>
              <w:rPr>
                <w:sz w:val="20"/>
              </w:rPr>
              <w:t>Debt</w:t>
            </w:r>
            <w:r>
              <w:rPr>
                <w:spacing w:val="-2"/>
                <w:sz w:val="20"/>
              </w:rPr>
              <w:t> Maturity</w:t>
            </w:r>
          </w:p>
        </w:tc>
        <w:tc>
          <w:tcPr>
            <w:tcW w:w="2641" w:type="dxa"/>
          </w:tcPr>
          <w:p>
            <w:pPr>
              <w:pStyle w:val="TableParagraph"/>
              <w:spacing w:line="211" w:lineRule="exact"/>
              <w:ind w:right="153"/>
              <w:jc w:val="right"/>
              <w:rPr>
                <w:sz w:val="20"/>
              </w:rPr>
            </w:pPr>
            <w:r>
              <w:rPr>
                <w:spacing w:val="-4"/>
                <w:sz w:val="20"/>
              </w:rPr>
              <w:t>,639</w:t>
            </w:r>
          </w:p>
        </w:tc>
        <w:tc>
          <w:tcPr>
            <w:tcW w:w="2644" w:type="dxa"/>
          </w:tcPr>
          <w:p>
            <w:pPr>
              <w:pStyle w:val="TableParagraph"/>
              <w:spacing w:line="211" w:lineRule="exact"/>
              <w:ind w:right="156"/>
              <w:jc w:val="right"/>
              <w:rPr>
                <w:sz w:val="20"/>
              </w:rPr>
            </w:pPr>
            <w:r>
              <w:rPr>
                <w:spacing w:val="-2"/>
                <w:sz w:val="20"/>
              </w:rPr>
              <w:t>1,564</w:t>
            </w:r>
          </w:p>
        </w:tc>
      </w:tr>
      <w:tr>
        <w:trPr>
          <w:trHeight w:val="230" w:hRule="atLeast"/>
        </w:trPr>
        <w:tc>
          <w:tcPr>
            <w:tcW w:w="2645" w:type="dxa"/>
          </w:tcPr>
          <w:p>
            <w:pPr>
              <w:pStyle w:val="TableParagraph"/>
              <w:spacing w:line="210" w:lineRule="exact"/>
              <w:ind w:left="167"/>
              <w:rPr>
                <w:sz w:val="20"/>
              </w:rPr>
            </w:pPr>
            <w:r>
              <w:rPr>
                <w:sz w:val="20"/>
              </w:rPr>
              <w:t>Assurance</w:t>
            </w:r>
            <w:r>
              <w:rPr>
                <w:spacing w:val="-10"/>
                <w:sz w:val="20"/>
              </w:rPr>
              <w:t> </w:t>
            </w:r>
            <w:r>
              <w:rPr>
                <w:spacing w:val="-2"/>
                <w:sz w:val="20"/>
              </w:rPr>
              <w:t>Tenure</w:t>
            </w:r>
          </w:p>
        </w:tc>
        <w:tc>
          <w:tcPr>
            <w:tcW w:w="2641" w:type="dxa"/>
          </w:tcPr>
          <w:p>
            <w:pPr>
              <w:pStyle w:val="TableParagraph"/>
              <w:spacing w:line="210" w:lineRule="exact"/>
              <w:ind w:right="153"/>
              <w:jc w:val="right"/>
              <w:rPr>
                <w:sz w:val="20"/>
              </w:rPr>
            </w:pPr>
            <w:r>
              <w:rPr>
                <w:spacing w:val="-4"/>
                <w:sz w:val="20"/>
              </w:rPr>
              <w:t>,612</w:t>
            </w:r>
          </w:p>
        </w:tc>
        <w:tc>
          <w:tcPr>
            <w:tcW w:w="2644" w:type="dxa"/>
          </w:tcPr>
          <w:p>
            <w:pPr>
              <w:pStyle w:val="TableParagraph"/>
              <w:spacing w:line="210" w:lineRule="exact"/>
              <w:ind w:right="156"/>
              <w:jc w:val="right"/>
              <w:rPr>
                <w:sz w:val="20"/>
              </w:rPr>
            </w:pPr>
            <w:r>
              <w:rPr>
                <w:spacing w:val="-2"/>
                <w:sz w:val="20"/>
              </w:rPr>
              <w:t>1,635</w:t>
            </w:r>
          </w:p>
        </w:tc>
      </w:tr>
      <w:tr>
        <w:trPr>
          <w:trHeight w:val="230" w:hRule="atLeast"/>
        </w:trPr>
        <w:tc>
          <w:tcPr>
            <w:tcW w:w="7930" w:type="dxa"/>
            <w:gridSpan w:val="3"/>
          </w:tcPr>
          <w:p>
            <w:pPr>
              <w:pStyle w:val="TableParagraph"/>
              <w:spacing w:line="210" w:lineRule="exact"/>
              <w:ind w:left="167"/>
              <w:rPr>
                <w:sz w:val="20"/>
              </w:rPr>
            </w:pPr>
            <w:r>
              <w:rPr>
                <w:color w:val="000104"/>
                <w:sz w:val="20"/>
              </w:rPr>
              <w:t>a.</w:t>
            </w:r>
            <w:r>
              <w:rPr>
                <w:color w:val="000104"/>
                <w:spacing w:val="-13"/>
                <w:sz w:val="20"/>
              </w:rPr>
              <w:t> </w:t>
            </w:r>
            <w:r>
              <w:rPr>
                <w:color w:val="000104"/>
                <w:sz w:val="20"/>
              </w:rPr>
              <w:t>Dependent</w:t>
            </w:r>
            <w:r>
              <w:rPr>
                <w:color w:val="000104"/>
                <w:spacing w:val="-10"/>
                <w:sz w:val="20"/>
              </w:rPr>
              <w:t> </w:t>
            </w:r>
            <w:r>
              <w:rPr>
                <w:color w:val="000104"/>
                <w:sz w:val="20"/>
              </w:rPr>
              <w:t>Variable:</w:t>
            </w:r>
            <w:r>
              <w:rPr>
                <w:color w:val="000104"/>
                <w:spacing w:val="-9"/>
                <w:sz w:val="20"/>
              </w:rPr>
              <w:t> </w:t>
            </w:r>
            <w:r>
              <w:rPr>
                <w:color w:val="000104"/>
                <w:sz w:val="20"/>
              </w:rPr>
              <w:t>Sustainability</w:t>
            </w:r>
            <w:r>
              <w:rPr>
                <w:color w:val="000104"/>
                <w:spacing w:val="-12"/>
                <w:sz w:val="20"/>
              </w:rPr>
              <w:t> </w:t>
            </w:r>
            <w:r>
              <w:rPr>
                <w:color w:val="000104"/>
                <w:sz w:val="20"/>
              </w:rPr>
              <w:t>Assurance</w:t>
            </w:r>
            <w:r>
              <w:rPr>
                <w:color w:val="000104"/>
                <w:spacing w:val="-7"/>
                <w:sz w:val="20"/>
              </w:rPr>
              <w:t> </w:t>
            </w:r>
            <w:r>
              <w:rPr>
                <w:color w:val="000104"/>
                <w:spacing w:val="-2"/>
                <w:sz w:val="20"/>
              </w:rPr>
              <w:t>Quality</w:t>
            </w:r>
          </w:p>
        </w:tc>
      </w:tr>
    </w:tbl>
    <w:p>
      <w:pPr>
        <w:spacing w:before="0"/>
        <w:ind w:left="568" w:right="0" w:firstLine="0"/>
        <w:jc w:val="both"/>
        <w:rPr>
          <w:i/>
          <w:sz w:val="24"/>
        </w:rPr>
      </w:pPr>
      <w:r>
        <w:rPr>
          <w:i/>
          <w:sz w:val="24"/>
        </w:rPr>
        <w:t>Sumber:</w:t>
      </w:r>
      <w:r>
        <w:rPr>
          <w:i/>
          <w:spacing w:val="-2"/>
          <w:sz w:val="24"/>
        </w:rPr>
        <w:t> </w:t>
      </w:r>
      <w:r>
        <w:rPr>
          <w:i/>
          <w:sz w:val="24"/>
        </w:rPr>
        <w:t>Data</w:t>
      </w:r>
      <w:r>
        <w:rPr>
          <w:i/>
          <w:spacing w:val="-1"/>
          <w:sz w:val="24"/>
        </w:rPr>
        <w:t> </w:t>
      </w:r>
      <w:r>
        <w:rPr>
          <w:i/>
          <w:sz w:val="24"/>
        </w:rPr>
        <w:t>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66"/>
        <w:ind w:left="568" w:right="567" w:firstLine="720"/>
        <w:jc w:val="both"/>
      </w:pPr>
      <w:r>
        <w:rPr/>
        <w:t>Hasil</w:t>
      </w:r>
      <w:r>
        <w:rPr>
          <w:spacing w:val="-8"/>
        </w:rPr>
        <w:t> </w:t>
      </w:r>
      <w:r>
        <w:rPr/>
        <w:t>uji</w:t>
      </w:r>
      <w:r>
        <w:rPr>
          <w:spacing w:val="-8"/>
        </w:rPr>
        <w:t> </w:t>
      </w:r>
      <w:r>
        <w:rPr/>
        <w:t>multikolinearitas</w:t>
      </w:r>
      <w:r>
        <w:rPr>
          <w:spacing w:val="-10"/>
        </w:rPr>
        <w:t> </w:t>
      </w:r>
      <w:r>
        <w:rPr/>
        <w:t>menunjukkan</w:t>
      </w:r>
      <w:r>
        <w:rPr>
          <w:spacing w:val="-2"/>
        </w:rPr>
        <w:t> </w:t>
      </w:r>
      <w:r>
        <w:rPr/>
        <w:t>bahwa</w:t>
      </w:r>
      <w:r>
        <w:rPr>
          <w:spacing w:val="-8"/>
        </w:rPr>
        <w:t> </w:t>
      </w:r>
      <w:r>
        <w:rPr/>
        <w:t>semua</w:t>
      </w:r>
      <w:r>
        <w:rPr>
          <w:spacing w:val="-8"/>
        </w:rPr>
        <w:t> </w:t>
      </w:r>
      <w:r>
        <w:rPr/>
        <w:t>variabel</w:t>
      </w:r>
      <w:r>
        <w:rPr>
          <w:spacing w:val="-8"/>
        </w:rPr>
        <w:t> </w:t>
      </w:r>
      <w:r>
        <w:rPr/>
        <w:t>independen memiliki nilai </w:t>
      </w:r>
      <w:r>
        <w:rPr>
          <w:i/>
        </w:rPr>
        <w:t>Tolerance </w:t>
      </w:r>
      <w:r>
        <w:rPr/>
        <w:t>&gt; 0,10 dan VIF &lt; 10, yaitu:</w:t>
      </w:r>
    </w:p>
    <w:p>
      <w:pPr>
        <w:pStyle w:val="ListParagraph"/>
        <w:numPr>
          <w:ilvl w:val="4"/>
          <w:numId w:val="32"/>
        </w:numPr>
        <w:tabs>
          <w:tab w:pos="1288" w:val="left" w:leader="none"/>
        </w:tabs>
        <w:spacing w:line="240" w:lineRule="auto" w:before="1" w:after="0"/>
        <w:ind w:left="1288" w:right="0" w:hanging="360"/>
        <w:jc w:val="left"/>
        <w:rPr>
          <w:sz w:val="24"/>
        </w:rPr>
      </w:pPr>
      <w:r>
        <w:rPr>
          <w:i/>
          <w:sz w:val="24"/>
        </w:rPr>
        <w:t>Leverage:</w:t>
      </w:r>
      <w:r>
        <w:rPr>
          <w:i/>
          <w:spacing w:val="-3"/>
          <w:sz w:val="24"/>
        </w:rPr>
        <w:t> </w:t>
      </w:r>
      <w:r>
        <w:rPr>
          <w:i/>
          <w:sz w:val="24"/>
        </w:rPr>
        <w:t>Tolerance</w:t>
      </w:r>
      <w:r>
        <w:rPr>
          <w:i/>
          <w:spacing w:val="-1"/>
          <w:sz w:val="24"/>
        </w:rPr>
        <w:t> </w:t>
      </w:r>
      <w:r>
        <w:rPr>
          <w:sz w:val="24"/>
        </w:rPr>
        <w:t>=</w:t>
      </w:r>
      <w:r>
        <w:rPr>
          <w:spacing w:val="-1"/>
          <w:sz w:val="24"/>
        </w:rPr>
        <w:t> </w:t>
      </w:r>
      <w:r>
        <w:rPr>
          <w:sz w:val="24"/>
        </w:rPr>
        <w:t>0,483;</w:t>
      </w:r>
      <w:r>
        <w:rPr>
          <w:spacing w:val="1"/>
          <w:sz w:val="24"/>
        </w:rPr>
        <w:t> </w:t>
      </w:r>
      <w:r>
        <w:rPr>
          <w:sz w:val="24"/>
        </w:rPr>
        <w:t>VIF</w:t>
      </w:r>
      <w:r>
        <w:rPr>
          <w:spacing w:val="-7"/>
          <w:sz w:val="24"/>
        </w:rPr>
        <w:t> </w:t>
      </w:r>
      <w:r>
        <w:rPr>
          <w:sz w:val="24"/>
        </w:rPr>
        <w:t>= </w:t>
      </w:r>
      <w:r>
        <w:rPr>
          <w:spacing w:val="-2"/>
          <w:sz w:val="24"/>
        </w:rPr>
        <w:t>2,071</w:t>
      </w:r>
    </w:p>
    <w:p>
      <w:pPr>
        <w:pStyle w:val="BodyText"/>
      </w:pPr>
    </w:p>
    <w:p>
      <w:pPr>
        <w:pStyle w:val="ListParagraph"/>
        <w:numPr>
          <w:ilvl w:val="4"/>
          <w:numId w:val="32"/>
        </w:numPr>
        <w:tabs>
          <w:tab w:pos="1287" w:val="left" w:leader="none"/>
        </w:tabs>
        <w:spacing w:line="240" w:lineRule="auto" w:before="0" w:after="0"/>
        <w:ind w:left="1287" w:right="0" w:hanging="359"/>
        <w:jc w:val="left"/>
        <w:rPr>
          <w:sz w:val="24"/>
        </w:rPr>
      </w:pPr>
      <w:r>
        <w:rPr>
          <w:i/>
          <w:sz w:val="24"/>
        </w:rPr>
        <w:t>Debt</w:t>
      </w:r>
      <w:r>
        <w:rPr>
          <w:i/>
          <w:spacing w:val="-2"/>
          <w:sz w:val="24"/>
        </w:rPr>
        <w:t> </w:t>
      </w:r>
      <w:r>
        <w:rPr>
          <w:i/>
          <w:sz w:val="24"/>
        </w:rPr>
        <w:t>Maturity:</w:t>
      </w:r>
      <w:r>
        <w:rPr>
          <w:i/>
          <w:spacing w:val="-2"/>
          <w:sz w:val="24"/>
        </w:rPr>
        <w:t> </w:t>
      </w:r>
      <w:r>
        <w:rPr>
          <w:i/>
          <w:sz w:val="24"/>
        </w:rPr>
        <w:t>Tolerance</w:t>
      </w:r>
      <w:r>
        <w:rPr>
          <w:i/>
          <w:spacing w:val="2"/>
          <w:sz w:val="24"/>
        </w:rPr>
        <w:t> </w:t>
      </w:r>
      <w:r>
        <w:rPr>
          <w:sz w:val="24"/>
        </w:rPr>
        <w:t>=</w:t>
      </w:r>
      <w:r>
        <w:rPr>
          <w:spacing w:val="-1"/>
          <w:sz w:val="24"/>
        </w:rPr>
        <w:t> </w:t>
      </w:r>
      <w:r>
        <w:rPr>
          <w:sz w:val="24"/>
        </w:rPr>
        <w:t>0,639;</w:t>
      </w:r>
      <w:r>
        <w:rPr>
          <w:spacing w:val="-2"/>
          <w:sz w:val="24"/>
        </w:rPr>
        <w:t> </w:t>
      </w:r>
      <w:r>
        <w:rPr>
          <w:sz w:val="24"/>
        </w:rPr>
        <w:t>VIF</w:t>
      </w:r>
      <w:r>
        <w:rPr>
          <w:spacing w:val="-8"/>
          <w:sz w:val="24"/>
        </w:rPr>
        <w:t> </w:t>
      </w:r>
      <w:r>
        <w:rPr>
          <w:sz w:val="24"/>
        </w:rPr>
        <w:t>=</w:t>
      </w:r>
      <w:r>
        <w:rPr>
          <w:spacing w:val="3"/>
          <w:sz w:val="24"/>
        </w:rPr>
        <w:t> </w:t>
      </w:r>
      <w:r>
        <w:rPr>
          <w:spacing w:val="-2"/>
          <w:sz w:val="24"/>
        </w:rPr>
        <w:t>1,564</w:t>
      </w:r>
    </w:p>
    <w:p>
      <w:pPr>
        <w:pStyle w:val="BodyText"/>
      </w:pPr>
    </w:p>
    <w:p>
      <w:pPr>
        <w:pStyle w:val="ListParagraph"/>
        <w:numPr>
          <w:ilvl w:val="4"/>
          <w:numId w:val="32"/>
        </w:numPr>
        <w:tabs>
          <w:tab w:pos="1288" w:val="left" w:leader="none"/>
        </w:tabs>
        <w:spacing w:line="240" w:lineRule="auto" w:before="0" w:after="0"/>
        <w:ind w:left="1288" w:right="0" w:hanging="360"/>
        <w:jc w:val="left"/>
        <w:rPr>
          <w:sz w:val="24"/>
        </w:rPr>
      </w:pPr>
      <w:r>
        <w:rPr>
          <w:i/>
          <w:sz w:val="24"/>
        </w:rPr>
        <w:t>Assurance</w:t>
      </w:r>
      <w:r>
        <w:rPr>
          <w:i/>
          <w:spacing w:val="-2"/>
          <w:sz w:val="24"/>
        </w:rPr>
        <w:t> </w:t>
      </w:r>
      <w:r>
        <w:rPr>
          <w:i/>
          <w:sz w:val="24"/>
        </w:rPr>
        <w:t>Tenure:</w:t>
      </w:r>
      <w:r>
        <w:rPr>
          <w:i/>
          <w:spacing w:val="-2"/>
          <w:sz w:val="24"/>
        </w:rPr>
        <w:t> </w:t>
      </w:r>
      <w:r>
        <w:rPr>
          <w:i/>
          <w:sz w:val="24"/>
        </w:rPr>
        <w:t>Tolerance</w:t>
      </w:r>
      <w:r>
        <w:rPr>
          <w:i/>
          <w:spacing w:val="2"/>
          <w:sz w:val="24"/>
        </w:rPr>
        <w:t> </w:t>
      </w:r>
      <w:r>
        <w:rPr>
          <w:sz w:val="24"/>
        </w:rPr>
        <w:t>=</w:t>
      </w:r>
      <w:r>
        <w:rPr>
          <w:spacing w:val="-2"/>
          <w:sz w:val="24"/>
        </w:rPr>
        <w:t> </w:t>
      </w:r>
      <w:r>
        <w:rPr>
          <w:sz w:val="24"/>
        </w:rPr>
        <w:t>0,612;</w:t>
      </w:r>
      <w:r>
        <w:rPr>
          <w:spacing w:val="-1"/>
          <w:sz w:val="24"/>
        </w:rPr>
        <w:t> </w:t>
      </w:r>
      <w:r>
        <w:rPr>
          <w:sz w:val="24"/>
        </w:rPr>
        <w:t>VIF</w:t>
      </w:r>
      <w:r>
        <w:rPr>
          <w:spacing w:val="-7"/>
          <w:sz w:val="24"/>
        </w:rPr>
        <w:t> </w:t>
      </w:r>
      <w:r>
        <w:rPr>
          <w:sz w:val="24"/>
        </w:rPr>
        <w:t>=</w:t>
      </w:r>
      <w:r>
        <w:rPr>
          <w:spacing w:val="-2"/>
          <w:sz w:val="24"/>
        </w:rPr>
        <w:t> 1,635</w:t>
      </w:r>
    </w:p>
    <w:p>
      <w:pPr>
        <w:pStyle w:val="BodyText"/>
      </w:pPr>
    </w:p>
    <w:p>
      <w:pPr>
        <w:pStyle w:val="BodyText"/>
        <w:spacing w:line="480" w:lineRule="auto"/>
        <w:ind w:left="568" w:right="562" w:firstLine="720"/>
        <w:jc w:val="both"/>
      </w:pPr>
      <w:r>
        <w:rPr/>
        <w:t>Nilai tersebut menunjukkan bahwa tidak terjadi multikolinearitas antar variabel independen dalam model.</w:t>
      </w:r>
    </w:p>
    <w:p>
      <w:pPr>
        <w:pStyle w:val="BodyText"/>
        <w:spacing w:after="0" w:line="480" w:lineRule="auto"/>
        <w:jc w:val="both"/>
        <w:sectPr>
          <w:pgSz w:w="11910" w:h="16840"/>
          <w:pgMar w:header="710" w:footer="0" w:top="1920" w:bottom="280" w:left="1700" w:right="1133"/>
        </w:sectPr>
      </w:pPr>
    </w:p>
    <w:p>
      <w:pPr>
        <w:pStyle w:val="BodyText"/>
        <w:spacing w:before="56"/>
      </w:pPr>
    </w:p>
    <w:p>
      <w:pPr>
        <w:pStyle w:val="Heading3"/>
        <w:numPr>
          <w:ilvl w:val="3"/>
          <w:numId w:val="32"/>
        </w:numPr>
        <w:tabs>
          <w:tab w:pos="1288" w:val="left" w:leader="none"/>
        </w:tabs>
        <w:spacing w:line="240" w:lineRule="auto" w:before="0" w:after="0"/>
        <w:ind w:left="1288" w:right="0" w:hanging="720"/>
        <w:jc w:val="both"/>
      </w:pPr>
      <w:bookmarkStart w:name="_bookmark62" w:id="63"/>
      <w:bookmarkEnd w:id="63"/>
      <w:r>
        <w:rPr>
          <w:b w:val="0"/>
        </w:rPr>
      </w:r>
      <w:r>
        <w:rPr/>
        <w:t>Uji</w:t>
      </w:r>
      <w:r>
        <w:rPr>
          <w:spacing w:val="-1"/>
        </w:rPr>
        <w:t> </w:t>
      </w:r>
      <w:r>
        <w:rPr>
          <w:spacing w:val="-2"/>
        </w:rPr>
        <w:t>Heterokedastisitas</w:t>
      </w:r>
    </w:p>
    <w:p>
      <w:pPr>
        <w:pStyle w:val="BodyText"/>
        <w:spacing w:line="480" w:lineRule="auto" w:before="252"/>
        <w:ind w:left="568" w:right="560" w:firstLine="720"/>
        <w:jc w:val="both"/>
      </w:pPr>
      <w:r>
        <w:rPr/>
        <w:t>Uji Heterokedastisitas dilakukan untuk mengetahui ada atau tidaknya adanya ketidaksamaan varian residual untuk semua pengamatan pada model regresi. Dalam penelitian uji heterokedastisitas ini digunakan metode </w:t>
      </w:r>
      <w:r>
        <w:rPr>
          <w:i/>
        </w:rPr>
        <w:t>Glejser</w:t>
      </w:r>
      <w:r>
        <w:rPr/>
        <w:t>. Metode</w:t>
      </w:r>
      <w:r>
        <w:rPr>
          <w:spacing w:val="-11"/>
        </w:rPr>
        <w:t> </w:t>
      </w:r>
      <w:r>
        <w:rPr/>
        <w:t>ini</w:t>
      </w:r>
      <w:r>
        <w:rPr>
          <w:spacing w:val="-8"/>
        </w:rPr>
        <w:t> </w:t>
      </w:r>
      <w:r>
        <w:rPr/>
        <w:t>dilakukan</w:t>
      </w:r>
      <w:r>
        <w:rPr>
          <w:spacing w:val="-9"/>
        </w:rPr>
        <w:t> </w:t>
      </w:r>
      <w:r>
        <w:rPr/>
        <w:t>dengan</w:t>
      </w:r>
      <w:r>
        <w:rPr>
          <w:spacing w:val="-9"/>
        </w:rPr>
        <w:t> </w:t>
      </w:r>
      <w:r>
        <w:rPr/>
        <w:t>cara</w:t>
      </w:r>
      <w:r>
        <w:rPr>
          <w:spacing w:val="-7"/>
        </w:rPr>
        <w:t> </w:t>
      </w:r>
      <w:r>
        <w:rPr/>
        <w:t>meregresikan</w:t>
      </w:r>
      <w:r>
        <w:rPr>
          <w:spacing w:val="-9"/>
        </w:rPr>
        <w:t> </w:t>
      </w:r>
      <w:r>
        <w:rPr/>
        <w:t>variabel</w:t>
      </w:r>
      <w:r>
        <w:rPr>
          <w:spacing w:val="-8"/>
        </w:rPr>
        <w:t> </w:t>
      </w:r>
      <w:r>
        <w:rPr/>
        <w:t>independen</w:t>
      </w:r>
      <w:r>
        <w:rPr>
          <w:spacing w:val="-9"/>
        </w:rPr>
        <w:t> </w:t>
      </w:r>
      <w:r>
        <w:rPr/>
        <w:t>terhadap</w:t>
      </w:r>
      <w:r>
        <w:rPr>
          <w:spacing w:val="-13"/>
        </w:rPr>
        <w:t> </w:t>
      </w:r>
      <w:r>
        <w:rPr/>
        <w:t>nilai </w:t>
      </w:r>
      <w:r>
        <w:rPr>
          <w:i/>
        </w:rPr>
        <w:t>Absolute Residual </w:t>
      </w:r>
      <w:r>
        <w:rPr/>
        <w:t>atau Abs_RES dengan rumus persamaan regresinya. Apabila nilai signifikansinya (Sig.) lebih besar dari 0,05, maka tidak terjadi gejala heterokedastisitas dalam model regresi. Hasil dari pengujian heterokedastisitas dapat dilihat pada tabel 4.5 dibawah ini:</w:t>
      </w:r>
    </w:p>
    <w:p>
      <w:pPr>
        <w:spacing w:before="169"/>
        <w:ind w:left="358" w:right="360" w:firstLine="0"/>
        <w:jc w:val="center"/>
        <w:rPr>
          <w:b/>
          <w:sz w:val="22"/>
        </w:rPr>
      </w:pPr>
      <w:r>
        <w:rPr>
          <w:b/>
          <w:sz w:val="22"/>
        </w:rPr>
        <w:t>Tabel</w:t>
      </w:r>
      <w:r>
        <w:rPr>
          <w:b/>
          <w:spacing w:val="-7"/>
          <w:sz w:val="22"/>
        </w:rPr>
        <w:t> </w:t>
      </w:r>
      <w:r>
        <w:rPr>
          <w:b/>
          <w:sz w:val="22"/>
        </w:rPr>
        <w:t>4.5</w:t>
      </w:r>
      <w:r>
        <w:rPr>
          <w:b/>
          <w:spacing w:val="-8"/>
          <w:sz w:val="22"/>
        </w:rPr>
        <w:t> </w:t>
      </w:r>
      <w:r>
        <w:rPr>
          <w:b/>
          <w:sz w:val="22"/>
        </w:rPr>
        <w:t>Hasil</w:t>
      </w:r>
      <w:r>
        <w:rPr>
          <w:b/>
          <w:spacing w:val="-7"/>
          <w:sz w:val="22"/>
        </w:rPr>
        <w:t> </w:t>
      </w:r>
      <w:r>
        <w:rPr>
          <w:b/>
          <w:sz w:val="22"/>
        </w:rPr>
        <w:t>Uji</w:t>
      </w:r>
      <w:r>
        <w:rPr>
          <w:b/>
          <w:spacing w:val="-7"/>
          <w:sz w:val="22"/>
        </w:rPr>
        <w:t> </w:t>
      </w:r>
      <w:r>
        <w:rPr>
          <w:b/>
          <w:spacing w:val="-2"/>
          <w:sz w:val="22"/>
        </w:rPr>
        <w:t>Heterokedastisitas</w:t>
      </w:r>
    </w:p>
    <w:p>
      <w:pPr>
        <w:pStyle w:val="BodyText"/>
        <w:spacing w:before="8" w:after="1"/>
        <w:rPr>
          <w:b/>
          <w:sz w:val="17"/>
        </w:rPr>
      </w:pPr>
    </w:p>
    <w:tbl>
      <w:tblPr>
        <w:tblW w:w="0" w:type="auto"/>
        <w:jc w:val="left"/>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1968"/>
        <w:gridCol w:w="1972"/>
        <w:gridCol w:w="1972"/>
      </w:tblGrid>
      <w:tr>
        <w:trPr>
          <w:trHeight w:val="258" w:hRule="atLeast"/>
        </w:trPr>
        <w:tc>
          <w:tcPr>
            <w:tcW w:w="7885" w:type="dxa"/>
            <w:gridSpan w:val="4"/>
          </w:tcPr>
          <w:p>
            <w:pPr>
              <w:pStyle w:val="TableParagraph"/>
              <w:spacing w:line="226" w:lineRule="exact"/>
              <w:ind w:left="15"/>
              <w:jc w:val="center"/>
              <w:rPr>
                <w:b/>
                <w:sz w:val="20"/>
              </w:rPr>
            </w:pPr>
            <w:r>
              <w:rPr>
                <w:b/>
                <w:color w:val="000104"/>
                <w:spacing w:val="-2"/>
                <w:sz w:val="20"/>
              </w:rPr>
              <w:t>Coefficients</w:t>
            </w:r>
            <w:r>
              <w:rPr>
                <w:b/>
                <w:color w:val="000104"/>
                <w:spacing w:val="-2"/>
                <w:sz w:val="20"/>
                <w:vertAlign w:val="superscript"/>
              </w:rPr>
              <w:t>a</w:t>
            </w:r>
          </w:p>
        </w:tc>
      </w:tr>
      <w:tr>
        <w:trPr>
          <w:trHeight w:val="261" w:hRule="atLeast"/>
        </w:trPr>
        <w:tc>
          <w:tcPr>
            <w:tcW w:w="1973" w:type="dxa"/>
            <w:vMerge w:val="restart"/>
          </w:tcPr>
          <w:p>
            <w:pPr>
              <w:pStyle w:val="TableParagraph"/>
              <w:spacing w:before="156"/>
              <w:ind w:left="10"/>
              <w:jc w:val="center"/>
              <w:rPr>
                <w:sz w:val="20"/>
              </w:rPr>
            </w:pPr>
            <w:r>
              <w:rPr>
                <w:spacing w:val="-2"/>
                <w:sz w:val="20"/>
              </w:rPr>
              <w:t>Model</w:t>
            </w:r>
          </w:p>
        </w:tc>
        <w:tc>
          <w:tcPr>
            <w:tcW w:w="5912" w:type="dxa"/>
            <w:gridSpan w:val="3"/>
          </w:tcPr>
          <w:p>
            <w:pPr>
              <w:pStyle w:val="TableParagraph"/>
              <w:spacing w:line="226" w:lineRule="exact"/>
              <w:ind w:left="1919"/>
              <w:rPr>
                <w:sz w:val="20"/>
              </w:rPr>
            </w:pPr>
            <w:r>
              <w:rPr>
                <w:sz w:val="20"/>
              </w:rPr>
              <w:t>Standardized</w:t>
            </w:r>
            <w:r>
              <w:rPr>
                <w:spacing w:val="-7"/>
                <w:sz w:val="20"/>
              </w:rPr>
              <w:t> </w:t>
            </w:r>
            <w:r>
              <w:rPr>
                <w:spacing w:val="-2"/>
                <w:sz w:val="20"/>
              </w:rPr>
              <w:t>Coefficients</w:t>
            </w:r>
          </w:p>
        </w:tc>
      </w:tr>
      <w:tr>
        <w:trPr>
          <w:trHeight w:val="278" w:hRule="atLeast"/>
        </w:trPr>
        <w:tc>
          <w:tcPr>
            <w:tcW w:w="1973" w:type="dxa"/>
            <w:vMerge/>
            <w:tcBorders>
              <w:top w:val="nil"/>
            </w:tcBorders>
          </w:tcPr>
          <w:p>
            <w:pPr>
              <w:rPr>
                <w:sz w:val="2"/>
                <w:szCs w:val="2"/>
              </w:rPr>
            </w:pPr>
          </w:p>
        </w:tc>
        <w:tc>
          <w:tcPr>
            <w:tcW w:w="1968" w:type="dxa"/>
          </w:tcPr>
          <w:p>
            <w:pPr>
              <w:pStyle w:val="TableParagraph"/>
              <w:spacing w:line="226" w:lineRule="exact"/>
              <w:ind w:left="8"/>
              <w:jc w:val="center"/>
              <w:rPr>
                <w:sz w:val="20"/>
              </w:rPr>
            </w:pPr>
            <w:r>
              <w:rPr>
                <w:spacing w:val="-4"/>
                <w:sz w:val="20"/>
              </w:rPr>
              <w:t>Beta</w:t>
            </w:r>
          </w:p>
        </w:tc>
        <w:tc>
          <w:tcPr>
            <w:tcW w:w="1972" w:type="dxa"/>
          </w:tcPr>
          <w:p>
            <w:pPr>
              <w:pStyle w:val="TableParagraph"/>
              <w:spacing w:line="226" w:lineRule="exact"/>
              <w:ind w:left="13"/>
              <w:jc w:val="center"/>
              <w:rPr>
                <w:sz w:val="20"/>
              </w:rPr>
            </w:pPr>
            <w:r>
              <w:rPr>
                <w:spacing w:val="-10"/>
                <w:sz w:val="20"/>
              </w:rPr>
              <w:t>t</w:t>
            </w:r>
          </w:p>
        </w:tc>
        <w:tc>
          <w:tcPr>
            <w:tcW w:w="1972" w:type="dxa"/>
          </w:tcPr>
          <w:p>
            <w:pPr>
              <w:pStyle w:val="TableParagraph"/>
              <w:spacing w:line="226" w:lineRule="exact"/>
              <w:ind w:left="13" w:right="5"/>
              <w:jc w:val="center"/>
              <w:rPr>
                <w:sz w:val="20"/>
              </w:rPr>
            </w:pPr>
            <w:r>
              <w:rPr>
                <w:spacing w:val="-4"/>
                <w:sz w:val="20"/>
              </w:rPr>
              <w:t>Sig.</w:t>
            </w:r>
          </w:p>
        </w:tc>
      </w:tr>
      <w:tr>
        <w:trPr>
          <w:trHeight w:val="401" w:hRule="atLeast"/>
        </w:trPr>
        <w:tc>
          <w:tcPr>
            <w:tcW w:w="1973" w:type="dxa"/>
          </w:tcPr>
          <w:p>
            <w:pPr>
              <w:pStyle w:val="TableParagraph"/>
              <w:spacing w:before="80"/>
              <w:ind w:left="171"/>
              <w:rPr>
                <w:sz w:val="20"/>
              </w:rPr>
            </w:pPr>
            <w:r>
              <w:rPr>
                <w:spacing w:val="-2"/>
                <w:sz w:val="20"/>
              </w:rPr>
              <w:t>(Constant)</w:t>
            </w:r>
          </w:p>
        </w:tc>
        <w:tc>
          <w:tcPr>
            <w:tcW w:w="1968" w:type="dxa"/>
          </w:tcPr>
          <w:p>
            <w:pPr>
              <w:pStyle w:val="TableParagraph"/>
              <w:rPr>
                <w:sz w:val="22"/>
              </w:rPr>
            </w:pPr>
          </w:p>
        </w:tc>
        <w:tc>
          <w:tcPr>
            <w:tcW w:w="1972" w:type="dxa"/>
          </w:tcPr>
          <w:p>
            <w:pPr>
              <w:pStyle w:val="TableParagraph"/>
              <w:spacing w:before="80"/>
              <w:ind w:right="156"/>
              <w:jc w:val="right"/>
              <w:rPr>
                <w:sz w:val="20"/>
              </w:rPr>
            </w:pPr>
            <w:r>
              <w:rPr>
                <w:color w:val="000104"/>
                <w:spacing w:val="-2"/>
                <w:sz w:val="20"/>
              </w:rPr>
              <w:t>2,477</w:t>
            </w:r>
          </w:p>
        </w:tc>
        <w:tc>
          <w:tcPr>
            <w:tcW w:w="1972" w:type="dxa"/>
          </w:tcPr>
          <w:p>
            <w:pPr>
              <w:pStyle w:val="TableParagraph"/>
              <w:spacing w:before="80"/>
              <w:ind w:right="155"/>
              <w:jc w:val="right"/>
              <w:rPr>
                <w:sz w:val="20"/>
              </w:rPr>
            </w:pPr>
            <w:r>
              <w:rPr>
                <w:color w:val="000104"/>
                <w:spacing w:val="-4"/>
                <w:sz w:val="20"/>
              </w:rPr>
              <w:t>,020</w:t>
            </w:r>
          </w:p>
        </w:tc>
      </w:tr>
      <w:tr>
        <w:trPr>
          <w:trHeight w:val="402" w:hRule="atLeast"/>
        </w:trPr>
        <w:tc>
          <w:tcPr>
            <w:tcW w:w="1973" w:type="dxa"/>
          </w:tcPr>
          <w:p>
            <w:pPr>
              <w:pStyle w:val="TableParagraph"/>
              <w:spacing w:before="80"/>
              <w:ind w:left="171"/>
              <w:rPr>
                <w:sz w:val="20"/>
              </w:rPr>
            </w:pPr>
            <w:r>
              <w:rPr>
                <w:spacing w:val="-2"/>
                <w:sz w:val="20"/>
              </w:rPr>
              <w:t>Leverage</w:t>
            </w:r>
          </w:p>
        </w:tc>
        <w:tc>
          <w:tcPr>
            <w:tcW w:w="1968" w:type="dxa"/>
          </w:tcPr>
          <w:p>
            <w:pPr>
              <w:pStyle w:val="TableParagraph"/>
              <w:spacing w:before="80"/>
              <w:ind w:right="152"/>
              <w:jc w:val="right"/>
              <w:rPr>
                <w:sz w:val="20"/>
              </w:rPr>
            </w:pPr>
            <w:r>
              <w:rPr>
                <w:color w:val="000104"/>
                <w:sz w:val="20"/>
              </w:rPr>
              <w:t>-</w:t>
            </w:r>
            <w:r>
              <w:rPr>
                <w:color w:val="000104"/>
                <w:spacing w:val="-4"/>
                <w:sz w:val="20"/>
              </w:rPr>
              <w:t>,290</w:t>
            </w:r>
          </w:p>
        </w:tc>
        <w:tc>
          <w:tcPr>
            <w:tcW w:w="1972" w:type="dxa"/>
          </w:tcPr>
          <w:p>
            <w:pPr>
              <w:pStyle w:val="TableParagraph"/>
              <w:spacing w:before="80"/>
              <w:ind w:right="152"/>
              <w:jc w:val="right"/>
              <w:rPr>
                <w:sz w:val="20"/>
              </w:rPr>
            </w:pPr>
            <w:r>
              <w:rPr>
                <w:color w:val="000104"/>
                <w:sz w:val="20"/>
              </w:rPr>
              <w:t>-</w:t>
            </w:r>
            <w:r>
              <w:rPr>
                <w:color w:val="000104"/>
                <w:spacing w:val="-2"/>
                <w:sz w:val="20"/>
              </w:rPr>
              <w:t>1,094</w:t>
            </w:r>
          </w:p>
        </w:tc>
        <w:tc>
          <w:tcPr>
            <w:tcW w:w="1972" w:type="dxa"/>
          </w:tcPr>
          <w:p>
            <w:pPr>
              <w:pStyle w:val="TableParagraph"/>
              <w:spacing w:before="80"/>
              <w:ind w:right="155"/>
              <w:jc w:val="right"/>
              <w:rPr>
                <w:sz w:val="20"/>
              </w:rPr>
            </w:pPr>
            <w:r>
              <w:rPr>
                <w:color w:val="000104"/>
                <w:spacing w:val="-4"/>
                <w:sz w:val="20"/>
              </w:rPr>
              <w:t>,283</w:t>
            </w:r>
          </w:p>
        </w:tc>
      </w:tr>
      <w:tr>
        <w:trPr>
          <w:trHeight w:val="402" w:hRule="atLeast"/>
        </w:trPr>
        <w:tc>
          <w:tcPr>
            <w:tcW w:w="1973" w:type="dxa"/>
          </w:tcPr>
          <w:p>
            <w:pPr>
              <w:pStyle w:val="TableParagraph"/>
              <w:spacing w:before="80"/>
              <w:ind w:left="171"/>
              <w:rPr>
                <w:sz w:val="20"/>
              </w:rPr>
            </w:pPr>
            <w:r>
              <w:rPr>
                <w:sz w:val="20"/>
              </w:rPr>
              <w:t>Debt</w:t>
            </w:r>
            <w:r>
              <w:rPr>
                <w:spacing w:val="-2"/>
                <w:sz w:val="20"/>
              </w:rPr>
              <w:t> Maturity</w:t>
            </w:r>
          </w:p>
        </w:tc>
        <w:tc>
          <w:tcPr>
            <w:tcW w:w="1968" w:type="dxa"/>
          </w:tcPr>
          <w:p>
            <w:pPr>
              <w:pStyle w:val="TableParagraph"/>
              <w:spacing w:before="80"/>
              <w:ind w:right="156"/>
              <w:jc w:val="right"/>
              <w:rPr>
                <w:sz w:val="20"/>
              </w:rPr>
            </w:pPr>
            <w:r>
              <w:rPr>
                <w:color w:val="000104"/>
                <w:spacing w:val="-4"/>
                <w:sz w:val="20"/>
              </w:rPr>
              <w:t>,229</w:t>
            </w:r>
          </w:p>
        </w:tc>
        <w:tc>
          <w:tcPr>
            <w:tcW w:w="1972" w:type="dxa"/>
          </w:tcPr>
          <w:p>
            <w:pPr>
              <w:pStyle w:val="TableParagraph"/>
              <w:spacing w:before="80"/>
              <w:ind w:right="156"/>
              <w:jc w:val="right"/>
              <w:rPr>
                <w:sz w:val="20"/>
              </w:rPr>
            </w:pPr>
            <w:r>
              <w:rPr>
                <w:color w:val="000104"/>
                <w:spacing w:val="-4"/>
                <w:sz w:val="20"/>
              </w:rPr>
              <w:t>,993</w:t>
            </w:r>
          </w:p>
        </w:tc>
        <w:tc>
          <w:tcPr>
            <w:tcW w:w="1972" w:type="dxa"/>
          </w:tcPr>
          <w:p>
            <w:pPr>
              <w:pStyle w:val="TableParagraph"/>
              <w:spacing w:before="80"/>
              <w:ind w:right="155"/>
              <w:jc w:val="right"/>
              <w:rPr>
                <w:sz w:val="20"/>
              </w:rPr>
            </w:pPr>
            <w:r>
              <w:rPr>
                <w:color w:val="000104"/>
                <w:spacing w:val="-4"/>
                <w:sz w:val="20"/>
              </w:rPr>
              <w:t>,329</w:t>
            </w:r>
          </w:p>
        </w:tc>
      </w:tr>
      <w:tr>
        <w:trPr>
          <w:trHeight w:val="662" w:hRule="atLeast"/>
        </w:trPr>
        <w:tc>
          <w:tcPr>
            <w:tcW w:w="1973" w:type="dxa"/>
          </w:tcPr>
          <w:p>
            <w:pPr>
              <w:pStyle w:val="TableParagraph"/>
              <w:spacing w:before="208"/>
              <w:ind w:left="171"/>
              <w:rPr>
                <w:sz w:val="20"/>
              </w:rPr>
            </w:pPr>
            <w:r>
              <w:rPr>
                <w:sz w:val="20"/>
              </w:rPr>
              <w:t>Assurance</w:t>
            </w:r>
            <w:r>
              <w:rPr>
                <w:spacing w:val="-10"/>
                <w:sz w:val="20"/>
              </w:rPr>
              <w:t> </w:t>
            </w:r>
            <w:r>
              <w:rPr>
                <w:spacing w:val="-2"/>
                <w:sz w:val="20"/>
              </w:rPr>
              <w:t>Tenure</w:t>
            </w:r>
          </w:p>
        </w:tc>
        <w:tc>
          <w:tcPr>
            <w:tcW w:w="1968" w:type="dxa"/>
          </w:tcPr>
          <w:p>
            <w:pPr>
              <w:pStyle w:val="TableParagraph"/>
              <w:spacing w:before="208"/>
              <w:ind w:right="152"/>
              <w:jc w:val="right"/>
              <w:rPr>
                <w:sz w:val="20"/>
              </w:rPr>
            </w:pPr>
            <w:r>
              <w:rPr>
                <w:color w:val="000104"/>
                <w:sz w:val="20"/>
              </w:rPr>
              <w:t>-</w:t>
            </w:r>
            <w:r>
              <w:rPr>
                <w:color w:val="000104"/>
                <w:spacing w:val="-4"/>
                <w:sz w:val="20"/>
              </w:rPr>
              <w:t>,228</w:t>
            </w:r>
          </w:p>
        </w:tc>
        <w:tc>
          <w:tcPr>
            <w:tcW w:w="1972" w:type="dxa"/>
          </w:tcPr>
          <w:p>
            <w:pPr>
              <w:pStyle w:val="TableParagraph"/>
              <w:spacing w:before="208"/>
              <w:ind w:right="152"/>
              <w:jc w:val="right"/>
              <w:rPr>
                <w:sz w:val="20"/>
              </w:rPr>
            </w:pPr>
            <w:r>
              <w:rPr>
                <w:color w:val="000104"/>
                <w:sz w:val="20"/>
              </w:rPr>
              <w:t>-</w:t>
            </w:r>
            <w:r>
              <w:rPr>
                <w:color w:val="000104"/>
                <w:spacing w:val="-4"/>
                <w:sz w:val="20"/>
              </w:rPr>
              <w:t>,969</w:t>
            </w:r>
          </w:p>
        </w:tc>
        <w:tc>
          <w:tcPr>
            <w:tcW w:w="1972" w:type="dxa"/>
          </w:tcPr>
          <w:p>
            <w:pPr>
              <w:pStyle w:val="TableParagraph"/>
              <w:spacing w:before="208"/>
              <w:ind w:right="155"/>
              <w:jc w:val="right"/>
              <w:rPr>
                <w:sz w:val="20"/>
              </w:rPr>
            </w:pPr>
            <w:r>
              <w:rPr>
                <w:color w:val="000104"/>
                <w:spacing w:val="-4"/>
                <w:sz w:val="20"/>
              </w:rPr>
              <w:t>,341</w:t>
            </w:r>
          </w:p>
        </w:tc>
      </w:tr>
      <w:tr>
        <w:trPr>
          <w:trHeight w:val="401" w:hRule="atLeast"/>
        </w:trPr>
        <w:tc>
          <w:tcPr>
            <w:tcW w:w="7885" w:type="dxa"/>
            <w:gridSpan w:val="4"/>
          </w:tcPr>
          <w:p>
            <w:pPr>
              <w:pStyle w:val="TableParagraph"/>
              <w:spacing w:before="80"/>
              <w:ind w:left="171"/>
              <w:rPr>
                <w:sz w:val="20"/>
              </w:rPr>
            </w:pPr>
            <w:r>
              <w:rPr>
                <w:spacing w:val="-2"/>
                <w:sz w:val="20"/>
              </w:rPr>
              <w:t>a.</w:t>
            </w:r>
            <w:r>
              <w:rPr>
                <w:spacing w:val="3"/>
                <w:sz w:val="20"/>
              </w:rPr>
              <w:t> </w:t>
            </w:r>
            <w:r>
              <w:rPr>
                <w:spacing w:val="-2"/>
                <w:sz w:val="20"/>
              </w:rPr>
              <w:t>Dependent</w:t>
            </w:r>
            <w:r>
              <w:rPr>
                <w:spacing w:val="2"/>
                <w:sz w:val="20"/>
              </w:rPr>
              <w:t> </w:t>
            </w:r>
            <w:r>
              <w:rPr>
                <w:spacing w:val="-2"/>
                <w:sz w:val="20"/>
              </w:rPr>
              <w:t>Variable:</w:t>
            </w:r>
            <w:r>
              <w:rPr>
                <w:spacing w:val="-6"/>
                <w:sz w:val="20"/>
              </w:rPr>
              <w:t> </w:t>
            </w:r>
            <w:r>
              <w:rPr>
                <w:spacing w:val="-2"/>
                <w:sz w:val="20"/>
              </w:rPr>
              <w:t>Abs_RES</w:t>
            </w:r>
          </w:p>
        </w:tc>
      </w:tr>
    </w:tbl>
    <w:p>
      <w:pPr>
        <w:spacing w:before="0"/>
        <w:ind w:left="568" w:right="0" w:firstLine="0"/>
        <w:jc w:val="left"/>
        <w:rPr>
          <w:i/>
          <w:sz w:val="24"/>
        </w:rPr>
      </w:pPr>
      <w:r>
        <w:rPr>
          <w:i/>
          <w:sz w:val="24"/>
        </w:rPr>
        <w:t>Sumber:</w:t>
      </w:r>
      <w:r>
        <w:rPr>
          <w:i/>
          <w:spacing w:val="-2"/>
          <w:sz w:val="24"/>
        </w:rPr>
        <w:t> </w:t>
      </w:r>
      <w:r>
        <w:rPr>
          <w:i/>
          <w:sz w:val="24"/>
        </w:rPr>
        <w:t>Data</w:t>
      </w:r>
      <w:r>
        <w:rPr>
          <w:i/>
          <w:spacing w:val="-1"/>
          <w:sz w:val="24"/>
        </w:rPr>
        <w:t> </w:t>
      </w:r>
      <w:r>
        <w:rPr>
          <w:i/>
          <w:sz w:val="24"/>
        </w:rPr>
        <w:t>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70"/>
        <w:ind w:left="568" w:right="567" w:firstLine="720"/>
        <w:jc w:val="both"/>
        <w:rPr>
          <w:b/>
        </w:rPr>
      </w:pPr>
      <w:r>
        <w:rPr/>
        <w:t>Hasil pengujian heteroskedastisitas ini menghasilkan nilai signifikansi untuk</w:t>
      </w:r>
      <w:r>
        <w:rPr>
          <w:spacing w:val="-15"/>
        </w:rPr>
        <w:t> </w:t>
      </w:r>
      <w:r>
        <w:rPr/>
        <w:t>setiap</w:t>
      </w:r>
      <w:r>
        <w:rPr>
          <w:spacing w:val="-15"/>
        </w:rPr>
        <w:t> </w:t>
      </w:r>
      <w:r>
        <w:rPr/>
        <w:t>variabel</w:t>
      </w:r>
      <w:r>
        <w:rPr>
          <w:spacing w:val="-15"/>
        </w:rPr>
        <w:t> </w:t>
      </w:r>
      <w:r>
        <w:rPr/>
        <w:t>independen</w:t>
      </w:r>
      <w:r>
        <w:rPr>
          <w:spacing w:val="-15"/>
        </w:rPr>
        <w:t> </w:t>
      </w:r>
      <w:r>
        <w:rPr/>
        <w:t>lebih</w:t>
      </w:r>
      <w:r>
        <w:rPr>
          <w:spacing w:val="-15"/>
        </w:rPr>
        <w:t> </w:t>
      </w:r>
      <w:r>
        <w:rPr/>
        <w:t>besar</w:t>
      </w:r>
      <w:r>
        <w:rPr>
          <w:spacing w:val="-15"/>
        </w:rPr>
        <w:t> </w:t>
      </w:r>
      <w:r>
        <w:rPr/>
        <w:t>dari</w:t>
      </w:r>
      <w:r>
        <w:rPr>
          <w:spacing w:val="-15"/>
        </w:rPr>
        <w:t> </w:t>
      </w:r>
      <w:r>
        <w:rPr/>
        <w:t>0,05,</w:t>
      </w:r>
      <w:r>
        <w:rPr>
          <w:spacing w:val="-15"/>
        </w:rPr>
        <w:t> </w:t>
      </w:r>
      <w:r>
        <w:rPr/>
        <w:t>yaitu</w:t>
      </w:r>
      <w:r>
        <w:rPr>
          <w:spacing w:val="-15"/>
        </w:rPr>
        <w:t> </w:t>
      </w:r>
      <w:r>
        <w:rPr/>
        <w:t>Leverage</w:t>
      </w:r>
      <w:r>
        <w:rPr>
          <w:spacing w:val="-15"/>
        </w:rPr>
        <w:t> </w:t>
      </w:r>
      <w:r>
        <w:rPr/>
        <w:t>(0,283),</w:t>
      </w:r>
      <w:r>
        <w:rPr>
          <w:spacing w:val="-15"/>
        </w:rPr>
        <w:t> </w:t>
      </w:r>
      <w:r>
        <w:rPr/>
        <w:t>Debt Maturity (0,329), dan Assurance Tenure (0,341). Hal ini menunjukkan bahwa model tidak mengalami gejala heteroskedastisitas</w:t>
      </w:r>
      <w:r>
        <w:rPr>
          <w:b/>
        </w:rPr>
        <w:t>.</w:t>
      </w:r>
    </w:p>
    <w:p>
      <w:pPr>
        <w:pStyle w:val="BodyText"/>
        <w:spacing w:after="0" w:line="480" w:lineRule="auto"/>
        <w:jc w:val="both"/>
        <w:rPr>
          <w:b/>
        </w:rPr>
        <w:sectPr>
          <w:pgSz w:w="11910" w:h="16840"/>
          <w:pgMar w:header="710" w:footer="0" w:top="1920" w:bottom="280" w:left="1700" w:right="1133"/>
        </w:sectPr>
      </w:pPr>
    </w:p>
    <w:p>
      <w:pPr>
        <w:pStyle w:val="BodyText"/>
        <w:spacing w:before="56"/>
        <w:rPr>
          <w:b/>
        </w:rPr>
      </w:pPr>
    </w:p>
    <w:p>
      <w:pPr>
        <w:pStyle w:val="Heading3"/>
        <w:numPr>
          <w:ilvl w:val="3"/>
          <w:numId w:val="32"/>
        </w:numPr>
        <w:tabs>
          <w:tab w:pos="1288" w:val="left" w:leader="none"/>
        </w:tabs>
        <w:spacing w:line="240" w:lineRule="auto" w:before="0" w:after="0"/>
        <w:ind w:left="1288" w:right="0" w:hanging="720"/>
        <w:jc w:val="both"/>
      </w:pPr>
      <w:bookmarkStart w:name="_bookmark63" w:id="64"/>
      <w:bookmarkEnd w:id="64"/>
      <w:r>
        <w:rPr>
          <w:b w:val="0"/>
        </w:rPr>
      </w:r>
      <w:r>
        <w:rPr/>
        <w:t>Uji</w:t>
      </w:r>
      <w:r>
        <w:rPr>
          <w:spacing w:val="-1"/>
        </w:rPr>
        <w:t> </w:t>
      </w:r>
      <w:r>
        <w:rPr>
          <w:spacing w:val="-2"/>
        </w:rPr>
        <w:t>Autokorelasi</w:t>
      </w:r>
    </w:p>
    <w:p>
      <w:pPr>
        <w:pStyle w:val="BodyText"/>
        <w:spacing w:line="480" w:lineRule="auto" w:before="252"/>
        <w:ind w:left="568" w:right="563" w:firstLine="720"/>
        <w:jc w:val="both"/>
      </w:pPr>
      <w:r>
        <w:rPr/>
        <w:t>Uji autokorelasi dilakukan untuk menilai apakah terdapat hubungan sistematis antara residual pada suatu observasi dengan residual pada observasi lainnya</w:t>
      </w:r>
      <w:r>
        <w:rPr>
          <w:spacing w:val="-7"/>
        </w:rPr>
        <w:t> </w:t>
      </w:r>
      <w:r>
        <w:rPr/>
        <w:t>yang</w:t>
      </w:r>
      <w:r>
        <w:rPr>
          <w:spacing w:val="-15"/>
        </w:rPr>
        <w:t> </w:t>
      </w:r>
      <w:r>
        <w:rPr/>
        <w:t>tersusun</w:t>
      </w:r>
      <w:r>
        <w:rPr>
          <w:spacing w:val="-11"/>
        </w:rPr>
        <w:t> </w:t>
      </w:r>
      <w:r>
        <w:rPr/>
        <w:t>dalam</w:t>
      </w:r>
      <w:r>
        <w:rPr>
          <w:spacing w:val="-10"/>
        </w:rPr>
        <w:t> </w:t>
      </w:r>
      <w:r>
        <w:rPr/>
        <w:t>urutan</w:t>
      </w:r>
      <w:r>
        <w:rPr>
          <w:spacing w:val="-11"/>
        </w:rPr>
        <w:t> </w:t>
      </w:r>
      <w:r>
        <w:rPr/>
        <w:t>waktu</w:t>
      </w:r>
      <w:r>
        <w:rPr>
          <w:spacing w:val="-15"/>
        </w:rPr>
        <w:t> </w:t>
      </w:r>
      <w:r>
        <w:rPr/>
        <w:t>tertentu</w:t>
      </w:r>
      <w:r>
        <w:rPr>
          <w:spacing w:val="-11"/>
        </w:rPr>
        <w:t> </w:t>
      </w:r>
      <w:r>
        <w:rPr/>
        <w:t>dalam</w:t>
      </w:r>
      <w:r>
        <w:rPr>
          <w:spacing w:val="-10"/>
        </w:rPr>
        <w:t> </w:t>
      </w:r>
      <w:r>
        <w:rPr/>
        <w:t>model</w:t>
      </w:r>
      <w:r>
        <w:rPr>
          <w:spacing w:val="-10"/>
        </w:rPr>
        <w:t> </w:t>
      </w:r>
      <w:r>
        <w:rPr/>
        <w:t>regresi</w:t>
      </w:r>
      <w:r>
        <w:rPr>
          <w:spacing w:val="-10"/>
        </w:rPr>
        <w:t> </w:t>
      </w:r>
      <w:r>
        <w:rPr/>
        <w:t>linier.</w:t>
      </w:r>
      <w:r>
        <w:rPr>
          <w:spacing w:val="-11"/>
        </w:rPr>
        <w:t> </w:t>
      </w:r>
      <w:r>
        <w:rPr/>
        <w:t>Pada penelitian ini, metode Durbin–Watson digunakan sebagai prosedur untuk mengidentifikasi keberadaan autokorelasi. Gejala autokorelasi dapat dihindari apabila hasil pengujian Durbin-Watson menunjukkan nilai Du&lt;DW&lt;4-Du (n=32, k=3). Berdasarkan</w:t>
      </w:r>
      <w:r>
        <w:rPr>
          <w:spacing w:val="-4"/>
        </w:rPr>
        <w:t> </w:t>
      </w:r>
      <w:r>
        <w:rPr/>
        <w:t>tabel Durbin-Watson,</w:t>
      </w:r>
      <w:r>
        <w:rPr>
          <w:spacing w:val="-1"/>
        </w:rPr>
        <w:t> </w:t>
      </w:r>
      <w:r>
        <w:rPr/>
        <w:t>penelitian</w:t>
      </w:r>
      <w:r>
        <w:rPr>
          <w:spacing w:val="-5"/>
        </w:rPr>
        <w:t> </w:t>
      </w:r>
      <w:r>
        <w:rPr/>
        <w:t>ini memiliki nilai</w:t>
      </w:r>
      <w:r>
        <w:rPr>
          <w:spacing w:val="-3"/>
        </w:rPr>
        <w:t> </w:t>
      </w:r>
      <w:r>
        <w:rPr/>
        <w:t>Du</w:t>
      </w:r>
      <w:r>
        <w:rPr>
          <w:spacing w:val="-1"/>
        </w:rPr>
        <w:t> </w:t>
      </w:r>
      <w:r>
        <w:rPr/>
        <w:t>= 1,6505 dan 4-Du = 2,3495. Hasil dari pengujian autokorelasi dapat dilihat pada tabel 4.6 dibawah ini:</w:t>
      </w:r>
    </w:p>
    <w:p>
      <w:pPr>
        <w:spacing w:before="169"/>
        <w:ind w:left="358" w:right="360" w:firstLine="0"/>
        <w:jc w:val="center"/>
        <w:rPr>
          <w:b/>
          <w:sz w:val="22"/>
        </w:rPr>
      </w:pPr>
      <w:r>
        <w:rPr>
          <w:b/>
          <w:sz w:val="22"/>
        </w:rPr>
        <w:t>Tabel</w:t>
      </w:r>
      <w:r>
        <w:rPr>
          <w:b/>
          <w:spacing w:val="-12"/>
          <w:sz w:val="22"/>
        </w:rPr>
        <w:t> </w:t>
      </w:r>
      <w:r>
        <w:rPr>
          <w:b/>
          <w:sz w:val="22"/>
        </w:rPr>
        <w:t>4.6</w:t>
      </w:r>
      <w:r>
        <w:rPr>
          <w:b/>
          <w:spacing w:val="-8"/>
          <w:sz w:val="22"/>
        </w:rPr>
        <w:t> </w:t>
      </w:r>
      <w:r>
        <w:rPr>
          <w:b/>
          <w:sz w:val="22"/>
        </w:rPr>
        <w:t>Hasil</w:t>
      </w:r>
      <w:r>
        <w:rPr>
          <w:b/>
          <w:spacing w:val="-8"/>
          <w:sz w:val="22"/>
        </w:rPr>
        <w:t> </w:t>
      </w:r>
      <w:r>
        <w:rPr>
          <w:b/>
          <w:sz w:val="22"/>
        </w:rPr>
        <w:t>Uji</w:t>
      </w:r>
      <w:r>
        <w:rPr>
          <w:b/>
          <w:spacing w:val="-13"/>
          <w:sz w:val="22"/>
        </w:rPr>
        <w:t> </w:t>
      </w:r>
      <w:r>
        <w:rPr>
          <w:b/>
          <w:spacing w:val="-2"/>
          <w:sz w:val="22"/>
        </w:rPr>
        <w:t>Autokorelasi</w:t>
      </w:r>
    </w:p>
    <w:p>
      <w:pPr>
        <w:pStyle w:val="BodyText"/>
        <w:spacing w:before="9"/>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264"/>
        <w:gridCol w:w="1264"/>
        <w:gridCol w:w="1280"/>
        <w:gridCol w:w="1588"/>
        <w:gridCol w:w="1272"/>
      </w:tblGrid>
      <w:tr>
        <w:trPr>
          <w:trHeight w:val="230" w:hRule="atLeast"/>
        </w:trPr>
        <w:tc>
          <w:tcPr>
            <w:tcW w:w="7928" w:type="dxa"/>
            <w:gridSpan w:val="6"/>
          </w:tcPr>
          <w:p>
            <w:pPr>
              <w:pStyle w:val="TableParagraph"/>
              <w:spacing w:line="210" w:lineRule="exact"/>
              <w:ind w:left="8" w:right="1"/>
              <w:jc w:val="center"/>
              <w:rPr>
                <w:b/>
                <w:sz w:val="20"/>
              </w:rPr>
            </w:pPr>
            <w:r>
              <w:rPr>
                <w:b/>
                <w:color w:val="000104"/>
                <w:sz w:val="20"/>
              </w:rPr>
              <w:t>Model</w:t>
            </w:r>
            <w:r>
              <w:rPr>
                <w:b/>
                <w:color w:val="000104"/>
                <w:spacing w:val="-1"/>
                <w:sz w:val="20"/>
              </w:rPr>
              <w:t> </w:t>
            </w:r>
            <w:r>
              <w:rPr>
                <w:b/>
                <w:color w:val="000104"/>
                <w:spacing w:val="-2"/>
                <w:sz w:val="20"/>
              </w:rPr>
              <w:t>Summary</w:t>
            </w:r>
            <w:r>
              <w:rPr>
                <w:b/>
                <w:color w:val="000104"/>
                <w:spacing w:val="-2"/>
                <w:sz w:val="20"/>
                <w:vertAlign w:val="superscript"/>
              </w:rPr>
              <w:t>b</w:t>
            </w:r>
          </w:p>
        </w:tc>
      </w:tr>
      <w:tr>
        <w:trPr>
          <w:trHeight w:val="457" w:hRule="atLeast"/>
        </w:trPr>
        <w:tc>
          <w:tcPr>
            <w:tcW w:w="1260" w:type="dxa"/>
          </w:tcPr>
          <w:p>
            <w:pPr>
              <w:pStyle w:val="TableParagraph"/>
              <w:spacing w:before="108"/>
              <w:ind w:left="106"/>
              <w:rPr>
                <w:sz w:val="20"/>
              </w:rPr>
            </w:pPr>
            <w:r>
              <w:rPr>
                <w:spacing w:val="-2"/>
                <w:sz w:val="20"/>
              </w:rPr>
              <w:t>Model</w:t>
            </w:r>
          </w:p>
        </w:tc>
        <w:tc>
          <w:tcPr>
            <w:tcW w:w="1264" w:type="dxa"/>
          </w:tcPr>
          <w:p>
            <w:pPr>
              <w:pStyle w:val="TableParagraph"/>
              <w:spacing w:before="108"/>
              <w:ind w:left="107"/>
              <w:rPr>
                <w:sz w:val="20"/>
              </w:rPr>
            </w:pPr>
            <w:r>
              <w:rPr>
                <w:spacing w:val="-10"/>
                <w:sz w:val="20"/>
              </w:rPr>
              <w:t>R</w:t>
            </w:r>
          </w:p>
        </w:tc>
        <w:tc>
          <w:tcPr>
            <w:tcW w:w="1264" w:type="dxa"/>
          </w:tcPr>
          <w:p>
            <w:pPr>
              <w:pStyle w:val="TableParagraph"/>
              <w:spacing w:before="108"/>
              <w:ind w:left="104"/>
              <w:rPr>
                <w:sz w:val="20"/>
              </w:rPr>
            </w:pPr>
            <w:r>
              <w:rPr>
                <w:sz w:val="20"/>
              </w:rPr>
              <w:t>R </w:t>
            </w:r>
            <w:r>
              <w:rPr>
                <w:spacing w:val="-2"/>
                <w:sz w:val="20"/>
              </w:rPr>
              <w:t>Square</w:t>
            </w:r>
          </w:p>
        </w:tc>
        <w:tc>
          <w:tcPr>
            <w:tcW w:w="1280" w:type="dxa"/>
          </w:tcPr>
          <w:p>
            <w:pPr>
              <w:pStyle w:val="TableParagraph"/>
              <w:spacing w:line="222" w:lineRule="exact"/>
              <w:ind w:left="104"/>
              <w:rPr>
                <w:sz w:val="20"/>
              </w:rPr>
            </w:pPr>
            <w:r>
              <w:rPr>
                <w:sz w:val="20"/>
              </w:rPr>
              <w:t>Adjusted</w:t>
            </w:r>
            <w:r>
              <w:rPr>
                <w:spacing w:val="-7"/>
                <w:sz w:val="20"/>
              </w:rPr>
              <w:t> </w:t>
            </w:r>
            <w:r>
              <w:rPr>
                <w:spacing w:val="-10"/>
                <w:sz w:val="20"/>
              </w:rPr>
              <w:t>R</w:t>
            </w:r>
          </w:p>
          <w:p>
            <w:pPr>
              <w:pStyle w:val="TableParagraph"/>
              <w:spacing w:line="214" w:lineRule="exact" w:before="2"/>
              <w:ind w:left="104"/>
              <w:rPr>
                <w:sz w:val="20"/>
              </w:rPr>
            </w:pPr>
            <w:r>
              <w:rPr>
                <w:spacing w:val="-2"/>
                <w:sz w:val="20"/>
              </w:rPr>
              <w:t>Square</w:t>
            </w:r>
          </w:p>
        </w:tc>
        <w:tc>
          <w:tcPr>
            <w:tcW w:w="1588" w:type="dxa"/>
          </w:tcPr>
          <w:p>
            <w:pPr>
              <w:pStyle w:val="TableParagraph"/>
              <w:spacing w:before="108"/>
              <w:ind w:left="108"/>
              <w:rPr>
                <w:sz w:val="20"/>
              </w:rPr>
            </w:pPr>
            <w:r>
              <w:rPr>
                <w:sz w:val="20"/>
              </w:rPr>
              <w:t>Std.</w:t>
            </w:r>
            <w:r>
              <w:rPr>
                <w:spacing w:val="-1"/>
                <w:sz w:val="20"/>
              </w:rPr>
              <w:t> </w:t>
            </w:r>
            <w:r>
              <w:rPr>
                <w:spacing w:val="-2"/>
                <w:sz w:val="20"/>
              </w:rPr>
              <w:t>Error</w:t>
            </w:r>
          </w:p>
        </w:tc>
        <w:tc>
          <w:tcPr>
            <w:tcW w:w="1272" w:type="dxa"/>
          </w:tcPr>
          <w:p>
            <w:pPr>
              <w:pStyle w:val="TableParagraph"/>
              <w:spacing w:line="222" w:lineRule="exact"/>
              <w:ind w:left="109"/>
              <w:rPr>
                <w:sz w:val="20"/>
              </w:rPr>
            </w:pPr>
            <w:r>
              <w:rPr>
                <w:spacing w:val="-2"/>
                <w:sz w:val="20"/>
              </w:rPr>
              <w:t>Durbin-</w:t>
            </w:r>
          </w:p>
          <w:p>
            <w:pPr>
              <w:pStyle w:val="TableParagraph"/>
              <w:spacing w:line="214" w:lineRule="exact" w:before="2"/>
              <w:ind w:left="109"/>
              <w:rPr>
                <w:sz w:val="20"/>
              </w:rPr>
            </w:pPr>
            <w:r>
              <w:rPr>
                <w:spacing w:val="-2"/>
                <w:sz w:val="20"/>
              </w:rPr>
              <w:t>Watson</w:t>
            </w:r>
          </w:p>
        </w:tc>
      </w:tr>
      <w:tr>
        <w:trPr>
          <w:trHeight w:val="322" w:hRule="atLeast"/>
        </w:trPr>
        <w:tc>
          <w:tcPr>
            <w:tcW w:w="1260" w:type="dxa"/>
          </w:tcPr>
          <w:p>
            <w:pPr>
              <w:pStyle w:val="TableParagraph"/>
              <w:spacing w:line="188" w:lineRule="exact" w:before="114"/>
              <w:ind w:left="167"/>
              <w:rPr>
                <w:rFonts w:ascii="Arial MT"/>
                <w:sz w:val="18"/>
              </w:rPr>
            </w:pPr>
            <w:r>
              <w:rPr>
                <w:rFonts w:ascii="Arial MT"/>
                <w:color w:val="25495F"/>
                <w:spacing w:val="-10"/>
                <w:sz w:val="18"/>
              </w:rPr>
              <w:t>1</w:t>
            </w:r>
          </w:p>
        </w:tc>
        <w:tc>
          <w:tcPr>
            <w:tcW w:w="1264" w:type="dxa"/>
          </w:tcPr>
          <w:p>
            <w:pPr>
              <w:pStyle w:val="TableParagraph"/>
              <w:spacing w:line="188" w:lineRule="exact" w:before="114"/>
              <w:ind w:left="679"/>
              <w:rPr>
                <w:rFonts w:ascii="Arial MT"/>
                <w:position w:val="5"/>
                <w:sz w:val="12"/>
              </w:rPr>
            </w:pPr>
            <w:r>
              <w:rPr>
                <w:rFonts w:ascii="Arial MT"/>
                <w:color w:val="000104"/>
                <w:spacing w:val="-2"/>
                <w:sz w:val="18"/>
              </w:rPr>
              <w:t>,487</w:t>
            </w:r>
            <w:r>
              <w:rPr>
                <w:rFonts w:ascii="Arial MT"/>
                <w:color w:val="000104"/>
                <w:spacing w:val="-2"/>
                <w:position w:val="5"/>
                <w:sz w:val="12"/>
              </w:rPr>
              <w:t>a</w:t>
            </w:r>
          </w:p>
        </w:tc>
        <w:tc>
          <w:tcPr>
            <w:tcW w:w="1264" w:type="dxa"/>
          </w:tcPr>
          <w:p>
            <w:pPr>
              <w:pStyle w:val="TableParagraph"/>
              <w:spacing w:line="188" w:lineRule="exact" w:before="114"/>
              <w:ind w:left="740"/>
              <w:rPr>
                <w:rFonts w:ascii="Arial MT"/>
                <w:sz w:val="18"/>
              </w:rPr>
            </w:pPr>
            <w:r>
              <w:rPr>
                <w:rFonts w:ascii="Arial MT"/>
                <w:color w:val="000104"/>
                <w:spacing w:val="-4"/>
                <w:sz w:val="18"/>
              </w:rPr>
              <w:t>,237</w:t>
            </w:r>
          </w:p>
        </w:tc>
        <w:tc>
          <w:tcPr>
            <w:tcW w:w="1280" w:type="dxa"/>
          </w:tcPr>
          <w:p>
            <w:pPr>
              <w:pStyle w:val="TableParagraph"/>
              <w:spacing w:line="188" w:lineRule="exact" w:before="114"/>
              <w:ind w:left="756"/>
              <w:rPr>
                <w:rFonts w:ascii="Arial MT"/>
                <w:sz w:val="18"/>
              </w:rPr>
            </w:pPr>
            <w:r>
              <w:rPr>
                <w:rFonts w:ascii="Arial MT"/>
                <w:color w:val="000104"/>
                <w:spacing w:val="-4"/>
                <w:sz w:val="18"/>
              </w:rPr>
              <w:t>,156</w:t>
            </w:r>
          </w:p>
        </w:tc>
        <w:tc>
          <w:tcPr>
            <w:tcW w:w="1588" w:type="dxa"/>
          </w:tcPr>
          <w:p>
            <w:pPr>
              <w:pStyle w:val="TableParagraph"/>
              <w:spacing w:line="188" w:lineRule="exact" w:before="114"/>
              <w:ind w:left="168"/>
              <w:rPr>
                <w:rFonts w:ascii="Arial MT"/>
                <w:sz w:val="18"/>
              </w:rPr>
            </w:pPr>
            <w:r>
              <w:rPr>
                <w:rFonts w:ascii="Arial MT"/>
                <w:color w:val="000104"/>
                <w:spacing w:val="-2"/>
                <w:sz w:val="18"/>
              </w:rPr>
              <w:t>,125969717929</w:t>
            </w:r>
          </w:p>
        </w:tc>
        <w:tc>
          <w:tcPr>
            <w:tcW w:w="1272" w:type="dxa"/>
          </w:tcPr>
          <w:p>
            <w:pPr>
              <w:pStyle w:val="TableParagraph"/>
              <w:spacing w:line="188" w:lineRule="exact" w:before="114"/>
              <w:ind w:left="753"/>
              <w:rPr>
                <w:rFonts w:ascii="Arial MT"/>
                <w:sz w:val="18"/>
              </w:rPr>
            </w:pPr>
            <w:r>
              <w:rPr>
                <w:rFonts w:ascii="Arial MT"/>
                <w:color w:val="000104"/>
                <w:spacing w:val="-4"/>
                <w:sz w:val="18"/>
              </w:rPr>
              <w:t>,585</w:t>
            </w:r>
          </w:p>
        </w:tc>
      </w:tr>
      <w:tr>
        <w:trPr>
          <w:trHeight w:val="230" w:hRule="atLeast"/>
        </w:trPr>
        <w:tc>
          <w:tcPr>
            <w:tcW w:w="7928" w:type="dxa"/>
            <w:gridSpan w:val="6"/>
          </w:tcPr>
          <w:p>
            <w:pPr>
              <w:pStyle w:val="TableParagraph"/>
              <w:spacing w:line="210" w:lineRule="exact"/>
              <w:ind w:left="106"/>
              <w:rPr>
                <w:sz w:val="20"/>
              </w:rPr>
            </w:pPr>
            <w:r>
              <w:rPr>
                <w:color w:val="000104"/>
                <w:sz w:val="20"/>
              </w:rPr>
              <w:t>a.</w:t>
            </w:r>
            <w:r>
              <w:rPr>
                <w:color w:val="000104"/>
                <w:spacing w:val="-10"/>
                <w:sz w:val="20"/>
              </w:rPr>
              <w:t> </w:t>
            </w:r>
            <w:r>
              <w:rPr>
                <w:color w:val="000104"/>
                <w:sz w:val="20"/>
              </w:rPr>
              <w:t>Predictors:</w:t>
            </w:r>
            <w:r>
              <w:rPr>
                <w:color w:val="000104"/>
                <w:spacing w:val="-7"/>
                <w:sz w:val="20"/>
              </w:rPr>
              <w:t> </w:t>
            </w:r>
            <w:r>
              <w:rPr>
                <w:color w:val="000104"/>
                <w:sz w:val="20"/>
              </w:rPr>
              <w:t>(Constant),</w:t>
            </w:r>
            <w:r>
              <w:rPr>
                <w:color w:val="000104"/>
                <w:spacing w:val="-13"/>
                <w:sz w:val="20"/>
              </w:rPr>
              <w:t> </w:t>
            </w:r>
            <w:r>
              <w:rPr>
                <w:color w:val="000104"/>
                <w:sz w:val="20"/>
              </w:rPr>
              <w:t>Assurance</w:t>
            </w:r>
            <w:r>
              <w:rPr>
                <w:color w:val="000104"/>
                <w:spacing w:val="-11"/>
                <w:sz w:val="20"/>
              </w:rPr>
              <w:t> </w:t>
            </w:r>
            <w:r>
              <w:rPr>
                <w:color w:val="000104"/>
                <w:sz w:val="20"/>
              </w:rPr>
              <w:t>Tenure,</w:t>
            </w:r>
            <w:r>
              <w:rPr>
                <w:color w:val="000104"/>
                <w:spacing w:val="-6"/>
                <w:sz w:val="20"/>
              </w:rPr>
              <w:t> </w:t>
            </w:r>
            <w:r>
              <w:rPr>
                <w:color w:val="000104"/>
                <w:sz w:val="20"/>
              </w:rPr>
              <w:t>Debt</w:t>
            </w:r>
            <w:r>
              <w:rPr>
                <w:color w:val="000104"/>
                <w:spacing w:val="-7"/>
                <w:sz w:val="20"/>
              </w:rPr>
              <w:t> </w:t>
            </w:r>
            <w:r>
              <w:rPr>
                <w:color w:val="000104"/>
                <w:sz w:val="20"/>
              </w:rPr>
              <w:t>Maturity,</w:t>
            </w:r>
            <w:r>
              <w:rPr>
                <w:color w:val="000104"/>
                <w:spacing w:val="-6"/>
                <w:sz w:val="20"/>
              </w:rPr>
              <w:t> </w:t>
            </w:r>
            <w:r>
              <w:rPr>
                <w:color w:val="000104"/>
                <w:spacing w:val="-2"/>
                <w:sz w:val="20"/>
              </w:rPr>
              <w:t>Leverage</w:t>
            </w:r>
          </w:p>
        </w:tc>
      </w:tr>
      <w:tr>
        <w:trPr>
          <w:trHeight w:val="226" w:hRule="atLeast"/>
        </w:trPr>
        <w:tc>
          <w:tcPr>
            <w:tcW w:w="7928" w:type="dxa"/>
            <w:gridSpan w:val="6"/>
          </w:tcPr>
          <w:p>
            <w:pPr>
              <w:pStyle w:val="TableParagraph"/>
              <w:spacing w:line="206" w:lineRule="exact"/>
              <w:ind w:left="106"/>
              <w:rPr>
                <w:sz w:val="20"/>
              </w:rPr>
            </w:pPr>
            <w:r>
              <w:rPr>
                <w:color w:val="000104"/>
                <w:sz w:val="20"/>
              </w:rPr>
              <w:t>b.</w:t>
            </w:r>
            <w:r>
              <w:rPr>
                <w:color w:val="000104"/>
                <w:spacing w:val="-13"/>
                <w:sz w:val="20"/>
              </w:rPr>
              <w:t> </w:t>
            </w:r>
            <w:r>
              <w:rPr>
                <w:color w:val="000104"/>
                <w:sz w:val="20"/>
              </w:rPr>
              <w:t>Dependent</w:t>
            </w:r>
            <w:r>
              <w:rPr>
                <w:color w:val="000104"/>
                <w:spacing w:val="-10"/>
                <w:sz w:val="20"/>
              </w:rPr>
              <w:t> </w:t>
            </w:r>
            <w:r>
              <w:rPr>
                <w:color w:val="000104"/>
                <w:sz w:val="20"/>
              </w:rPr>
              <w:t>Variable:</w:t>
            </w:r>
            <w:r>
              <w:rPr>
                <w:color w:val="000104"/>
                <w:spacing w:val="-9"/>
                <w:sz w:val="20"/>
              </w:rPr>
              <w:t> </w:t>
            </w:r>
            <w:r>
              <w:rPr>
                <w:color w:val="000104"/>
                <w:sz w:val="20"/>
              </w:rPr>
              <w:t>Sustainability</w:t>
            </w:r>
            <w:r>
              <w:rPr>
                <w:color w:val="000104"/>
                <w:spacing w:val="-13"/>
                <w:sz w:val="20"/>
              </w:rPr>
              <w:t> </w:t>
            </w:r>
            <w:r>
              <w:rPr>
                <w:color w:val="000104"/>
                <w:sz w:val="20"/>
              </w:rPr>
              <w:t>Assurance</w:t>
            </w:r>
            <w:r>
              <w:rPr>
                <w:color w:val="000104"/>
                <w:spacing w:val="-9"/>
                <w:sz w:val="20"/>
              </w:rPr>
              <w:t> </w:t>
            </w:r>
            <w:r>
              <w:rPr>
                <w:color w:val="000104"/>
                <w:spacing w:val="-2"/>
                <w:sz w:val="20"/>
              </w:rPr>
              <w:t>Quality</w:t>
            </w:r>
          </w:p>
        </w:tc>
      </w:tr>
    </w:tbl>
    <w:p>
      <w:pPr>
        <w:spacing w:before="0"/>
        <w:ind w:left="568" w:right="0" w:firstLine="0"/>
        <w:jc w:val="left"/>
        <w:rPr>
          <w:i/>
          <w:sz w:val="24"/>
        </w:rPr>
      </w:pPr>
      <w:r>
        <w:rPr>
          <w:i/>
          <w:sz w:val="24"/>
        </w:rPr>
        <w:t>Sumber:</w:t>
      </w:r>
      <w:r>
        <w:rPr>
          <w:i/>
          <w:spacing w:val="-2"/>
          <w:sz w:val="24"/>
        </w:rPr>
        <w:t> </w:t>
      </w:r>
      <w:r>
        <w:rPr>
          <w:i/>
          <w:sz w:val="24"/>
        </w:rPr>
        <w:t>Data</w:t>
      </w:r>
      <w:r>
        <w:rPr>
          <w:i/>
          <w:spacing w:val="-1"/>
          <w:sz w:val="24"/>
        </w:rPr>
        <w:t> </w:t>
      </w:r>
      <w:r>
        <w:rPr>
          <w:i/>
          <w:sz w:val="24"/>
        </w:rPr>
        <w:t>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71"/>
        <w:ind w:left="568" w:right="562" w:firstLine="720"/>
        <w:jc w:val="both"/>
      </w:pPr>
      <w:r>
        <w:rPr/>
        <w:t>Berdasarkan pengujian autokorelasi, nilai Durbin-Watson (DW) sebesar 0,585</w:t>
      </w:r>
      <w:r>
        <w:rPr>
          <w:spacing w:val="-3"/>
        </w:rPr>
        <w:t> </w:t>
      </w:r>
      <w:r>
        <w:rPr/>
        <w:t>yang</w:t>
      </w:r>
      <w:r>
        <w:rPr>
          <w:spacing w:val="-10"/>
        </w:rPr>
        <w:t> </w:t>
      </w:r>
      <w:r>
        <w:rPr/>
        <w:t>menunjukkan</w:t>
      </w:r>
      <w:r>
        <w:rPr>
          <w:spacing w:val="-5"/>
        </w:rPr>
        <w:t> </w:t>
      </w:r>
      <w:r>
        <w:rPr/>
        <w:t>adanya</w:t>
      </w:r>
      <w:r>
        <w:rPr>
          <w:spacing w:val="-1"/>
        </w:rPr>
        <w:t> </w:t>
      </w:r>
      <w:r>
        <w:rPr/>
        <w:t>gejala</w:t>
      </w:r>
      <w:r>
        <w:rPr>
          <w:spacing w:val="-8"/>
        </w:rPr>
        <w:t> </w:t>
      </w:r>
      <w:r>
        <w:rPr/>
        <w:t>autokorelasi</w:t>
      </w:r>
      <w:r>
        <w:rPr>
          <w:spacing w:val="-8"/>
        </w:rPr>
        <w:t> </w:t>
      </w:r>
      <w:r>
        <w:rPr/>
        <w:t>karena</w:t>
      </w:r>
      <w:r>
        <w:rPr>
          <w:spacing w:val="-4"/>
        </w:rPr>
        <w:t> </w:t>
      </w:r>
      <w:r>
        <w:rPr/>
        <w:t>Du&gt;DW&lt;4-DW.</w:t>
      </w:r>
      <w:r>
        <w:rPr>
          <w:spacing w:val="-5"/>
        </w:rPr>
        <w:t> </w:t>
      </w:r>
      <w:r>
        <w:rPr/>
        <w:t>Oleh karena itu, diperlukan perbaikan model dengan menggunakan metode Cochrane- Orcutt. Metode Cochrane-Orcutt merupakan salah satu metode yang digunakan untuk mengatasi masalah autokorelasi, dimana data penelitian diubah menjadi bentuk lag. Berikut adalah tabel hasil perbaikan gejala autokorelasi dengan menggunakan metode Cochrane-Orcutt.</w:t>
      </w:r>
    </w:p>
    <w:p>
      <w:pPr>
        <w:pStyle w:val="BodyText"/>
        <w:spacing w:after="0" w:line="480" w:lineRule="auto"/>
        <w:jc w:val="both"/>
        <w:sectPr>
          <w:pgSz w:w="11910" w:h="16840"/>
          <w:pgMar w:header="710" w:footer="0" w:top="1920" w:bottom="280" w:left="1700" w:right="1133"/>
        </w:sectPr>
      </w:pPr>
    </w:p>
    <w:p>
      <w:pPr>
        <w:pStyle w:val="BodyText"/>
        <w:spacing w:before="78"/>
        <w:rPr>
          <w:sz w:val="22"/>
        </w:rPr>
      </w:pPr>
    </w:p>
    <w:p>
      <w:pPr>
        <w:spacing w:before="0"/>
        <w:ind w:left="358" w:right="309" w:firstLine="0"/>
        <w:jc w:val="center"/>
        <w:rPr>
          <w:b/>
          <w:sz w:val="22"/>
        </w:rPr>
      </w:pPr>
      <w:r>
        <w:rPr>
          <w:b/>
          <w:sz w:val="22"/>
        </w:rPr>
        <w:t>Tabel</w:t>
      </w:r>
      <w:r>
        <w:rPr>
          <w:b/>
          <w:spacing w:val="-12"/>
          <w:sz w:val="22"/>
        </w:rPr>
        <w:t> </w:t>
      </w:r>
      <w:r>
        <w:rPr>
          <w:b/>
          <w:sz w:val="22"/>
        </w:rPr>
        <w:t>4.7</w:t>
      </w:r>
      <w:r>
        <w:rPr>
          <w:b/>
          <w:spacing w:val="-9"/>
          <w:sz w:val="22"/>
        </w:rPr>
        <w:t> </w:t>
      </w:r>
      <w:r>
        <w:rPr>
          <w:b/>
          <w:sz w:val="22"/>
        </w:rPr>
        <w:t>Hasil</w:t>
      </w:r>
      <w:r>
        <w:rPr>
          <w:b/>
          <w:spacing w:val="-8"/>
          <w:sz w:val="22"/>
        </w:rPr>
        <w:t> </w:t>
      </w:r>
      <w:r>
        <w:rPr>
          <w:b/>
          <w:sz w:val="22"/>
        </w:rPr>
        <w:t>Uji</w:t>
      </w:r>
      <w:r>
        <w:rPr>
          <w:b/>
          <w:spacing w:val="-14"/>
          <w:sz w:val="22"/>
        </w:rPr>
        <w:t> </w:t>
      </w:r>
      <w:r>
        <w:rPr>
          <w:b/>
          <w:sz w:val="22"/>
        </w:rPr>
        <w:t>Autokorelasi</w:t>
      </w:r>
      <w:r>
        <w:rPr>
          <w:b/>
          <w:spacing w:val="-8"/>
          <w:sz w:val="22"/>
        </w:rPr>
        <w:t> </w:t>
      </w:r>
      <w:r>
        <w:rPr>
          <w:b/>
          <w:sz w:val="22"/>
        </w:rPr>
        <w:t>dengan</w:t>
      </w:r>
      <w:r>
        <w:rPr>
          <w:b/>
          <w:spacing w:val="-9"/>
          <w:sz w:val="22"/>
        </w:rPr>
        <w:t> </w:t>
      </w:r>
      <w:r>
        <w:rPr>
          <w:b/>
          <w:sz w:val="22"/>
        </w:rPr>
        <w:t>Cochrane-</w:t>
      </w:r>
      <w:r>
        <w:rPr>
          <w:b/>
          <w:spacing w:val="-2"/>
          <w:sz w:val="22"/>
        </w:rPr>
        <w:t>Orcutt</w:t>
      </w:r>
    </w:p>
    <w:p>
      <w:pPr>
        <w:pStyle w:val="BodyText"/>
        <w:spacing w:before="4" w:after="1"/>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264"/>
        <w:gridCol w:w="1264"/>
        <w:gridCol w:w="1280"/>
        <w:gridCol w:w="1588"/>
        <w:gridCol w:w="1272"/>
      </w:tblGrid>
      <w:tr>
        <w:trPr>
          <w:trHeight w:val="230" w:hRule="atLeast"/>
        </w:trPr>
        <w:tc>
          <w:tcPr>
            <w:tcW w:w="7928" w:type="dxa"/>
            <w:gridSpan w:val="6"/>
          </w:tcPr>
          <w:p>
            <w:pPr>
              <w:pStyle w:val="TableParagraph"/>
              <w:spacing w:line="210" w:lineRule="exact"/>
              <w:ind w:left="8" w:right="1"/>
              <w:jc w:val="center"/>
              <w:rPr>
                <w:b/>
                <w:sz w:val="20"/>
              </w:rPr>
            </w:pPr>
            <w:r>
              <w:rPr>
                <w:b/>
                <w:color w:val="000104"/>
                <w:sz w:val="20"/>
              </w:rPr>
              <w:t>Model</w:t>
            </w:r>
            <w:r>
              <w:rPr>
                <w:b/>
                <w:color w:val="000104"/>
                <w:spacing w:val="-1"/>
                <w:sz w:val="20"/>
              </w:rPr>
              <w:t> </w:t>
            </w:r>
            <w:r>
              <w:rPr>
                <w:b/>
                <w:color w:val="000104"/>
                <w:spacing w:val="-2"/>
                <w:sz w:val="20"/>
              </w:rPr>
              <w:t>Summary</w:t>
            </w:r>
            <w:r>
              <w:rPr>
                <w:b/>
                <w:color w:val="000104"/>
                <w:spacing w:val="-2"/>
                <w:sz w:val="20"/>
                <w:vertAlign w:val="superscript"/>
              </w:rPr>
              <w:t>b</w:t>
            </w:r>
          </w:p>
        </w:tc>
      </w:tr>
      <w:tr>
        <w:trPr>
          <w:trHeight w:val="462" w:hRule="atLeast"/>
        </w:trPr>
        <w:tc>
          <w:tcPr>
            <w:tcW w:w="1260" w:type="dxa"/>
          </w:tcPr>
          <w:p>
            <w:pPr>
              <w:pStyle w:val="TableParagraph"/>
              <w:spacing w:before="109"/>
              <w:ind w:left="106"/>
              <w:rPr>
                <w:sz w:val="20"/>
              </w:rPr>
            </w:pPr>
            <w:r>
              <w:rPr>
                <w:spacing w:val="-2"/>
                <w:sz w:val="20"/>
              </w:rPr>
              <w:t>Model</w:t>
            </w:r>
          </w:p>
        </w:tc>
        <w:tc>
          <w:tcPr>
            <w:tcW w:w="1264" w:type="dxa"/>
          </w:tcPr>
          <w:p>
            <w:pPr>
              <w:pStyle w:val="TableParagraph"/>
              <w:spacing w:before="109"/>
              <w:ind w:left="107"/>
              <w:rPr>
                <w:sz w:val="20"/>
              </w:rPr>
            </w:pPr>
            <w:r>
              <w:rPr>
                <w:spacing w:val="-10"/>
                <w:sz w:val="20"/>
              </w:rPr>
              <w:t>R</w:t>
            </w:r>
          </w:p>
        </w:tc>
        <w:tc>
          <w:tcPr>
            <w:tcW w:w="1264" w:type="dxa"/>
          </w:tcPr>
          <w:p>
            <w:pPr>
              <w:pStyle w:val="TableParagraph"/>
              <w:spacing w:before="109"/>
              <w:ind w:left="104"/>
              <w:rPr>
                <w:sz w:val="20"/>
              </w:rPr>
            </w:pPr>
            <w:r>
              <w:rPr>
                <w:sz w:val="20"/>
              </w:rPr>
              <w:t>R </w:t>
            </w:r>
            <w:r>
              <w:rPr>
                <w:spacing w:val="-2"/>
                <w:sz w:val="20"/>
              </w:rPr>
              <w:t>Square</w:t>
            </w:r>
          </w:p>
        </w:tc>
        <w:tc>
          <w:tcPr>
            <w:tcW w:w="1280" w:type="dxa"/>
          </w:tcPr>
          <w:p>
            <w:pPr>
              <w:pStyle w:val="TableParagraph"/>
              <w:spacing w:line="228" w:lineRule="exact"/>
              <w:ind w:left="104" w:right="253"/>
              <w:rPr>
                <w:sz w:val="20"/>
              </w:rPr>
            </w:pPr>
            <w:r>
              <w:rPr>
                <w:sz w:val="20"/>
              </w:rPr>
              <w:t>Adjusted</w:t>
            </w:r>
            <w:r>
              <w:rPr>
                <w:spacing w:val="-13"/>
                <w:sz w:val="20"/>
              </w:rPr>
              <w:t> </w:t>
            </w:r>
            <w:r>
              <w:rPr>
                <w:sz w:val="20"/>
              </w:rPr>
              <w:t>R </w:t>
            </w:r>
            <w:r>
              <w:rPr>
                <w:spacing w:val="-2"/>
                <w:sz w:val="20"/>
              </w:rPr>
              <w:t>Square</w:t>
            </w:r>
          </w:p>
        </w:tc>
        <w:tc>
          <w:tcPr>
            <w:tcW w:w="1588" w:type="dxa"/>
          </w:tcPr>
          <w:p>
            <w:pPr>
              <w:pStyle w:val="TableParagraph"/>
              <w:spacing w:before="109"/>
              <w:ind w:left="108"/>
              <w:rPr>
                <w:sz w:val="20"/>
              </w:rPr>
            </w:pPr>
            <w:r>
              <w:rPr>
                <w:sz w:val="20"/>
              </w:rPr>
              <w:t>Std.</w:t>
            </w:r>
            <w:r>
              <w:rPr>
                <w:spacing w:val="-1"/>
                <w:sz w:val="20"/>
              </w:rPr>
              <w:t> </w:t>
            </w:r>
            <w:r>
              <w:rPr>
                <w:spacing w:val="-2"/>
                <w:sz w:val="20"/>
              </w:rPr>
              <w:t>Error</w:t>
            </w:r>
          </w:p>
        </w:tc>
        <w:tc>
          <w:tcPr>
            <w:tcW w:w="1272" w:type="dxa"/>
          </w:tcPr>
          <w:p>
            <w:pPr>
              <w:pStyle w:val="TableParagraph"/>
              <w:spacing w:line="228" w:lineRule="exact"/>
              <w:ind w:left="109"/>
              <w:rPr>
                <w:sz w:val="20"/>
              </w:rPr>
            </w:pPr>
            <w:r>
              <w:rPr>
                <w:spacing w:val="-4"/>
                <w:sz w:val="20"/>
              </w:rPr>
              <w:t>Durbin- </w:t>
            </w:r>
            <w:r>
              <w:rPr>
                <w:spacing w:val="-2"/>
                <w:sz w:val="20"/>
              </w:rPr>
              <w:t>Watson</w:t>
            </w:r>
          </w:p>
        </w:tc>
      </w:tr>
      <w:tr>
        <w:trPr>
          <w:trHeight w:val="317" w:hRule="atLeast"/>
        </w:trPr>
        <w:tc>
          <w:tcPr>
            <w:tcW w:w="1260" w:type="dxa"/>
          </w:tcPr>
          <w:p>
            <w:pPr>
              <w:pStyle w:val="TableParagraph"/>
              <w:spacing w:line="188" w:lineRule="exact" w:before="110"/>
              <w:ind w:left="167"/>
              <w:rPr>
                <w:rFonts w:ascii="Arial MT"/>
                <w:sz w:val="18"/>
              </w:rPr>
            </w:pPr>
            <w:r>
              <w:rPr>
                <w:rFonts w:ascii="Arial MT"/>
                <w:color w:val="25495F"/>
                <w:spacing w:val="-10"/>
                <w:sz w:val="18"/>
              </w:rPr>
              <w:t>1</w:t>
            </w:r>
          </w:p>
        </w:tc>
        <w:tc>
          <w:tcPr>
            <w:tcW w:w="1264" w:type="dxa"/>
          </w:tcPr>
          <w:p>
            <w:pPr>
              <w:pStyle w:val="TableParagraph"/>
              <w:spacing w:line="222" w:lineRule="exact"/>
              <w:ind w:left="688"/>
              <w:rPr>
                <w:sz w:val="20"/>
              </w:rPr>
            </w:pPr>
            <w:r>
              <w:rPr>
                <w:color w:val="000104"/>
                <w:spacing w:val="-2"/>
                <w:sz w:val="20"/>
              </w:rPr>
              <w:t>,545</w:t>
            </w:r>
            <w:r>
              <w:rPr>
                <w:color w:val="000104"/>
                <w:spacing w:val="-2"/>
                <w:sz w:val="20"/>
                <w:vertAlign w:val="superscript"/>
              </w:rPr>
              <w:t>a</w:t>
            </w:r>
          </w:p>
        </w:tc>
        <w:tc>
          <w:tcPr>
            <w:tcW w:w="1264" w:type="dxa"/>
          </w:tcPr>
          <w:p>
            <w:pPr>
              <w:pStyle w:val="TableParagraph"/>
              <w:spacing w:line="222" w:lineRule="exact"/>
              <w:ind w:left="740"/>
              <w:rPr>
                <w:sz w:val="20"/>
              </w:rPr>
            </w:pPr>
            <w:r>
              <w:rPr>
                <w:color w:val="000104"/>
                <w:spacing w:val="-4"/>
                <w:sz w:val="20"/>
              </w:rPr>
              <w:t>,297</w:t>
            </w:r>
          </w:p>
        </w:tc>
        <w:tc>
          <w:tcPr>
            <w:tcW w:w="1280" w:type="dxa"/>
          </w:tcPr>
          <w:p>
            <w:pPr>
              <w:pStyle w:val="TableParagraph"/>
              <w:spacing w:line="222" w:lineRule="exact"/>
              <w:ind w:left="756"/>
              <w:rPr>
                <w:sz w:val="20"/>
              </w:rPr>
            </w:pPr>
            <w:r>
              <w:rPr>
                <w:color w:val="000104"/>
                <w:spacing w:val="-4"/>
                <w:sz w:val="20"/>
              </w:rPr>
              <w:t>,216</w:t>
            </w:r>
          </w:p>
        </w:tc>
        <w:tc>
          <w:tcPr>
            <w:tcW w:w="1588" w:type="dxa"/>
          </w:tcPr>
          <w:p>
            <w:pPr>
              <w:pStyle w:val="TableParagraph"/>
              <w:spacing w:line="222" w:lineRule="exact"/>
              <w:ind w:left="868"/>
              <w:rPr>
                <w:sz w:val="20"/>
              </w:rPr>
            </w:pPr>
            <w:r>
              <w:rPr>
                <w:color w:val="000104"/>
                <w:spacing w:val="-2"/>
                <w:sz w:val="20"/>
              </w:rPr>
              <w:t>,08172</w:t>
            </w:r>
          </w:p>
        </w:tc>
        <w:tc>
          <w:tcPr>
            <w:tcW w:w="1272" w:type="dxa"/>
          </w:tcPr>
          <w:p>
            <w:pPr>
              <w:pStyle w:val="TableParagraph"/>
              <w:spacing w:line="222" w:lineRule="exact"/>
              <w:ind w:left="653"/>
              <w:rPr>
                <w:sz w:val="20"/>
              </w:rPr>
            </w:pPr>
            <w:r>
              <w:rPr>
                <w:color w:val="000104"/>
                <w:spacing w:val="-2"/>
                <w:sz w:val="20"/>
              </w:rPr>
              <w:t>2,053</w:t>
            </w:r>
          </w:p>
        </w:tc>
      </w:tr>
      <w:tr>
        <w:trPr>
          <w:trHeight w:val="206" w:hRule="atLeast"/>
        </w:trPr>
        <w:tc>
          <w:tcPr>
            <w:tcW w:w="7928" w:type="dxa"/>
            <w:gridSpan w:val="6"/>
          </w:tcPr>
          <w:p>
            <w:pPr>
              <w:pStyle w:val="TableParagraph"/>
              <w:spacing w:line="186" w:lineRule="exact"/>
              <w:ind w:left="106"/>
              <w:rPr>
                <w:rFonts w:ascii="Arial MT"/>
                <w:sz w:val="18"/>
              </w:rPr>
            </w:pPr>
            <w:r>
              <w:rPr>
                <w:rFonts w:ascii="Arial MT"/>
                <w:color w:val="000104"/>
                <w:sz w:val="18"/>
              </w:rPr>
              <w:t>a.</w:t>
            </w:r>
            <w:r>
              <w:rPr>
                <w:rFonts w:ascii="Arial MT"/>
                <w:color w:val="000104"/>
                <w:spacing w:val="-7"/>
                <w:sz w:val="18"/>
              </w:rPr>
              <w:t> </w:t>
            </w:r>
            <w:r>
              <w:rPr>
                <w:rFonts w:ascii="Arial MT"/>
                <w:color w:val="000104"/>
                <w:sz w:val="18"/>
              </w:rPr>
              <w:t>Predictors:</w:t>
            </w:r>
            <w:r>
              <w:rPr>
                <w:rFonts w:ascii="Arial MT"/>
                <w:color w:val="000104"/>
                <w:spacing w:val="-6"/>
                <w:sz w:val="18"/>
              </w:rPr>
              <w:t> </w:t>
            </w:r>
            <w:r>
              <w:rPr>
                <w:rFonts w:ascii="Arial MT"/>
                <w:color w:val="000104"/>
                <w:sz w:val="18"/>
              </w:rPr>
              <w:t>(Constant),</w:t>
            </w:r>
            <w:r>
              <w:rPr>
                <w:rFonts w:ascii="Arial MT"/>
                <w:color w:val="000104"/>
                <w:spacing w:val="-4"/>
                <w:sz w:val="18"/>
              </w:rPr>
              <w:t> </w:t>
            </w:r>
            <w:r>
              <w:rPr>
                <w:rFonts w:ascii="Arial MT"/>
                <w:color w:val="000104"/>
                <w:sz w:val="18"/>
              </w:rPr>
              <w:t>LAG_LAG_X3,</w:t>
            </w:r>
            <w:r>
              <w:rPr>
                <w:rFonts w:ascii="Arial MT"/>
                <w:color w:val="000104"/>
                <w:spacing w:val="-6"/>
                <w:sz w:val="18"/>
              </w:rPr>
              <w:t> </w:t>
            </w:r>
            <w:r>
              <w:rPr>
                <w:rFonts w:ascii="Arial MT"/>
                <w:color w:val="000104"/>
                <w:sz w:val="18"/>
              </w:rPr>
              <w:t>LAG_LAG_X2,</w:t>
            </w:r>
            <w:r>
              <w:rPr>
                <w:rFonts w:ascii="Arial MT"/>
                <w:color w:val="000104"/>
                <w:spacing w:val="-5"/>
                <w:sz w:val="18"/>
              </w:rPr>
              <w:t> </w:t>
            </w:r>
            <w:r>
              <w:rPr>
                <w:rFonts w:ascii="Arial MT"/>
                <w:color w:val="000104"/>
                <w:spacing w:val="-2"/>
                <w:sz w:val="18"/>
              </w:rPr>
              <w:t>LAG_LAG_X1</w:t>
            </w:r>
          </w:p>
        </w:tc>
      </w:tr>
      <w:tr>
        <w:trPr>
          <w:trHeight w:val="205" w:hRule="atLeast"/>
        </w:trPr>
        <w:tc>
          <w:tcPr>
            <w:tcW w:w="7928" w:type="dxa"/>
            <w:gridSpan w:val="6"/>
          </w:tcPr>
          <w:p>
            <w:pPr>
              <w:pStyle w:val="TableParagraph"/>
              <w:spacing w:line="186" w:lineRule="exact"/>
              <w:ind w:left="106"/>
              <w:rPr>
                <w:rFonts w:ascii="Arial MT"/>
                <w:sz w:val="18"/>
              </w:rPr>
            </w:pPr>
            <w:r>
              <w:rPr>
                <w:rFonts w:ascii="Arial MT"/>
                <w:color w:val="000104"/>
                <w:sz w:val="18"/>
              </w:rPr>
              <w:t>b.</w:t>
            </w:r>
            <w:r>
              <w:rPr>
                <w:rFonts w:ascii="Arial MT"/>
                <w:color w:val="000104"/>
                <w:spacing w:val="-5"/>
                <w:sz w:val="18"/>
              </w:rPr>
              <w:t> </w:t>
            </w:r>
            <w:r>
              <w:rPr>
                <w:rFonts w:ascii="Arial MT"/>
                <w:color w:val="000104"/>
                <w:sz w:val="18"/>
              </w:rPr>
              <w:t>Dependent</w:t>
            </w:r>
            <w:r>
              <w:rPr>
                <w:rFonts w:ascii="Arial MT"/>
                <w:color w:val="000104"/>
                <w:spacing w:val="-9"/>
                <w:sz w:val="18"/>
              </w:rPr>
              <w:t> </w:t>
            </w:r>
            <w:r>
              <w:rPr>
                <w:rFonts w:ascii="Arial MT"/>
                <w:color w:val="000104"/>
                <w:sz w:val="18"/>
              </w:rPr>
              <w:t>Variable:</w:t>
            </w:r>
            <w:r>
              <w:rPr>
                <w:rFonts w:ascii="Arial MT"/>
                <w:color w:val="000104"/>
                <w:spacing w:val="-6"/>
                <w:sz w:val="18"/>
              </w:rPr>
              <w:t> </w:t>
            </w:r>
            <w:r>
              <w:rPr>
                <w:rFonts w:ascii="Arial MT"/>
                <w:color w:val="000104"/>
                <w:spacing w:val="-2"/>
                <w:sz w:val="18"/>
              </w:rPr>
              <w:t>LAG_LAG_Y</w:t>
            </w:r>
          </w:p>
        </w:tc>
      </w:tr>
    </w:tbl>
    <w:p>
      <w:pPr>
        <w:spacing w:before="0"/>
        <w:ind w:left="568" w:right="0" w:firstLine="0"/>
        <w:jc w:val="left"/>
        <w:rPr>
          <w:i/>
          <w:sz w:val="24"/>
        </w:rPr>
      </w:pPr>
      <w:r>
        <w:rPr>
          <w:i/>
          <w:sz w:val="24"/>
        </w:rPr>
        <w:t>Sumber:</w:t>
      </w:r>
      <w:r>
        <w:rPr>
          <w:i/>
          <w:spacing w:val="-2"/>
          <w:sz w:val="24"/>
        </w:rPr>
        <w:t> </w:t>
      </w:r>
      <w:r>
        <w:rPr>
          <w:i/>
          <w:sz w:val="24"/>
        </w:rPr>
        <w:t>Data 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72"/>
        <w:ind w:left="568" w:right="561" w:firstLine="720"/>
        <w:jc w:val="both"/>
      </w:pPr>
      <w:r>
        <w:rPr/>
        <w:t>Setelah dilakukan perbaikan dengan Cochrane-Orcutt, diperoleh nilai Durbin-Watson sebesar 2,053</w:t>
      </w:r>
      <w:r>
        <w:rPr>
          <w:b/>
        </w:rPr>
        <w:t>, </w:t>
      </w:r>
      <w:r>
        <w:rPr/>
        <w:t>yang berada di antara Du (1,6505) dan 4–Du (2,3495)</w:t>
      </w:r>
      <w:r>
        <w:rPr>
          <w:b/>
        </w:rPr>
        <w:t>, </w:t>
      </w:r>
      <w:r>
        <w:rPr/>
        <w:t>sehingga dapat disimpulkan bahwa tidak terdapat autokorelasi dalam model regresi akhir dan H0 diterima.</w:t>
      </w:r>
    </w:p>
    <w:p>
      <w:pPr>
        <w:pStyle w:val="Heading3"/>
        <w:numPr>
          <w:ilvl w:val="2"/>
          <w:numId w:val="32"/>
        </w:numPr>
        <w:tabs>
          <w:tab w:pos="1288" w:val="left" w:leader="none"/>
        </w:tabs>
        <w:spacing w:line="240" w:lineRule="auto" w:before="165" w:after="0"/>
        <w:ind w:left="1288" w:right="0" w:hanging="720"/>
        <w:jc w:val="both"/>
      </w:pPr>
      <w:bookmarkStart w:name="_bookmark64" w:id="65"/>
      <w:bookmarkEnd w:id="65"/>
      <w:r>
        <w:rPr>
          <w:b w:val="0"/>
        </w:rPr>
      </w:r>
      <w:r>
        <w:rPr/>
        <w:t>Hasil</w:t>
      </w:r>
      <w:r>
        <w:rPr>
          <w:spacing w:val="-4"/>
        </w:rPr>
        <w:t> </w:t>
      </w:r>
      <w:r>
        <w:rPr/>
        <w:t>Analisis</w:t>
      </w:r>
      <w:r>
        <w:rPr>
          <w:spacing w:val="-4"/>
        </w:rPr>
        <w:t> </w:t>
      </w:r>
      <w:r>
        <w:rPr/>
        <w:t>Linear</w:t>
      </w:r>
      <w:r>
        <w:rPr>
          <w:spacing w:val="-2"/>
        </w:rPr>
        <w:t> Berganda</w:t>
      </w:r>
    </w:p>
    <w:p>
      <w:pPr>
        <w:spacing w:line="480" w:lineRule="auto" w:before="272"/>
        <w:ind w:left="568" w:right="562" w:firstLine="720"/>
        <w:jc w:val="both"/>
        <w:rPr>
          <w:sz w:val="24"/>
        </w:rPr>
      </w:pPr>
      <w:r>
        <w:rPr>
          <w:sz w:val="24"/>
        </w:rPr>
        <w:t>Analisis</w:t>
      </w:r>
      <w:r>
        <w:rPr>
          <w:spacing w:val="-15"/>
          <w:sz w:val="24"/>
        </w:rPr>
        <w:t> </w:t>
      </w:r>
      <w:r>
        <w:rPr>
          <w:sz w:val="24"/>
        </w:rPr>
        <w:t>regresi</w:t>
      </w:r>
      <w:r>
        <w:rPr>
          <w:spacing w:val="-15"/>
          <w:sz w:val="24"/>
        </w:rPr>
        <w:t> </w:t>
      </w:r>
      <w:r>
        <w:rPr>
          <w:sz w:val="24"/>
        </w:rPr>
        <w:t>linear</w:t>
      </w:r>
      <w:r>
        <w:rPr>
          <w:spacing w:val="-15"/>
          <w:sz w:val="24"/>
        </w:rPr>
        <w:t> </w:t>
      </w:r>
      <w:r>
        <w:rPr>
          <w:sz w:val="24"/>
        </w:rPr>
        <w:t>berganda</w:t>
      </w:r>
      <w:r>
        <w:rPr>
          <w:spacing w:val="-15"/>
          <w:sz w:val="24"/>
        </w:rPr>
        <w:t> </w:t>
      </w:r>
      <w:r>
        <w:rPr>
          <w:sz w:val="24"/>
        </w:rPr>
        <w:t>dilakukan</w:t>
      </w:r>
      <w:r>
        <w:rPr>
          <w:spacing w:val="-15"/>
          <w:sz w:val="24"/>
        </w:rPr>
        <w:t> </w:t>
      </w:r>
      <w:r>
        <w:rPr>
          <w:sz w:val="24"/>
        </w:rPr>
        <w:t>untuk</w:t>
      </w:r>
      <w:r>
        <w:rPr>
          <w:spacing w:val="-15"/>
          <w:sz w:val="24"/>
        </w:rPr>
        <w:t> </w:t>
      </w:r>
      <w:r>
        <w:rPr>
          <w:sz w:val="24"/>
        </w:rPr>
        <w:t>mengetahui</w:t>
      </w:r>
      <w:r>
        <w:rPr>
          <w:spacing w:val="-15"/>
          <w:sz w:val="24"/>
        </w:rPr>
        <w:t> </w:t>
      </w:r>
      <w:r>
        <w:rPr>
          <w:sz w:val="24"/>
        </w:rPr>
        <w:t>seberapa</w:t>
      </w:r>
      <w:r>
        <w:rPr>
          <w:spacing w:val="-13"/>
          <w:sz w:val="24"/>
        </w:rPr>
        <w:t> </w:t>
      </w:r>
      <w:r>
        <w:rPr>
          <w:sz w:val="24"/>
        </w:rPr>
        <w:t>besar pengaruh</w:t>
      </w:r>
      <w:r>
        <w:rPr>
          <w:spacing w:val="-12"/>
          <w:sz w:val="24"/>
        </w:rPr>
        <w:t> </w:t>
      </w:r>
      <w:r>
        <w:rPr>
          <w:sz w:val="24"/>
        </w:rPr>
        <w:t>antara</w:t>
      </w:r>
      <w:r>
        <w:rPr>
          <w:spacing w:val="-11"/>
          <w:sz w:val="24"/>
        </w:rPr>
        <w:t> </w:t>
      </w:r>
      <w:r>
        <w:rPr>
          <w:sz w:val="24"/>
        </w:rPr>
        <w:t>variabel</w:t>
      </w:r>
      <w:r>
        <w:rPr>
          <w:spacing w:val="-11"/>
          <w:sz w:val="24"/>
        </w:rPr>
        <w:t> </w:t>
      </w:r>
      <w:r>
        <w:rPr>
          <w:sz w:val="24"/>
        </w:rPr>
        <w:t>independen</w:t>
      </w:r>
      <w:r>
        <w:rPr>
          <w:spacing w:val="-12"/>
          <w:sz w:val="24"/>
        </w:rPr>
        <w:t> </w:t>
      </w:r>
      <w:r>
        <w:rPr>
          <w:sz w:val="24"/>
        </w:rPr>
        <w:t>yaitu</w:t>
      </w:r>
      <w:r>
        <w:rPr>
          <w:spacing w:val="-7"/>
          <w:sz w:val="24"/>
        </w:rPr>
        <w:t> </w:t>
      </w:r>
      <w:r>
        <w:rPr>
          <w:i/>
          <w:sz w:val="24"/>
        </w:rPr>
        <w:t>Leverage</w:t>
      </w:r>
      <w:r>
        <w:rPr>
          <w:i/>
          <w:spacing w:val="-10"/>
          <w:sz w:val="24"/>
        </w:rPr>
        <w:t> </w:t>
      </w:r>
      <w:r>
        <w:rPr>
          <w:sz w:val="24"/>
        </w:rPr>
        <w:t>(X1),</w:t>
      </w:r>
      <w:r>
        <w:rPr>
          <w:spacing w:val="-12"/>
          <w:sz w:val="24"/>
        </w:rPr>
        <w:t> </w:t>
      </w:r>
      <w:r>
        <w:rPr>
          <w:i/>
          <w:sz w:val="24"/>
        </w:rPr>
        <w:t>Debt</w:t>
      </w:r>
      <w:r>
        <w:rPr>
          <w:i/>
          <w:spacing w:val="-11"/>
          <w:sz w:val="24"/>
        </w:rPr>
        <w:t> </w:t>
      </w:r>
      <w:r>
        <w:rPr>
          <w:i/>
          <w:sz w:val="24"/>
        </w:rPr>
        <w:t>Maturity</w:t>
      </w:r>
      <w:r>
        <w:rPr>
          <w:i/>
          <w:spacing w:val="-9"/>
          <w:sz w:val="24"/>
        </w:rPr>
        <w:t> </w:t>
      </w:r>
      <w:r>
        <w:rPr>
          <w:sz w:val="24"/>
        </w:rPr>
        <w:t>(X2),</w:t>
      </w:r>
      <w:r>
        <w:rPr>
          <w:spacing w:val="-12"/>
          <w:sz w:val="24"/>
        </w:rPr>
        <w:t> </w:t>
      </w:r>
      <w:r>
        <w:rPr>
          <w:sz w:val="24"/>
        </w:rPr>
        <w:t>dan </w:t>
      </w:r>
      <w:r>
        <w:rPr>
          <w:i/>
          <w:sz w:val="24"/>
        </w:rPr>
        <w:t>Sustainability Assurance Quality </w:t>
      </w:r>
      <w:r>
        <w:rPr>
          <w:sz w:val="24"/>
        </w:rPr>
        <w:t>(X3) terhadap variabel dependen yaitu </w:t>
      </w:r>
      <w:r>
        <w:rPr>
          <w:i/>
          <w:sz w:val="24"/>
        </w:rPr>
        <w:t>Sustainability Assurance Quality </w:t>
      </w:r>
      <w:r>
        <w:rPr>
          <w:sz w:val="24"/>
        </w:rPr>
        <w:t>(Y). Hasil dari analisis linear berganda dapat dilihat pada tabel 4.8 dibawah ini:</w:t>
      </w:r>
    </w:p>
    <w:p>
      <w:pPr>
        <w:spacing w:before="168"/>
        <w:ind w:left="358" w:right="358" w:firstLine="0"/>
        <w:jc w:val="center"/>
        <w:rPr>
          <w:b/>
          <w:sz w:val="22"/>
        </w:rPr>
      </w:pPr>
      <w:r>
        <w:rPr>
          <w:b/>
          <w:sz w:val="22"/>
        </w:rPr>
        <w:t>Tabel</w:t>
      </w:r>
      <w:r>
        <w:rPr>
          <w:b/>
          <w:spacing w:val="-13"/>
          <w:sz w:val="22"/>
        </w:rPr>
        <w:t> </w:t>
      </w:r>
      <w:r>
        <w:rPr>
          <w:b/>
          <w:sz w:val="22"/>
        </w:rPr>
        <w:t>4.8</w:t>
      </w:r>
      <w:r>
        <w:rPr>
          <w:b/>
          <w:spacing w:val="-8"/>
          <w:sz w:val="22"/>
        </w:rPr>
        <w:t> </w:t>
      </w:r>
      <w:r>
        <w:rPr>
          <w:b/>
          <w:sz w:val="22"/>
        </w:rPr>
        <w:t>Hasil</w:t>
      </w:r>
      <w:r>
        <w:rPr>
          <w:b/>
          <w:spacing w:val="-14"/>
          <w:sz w:val="22"/>
        </w:rPr>
        <w:t> </w:t>
      </w:r>
      <w:r>
        <w:rPr>
          <w:b/>
          <w:sz w:val="22"/>
        </w:rPr>
        <w:t>Analisis</w:t>
      </w:r>
      <w:r>
        <w:rPr>
          <w:b/>
          <w:spacing w:val="-9"/>
          <w:sz w:val="22"/>
        </w:rPr>
        <w:t> </w:t>
      </w:r>
      <w:r>
        <w:rPr>
          <w:b/>
          <w:sz w:val="22"/>
        </w:rPr>
        <w:t>Linear</w:t>
      </w:r>
      <w:r>
        <w:rPr>
          <w:b/>
          <w:spacing w:val="-11"/>
          <w:sz w:val="22"/>
        </w:rPr>
        <w:t> </w:t>
      </w:r>
      <w:r>
        <w:rPr>
          <w:b/>
          <w:spacing w:val="-2"/>
          <w:sz w:val="22"/>
        </w:rPr>
        <w:t>Berganda</w:t>
      </w:r>
    </w:p>
    <w:p>
      <w:pPr>
        <w:pStyle w:val="BodyText"/>
        <w:spacing w:before="5"/>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1364"/>
        <w:gridCol w:w="1232"/>
        <w:gridCol w:w="1188"/>
        <w:gridCol w:w="1288"/>
        <w:gridCol w:w="1188"/>
      </w:tblGrid>
      <w:tr>
        <w:trPr>
          <w:trHeight w:val="230" w:hRule="atLeast"/>
        </w:trPr>
        <w:tc>
          <w:tcPr>
            <w:tcW w:w="7928" w:type="dxa"/>
            <w:gridSpan w:val="6"/>
          </w:tcPr>
          <w:p>
            <w:pPr>
              <w:pStyle w:val="TableParagraph"/>
              <w:spacing w:line="210" w:lineRule="exact"/>
              <w:ind w:left="8" w:right="4"/>
              <w:jc w:val="center"/>
              <w:rPr>
                <w:b/>
                <w:sz w:val="20"/>
              </w:rPr>
            </w:pPr>
            <w:r>
              <w:rPr>
                <w:b/>
                <w:color w:val="000104"/>
                <w:spacing w:val="-2"/>
                <w:sz w:val="20"/>
              </w:rPr>
              <w:t>Coefficients</w:t>
            </w:r>
            <w:r>
              <w:rPr>
                <w:b/>
                <w:color w:val="000104"/>
                <w:spacing w:val="-2"/>
                <w:sz w:val="20"/>
                <w:vertAlign w:val="superscript"/>
              </w:rPr>
              <w:t>a</w:t>
            </w:r>
          </w:p>
        </w:tc>
      </w:tr>
      <w:tr>
        <w:trPr>
          <w:trHeight w:val="462" w:hRule="atLeast"/>
        </w:trPr>
        <w:tc>
          <w:tcPr>
            <w:tcW w:w="1668" w:type="dxa"/>
          </w:tcPr>
          <w:p>
            <w:pPr>
              <w:pStyle w:val="TableParagraph"/>
              <w:rPr>
                <w:sz w:val="22"/>
              </w:rPr>
            </w:pPr>
          </w:p>
        </w:tc>
        <w:tc>
          <w:tcPr>
            <w:tcW w:w="2596" w:type="dxa"/>
            <w:gridSpan w:val="2"/>
          </w:tcPr>
          <w:p>
            <w:pPr>
              <w:pStyle w:val="TableParagraph"/>
              <w:spacing w:line="228" w:lineRule="exact"/>
              <w:ind w:left="807" w:right="664" w:hanging="140"/>
              <w:rPr>
                <w:sz w:val="20"/>
              </w:rPr>
            </w:pPr>
            <w:r>
              <w:rPr>
                <w:spacing w:val="-2"/>
                <w:sz w:val="20"/>
              </w:rPr>
              <w:t>Unstandardized Coefficients</w:t>
            </w:r>
          </w:p>
        </w:tc>
        <w:tc>
          <w:tcPr>
            <w:tcW w:w="3664" w:type="dxa"/>
            <w:gridSpan w:val="3"/>
          </w:tcPr>
          <w:p>
            <w:pPr>
              <w:pStyle w:val="TableParagraph"/>
              <w:spacing w:line="227" w:lineRule="exact"/>
              <w:ind w:left="796"/>
              <w:rPr>
                <w:sz w:val="20"/>
              </w:rPr>
            </w:pPr>
            <w:r>
              <w:rPr>
                <w:sz w:val="20"/>
              </w:rPr>
              <w:t>Standardized</w:t>
            </w:r>
            <w:r>
              <w:rPr>
                <w:spacing w:val="-6"/>
                <w:sz w:val="20"/>
              </w:rPr>
              <w:t> </w:t>
            </w:r>
            <w:r>
              <w:rPr>
                <w:spacing w:val="-2"/>
                <w:sz w:val="20"/>
              </w:rPr>
              <w:t>Coefficients</w:t>
            </w:r>
          </w:p>
        </w:tc>
      </w:tr>
      <w:tr>
        <w:trPr>
          <w:trHeight w:val="230" w:hRule="atLeast"/>
        </w:trPr>
        <w:tc>
          <w:tcPr>
            <w:tcW w:w="1668" w:type="dxa"/>
          </w:tcPr>
          <w:p>
            <w:pPr>
              <w:pStyle w:val="TableParagraph"/>
              <w:spacing w:line="210" w:lineRule="exact"/>
              <w:ind w:left="106"/>
              <w:rPr>
                <w:sz w:val="20"/>
              </w:rPr>
            </w:pPr>
            <w:r>
              <w:rPr>
                <w:spacing w:val="-2"/>
                <w:sz w:val="20"/>
              </w:rPr>
              <w:t>Model</w:t>
            </w:r>
          </w:p>
        </w:tc>
        <w:tc>
          <w:tcPr>
            <w:tcW w:w="1364" w:type="dxa"/>
          </w:tcPr>
          <w:p>
            <w:pPr>
              <w:pStyle w:val="TableParagraph"/>
              <w:spacing w:line="210" w:lineRule="exact"/>
              <w:ind w:left="107"/>
              <w:rPr>
                <w:sz w:val="20"/>
              </w:rPr>
            </w:pPr>
            <w:r>
              <w:rPr>
                <w:spacing w:val="-10"/>
                <w:sz w:val="20"/>
              </w:rPr>
              <w:t>B</w:t>
            </w:r>
          </w:p>
        </w:tc>
        <w:tc>
          <w:tcPr>
            <w:tcW w:w="1232" w:type="dxa"/>
          </w:tcPr>
          <w:p>
            <w:pPr>
              <w:pStyle w:val="TableParagraph"/>
              <w:spacing w:line="210" w:lineRule="exact"/>
              <w:ind w:left="103"/>
              <w:rPr>
                <w:sz w:val="20"/>
              </w:rPr>
            </w:pPr>
            <w:r>
              <w:rPr>
                <w:sz w:val="20"/>
              </w:rPr>
              <w:t>Std.</w:t>
            </w:r>
            <w:r>
              <w:rPr>
                <w:spacing w:val="-1"/>
                <w:sz w:val="20"/>
              </w:rPr>
              <w:t> </w:t>
            </w:r>
            <w:r>
              <w:rPr>
                <w:spacing w:val="-2"/>
                <w:sz w:val="20"/>
              </w:rPr>
              <w:t>Error</w:t>
            </w:r>
          </w:p>
        </w:tc>
        <w:tc>
          <w:tcPr>
            <w:tcW w:w="1188" w:type="dxa"/>
          </w:tcPr>
          <w:p>
            <w:pPr>
              <w:pStyle w:val="TableParagraph"/>
              <w:spacing w:line="210" w:lineRule="exact"/>
              <w:ind w:left="104"/>
              <w:rPr>
                <w:sz w:val="20"/>
              </w:rPr>
            </w:pPr>
            <w:r>
              <w:rPr>
                <w:spacing w:val="-4"/>
                <w:sz w:val="20"/>
              </w:rPr>
              <w:t>Beta</w:t>
            </w:r>
          </w:p>
        </w:tc>
        <w:tc>
          <w:tcPr>
            <w:tcW w:w="1288" w:type="dxa"/>
          </w:tcPr>
          <w:p>
            <w:pPr>
              <w:pStyle w:val="TableParagraph"/>
              <w:spacing w:line="210" w:lineRule="exact"/>
              <w:ind w:left="108"/>
              <w:rPr>
                <w:sz w:val="20"/>
              </w:rPr>
            </w:pPr>
            <w:r>
              <w:rPr>
                <w:spacing w:val="-10"/>
                <w:sz w:val="20"/>
              </w:rPr>
              <w:t>t</w:t>
            </w:r>
          </w:p>
        </w:tc>
        <w:tc>
          <w:tcPr>
            <w:tcW w:w="1188" w:type="dxa"/>
          </w:tcPr>
          <w:p>
            <w:pPr>
              <w:pStyle w:val="TableParagraph"/>
              <w:spacing w:line="210" w:lineRule="exact"/>
              <w:ind w:left="105"/>
              <w:rPr>
                <w:sz w:val="20"/>
              </w:rPr>
            </w:pPr>
            <w:r>
              <w:rPr>
                <w:spacing w:val="-4"/>
                <w:sz w:val="20"/>
              </w:rPr>
              <w:t>Sig.</w:t>
            </w:r>
          </w:p>
        </w:tc>
      </w:tr>
      <w:tr>
        <w:trPr>
          <w:trHeight w:val="230" w:hRule="atLeast"/>
        </w:trPr>
        <w:tc>
          <w:tcPr>
            <w:tcW w:w="1668" w:type="dxa"/>
          </w:tcPr>
          <w:p>
            <w:pPr>
              <w:pStyle w:val="TableParagraph"/>
              <w:spacing w:line="210" w:lineRule="exact"/>
              <w:ind w:left="167"/>
              <w:rPr>
                <w:sz w:val="20"/>
              </w:rPr>
            </w:pPr>
            <w:r>
              <w:rPr>
                <w:spacing w:val="-2"/>
                <w:sz w:val="20"/>
              </w:rPr>
              <w:t>(Constant)</w:t>
            </w:r>
          </w:p>
        </w:tc>
        <w:tc>
          <w:tcPr>
            <w:tcW w:w="1364" w:type="dxa"/>
          </w:tcPr>
          <w:p>
            <w:pPr>
              <w:pStyle w:val="TableParagraph"/>
              <w:spacing w:line="210" w:lineRule="exact"/>
              <w:ind w:right="160"/>
              <w:jc w:val="right"/>
              <w:rPr>
                <w:sz w:val="20"/>
              </w:rPr>
            </w:pPr>
            <w:r>
              <w:rPr>
                <w:spacing w:val="-2"/>
                <w:sz w:val="20"/>
              </w:rPr>
              <w:t>1,084</w:t>
            </w:r>
          </w:p>
        </w:tc>
        <w:tc>
          <w:tcPr>
            <w:tcW w:w="1232" w:type="dxa"/>
          </w:tcPr>
          <w:p>
            <w:pPr>
              <w:pStyle w:val="TableParagraph"/>
              <w:spacing w:line="210" w:lineRule="exact"/>
              <w:ind w:right="159"/>
              <w:jc w:val="right"/>
              <w:rPr>
                <w:sz w:val="20"/>
              </w:rPr>
            </w:pPr>
            <w:r>
              <w:rPr>
                <w:spacing w:val="-4"/>
                <w:sz w:val="20"/>
              </w:rPr>
              <w:t>,121</w:t>
            </w:r>
          </w:p>
        </w:tc>
        <w:tc>
          <w:tcPr>
            <w:tcW w:w="1188" w:type="dxa"/>
          </w:tcPr>
          <w:p>
            <w:pPr>
              <w:pStyle w:val="TableParagraph"/>
              <w:rPr>
                <w:sz w:val="16"/>
              </w:rPr>
            </w:pPr>
          </w:p>
        </w:tc>
        <w:tc>
          <w:tcPr>
            <w:tcW w:w="1288" w:type="dxa"/>
          </w:tcPr>
          <w:p>
            <w:pPr>
              <w:pStyle w:val="TableParagraph"/>
              <w:spacing w:line="210" w:lineRule="exact"/>
              <w:ind w:right="155"/>
              <w:jc w:val="right"/>
              <w:rPr>
                <w:sz w:val="20"/>
              </w:rPr>
            </w:pPr>
            <w:r>
              <w:rPr>
                <w:spacing w:val="-2"/>
                <w:sz w:val="20"/>
              </w:rPr>
              <w:t>8,986</w:t>
            </w:r>
          </w:p>
        </w:tc>
        <w:tc>
          <w:tcPr>
            <w:tcW w:w="1188" w:type="dxa"/>
          </w:tcPr>
          <w:p>
            <w:pPr>
              <w:pStyle w:val="TableParagraph"/>
              <w:spacing w:line="210" w:lineRule="exact"/>
              <w:ind w:right="158"/>
              <w:jc w:val="right"/>
              <w:rPr>
                <w:sz w:val="20"/>
              </w:rPr>
            </w:pPr>
            <w:r>
              <w:rPr>
                <w:spacing w:val="-4"/>
                <w:sz w:val="20"/>
              </w:rPr>
              <w:t>,000</w:t>
            </w:r>
          </w:p>
        </w:tc>
      </w:tr>
      <w:tr>
        <w:trPr>
          <w:trHeight w:val="230" w:hRule="atLeast"/>
        </w:trPr>
        <w:tc>
          <w:tcPr>
            <w:tcW w:w="1668" w:type="dxa"/>
          </w:tcPr>
          <w:p>
            <w:pPr>
              <w:pStyle w:val="TableParagraph"/>
              <w:spacing w:line="210" w:lineRule="exact"/>
              <w:ind w:left="167"/>
              <w:rPr>
                <w:sz w:val="20"/>
              </w:rPr>
            </w:pPr>
            <w:r>
              <w:rPr>
                <w:spacing w:val="-2"/>
                <w:sz w:val="20"/>
              </w:rPr>
              <w:t>Leverage</w:t>
            </w:r>
          </w:p>
        </w:tc>
        <w:tc>
          <w:tcPr>
            <w:tcW w:w="1364" w:type="dxa"/>
          </w:tcPr>
          <w:p>
            <w:pPr>
              <w:pStyle w:val="TableParagraph"/>
              <w:spacing w:line="210" w:lineRule="exact"/>
              <w:ind w:right="156"/>
              <w:jc w:val="right"/>
              <w:rPr>
                <w:sz w:val="20"/>
              </w:rPr>
            </w:pPr>
            <w:r>
              <w:rPr>
                <w:sz w:val="20"/>
              </w:rPr>
              <w:t>-</w:t>
            </w:r>
            <w:r>
              <w:rPr>
                <w:spacing w:val="-4"/>
                <w:sz w:val="20"/>
              </w:rPr>
              <w:t>,266</w:t>
            </w:r>
          </w:p>
        </w:tc>
        <w:tc>
          <w:tcPr>
            <w:tcW w:w="1232" w:type="dxa"/>
          </w:tcPr>
          <w:p>
            <w:pPr>
              <w:pStyle w:val="TableParagraph"/>
              <w:spacing w:line="210" w:lineRule="exact"/>
              <w:ind w:right="159"/>
              <w:jc w:val="right"/>
              <w:rPr>
                <w:sz w:val="20"/>
              </w:rPr>
            </w:pPr>
            <w:r>
              <w:rPr>
                <w:spacing w:val="-4"/>
                <w:sz w:val="20"/>
              </w:rPr>
              <w:t>,185</w:t>
            </w:r>
          </w:p>
        </w:tc>
        <w:tc>
          <w:tcPr>
            <w:tcW w:w="1188" w:type="dxa"/>
          </w:tcPr>
          <w:p>
            <w:pPr>
              <w:pStyle w:val="TableParagraph"/>
              <w:spacing w:line="210" w:lineRule="exact"/>
              <w:ind w:right="155"/>
              <w:jc w:val="right"/>
              <w:rPr>
                <w:sz w:val="20"/>
              </w:rPr>
            </w:pPr>
            <w:r>
              <w:rPr>
                <w:sz w:val="20"/>
              </w:rPr>
              <w:t>-</w:t>
            </w:r>
            <w:r>
              <w:rPr>
                <w:spacing w:val="-4"/>
                <w:sz w:val="20"/>
              </w:rPr>
              <w:t>,342</w:t>
            </w:r>
          </w:p>
        </w:tc>
        <w:tc>
          <w:tcPr>
            <w:tcW w:w="1288" w:type="dxa"/>
          </w:tcPr>
          <w:p>
            <w:pPr>
              <w:pStyle w:val="TableParagraph"/>
              <w:spacing w:line="210" w:lineRule="exact"/>
              <w:ind w:right="151"/>
              <w:jc w:val="right"/>
              <w:rPr>
                <w:sz w:val="20"/>
              </w:rPr>
            </w:pPr>
            <w:r>
              <w:rPr>
                <w:sz w:val="20"/>
              </w:rPr>
              <w:t>-</w:t>
            </w:r>
            <w:r>
              <w:rPr>
                <w:spacing w:val="-2"/>
                <w:sz w:val="20"/>
              </w:rPr>
              <w:t>1,438</w:t>
            </w:r>
          </w:p>
        </w:tc>
        <w:tc>
          <w:tcPr>
            <w:tcW w:w="1188" w:type="dxa"/>
          </w:tcPr>
          <w:p>
            <w:pPr>
              <w:pStyle w:val="TableParagraph"/>
              <w:spacing w:line="210" w:lineRule="exact"/>
              <w:ind w:right="158"/>
              <w:jc w:val="right"/>
              <w:rPr>
                <w:sz w:val="20"/>
              </w:rPr>
            </w:pPr>
            <w:r>
              <w:rPr>
                <w:spacing w:val="-4"/>
                <w:sz w:val="20"/>
              </w:rPr>
              <w:t>,161</w:t>
            </w:r>
          </w:p>
        </w:tc>
      </w:tr>
      <w:tr>
        <w:trPr>
          <w:trHeight w:val="230" w:hRule="atLeast"/>
        </w:trPr>
        <w:tc>
          <w:tcPr>
            <w:tcW w:w="1668" w:type="dxa"/>
          </w:tcPr>
          <w:p>
            <w:pPr>
              <w:pStyle w:val="TableParagraph"/>
              <w:spacing w:line="210" w:lineRule="exact"/>
              <w:ind w:left="167"/>
              <w:rPr>
                <w:sz w:val="20"/>
              </w:rPr>
            </w:pPr>
            <w:r>
              <w:rPr>
                <w:sz w:val="20"/>
              </w:rPr>
              <w:t>Debt</w:t>
            </w:r>
            <w:r>
              <w:rPr>
                <w:spacing w:val="-2"/>
                <w:sz w:val="20"/>
              </w:rPr>
              <w:t> Maturity</w:t>
            </w:r>
          </w:p>
        </w:tc>
        <w:tc>
          <w:tcPr>
            <w:tcW w:w="1364" w:type="dxa"/>
          </w:tcPr>
          <w:p>
            <w:pPr>
              <w:pStyle w:val="TableParagraph"/>
              <w:spacing w:line="210" w:lineRule="exact"/>
              <w:ind w:right="160"/>
              <w:jc w:val="right"/>
              <w:rPr>
                <w:sz w:val="20"/>
              </w:rPr>
            </w:pPr>
            <w:r>
              <w:rPr>
                <w:spacing w:val="-4"/>
                <w:sz w:val="20"/>
              </w:rPr>
              <w:t>,025</w:t>
            </w:r>
          </w:p>
        </w:tc>
        <w:tc>
          <w:tcPr>
            <w:tcW w:w="1232" w:type="dxa"/>
          </w:tcPr>
          <w:p>
            <w:pPr>
              <w:pStyle w:val="TableParagraph"/>
              <w:spacing w:line="210" w:lineRule="exact"/>
              <w:ind w:right="159"/>
              <w:jc w:val="right"/>
              <w:rPr>
                <w:sz w:val="20"/>
              </w:rPr>
            </w:pPr>
            <w:r>
              <w:rPr>
                <w:spacing w:val="-4"/>
                <w:sz w:val="20"/>
              </w:rPr>
              <w:t>,145</w:t>
            </w:r>
          </w:p>
        </w:tc>
        <w:tc>
          <w:tcPr>
            <w:tcW w:w="1188" w:type="dxa"/>
          </w:tcPr>
          <w:p>
            <w:pPr>
              <w:pStyle w:val="TableParagraph"/>
              <w:spacing w:line="210" w:lineRule="exact"/>
              <w:ind w:right="159"/>
              <w:jc w:val="right"/>
              <w:rPr>
                <w:sz w:val="20"/>
              </w:rPr>
            </w:pPr>
            <w:r>
              <w:rPr>
                <w:spacing w:val="-4"/>
                <w:sz w:val="20"/>
              </w:rPr>
              <w:t>,036</w:t>
            </w:r>
          </w:p>
        </w:tc>
        <w:tc>
          <w:tcPr>
            <w:tcW w:w="1288" w:type="dxa"/>
          </w:tcPr>
          <w:p>
            <w:pPr>
              <w:pStyle w:val="TableParagraph"/>
              <w:spacing w:line="210" w:lineRule="exact"/>
              <w:ind w:right="155"/>
              <w:jc w:val="right"/>
              <w:rPr>
                <w:sz w:val="20"/>
              </w:rPr>
            </w:pPr>
            <w:r>
              <w:rPr>
                <w:spacing w:val="-4"/>
                <w:sz w:val="20"/>
              </w:rPr>
              <w:t>,173</w:t>
            </w:r>
          </w:p>
        </w:tc>
        <w:tc>
          <w:tcPr>
            <w:tcW w:w="1188" w:type="dxa"/>
          </w:tcPr>
          <w:p>
            <w:pPr>
              <w:pStyle w:val="TableParagraph"/>
              <w:spacing w:line="210" w:lineRule="exact"/>
              <w:ind w:right="158"/>
              <w:jc w:val="right"/>
              <w:rPr>
                <w:sz w:val="20"/>
              </w:rPr>
            </w:pPr>
            <w:r>
              <w:rPr>
                <w:spacing w:val="-4"/>
                <w:sz w:val="20"/>
              </w:rPr>
              <w:t>,864</w:t>
            </w:r>
          </w:p>
        </w:tc>
      </w:tr>
      <w:tr>
        <w:trPr>
          <w:trHeight w:val="457" w:hRule="atLeast"/>
        </w:trPr>
        <w:tc>
          <w:tcPr>
            <w:tcW w:w="1668" w:type="dxa"/>
          </w:tcPr>
          <w:p>
            <w:pPr>
              <w:pStyle w:val="TableParagraph"/>
              <w:spacing w:line="222" w:lineRule="exact"/>
              <w:ind w:left="167"/>
              <w:rPr>
                <w:sz w:val="20"/>
              </w:rPr>
            </w:pPr>
            <w:r>
              <w:rPr>
                <w:spacing w:val="-2"/>
                <w:sz w:val="20"/>
              </w:rPr>
              <w:t>Assurance</w:t>
            </w:r>
          </w:p>
          <w:p>
            <w:pPr>
              <w:pStyle w:val="TableParagraph"/>
              <w:spacing w:line="214" w:lineRule="exact" w:before="2"/>
              <w:ind w:left="167"/>
              <w:rPr>
                <w:sz w:val="20"/>
              </w:rPr>
            </w:pPr>
            <w:r>
              <w:rPr>
                <w:spacing w:val="-2"/>
                <w:sz w:val="20"/>
              </w:rPr>
              <w:t>Tenure</w:t>
            </w:r>
          </w:p>
        </w:tc>
        <w:tc>
          <w:tcPr>
            <w:tcW w:w="1364" w:type="dxa"/>
          </w:tcPr>
          <w:p>
            <w:pPr>
              <w:pStyle w:val="TableParagraph"/>
              <w:spacing w:before="108"/>
              <w:ind w:right="156"/>
              <w:jc w:val="right"/>
              <w:rPr>
                <w:sz w:val="20"/>
              </w:rPr>
            </w:pPr>
            <w:r>
              <w:rPr>
                <w:sz w:val="20"/>
              </w:rPr>
              <w:t>-</w:t>
            </w:r>
            <w:r>
              <w:rPr>
                <w:spacing w:val="-4"/>
                <w:sz w:val="20"/>
              </w:rPr>
              <w:t>,039</w:t>
            </w:r>
          </w:p>
        </w:tc>
        <w:tc>
          <w:tcPr>
            <w:tcW w:w="1232" w:type="dxa"/>
          </w:tcPr>
          <w:p>
            <w:pPr>
              <w:pStyle w:val="TableParagraph"/>
              <w:spacing w:before="108"/>
              <w:ind w:right="159"/>
              <w:jc w:val="right"/>
              <w:rPr>
                <w:sz w:val="20"/>
              </w:rPr>
            </w:pPr>
            <w:r>
              <w:rPr>
                <w:spacing w:val="-4"/>
                <w:sz w:val="20"/>
              </w:rPr>
              <w:t>,014</w:t>
            </w:r>
          </w:p>
        </w:tc>
        <w:tc>
          <w:tcPr>
            <w:tcW w:w="1188" w:type="dxa"/>
          </w:tcPr>
          <w:p>
            <w:pPr>
              <w:pStyle w:val="TableParagraph"/>
              <w:spacing w:before="108"/>
              <w:ind w:right="155"/>
              <w:jc w:val="right"/>
              <w:rPr>
                <w:sz w:val="20"/>
              </w:rPr>
            </w:pPr>
            <w:r>
              <w:rPr>
                <w:sz w:val="20"/>
              </w:rPr>
              <w:t>-</w:t>
            </w:r>
            <w:r>
              <w:rPr>
                <w:spacing w:val="-4"/>
                <w:sz w:val="20"/>
              </w:rPr>
              <w:t>,576</w:t>
            </w:r>
          </w:p>
        </w:tc>
        <w:tc>
          <w:tcPr>
            <w:tcW w:w="1288" w:type="dxa"/>
          </w:tcPr>
          <w:p>
            <w:pPr>
              <w:pStyle w:val="TableParagraph"/>
              <w:spacing w:before="108"/>
              <w:ind w:right="151"/>
              <w:jc w:val="right"/>
              <w:rPr>
                <w:sz w:val="20"/>
              </w:rPr>
            </w:pPr>
            <w:r>
              <w:rPr>
                <w:sz w:val="20"/>
              </w:rPr>
              <w:t>-</w:t>
            </w:r>
            <w:r>
              <w:rPr>
                <w:spacing w:val="-2"/>
                <w:sz w:val="20"/>
              </w:rPr>
              <w:t>2,731</w:t>
            </w:r>
          </w:p>
        </w:tc>
        <w:tc>
          <w:tcPr>
            <w:tcW w:w="1188" w:type="dxa"/>
          </w:tcPr>
          <w:p>
            <w:pPr>
              <w:pStyle w:val="TableParagraph"/>
              <w:spacing w:before="108"/>
              <w:ind w:right="158"/>
              <w:jc w:val="right"/>
              <w:rPr>
                <w:sz w:val="20"/>
              </w:rPr>
            </w:pPr>
            <w:r>
              <w:rPr>
                <w:spacing w:val="-4"/>
                <w:sz w:val="20"/>
              </w:rPr>
              <w:t>,011</w:t>
            </w:r>
          </w:p>
        </w:tc>
      </w:tr>
      <w:tr>
        <w:trPr>
          <w:trHeight w:val="233" w:hRule="atLeast"/>
        </w:trPr>
        <w:tc>
          <w:tcPr>
            <w:tcW w:w="7928" w:type="dxa"/>
            <w:gridSpan w:val="6"/>
          </w:tcPr>
          <w:p>
            <w:pPr>
              <w:pStyle w:val="TableParagraph"/>
              <w:spacing w:line="214" w:lineRule="exact"/>
              <w:ind w:left="167"/>
              <w:rPr>
                <w:sz w:val="20"/>
              </w:rPr>
            </w:pPr>
            <w:r>
              <w:rPr>
                <w:color w:val="000104"/>
                <w:sz w:val="20"/>
              </w:rPr>
              <w:t>a.</w:t>
            </w:r>
            <w:r>
              <w:rPr>
                <w:color w:val="000104"/>
                <w:spacing w:val="-2"/>
                <w:sz w:val="20"/>
              </w:rPr>
              <w:t> </w:t>
            </w:r>
            <w:r>
              <w:rPr>
                <w:color w:val="000104"/>
                <w:sz w:val="20"/>
              </w:rPr>
              <w:t>Dependent</w:t>
            </w:r>
            <w:r>
              <w:rPr>
                <w:color w:val="000104"/>
                <w:spacing w:val="1"/>
                <w:sz w:val="20"/>
              </w:rPr>
              <w:t> </w:t>
            </w:r>
            <w:r>
              <w:rPr>
                <w:color w:val="000104"/>
                <w:sz w:val="20"/>
              </w:rPr>
              <w:t>Variable:</w:t>
            </w:r>
            <w:r>
              <w:rPr>
                <w:color w:val="000104"/>
                <w:spacing w:val="-2"/>
                <w:sz w:val="20"/>
              </w:rPr>
              <w:t> </w:t>
            </w:r>
            <w:r>
              <w:rPr>
                <w:color w:val="000104"/>
                <w:sz w:val="20"/>
              </w:rPr>
              <w:t>Sustainability</w:t>
            </w:r>
            <w:r>
              <w:rPr>
                <w:color w:val="000104"/>
                <w:spacing w:val="-7"/>
                <w:sz w:val="20"/>
              </w:rPr>
              <w:t> </w:t>
            </w:r>
            <w:r>
              <w:rPr>
                <w:color w:val="000104"/>
                <w:sz w:val="20"/>
              </w:rPr>
              <w:t>Assurance</w:t>
            </w:r>
            <w:r>
              <w:rPr>
                <w:color w:val="000104"/>
                <w:spacing w:val="2"/>
                <w:sz w:val="20"/>
              </w:rPr>
              <w:t> </w:t>
            </w:r>
            <w:r>
              <w:rPr>
                <w:color w:val="000104"/>
                <w:spacing w:val="-2"/>
                <w:sz w:val="20"/>
              </w:rPr>
              <w:t>Quality</w:t>
            </w:r>
          </w:p>
        </w:tc>
      </w:tr>
    </w:tbl>
    <w:p>
      <w:pPr>
        <w:spacing w:before="0"/>
        <w:ind w:left="568" w:right="0" w:firstLine="0"/>
        <w:jc w:val="left"/>
        <w:rPr>
          <w:i/>
          <w:sz w:val="24"/>
        </w:rPr>
      </w:pPr>
      <w:r>
        <w:rPr>
          <w:i/>
          <w:sz w:val="24"/>
        </w:rPr>
        <w:t>Sumber:</w:t>
      </w:r>
      <w:r>
        <w:rPr>
          <w:i/>
          <w:spacing w:val="-2"/>
          <w:sz w:val="24"/>
        </w:rPr>
        <w:t> </w:t>
      </w:r>
      <w:r>
        <w:rPr>
          <w:i/>
          <w:sz w:val="24"/>
        </w:rPr>
        <w:t>Data</w:t>
      </w:r>
      <w:r>
        <w:rPr>
          <w:i/>
          <w:spacing w:val="-1"/>
          <w:sz w:val="24"/>
        </w:rPr>
        <w:t> </w:t>
      </w:r>
      <w:r>
        <w:rPr>
          <w:i/>
          <w:sz w:val="24"/>
        </w:rPr>
        <w:t>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69"/>
        <w:ind w:left="568" w:right="575" w:firstLine="720"/>
        <w:jc w:val="both"/>
      </w:pPr>
      <w:r>
        <w:rPr/>
        <w:t>Berdasarkan hasil analisis tersebut, dapat dibuat persamaan regresi linear berganda sebagai berikut:</w:t>
      </w:r>
    </w:p>
    <w:p>
      <w:pPr>
        <w:pStyle w:val="BodyText"/>
        <w:spacing w:after="0" w:line="480" w:lineRule="auto"/>
        <w:jc w:val="both"/>
        <w:sectPr>
          <w:pgSz w:w="11910" w:h="16840"/>
          <w:pgMar w:header="710" w:footer="0" w:top="1920" w:bottom="280" w:left="1700" w:right="1133"/>
        </w:sectPr>
      </w:pPr>
    </w:p>
    <w:p>
      <w:pPr>
        <w:pStyle w:val="BodyText"/>
        <w:spacing w:before="102"/>
        <w:rPr>
          <w:sz w:val="20"/>
        </w:rPr>
      </w:pPr>
    </w:p>
    <w:p>
      <w:pPr>
        <w:pStyle w:val="BodyText"/>
        <w:ind w:left="568"/>
        <w:rPr>
          <w:sz w:val="20"/>
        </w:rPr>
      </w:pPr>
      <w:r>
        <w:rPr>
          <w:sz w:val="20"/>
        </w:rPr>
        <mc:AlternateContent>
          <mc:Choice Requires="wps">
            <w:drawing>
              <wp:inline distT="0" distB="0" distL="0" distR="0">
                <wp:extent cx="5036185" cy="355600"/>
                <wp:effectExtent l="9525" t="0" r="0" b="6350"/>
                <wp:docPr id="22" name="Textbox 22"/>
                <wp:cNvGraphicFramePr>
                  <a:graphicFrameLocks/>
                </wp:cNvGraphicFramePr>
                <a:graphic>
                  <a:graphicData uri="http://schemas.microsoft.com/office/word/2010/wordprocessingShape">
                    <wps:wsp>
                      <wps:cNvPr id="22" name="Textbox 22"/>
                      <wps:cNvSpPr txBox="1"/>
                      <wps:spPr>
                        <a:xfrm>
                          <a:off x="0" y="0"/>
                          <a:ext cx="5036185" cy="355600"/>
                        </a:xfrm>
                        <a:prstGeom prst="rect">
                          <a:avLst/>
                        </a:prstGeom>
                        <a:ln w="5079">
                          <a:solidFill>
                            <a:srgbClr val="000000"/>
                          </a:solidFill>
                          <a:prstDash val="solid"/>
                        </a:ln>
                      </wps:spPr>
                      <wps:txbx>
                        <w:txbxContent>
                          <w:p>
                            <w:pPr>
                              <w:pStyle w:val="BodyText"/>
                              <w:tabs>
                                <w:tab w:pos="7760" w:val="right" w:leader="dot"/>
                              </w:tabs>
                              <w:spacing w:line="268" w:lineRule="exact"/>
                              <w:ind w:left="103"/>
                            </w:pPr>
                            <w:r>
                              <w:rPr>
                                <w:spacing w:val="-2"/>
                              </w:rPr>
                              <w:t>Y=1,084−0,266X1+0,025X2−0,039X3+e</w:t>
                            </w:r>
                            <w:r>
                              <w:rPr/>
                              <w:tab/>
                            </w:r>
                            <w:r>
                              <w:rPr>
                                <w:spacing w:val="-5"/>
                              </w:rPr>
                              <w:t>3.4</w:t>
                            </w:r>
                          </w:p>
                        </w:txbxContent>
                      </wps:txbx>
                      <wps:bodyPr wrap="square" lIns="0" tIns="0" rIns="0" bIns="0" rtlCol="0">
                        <a:noAutofit/>
                      </wps:bodyPr>
                    </wps:wsp>
                  </a:graphicData>
                </a:graphic>
              </wp:inline>
            </w:drawing>
          </mc:Choice>
          <mc:Fallback>
            <w:pict>
              <v:shape style="width:396.55pt;height:28pt;mso-position-horizontal-relative:char;mso-position-vertical-relative:line" type="#_x0000_t202" id="docshape18" filled="false" stroked="true" strokeweight=".39999pt" strokecolor="#000000">
                <w10:anchorlock/>
                <v:textbox inset="0,0,0,0">
                  <w:txbxContent>
                    <w:p>
                      <w:pPr>
                        <w:pStyle w:val="BodyText"/>
                        <w:tabs>
                          <w:tab w:pos="7760" w:val="right" w:leader="dot"/>
                        </w:tabs>
                        <w:spacing w:line="268" w:lineRule="exact"/>
                        <w:ind w:left="103"/>
                      </w:pPr>
                      <w:r>
                        <w:rPr>
                          <w:spacing w:val="-2"/>
                        </w:rPr>
                        <w:t>Y=1,084−0,266X1+0,025X2−0,039X3+e</w:t>
                      </w:r>
                      <w:r>
                        <w:rPr/>
                        <w:tab/>
                      </w:r>
                      <w:r>
                        <w:rPr>
                          <w:spacing w:val="-5"/>
                        </w:rPr>
                        <w:t>3.4</w:t>
                      </w:r>
                    </w:p>
                  </w:txbxContent>
                </v:textbox>
                <v:stroke dashstyle="solid"/>
              </v:shape>
            </w:pict>
          </mc:Fallback>
        </mc:AlternateContent>
      </w:r>
      <w:r>
        <w:rPr>
          <w:sz w:val="20"/>
        </w:rPr>
      </w:r>
    </w:p>
    <w:p>
      <w:pPr>
        <w:pStyle w:val="BodyText"/>
        <w:spacing w:line="480" w:lineRule="auto" w:before="207"/>
        <w:ind w:left="568" w:right="574" w:firstLine="720"/>
        <w:jc w:val="both"/>
      </w:pPr>
      <w:r>
        <w:rPr/>
        <w:t>Berdasarkan hasil analisis regresi linear berganda tersebut, diperoleh interpretasi sebagai berikut:</w:t>
      </w:r>
    </w:p>
    <w:p>
      <w:pPr>
        <w:pStyle w:val="ListParagraph"/>
        <w:numPr>
          <w:ilvl w:val="0"/>
          <w:numId w:val="33"/>
        </w:numPr>
        <w:tabs>
          <w:tab w:pos="1274" w:val="left" w:leader="none"/>
          <w:tab w:pos="1276" w:val="left" w:leader="none"/>
        </w:tabs>
        <w:spacing w:line="480" w:lineRule="auto" w:before="160" w:after="0"/>
        <w:ind w:left="1276" w:right="568" w:hanging="709"/>
        <w:jc w:val="both"/>
        <w:rPr>
          <w:sz w:val="24"/>
        </w:rPr>
      </w:pPr>
      <w:r>
        <w:rPr>
          <w:sz w:val="24"/>
        </w:rPr>
        <w:t>Konstanta</w:t>
      </w:r>
      <w:r>
        <w:rPr>
          <w:spacing w:val="-12"/>
          <w:sz w:val="24"/>
        </w:rPr>
        <w:t> </w:t>
      </w:r>
      <w:r>
        <w:rPr>
          <w:sz w:val="24"/>
        </w:rPr>
        <w:t>(α)</w:t>
      </w:r>
      <w:r>
        <w:rPr>
          <w:spacing w:val="-15"/>
          <w:sz w:val="24"/>
        </w:rPr>
        <w:t> </w:t>
      </w:r>
      <w:r>
        <w:rPr>
          <w:sz w:val="24"/>
        </w:rPr>
        <w:t>=</w:t>
      </w:r>
      <w:r>
        <w:rPr>
          <w:spacing w:val="-15"/>
          <w:sz w:val="24"/>
        </w:rPr>
        <w:t> </w:t>
      </w:r>
      <w:r>
        <w:rPr>
          <w:sz w:val="24"/>
        </w:rPr>
        <w:t>1,084,</w:t>
      </w:r>
      <w:r>
        <w:rPr>
          <w:spacing w:val="-15"/>
          <w:sz w:val="24"/>
        </w:rPr>
        <w:t> </w:t>
      </w:r>
      <w:r>
        <w:rPr>
          <w:sz w:val="24"/>
        </w:rPr>
        <w:t>menunjukkan</w:t>
      </w:r>
      <w:r>
        <w:rPr>
          <w:spacing w:val="-15"/>
          <w:sz w:val="24"/>
        </w:rPr>
        <w:t> </w:t>
      </w:r>
      <w:r>
        <w:rPr>
          <w:sz w:val="24"/>
        </w:rPr>
        <w:t>bahwa</w:t>
      </w:r>
      <w:r>
        <w:rPr>
          <w:spacing w:val="-14"/>
          <w:sz w:val="24"/>
        </w:rPr>
        <w:t> </w:t>
      </w:r>
      <w:r>
        <w:rPr>
          <w:sz w:val="24"/>
        </w:rPr>
        <w:t>jika</w:t>
      </w:r>
      <w:r>
        <w:rPr>
          <w:spacing w:val="-14"/>
          <w:sz w:val="24"/>
        </w:rPr>
        <w:t> </w:t>
      </w:r>
      <w:r>
        <w:rPr>
          <w:sz w:val="24"/>
        </w:rPr>
        <w:t>semua</w:t>
      </w:r>
      <w:r>
        <w:rPr>
          <w:spacing w:val="-14"/>
          <w:sz w:val="24"/>
        </w:rPr>
        <w:t> </w:t>
      </w:r>
      <w:r>
        <w:rPr>
          <w:sz w:val="24"/>
        </w:rPr>
        <w:t>variabel</w:t>
      </w:r>
      <w:r>
        <w:rPr>
          <w:spacing w:val="-14"/>
          <w:sz w:val="24"/>
        </w:rPr>
        <w:t> </w:t>
      </w:r>
      <w:r>
        <w:rPr>
          <w:sz w:val="24"/>
        </w:rPr>
        <w:t>independen bernilai nol, maka </w:t>
      </w:r>
      <w:r>
        <w:rPr>
          <w:i/>
          <w:sz w:val="24"/>
        </w:rPr>
        <w:t>Sustainability Assurance Quality </w:t>
      </w:r>
      <w:r>
        <w:rPr>
          <w:sz w:val="24"/>
        </w:rPr>
        <w:t>sebesar 1,084.</w:t>
      </w:r>
    </w:p>
    <w:p>
      <w:pPr>
        <w:pStyle w:val="ListParagraph"/>
        <w:numPr>
          <w:ilvl w:val="0"/>
          <w:numId w:val="33"/>
        </w:numPr>
        <w:tabs>
          <w:tab w:pos="1274" w:val="left" w:leader="none"/>
          <w:tab w:pos="1276" w:val="left" w:leader="none"/>
        </w:tabs>
        <w:spacing w:line="480" w:lineRule="auto" w:before="1" w:after="0"/>
        <w:ind w:left="1276" w:right="562" w:hanging="709"/>
        <w:jc w:val="both"/>
        <w:rPr>
          <w:sz w:val="24"/>
        </w:rPr>
      </w:pPr>
      <w:r>
        <w:rPr>
          <w:sz w:val="24"/>
        </w:rPr>
        <w:t>Nilai</w:t>
      </w:r>
      <w:r>
        <w:rPr>
          <w:spacing w:val="-15"/>
          <w:sz w:val="24"/>
        </w:rPr>
        <w:t> </w:t>
      </w:r>
      <w:r>
        <w:rPr>
          <w:sz w:val="24"/>
        </w:rPr>
        <w:t>koefisien</w:t>
      </w:r>
      <w:r>
        <w:rPr>
          <w:spacing w:val="-15"/>
          <w:sz w:val="24"/>
        </w:rPr>
        <w:t> </w:t>
      </w:r>
      <w:r>
        <w:rPr>
          <w:sz w:val="24"/>
        </w:rPr>
        <w:t>variabel</w:t>
      </w:r>
      <w:r>
        <w:rPr>
          <w:spacing w:val="-15"/>
          <w:sz w:val="24"/>
        </w:rPr>
        <w:t> </w:t>
      </w:r>
      <w:r>
        <w:rPr>
          <w:i/>
          <w:sz w:val="24"/>
        </w:rPr>
        <w:t>Leverage</w:t>
      </w:r>
      <w:r>
        <w:rPr>
          <w:i/>
          <w:spacing w:val="-15"/>
          <w:sz w:val="24"/>
        </w:rPr>
        <w:t> </w:t>
      </w:r>
      <w:r>
        <w:rPr>
          <w:sz w:val="24"/>
        </w:rPr>
        <w:t>(X1)</w:t>
      </w:r>
      <w:r>
        <w:rPr>
          <w:spacing w:val="-15"/>
          <w:sz w:val="24"/>
        </w:rPr>
        <w:t> </w:t>
      </w:r>
      <w:r>
        <w:rPr>
          <w:sz w:val="24"/>
        </w:rPr>
        <w:t>=</w:t>
      </w:r>
      <w:r>
        <w:rPr>
          <w:spacing w:val="-15"/>
          <w:sz w:val="24"/>
        </w:rPr>
        <w:t> </w:t>
      </w:r>
      <w:r>
        <w:rPr>
          <w:sz w:val="24"/>
        </w:rPr>
        <w:t>-0,266,</w:t>
      </w:r>
      <w:r>
        <w:rPr>
          <w:spacing w:val="-15"/>
          <w:sz w:val="24"/>
        </w:rPr>
        <w:t> </w:t>
      </w:r>
      <w:r>
        <w:rPr>
          <w:sz w:val="24"/>
        </w:rPr>
        <w:t>artinya</w:t>
      </w:r>
      <w:r>
        <w:rPr>
          <w:spacing w:val="-15"/>
          <w:sz w:val="24"/>
        </w:rPr>
        <w:t> </w:t>
      </w:r>
      <w:r>
        <w:rPr>
          <w:sz w:val="24"/>
        </w:rPr>
        <w:t>setiap</w:t>
      </w:r>
      <w:r>
        <w:rPr>
          <w:spacing w:val="-15"/>
          <w:sz w:val="24"/>
        </w:rPr>
        <w:t> </w:t>
      </w:r>
      <w:r>
        <w:rPr>
          <w:sz w:val="24"/>
        </w:rPr>
        <w:t>kenaikan</w:t>
      </w:r>
      <w:r>
        <w:rPr>
          <w:spacing w:val="-15"/>
          <w:sz w:val="24"/>
        </w:rPr>
        <w:t> </w:t>
      </w:r>
      <w:r>
        <w:rPr>
          <w:sz w:val="24"/>
        </w:rPr>
        <w:t>satu unit </w:t>
      </w:r>
      <w:r>
        <w:rPr>
          <w:i/>
          <w:sz w:val="24"/>
        </w:rPr>
        <w:t>Leverage </w:t>
      </w:r>
      <w:r>
        <w:rPr>
          <w:sz w:val="24"/>
        </w:rPr>
        <w:t>akan menurunkan </w:t>
      </w:r>
      <w:r>
        <w:rPr>
          <w:i/>
          <w:sz w:val="24"/>
        </w:rPr>
        <w:t>Sustainability Assurance Quality </w:t>
      </w:r>
      <w:r>
        <w:rPr>
          <w:sz w:val="24"/>
        </w:rPr>
        <w:t>sebesar 0,266, meskipun tidak signifikan (Sig. 0,161).</w:t>
      </w:r>
    </w:p>
    <w:p>
      <w:pPr>
        <w:pStyle w:val="ListParagraph"/>
        <w:numPr>
          <w:ilvl w:val="0"/>
          <w:numId w:val="33"/>
        </w:numPr>
        <w:tabs>
          <w:tab w:pos="1274" w:val="left" w:leader="none"/>
          <w:tab w:pos="1276" w:val="left" w:leader="none"/>
        </w:tabs>
        <w:spacing w:line="480" w:lineRule="auto" w:before="0" w:after="0"/>
        <w:ind w:left="1276" w:right="564" w:hanging="709"/>
        <w:jc w:val="both"/>
        <w:rPr>
          <w:sz w:val="24"/>
        </w:rPr>
      </w:pPr>
      <w:r>
        <w:rPr>
          <w:sz w:val="24"/>
        </w:rPr>
        <w:t>Nilai koefisien variabel </w:t>
      </w:r>
      <w:r>
        <w:rPr>
          <w:i/>
          <w:sz w:val="24"/>
        </w:rPr>
        <w:t>Debt Maturity </w:t>
      </w:r>
      <w:r>
        <w:rPr>
          <w:sz w:val="24"/>
        </w:rPr>
        <w:t>(X2) = 0,025, menunjukkan arah pengaruh positif namun tidak signifikan (Sig. 0,864), artinya setiap kenaikan satu unit </w:t>
      </w:r>
      <w:r>
        <w:rPr>
          <w:i/>
          <w:sz w:val="24"/>
        </w:rPr>
        <w:t>Debt Maturity </w:t>
      </w:r>
      <w:r>
        <w:rPr>
          <w:sz w:val="24"/>
        </w:rPr>
        <w:t>akan meningkatkan </w:t>
      </w:r>
      <w:r>
        <w:rPr>
          <w:i/>
          <w:sz w:val="24"/>
        </w:rPr>
        <w:t>Sustainability Assurance Quality </w:t>
      </w:r>
      <w:r>
        <w:rPr>
          <w:sz w:val="24"/>
        </w:rPr>
        <w:t>sebesar 0,025</w:t>
      </w:r>
    </w:p>
    <w:p>
      <w:pPr>
        <w:pStyle w:val="ListParagraph"/>
        <w:numPr>
          <w:ilvl w:val="0"/>
          <w:numId w:val="33"/>
        </w:numPr>
        <w:tabs>
          <w:tab w:pos="1276" w:val="left" w:leader="none"/>
        </w:tabs>
        <w:spacing w:line="475" w:lineRule="auto" w:before="1" w:after="0"/>
        <w:ind w:left="1276" w:right="562" w:hanging="709"/>
        <w:jc w:val="both"/>
        <w:rPr>
          <w:rFonts w:ascii="Calibri"/>
          <w:sz w:val="22"/>
        </w:rPr>
      </w:pPr>
      <w:r>
        <w:rPr>
          <w:sz w:val="24"/>
        </w:rPr>
        <w:t>Nilai koefisien variabel </w:t>
      </w:r>
      <w:r>
        <w:rPr>
          <w:i/>
          <w:sz w:val="24"/>
        </w:rPr>
        <w:t>Assurance Tenure </w:t>
      </w:r>
      <w:r>
        <w:rPr>
          <w:sz w:val="24"/>
        </w:rPr>
        <w:t>(X3) = -0,039, menunjukkan pengaruh</w:t>
      </w:r>
      <w:r>
        <w:rPr>
          <w:spacing w:val="-13"/>
          <w:sz w:val="24"/>
        </w:rPr>
        <w:t> </w:t>
      </w:r>
      <w:r>
        <w:rPr>
          <w:sz w:val="24"/>
        </w:rPr>
        <w:t>negatif</w:t>
      </w:r>
      <w:r>
        <w:rPr>
          <w:spacing w:val="-6"/>
          <w:sz w:val="24"/>
        </w:rPr>
        <w:t> </w:t>
      </w:r>
      <w:r>
        <w:rPr>
          <w:sz w:val="24"/>
        </w:rPr>
        <w:t>signifikan</w:t>
      </w:r>
      <w:r>
        <w:rPr>
          <w:spacing w:val="-7"/>
          <w:sz w:val="24"/>
        </w:rPr>
        <w:t> </w:t>
      </w:r>
      <w:r>
        <w:rPr>
          <w:sz w:val="24"/>
        </w:rPr>
        <w:t>terhadap</w:t>
      </w:r>
      <w:r>
        <w:rPr>
          <w:spacing w:val="-7"/>
          <w:sz w:val="24"/>
        </w:rPr>
        <w:t> </w:t>
      </w:r>
      <w:r>
        <w:rPr>
          <w:sz w:val="24"/>
        </w:rPr>
        <w:t>Sustainability</w:t>
      </w:r>
      <w:r>
        <w:rPr>
          <w:spacing w:val="-15"/>
          <w:sz w:val="24"/>
        </w:rPr>
        <w:t> </w:t>
      </w:r>
      <w:r>
        <w:rPr>
          <w:sz w:val="24"/>
        </w:rPr>
        <w:t>Assurance</w:t>
      </w:r>
      <w:r>
        <w:rPr>
          <w:spacing w:val="-6"/>
          <w:sz w:val="24"/>
        </w:rPr>
        <w:t> </w:t>
      </w:r>
      <w:r>
        <w:rPr>
          <w:sz w:val="24"/>
        </w:rPr>
        <w:t>Quality</w:t>
      </w:r>
      <w:r>
        <w:rPr>
          <w:spacing w:val="-14"/>
          <w:sz w:val="24"/>
        </w:rPr>
        <w:t> </w:t>
      </w:r>
      <w:r>
        <w:rPr>
          <w:sz w:val="24"/>
        </w:rPr>
        <w:t>(Sig. 0,011), artinya setiap kenaikan satu unit </w:t>
      </w:r>
      <w:r>
        <w:rPr>
          <w:i/>
          <w:sz w:val="24"/>
        </w:rPr>
        <w:t>Assurance Tenure </w:t>
      </w:r>
      <w:r>
        <w:rPr>
          <w:sz w:val="24"/>
        </w:rPr>
        <w:t>akan menurunkan </w:t>
      </w:r>
      <w:r>
        <w:rPr>
          <w:i/>
          <w:sz w:val="24"/>
        </w:rPr>
        <w:t>Sustainability Assurance Quality </w:t>
      </w:r>
      <w:r>
        <w:rPr>
          <w:sz w:val="24"/>
        </w:rPr>
        <w:t>sebesar 0,025</w:t>
      </w:r>
    </w:p>
    <w:p>
      <w:pPr>
        <w:pStyle w:val="BodyText"/>
        <w:spacing w:before="23"/>
      </w:pPr>
    </w:p>
    <w:p>
      <w:pPr>
        <w:pStyle w:val="Heading3"/>
        <w:numPr>
          <w:ilvl w:val="2"/>
          <w:numId w:val="32"/>
        </w:numPr>
        <w:tabs>
          <w:tab w:pos="1288" w:val="left" w:leader="none"/>
        </w:tabs>
        <w:spacing w:line="240" w:lineRule="auto" w:before="1" w:after="0"/>
        <w:ind w:left="1288" w:right="0" w:hanging="720"/>
        <w:jc w:val="both"/>
      </w:pPr>
      <w:bookmarkStart w:name="_bookmark65" w:id="66"/>
      <w:bookmarkEnd w:id="66"/>
      <w:r>
        <w:rPr>
          <w:b w:val="0"/>
        </w:rPr>
      </w:r>
      <w:r>
        <w:rPr/>
        <w:t>Hasil</w:t>
      </w:r>
      <w:r>
        <w:rPr>
          <w:spacing w:val="-5"/>
        </w:rPr>
        <w:t> </w:t>
      </w:r>
      <w:r>
        <w:rPr/>
        <w:t>Analisis</w:t>
      </w:r>
      <w:r>
        <w:rPr>
          <w:spacing w:val="-5"/>
        </w:rPr>
        <w:t> </w:t>
      </w:r>
      <w:r>
        <w:rPr/>
        <w:t>Koefisien</w:t>
      </w:r>
      <w:r>
        <w:rPr>
          <w:spacing w:val="-7"/>
        </w:rPr>
        <w:t> </w:t>
      </w:r>
      <w:r>
        <w:rPr/>
        <w:t>Determinan</w:t>
      </w:r>
      <w:r>
        <w:rPr>
          <w:spacing w:val="-6"/>
        </w:rPr>
        <w:t> </w:t>
      </w:r>
      <w:r>
        <w:rPr>
          <w:spacing w:val="-4"/>
        </w:rPr>
        <w:t>(R</w:t>
      </w:r>
      <w:r>
        <w:rPr>
          <w:spacing w:val="-4"/>
          <w:vertAlign w:val="superscript"/>
        </w:rPr>
        <w:t>2</w:t>
      </w:r>
      <w:r>
        <w:rPr>
          <w:spacing w:val="-4"/>
          <w:vertAlign w:val="baseline"/>
        </w:rPr>
        <w:t>)</w:t>
      </w:r>
    </w:p>
    <w:p>
      <w:pPr>
        <w:pStyle w:val="BodyText"/>
        <w:spacing w:line="480" w:lineRule="auto" w:before="272"/>
        <w:ind w:left="568" w:right="567" w:firstLine="720"/>
        <w:jc w:val="both"/>
      </w:pPr>
      <w:r>
        <w:rPr/>
        <w:t>Pengujian</w:t>
      </w:r>
      <w:r>
        <w:rPr>
          <w:spacing w:val="-2"/>
        </w:rPr>
        <w:t> </w:t>
      </w:r>
      <w:r>
        <w:rPr/>
        <w:t>koefisien</w:t>
      </w:r>
      <w:r>
        <w:rPr>
          <w:spacing w:val="-2"/>
        </w:rPr>
        <w:t> </w:t>
      </w:r>
      <w:r>
        <w:rPr/>
        <w:t>determinasi (R</w:t>
      </w:r>
      <w:r>
        <w:rPr>
          <w:vertAlign w:val="superscript"/>
        </w:rPr>
        <w:t>2</w:t>
      </w:r>
      <w:r>
        <w:rPr>
          <w:vertAlign w:val="baseline"/>
        </w:rPr>
        <w:t>)</w:t>
      </w:r>
      <w:r>
        <w:rPr>
          <w:spacing w:val="-1"/>
          <w:vertAlign w:val="baseline"/>
        </w:rPr>
        <w:t> </w:t>
      </w:r>
      <w:r>
        <w:rPr>
          <w:vertAlign w:val="baseline"/>
        </w:rPr>
        <w:t>dilakukan</w:t>
      </w:r>
      <w:r>
        <w:rPr>
          <w:spacing w:val="-2"/>
          <w:vertAlign w:val="baseline"/>
        </w:rPr>
        <w:t> </w:t>
      </w:r>
      <w:r>
        <w:rPr>
          <w:vertAlign w:val="baseline"/>
        </w:rPr>
        <w:t>untuk</w:t>
      </w:r>
      <w:r>
        <w:rPr>
          <w:spacing w:val="-2"/>
          <w:vertAlign w:val="baseline"/>
        </w:rPr>
        <w:t> </w:t>
      </w:r>
      <w:r>
        <w:rPr>
          <w:vertAlign w:val="baseline"/>
        </w:rPr>
        <w:t>menilai</w:t>
      </w:r>
      <w:r>
        <w:rPr>
          <w:spacing w:val="-1"/>
          <w:vertAlign w:val="baseline"/>
        </w:rPr>
        <w:t> </w:t>
      </w:r>
      <w:r>
        <w:rPr>
          <w:vertAlign w:val="baseline"/>
        </w:rPr>
        <w:t>sejauh</w:t>
      </w:r>
      <w:r>
        <w:rPr>
          <w:spacing w:val="-4"/>
          <w:vertAlign w:val="baseline"/>
        </w:rPr>
        <w:t> </w:t>
      </w:r>
      <w:r>
        <w:rPr>
          <w:vertAlign w:val="baseline"/>
        </w:rPr>
        <w:t>mana variabel bebas memberikan kontribusi dalam menjelaskan variasi pada variabel terikat. Nilai koefisien determinasi berada pada rentang antara 0 hingga 1. Hasil dari analisis koefisien determinan (R</w:t>
      </w:r>
      <w:r>
        <w:rPr>
          <w:vertAlign w:val="superscript"/>
        </w:rPr>
        <w:t>2</w:t>
      </w:r>
      <w:r>
        <w:rPr>
          <w:vertAlign w:val="baseline"/>
        </w:rPr>
        <w:t>) dapat dilihat pada tabel 4.9 dibawah ini:</w:t>
      </w:r>
    </w:p>
    <w:p>
      <w:pPr>
        <w:pStyle w:val="BodyText"/>
        <w:spacing w:after="0" w:line="480" w:lineRule="auto"/>
        <w:jc w:val="both"/>
        <w:sectPr>
          <w:pgSz w:w="11910" w:h="16840"/>
          <w:pgMar w:header="710" w:footer="0" w:top="1920" w:bottom="280" w:left="1700" w:right="1133"/>
        </w:sectPr>
      </w:pPr>
    </w:p>
    <w:p>
      <w:pPr>
        <w:pStyle w:val="BodyText"/>
        <w:spacing w:before="78"/>
        <w:rPr>
          <w:sz w:val="22"/>
        </w:rPr>
      </w:pPr>
    </w:p>
    <w:p>
      <w:pPr>
        <w:spacing w:before="0"/>
        <w:ind w:left="358" w:right="357" w:firstLine="0"/>
        <w:jc w:val="center"/>
        <w:rPr>
          <w:b/>
          <w:sz w:val="22"/>
        </w:rPr>
      </w:pPr>
      <w:r>
        <w:rPr>
          <w:b/>
          <w:sz w:val="22"/>
        </w:rPr>
        <w:t>Tabel</w:t>
      </w:r>
      <w:r>
        <w:rPr>
          <w:b/>
          <w:spacing w:val="-12"/>
          <w:sz w:val="22"/>
        </w:rPr>
        <w:t> </w:t>
      </w:r>
      <w:r>
        <w:rPr>
          <w:b/>
          <w:sz w:val="22"/>
        </w:rPr>
        <w:t>4.9</w:t>
      </w:r>
      <w:r>
        <w:rPr>
          <w:b/>
          <w:spacing w:val="-8"/>
          <w:sz w:val="22"/>
        </w:rPr>
        <w:t> </w:t>
      </w:r>
      <w:r>
        <w:rPr>
          <w:b/>
          <w:sz w:val="22"/>
        </w:rPr>
        <w:t>Hasil</w:t>
      </w:r>
      <w:r>
        <w:rPr>
          <w:b/>
          <w:spacing w:val="-14"/>
          <w:sz w:val="22"/>
        </w:rPr>
        <w:t> </w:t>
      </w:r>
      <w:r>
        <w:rPr>
          <w:b/>
          <w:sz w:val="22"/>
        </w:rPr>
        <w:t>Analisis</w:t>
      </w:r>
      <w:r>
        <w:rPr>
          <w:b/>
          <w:spacing w:val="-7"/>
          <w:sz w:val="22"/>
        </w:rPr>
        <w:t> </w:t>
      </w:r>
      <w:r>
        <w:rPr>
          <w:b/>
          <w:color w:val="44536A"/>
          <w:sz w:val="22"/>
        </w:rPr>
        <w:t>Koefisien</w:t>
      </w:r>
      <w:r>
        <w:rPr>
          <w:b/>
          <w:color w:val="44536A"/>
          <w:spacing w:val="-5"/>
          <w:sz w:val="22"/>
        </w:rPr>
        <w:t> </w:t>
      </w:r>
      <w:r>
        <w:rPr>
          <w:b/>
          <w:color w:val="44536A"/>
          <w:sz w:val="22"/>
        </w:rPr>
        <w:t>Determinan</w:t>
      </w:r>
      <w:r>
        <w:rPr>
          <w:b/>
          <w:color w:val="44536A"/>
          <w:spacing w:val="-5"/>
          <w:sz w:val="22"/>
        </w:rPr>
        <w:t> </w:t>
      </w:r>
      <w:r>
        <w:rPr>
          <w:b/>
          <w:color w:val="44536A"/>
          <w:spacing w:val="-4"/>
          <w:sz w:val="22"/>
        </w:rPr>
        <w:t>(R</w:t>
      </w:r>
      <w:r>
        <w:rPr>
          <w:b/>
          <w:color w:val="44536A"/>
          <w:spacing w:val="-4"/>
          <w:sz w:val="22"/>
          <w:vertAlign w:val="superscript"/>
        </w:rPr>
        <w:t>2</w:t>
      </w:r>
      <w:r>
        <w:rPr>
          <w:b/>
          <w:color w:val="44536A"/>
          <w:spacing w:val="-4"/>
          <w:sz w:val="22"/>
          <w:vertAlign w:val="baseline"/>
        </w:rPr>
        <w:t>)</w:t>
      </w:r>
    </w:p>
    <w:p>
      <w:pPr>
        <w:pStyle w:val="BodyText"/>
        <w:spacing w:before="4" w:after="1"/>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8"/>
        <w:gridCol w:w="1584"/>
        <w:gridCol w:w="1584"/>
        <w:gridCol w:w="1588"/>
        <w:gridCol w:w="1584"/>
      </w:tblGrid>
      <w:tr>
        <w:trPr>
          <w:trHeight w:val="230" w:hRule="atLeast"/>
        </w:trPr>
        <w:tc>
          <w:tcPr>
            <w:tcW w:w="7928" w:type="dxa"/>
            <w:gridSpan w:val="5"/>
          </w:tcPr>
          <w:p>
            <w:pPr>
              <w:pStyle w:val="TableParagraph"/>
              <w:spacing w:line="210" w:lineRule="exact"/>
              <w:ind w:left="8" w:right="4"/>
              <w:jc w:val="center"/>
              <w:rPr>
                <w:b/>
                <w:sz w:val="20"/>
              </w:rPr>
            </w:pPr>
            <w:r>
              <w:rPr>
                <w:b/>
                <w:sz w:val="20"/>
              </w:rPr>
              <w:t>Model</w:t>
            </w:r>
            <w:r>
              <w:rPr>
                <w:b/>
                <w:spacing w:val="-1"/>
                <w:sz w:val="20"/>
              </w:rPr>
              <w:t> </w:t>
            </w:r>
            <w:r>
              <w:rPr>
                <w:b/>
                <w:spacing w:val="-2"/>
                <w:sz w:val="20"/>
              </w:rPr>
              <w:t>Summary</w:t>
            </w:r>
          </w:p>
        </w:tc>
      </w:tr>
      <w:tr>
        <w:trPr>
          <w:trHeight w:val="642" w:hRule="atLeast"/>
        </w:trPr>
        <w:tc>
          <w:tcPr>
            <w:tcW w:w="1588" w:type="dxa"/>
          </w:tcPr>
          <w:p>
            <w:pPr>
              <w:pStyle w:val="TableParagraph"/>
              <w:spacing w:before="18"/>
              <w:rPr>
                <w:b/>
                <w:sz w:val="20"/>
              </w:rPr>
            </w:pPr>
          </w:p>
          <w:p>
            <w:pPr>
              <w:pStyle w:val="TableParagraph"/>
              <w:spacing w:before="1"/>
              <w:ind w:left="167"/>
              <w:rPr>
                <w:sz w:val="20"/>
              </w:rPr>
            </w:pPr>
            <w:r>
              <w:rPr>
                <w:spacing w:val="-2"/>
                <w:sz w:val="20"/>
              </w:rPr>
              <w:t>Model</w:t>
            </w:r>
          </w:p>
        </w:tc>
        <w:tc>
          <w:tcPr>
            <w:tcW w:w="1584" w:type="dxa"/>
          </w:tcPr>
          <w:p>
            <w:pPr>
              <w:pStyle w:val="TableParagraph"/>
              <w:spacing w:before="18"/>
              <w:rPr>
                <w:b/>
                <w:sz w:val="20"/>
              </w:rPr>
            </w:pPr>
          </w:p>
          <w:p>
            <w:pPr>
              <w:pStyle w:val="TableParagraph"/>
              <w:spacing w:before="1"/>
              <w:ind w:left="163"/>
              <w:rPr>
                <w:sz w:val="20"/>
              </w:rPr>
            </w:pPr>
            <w:r>
              <w:rPr>
                <w:spacing w:val="-10"/>
                <w:sz w:val="20"/>
              </w:rPr>
              <w:t>R</w:t>
            </w:r>
          </w:p>
        </w:tc>
        <w:tc>
          <w:tcPr>
            <w:tcW w:w="1584" w:type="dxa"/>
          </w:tcPr>
          <w:p>
            <w:pPr>
              <w:pStyle w:val="TableParagraph"/>
              <w:spacing w:before="18"/>
              <w:rPr>
                <w:b/>
                <w:sz w:val="20"/>
              </w:rPr>
            </w:pPr>
          </w:p>
          <w:p>
            <w:pPr>
              <w:pStyle w:val="TableParagraph"/>
              <w:spacing w:before="1"/>
              <w:ind w:left="168"/>
              <w:rPr>
                <w:sz w:val="20"/>
              </w:rPr>
            </w:pPr>
            <w:r>
              <w:rPr>
                <w:sz w:val="20"/>
              </w:rPr>
              <w:t>R </w:t>
            </w:r>
            <w:r>
              <w:rPr>
                <w:spacing w:val="-2"/>
                <w:sz w:val="20"/>
              </w:rPr>
              <w:t>Square</w:t>
            </w:r>
          </w:p>
        </w:tc>
        <w:tc>
          <w:tcPr>
            <w:tcW w:w="1588" w:type="dxa"/>
          </w:tcPr>
          <w:p>
            <w:pPr>
              <w:pStyle w:val="TableParagraph"/>
              <w:spacing w:line="320" w:lineRule="exact"/>
              <w:ind w:left="168" w:right="497"/>
              <w:rPr>
                <w:sz w:val="20"/>
              </w:rPr>
            </w:pPr>
            <w:r>
              <w:rPr>
                <w:sz w:val="20"/>
              </w:rPr>
              <w:t>Adjusted</w:t>
            </w:r>
            <w:r>
              <w:rPr>
                <w:spacing w:val="-13"/>
                <w:sz w:val="20"/>
              </w:rPr>
              <w:t> </w:t>
            </w:r>
            <w:r>
              <w:rPr>
                <w:sz w:val="20"/>
              </w:rPr>
              <w:t>R </w:t>
            </w:r>
            <w:r>
              <w:rPr>
                <w:spacing w:val="-2"/>
                <w:sz w:val="20"/>
              </w:rPr>
              <w:t>Square</w:t>
            </w:r>
          </w:p>
        </w:tc>
        <w:tc>
          <w:tcPr>
            <w:tcW w:w="1584" w:type="dxa"/>
          </w:tcPr>
          <w:p>
            <w:pPr>
              <w:pStyle w:val="TableParagraph"/>
              <w:spacing w:line="320" w:lineRule="exact"/>
              <w:ind w:left="165" w:right="204"/>
              <w:rPr>
                <w:sz w:val="20"/>
              </w:rPr>
            </w:pPr>
            <w:r>
              <w:rPr>
                <w:sz w:val="20"/>
              </w:rPr>
              <w:t>Std.</w:t>
            </w:r>
            <w:r>
              <w:rPr>
                <w:spacing w:val="-13"/>
                <w:sz w:val="20"/>
              </w:rPr>
              <w:t> </w:t>
            </w:r>
            <w:r>
              <w:rPr>
                <w:sz w:val="20"/>
              </w:rPr>
              <w:t>Error</w:t>
            </w:r>
            <w:r>
              <w:rPr>
                <w:spacing w:val="-12"/>
                <w:sz w:val="20"/>
              </w:rPr>
              <w:t> </w:t>
            </w:r>
            <w:r>
              <w:rPr>
                <w:sz w:val="20"/>
              </w:rPr>
              <w:t>of the</w:t>
            </w:r>
            <w:r>
              <w:rPr>
                <w:spacing w:val="1"/>
                <w:sz w:val="20"/>
              </w:rPr>
              <w:t> </w:t>
            </w:r>
            <w:r>
              <w:rPr>
                <w:spacing w:val="-2"/>
                <w:sz w:val="20"/>
              </w:rPr>
              <w:t>Estimate</w:t>
            </w:r>
          </w:p>
        </w:tc>
      </w:tr>
      <w:tr>
        <w:trPr>
          <w:trHeight w:val="317" w:hRule="atLeast"/>
        </w:trPr>
        <w:tc>
          <w:tcPr>
            <w:tcW w:w="1588" w:type="dxa"/>
          </w:tcPr>
          <w:p>
            <w:pPr>
              <w:pStyle w:val="TableParagraph"/>
              <w:spacing w:line="214" w:lineRule="exact" w:before="84"/>
              <w:ind w:left="167"/>
              <w:rPr>
                <w:sz w:val="20"/>
              </w:rPr>
            </w:pPr>
            <w:r>
              <w:rPr>
                <w:spacing w:val="-10"/>
                <w:sz w:val="20"/>
              </w:rPr>
              <w:t>1</w:t>
            </w:r>
          </w:p>
        </w:tc>
        <w:tc>
          <w:tcPr>
            <w:tcW w:w="1584" w:type="dxa"/>
          </w:tcPr>
          <w:p>
            <w:pPr>
              <w:pStyle w:val="TableParagraph"/>
              <w:spacing w:line="214" w:lineRule="exact" w:before="84"/>
              <w:ind w:left="1003"/>
              <w:rPr>
                <w:sz w:val="20"/>
              </w:rPr>
            </w:pPr>
            <w:r>
              <w:rPr>
                <w:spacing w:val="-2"/>
                <w:sz w:val="20"/>
              </w:rPr>
              <w:t>,487</w:t>
            </w:r>
            <w:r>
              <w:rPr>
                <w:spacing w:val="-2"/>
                <w:sz w:val="20"/>
                <w:vertAlign w:val="superscript"/>
              </w:rPr>
              <w:t>a</w:t>
            </w:r>
          </w:p>
        </w:tc>
        <w:tc>
          <w:tcPr>
            <w:tcW w:w="1584" w:type="dxa"/>
          </w:tcPr>
          <w:p>
            <w:pPr>
              <w:pStyle w:val="TableParagraph"/>
              <w:spacing w:line="214" w:lineRule="exact" w:before="84"/>
              <w:ind w:right="155"/>
              <w:jc w:val="right"/>
              <w:rPr>
                <w:sz w:val="20"/>
              </w:rPr>
            </w:pPr>
            <w:r>
              <w:rPr>
                <w:spacing w:val="-4"/>
                <w:sz w:val="20"/>
              </w:rPr>
              <w:t>,237</w:t>
            </w:r>
          </w:p>
        </w:tc>
        <w:tc>
          <w:tcPr>
            <w:tcW w:w="1588" w:type="dxa"/>
          </w:tcPr>
          <w:p>
            <w:pPr>
              <w:pStyle w:val="TableParagraph"/>
              <w:spacing w:line="214" w:lineRule="exact" w:before="84"/>
              <w:ind w:right="155"/>
              <w:jc w:val="right"/>
              <w:rPr>
                <w:sz w:val="20"/>
              </w:rPr>
            </w:pPr>
            <w:r>
              <w:rPr>
                <w:spacing w:val="-4"/>
                <w:sz w:val="20"/>
              </w:rPr>
              <w:t>,156</w:t>
            </w:r>
          </w:p>
        </w:tc>
        <w:tc>
          <w:tcPr>
            <w:tcW w:w="1584" w:type="dxa"/>
          </w:tcPr>
          <w:p>
            <w:pPr>
              <w:pStyle w:val="TableParagraph"/>
              <w:spacing w:line="214" w:lineRule="exact" w:before="84"/>
              <w:ind w:left="165"/>
              <w:rPr>
                <w:sz w:val="20"/>
              </w:rPr>
            </w:pPr>
            <w:r>
              <w:rPr>
                <w:spacing w:val="-2"/>
                <w:sz w:val="20"/>
              </w:rPr>
              <w:t>,125969717929</w:t>
            </w:r>
          </w:p>
        </w:tc>
      </w:tr>
      <w:tr>
        <w:trPr>
          <w:trHeight w:val="233" w:hRule="atLeast"/>
        </w:trPr>
        <w:tc>
          <w:tcPr>
            <w:tcW w:w="7928" w:type="dxa"/>
            <w:gridSpan w:val="5"/>
          </w:tcPr>
          <w:p>
            <w:pPr>
              <w:pStyle w:val="TableParagraph"/>
              <w:spacing w:line="214" w:lineRule="exact"/>
              <w:ind w:left="106"/>
              <w:rPr>
                <w:sz w:val="20"/>
              </w:rPr>
            </w:pPr>
            <w:r>
              <w:rPr>
                <w:color w:val="000104"/>
                <w:sz w:val="20"/>
              </w:rPr>
              <w:t>a.</w:t>
            </w:r>
            <w:r>
              <w:rPr>
                <w:color w:val="000104"/>
                <w:spacing w:val="-10"/>
                <w:sz w:val="20"/>
              </w:rPr>
              <w:t> </w:t>
            </w:r>
            <w:r>
              <w:rPr>
                <w:color w:val="000104"/>
                <w:sz w:val="20"/>
              </w:rPr>
              <w:t>Predictors:</w:t>
            </w:r>
            <w:r>
              <w:rPr>
                <w:color w:val="000104"/>
                <w:spacing w:val="-7"/>
                <w:sz w:val="20"/>
              </w:rPr>
              <w:t> </w:t>
            </w:r>
            <w:r>
              <w:rPr>
                <w:color w:val="000104"/>
                <w:sz w:val="20"/>
              </w:rPr>
              <w:t>(Constant),</w:t>
            </w:r>
            <w:r>
              <w:rPr>
                <w:color w:val="000104"/>
                <w:spacing w:val="-13"/>
                <w:sz w:val="20"/>
              </w:rPr>
              <w:t> </w:t>
            </w:r>
            <w:r>
              <w:rPr>
                <w:color w:val="000104"/>
                <w:sz w:val="20"/>
              </w:rPr>
              <w:t>Assurance</w:t>
            </w:r>
            <w:r>
              <w:rPr>
                <w:color w:val="000104"/>
                <w:spacing w:val="-11"/>
                <w:sz w:val="20"/>
              </w:rPr>
              <w:t> </w:t>
            </w:r>
            <w:r>
              <w:rPr>
                <w:color w:val="000104"/>
                <w:sz w:val="20"/>
              </w:rPr>
              <w:t>Tenure,</w:t>
            </w:r>
            <w:r>
              <w:rPr>
                <w:color w:val="000104"/>
                <w:spacing w:val="-6"/>
                <w:sz w:val="20"/>
              </w:rPr>
              <w:t> </w:t>
            </w:r>
            <w:r>
              <w:rPr>
                <w:color w:val="000104"/>
                <w:sz w:val="20"/>
              </w:rPr>
              <w:t>Debt</w:t>
            </w:r>
            <w:r>
              <w:rPr>
                <w:color w:val="000104"/>
                <w:spacing w:val="-7"/>
                <w:sz w:val="20"/>
              </w:rPr>
              <w:t> </w:t>
            </w:r>
            <w:r>
              <w:rPr>
                <w:color w:val="000104"/>
                <w:sz w:val="20"/>
              </w:rPr>
              <w:t>Maturity,</w:t>
            </w:r>
            <w:r>
              <w:rPr>
                <w:color w:val="000104"/>
                <w:spacing w:val="-6"/>
                <w:sz w:val="20"/>
              </w:rPr>
              <w:t> </w:t>
            </w:r>
            <w:r>
              <w:rPr>
                <w:color w:val="000104"/>
                <w:spacing w:val="-2"/>
                <w:sz w:val="20"/>
              </w:rPr>
              <w:t>Leverage</w:t>
            </w:r>
          </w:p>
        </w:tc>
      </w:tr>
    </w:tbl>
    <w:p>
      <w:pPr>
        <w:spacing w:before="0"/>
        <w:ind w:left="568" w:right="0" w:firstLine="0"/>
        <w:jc w:val="left"/>
        <w:rPr>
          <w:i/>
          <w:sz w:val="24"/>
        </w:rPr>
      </w:pPr>
      <w:r>
        <w:rPr>
          <w:i/>
          <w:sz w:val="24"/>
        </w:rPr>
        <w:t>Sumber:</w:t>
      </w:r>
      <w:r>
        <w:rPr>
          <w:i/>
          <w:spacing w:val="-2"/>
          <w:sz w:val="24"/>
        </w:rPr>
        <w:t> </w:t>
      </w:r>
      <w:r>
        <w:rPr>
          <w:i/>
          <w:sz w:val="24"/>
        </w:rPr>
        <w:t>Data</w:t>
      </w:r>
      <w:r>
        <w:rPr>
          <w:i/>
          <w:spacing w:val="-1"/>
          <w:sz w:val="24"/>
        </w:rPr>
        <w:t> </w:t>
      </w:r>
      <w:r>
        <w:rPr>
          <w:i/>
          <w:sz w:val="24"/>
        </w:rPr>
        <w:t>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spacing w:line="480" w:lineRule="auto" w:before="268"/>
        <w:ind w:left="568" w:right="562" w:firstLine="720"/>
        <w:jc w:val="both"/>
        <w:rPr>
          <w:sz w:val="24"/>
        </w:rPr>
      </w:pPr>
      <w:r>
        <w:rPr>
          <w:sz w:val="24"/>
        </w:rPr>
        <w:t>Berdasarkan</w:t>
      </w:r>
      <w:r>
        <w:rPr>
          <w:spacing w:val="-15"/>
          <w:sz w:val="24"/>
        </w:rPr>
        <w:t> </w:t>
      </w:r>
      <w:r>
        <w:rPr>
          <w:sz w:val="24"/>
        </w:rPr>
        <w:t>hasil</w:t>
      </w:r>
      <w:r>
        <w:rPr>
          <w:spacing w:val="-15"/>
          <w:sz w:val="24"/>
        </w:rPr>
        <w:t> </w:t>
      </w:r>
      <w:r>
        <w:rPr>
          <w:sz w:val="24"/>
        </w:rPr>
        <w:t>analisis</w:t>
      </w:r>
      <w:r>
        <w:rPr>
          <w:spacing w:val="-15"/>
          <w:sz w:val="24"/>
        </w:rPr>
        <w:t> </w:t>
      </w:r>
      <w:r>
        <w:rPr>
          <w:sz w:val="24"/>
        </w:rPr>
        <w:t>tersebut,</w:t>
      </w:r>
      <w:r>
        <w:rPr>
          <w:spacing w:val="-15"/>
          <w:sz w:val="24"/>
        </w:rPr>
        <w:t> </w:t>
      </w:r>
      <w:r>
        <w:rPr>
          <w:sz w:val="24"/>
        </w:rPr>
        <w:t>nilai</w:t>
      </w:r>
      <w:r>
        <w:rPr>
          <w:spacing w:val="-15"/>
          <w:sz w:val="24"/>
        </w:rPr>
        <w:t> </w:t>
      </w:r>
      <w:r>
        <w:rPr>
          <w:sz w:val="24"/>
        </w:rPr>
        <w:t>R²</w:t>
      </w:r>
      <w:r>
        <w:rPr>
          <w:spacing w:val="-15"/>
          <w:sz w:val="24"/>
        </w:rPr>
        <w:t> </w:t>
      </w:r>
      <w:r>
        <w:rPr>
          <w:sz w:val="24"/>
        </w:rPr>
        <w:t>=</w:t>
      </w:r>
      <w:r>
        <w:rPr>
          <w:spacing w:val="-15"/>
          <w:sz w:val="24"/>
        </w:rPr>
        <w:t> </w:t>
      </w:r>
      <w:r>
        <w:rPr>
          <w:sz w:val="24"/>
        </w:rPr>
        <w:t>0,237</w:t>
      </w:r>
      <w:r>
        <w:rPr>
          <w:spacing w:val="-15"/>
          <w:sz w:val="24"/>
        </w:rPr>
        <w:t> </w:t>
      </w:r>
      <w:r>
        <w:rPr>
          <w:sz w:val="24"/>
        </w:rPr>
        <w:t>dan</w:t>
      </w:r>
      <w:r>
        <w:rPr>
          <w:spacing w:val="-15"/>
          <w:sz w:val="24"/>
        </w:rPr>
        <w:t> </w:t>
      </w:r>
      <w:r>
        <w:rPr>
          <w:sz w:val="24"/>
        </w:rPr>
        <w:t>Adjusted</w:t>
      </w:r>
      <w:r>
        <w:rPr>
          <w:spacing w:val="-15"/>
          <w:sz w:val="24"/>
        </w:rPr>
        <w:t> </w:t>
      </w:r>
      <w:r>
        <w:rPr>
          <w:sz w:val="24"/>
        </w:rPr>
        <w:t>R²</w:t>
      </w:r>
      <w:r>
        <w:rPr>
          <w:spacing w:val="-15"/>
          <w:sz w:val="24"/>
        </w:rPr>
        <w:t> </w:t>
      </w:r>
      <w:r>
        <w:rPr>
          <w:sz w:val="24"/>
        </w:rPr>
        <w:t>=</w:t>
      </w:r>
      <w:r>
        <w:rPr>
          <w:spacing w:val="-15"/>
          <w:sz w:val="24"/>
        </w:rPr>
        <w:t> </w:t>
      </w:r>
      <w:r>
        <w:rPr>
          <w:sz w:val="24"/>
        </w:rPr>
        <w:t>0,156 menunjukkan</w:t>
      </w:r>
      <w:r>
        <w:rPr>
          <w:spacing w:val="-6"/>
          <w:sz w:val="24"/>
        </w:rPr>
        <w:t> </w:t>
      </w:r>
      <w:r>
        <w:rPr>
          <w:sz w:val="24"/>
        </w:rPr>
        <w:t>bahwa</w:t>
      </w:r>
      <w:r>
        <w:rPr>
          <w:spacing w:val="-5"/>
          <w:sz w:val="24"/>
        </w:rPr>
        <w:t> </w:t>
      </w:r>
      <w:r>
        <w:rPr>
          <w:sz w:val="24"/>
        </w:rPr>
        <w:t>sebesar</w:t>
      </w:r>
      <w:r>
        <w:rPr>
          <w:spacing w:val="-3"/>
          <w:sz w:val="24"/>
        </w:rPr>
        <w:t> </w:t>
      </w:r>
      <w:r>
        <w:rPr>
          <w:sz w:val="24"/>
        </w:rPr>
        <w:t>15,6%</w:t>
      </w:r>
      <w:r>
        <w:rPr>
          <w:spacing w:val="-6"/>
          <w:sz w:val="24"/>
        </w:rPr>
        <w:t> </w:t>
      </w:r>
      <w:r>
        <w:rPr>
          <w:sz w:val="24"/>
        </w:rPr>
        <w:t>variasi</w:t>
      </w:r>
      <w:r>
        <w:rPr>
          <w:spacing w:val="-4"/>
          <w:sz w:val="24"/>
        </w:rPr>
        <w:t> </w:t>
      </w:r>
      <w:r>
        <w:rPr>
          <w:i/>
          <w:sz w:val="24"/>
        </w:rPr>
        <w:t>Sustainability</w:t>
      </w:r>
      <w:r>
        <w:rPr>
          <w:i/>
          <w:spacing w:val="-8"/>
          <w:sz w:val="24"/>
        </w:rPr>
        <w:t> </w:t>
      </w:r>
      <w:r>
        <w:rPr>
          <w:i/>
          <w:sz w:val="24"/>
        </w:rPr>
        <w:t>Assurance</w:t>
      </w:r>
      <w:r>
        <w:rPr>
          <w:i/>
          <w:spacing w:val="-5"/>
          <w:sz w:val="24"/>
        </w:rPr>
        <w:t> </w:t>
      </w:r>
      <w:r>
        <w:rPr>
          <w:i/>
          <w:sz w:val="24"/>
        </w:rPr>
        <w:t>Quality </w:t>
      </w:r>
      <w:r>
        <w:rPr>
          <w:sz w:val="24"/>
        </w:rPr>
        <w:t>dapat dijelaskan oleh variabel </w:t>
      </w:r>
      <w:r>
        <w:rPr>
          <w:i/>
          <w:sz w:val="24"/>
        </w:rPr>
        <w:t>Leverage</w:t>
      </w:r>
      <w:r>
        <w:rPr>
          <w:sz w:val="24"/>
        </w:rPr>
        <w:t>, </w:t>
      </w:r>
      <w:r>
        <w:rPr>
          <w:i/>
          <w:sz w:val="24"/>
        </w:rPr>
        <w:t>Debt Maturity</w:t>
      </w:r>
      <w:r>
        <w:rPr>
          <w:sz w:val="24"/>
        </w:rPr>
        <w:t>, dan </w:t>
      </w:r>
      <w:r>
        <w:rPr>
          <w:i/>
          <w:sz w:val="24"/>
        </w:rPr>
        <w:t>Assurance Tenure</w:t>
      </w:r>
      <w:r>
        <w:rPr>
          <w:sz w:val="24"/>
        </w:rPr>
        <w:t>, sedangkan</w:t>
      </w:r>
      <w:r>
        <w:rPr>
          <w:spacing w:val="-8"/>
          <w:sz w:val="24"/>
        </w:rPr>
        <w:t> </w:t>
      </w:r>
      <w:r>
        <w:rPr>
          <w:sz w:val="24"/>
        </w:rPr>
        <w:t>sisanya</w:t>
      </w:r>
      <w:r>
        <w:rPr>
          <w:spacing w:val="-2"/>
          <w:sz w:val="24"/>
        </w:rPr>
        <w:t> </w:t>
      </w:r>
      <w:r>
        <w:rPr>
          <w:sz w:val="24"/>
        </w:rPr>
        <w:t>sebesar</w:t>
      </w:r>
      <w:r>
        <w:rPr>
          <w:spacing w:val="-3"/>
          <w:sz w:val="24"/>
        </w:rPr>
        <w:t> </w:t>
      </w:r>
      <w:r>
        <w:rPr>
          <w:sz w:val="24"/>
        </w:rPr>
        <w:t>84,4%</w:t>
      </w:r>
      <w:r>
        <w:rPr>
          <w:spacing w:val="-7"/>
          <w:sz w:val="24"/>
        </w:rPr>
        <w:t> </w:t>
      </w:r>
      <w:r>
        <w:rPr>
          <w:sz w:val="24"/>
        </w:rPr>
        <w:t>dijelaskan</w:t>
      </w:r>
      <w:r>
        <w:rPr>
          <w:spacing w:val="-6"/>
          <w:sz w:val="24"/>
        </w:rPr>
        <w:t> </w:t>
      </w:r>
      <w:r>
        <w:rPr>
          <w:sz w:val="24"/>
        </w:rPr>
        <w:t>oleh</w:t>
      </w:r>
      <w:r>
        <w:rPr>
          <w:spacing w:val="-8"/>
          <w:sz w:val="24"/>
        </w:rPr>
        <w:t> </w:t>
      </w:r>
      <w:r>
        <w:rPr>
          <w:sz w:val="24"/>
        </w:rPr>
        <w:t>faktor</w:t>
      </w:r>
      <w:r>
        <w:rPr>
          <w:spacing w:val="-10"/>
          <w:sz w:val="24"/>
        </w:rPr>
        <w:t> </w:t>
      </w:r>
      <w:r>
        <w:rPr>
          <w:sz w:val="24"/>
        </w:rPr>
        <w:t>lain</w:t>
      </w:r>
      <w:r>
        <w:rPr>
          <w:spacing w:val="-8"/>
          <w:sz w:val="24"/>
        </w:rPr>
        <w:t> </w:t>
      </w:r>
      <w:r>
        <w:rPr>
          <w:sz w:val="24"/>
        </w:rPr>
        <w:t>di</w:t>
      </w:r>
      <w:r>
        <w:rPr>
          <w:spacing w:val="-7"/>
          <w:sz w:val="24"/>
        </w:rPr>
        <w:t> </w:t>
      </w:r>
      <w:r>
        <w:rPr>
          <w:sz w:val="24"/>
        </w:rPr>
        <w:t>luar</w:t>
      </w:r>
      <w:r>
        <w:rPr>
          <w:spacing w:val="-7"/>
          <w:sz w:val="24"/>
        </w:rPr>
        <w:t> </w:t>
      </w:r>
      <w:r>
        <w:rPr>
          <w:sz w:val="24"/>
        </w:rPr>
        <w:t>di</w:t>
      </w:r>
      <w:r>
        <w:rPr>
          <w:spacing w:val="-7"/>
          <w:sz w:val="24"/>
        </w:rPr>
        <w:t> </w:t>
      </w:r>
      <w:r>
        <w:rPr>
          <w:sz w:val="24"/>
        </w:rPr>
        <w:t>luar</w:t>
      </w:r>
      <w:r>
        <w:rPr>
          <w:spacing w:val="-7"/>
          <w:sz w:val="24"/>
        </w:rPr>
        <w:t> </w:t>
      </w:r>
      <w:r>
        <w:rPr>
          <w:sz w:val="24"/>
        </w:rPr>
        <w:t>variabel yang diteliti.</w:t>
      </w:r>
    </w:p>
    <w:p>
      <w:pPr>
        <w:pStyle w:val="Heading3"/>
        <w:numPr>
          <w:ilvl w:val="2"/>
          <w:numId w:val="32"/>
        </w:numPr>
        <w:tabs>
          <w:tab w:pos="1288" w:val="left" w:leader="none"/>
        </w:tabs>
        <w:spacing w:line="240" w:lineRule="auto" w:before="165" w:after="0"/>
        <w:ind w:left="1288" w:right="0" w:hanging="720"/>
        <w:jc w:val="both"/>
      </w:pPr>
      <w:bookmarkStart w:name="_bookmark66" w:id="67"/>
      <w:bookmarkEnd w:id="67"/>
      <w:r>
        <w:rPr>
          <w:b w:val="0"/>
        </w:rPr>
      </w:r>
      <w:r>
        <w:rPr/>
        <w:t>Hasil</w:t>
      </w:r>
      <w:r>
        <w:rPr>
          <w:spacing w:val="-4"/>
        </w:rPr>
        <w:t> </w:t>
      </w:r>
      <w:r>
        <w:rPr/>
        <w:t>Uji</w:t>
      </w:r>
      <w:r>
        <w:rPr>
          <w:spacing w:val="-2"/>
        </w:rPr>
        <w:t> </w:t>
      </w:r>
      <w:r>
        <w:rPr/>
        <w:t>Kelayakan</w:t>
      </w:r>
      <w:r>
        <w:rPr>
          <w:spacing w:val="-6"/>
        </w:rPr>
        <w:t> </w:t>
      </w:r>
      <w:r>
        <w:rPr/>
        <w:t>Model</w:t>
      </w:r>
      <w:r>
        <w:rPr>
          <w:spacing w:val="-3"/>
        </w:rPr>
        <w:t> </w:t>
      </w:r>
      <w:r>
        <w:rPr/>
        <w:t>(Uji</w:t>
      </w:r>
      <w:r>
        <w:rPr>
          <w:spacing w:val="-2"/>
        </w:rPr>
        <w:t> </w:t>
      </w:r>
      <w:r>
        <w:rPr>
          <w:spacing w:val="-5"/>
        </w:rPr>
        <w:t>F)</w:t>
      </w:r>
    </w:p>
    <w:p>
      <w:pPr>
        <w:pStyle w:val="BodyText"/>
        <w:spacing w:line="480" w:lineRule="auto" w:before="273"/>
        <w:ind w:left="568" w:right="570" w:firstLine="720"/>
        <w:jc w:val="both"/>
      </w:pPr>
      <w:r>
        <w:rPr/>
        <w:t>Uji F dilakukann untuk mengevaluasi kelayakan model regresi linear sebagai alat analisis dalam menilai pengaruh variabel independen secara simultan terhadap variabel dependen, dengan tingkat signifikansi 0,05. Hasil dari uji kelayakan model (Uji F) dapat dilihat pada tabel 4.10 dibawah ini:</w:t>
      </w:r>
    </w:p>
    <w:p>
      <w:pPr>
        <w:spacing w:before="167"/>
        <w:ind w:left="358" w:right="357" w:firstLine="0"/>
        <w:jc w:val="center"/>
        <w:rPr>
          <w:b/>
          <w:sz w:val="22"/>
        </w:rPr>
      </w:pPr>
      <w:r>
        <w:rPr>
          <w:b/>
          <w:sz w:val="22"/>
        </w:rPr>
        <w:t>Tabel</w:t>
      </w:r>
      <w:r>
        <w:rPr>
          <w:b/>
          <w:spacing w:val="-7"/>
          <w:sz w:val="22"/>
        </w:rPr>
        <w:t> </w:t>
      </w:r>
      <w:r>
        <w:rPr>
          <w:b/>
          <w:sz w:val="22"/>
        </w:rPr>
        <w:t>4.10</w:t>
      </w:r>
      <w:r>
        <w:rPr>
          <w:b/>
          <w:spacing w:val="-3"/>
          <w:sz w:val="22"/>
        </w:rPr>
        <w:t> </w:t>
      </w:r>
      <w:r>
        <w:rPr>
          <w:b/>
          <w:sz w:val="22"/>
        </w:rPr>
        <w:t>Hasil</w:t>
      </w:r>
      <w:r>
        <w:rPr>
          <w:b/>
          <w:spacing w:val="-7"/>
          <w:sz w:val="22"/>
        </w:rPr>
        <w:t> </w:t>
      </w:r>
      <w:r>
        <w:rPr>
          <w:b/>
          <w:sz w:val="22"/>
        </w:rPr>
        <w:t>Uji</w:t>
      </w:r>
      <w:r>
        <w:rPr>
          <w:b/>
          <w:spacing w:val="-7"/>
          <w:sz w:val="22"/>
        </w:rPr>
        <w:t> </w:t>
      </w:r>
      <w:r>
        <w:rPr>
          <w:b/>
          <w:sz w:val="22"/>
        </w:rPr>
        <w:t>Kelayakan</w:t>
      </w:r>
      <w:r>
        <w:rPr>
          <w:b/>
          <w:spacing w:val="-4"/>
          <w:sz w:val="22"/>
        </w:rPr>
        <w:t> </w:t>
      </w:r>
      <w:r>
        <w:rPr>
          <w:b/>
          <w:sz w:val="22"/>
        </w:rPr>
        <w:t>Model</w:t>
      </w:r>
      <w:r>
        <w:rPr>
          <w:b/>
          <w:spacing w:val="-7"/>
          <w:sz w:val="22"/>
        </w:rPr>
        <w:t> </w:t>
      </w:r>
      <w:r>
        <w:rPr>
          <w:b/>
          <w:sz w:val="22"/>
        </w:rPr>
        <w:t>(Uji</w:t>
      </w:r>
      <w:r>
        <w:rPr>
          <w:b/>
          <w:spacing w:val="-10"/>
          <w:sz w:val="22"/>
        </w:rPr>
        <w:t> </w:t>
      </w:r>
      <w:r>
        <w:rPr>
          <w:b/>
          <w:spacing w:val="-5"/>
          <w:sz w:val="22"/>
        </w:rPr>
        <w:t>F)</w:t>
      </w:r>
    </w:p>
    <w:p>
      <w:pPr>
        <w:pStyle w:val="BodyText"/>
        <w:spacing w:before="5"/>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4"/>
        <w:gridCol w:w="1320"/>
        <w:gridCol w:w="1320"/>
        <w:gridCol w:w="1320"/>
        <w:gridCol w:w="1324"/>
        <w:gridCol w:w="1320"/>
      </w:tblGrid>
      <w:tr>
        <w:trPr>
          <w:trHeight w:val="230" w:hRule="atLeast"/>
        </w:trPr>
        <w:tc>
          <w:tcPr>
            <w:tcW w:w="7928" w:type="dxa"/>
            <w:gridSpan w:val="6"/>
          </w:tcPr>
          <w:p>
            <w:pPr>
              <w:pStyle w:val="TableParagraph"/>
              <w:spacing w:line="210" w:lineRule="exact"/>
              <w:ind w:left="8"/>
              <w:jc w:val="center"/>
              <w:rPr>
                <w:b/>
                <w:sz w:val="20"/>
              </w:rPr>
            </w:pPr>
            <w:r>
              <w:rPr>
                <w:b/>
                <w:color w:val="000104"/>
                <w:spacing w:val="-2"/>
                <w:sz w:val="20"/>
              </w:rPr>
              <w:t>ANOVA</w:t>
            </w:r>
            <w:r>
              <w:rPr>
                <w:b/>
                <w:color w:val="000104"/>
                <w:spacing w:val="-2"/>
                <w:sz w:val="20"/>
                <w:vertAlign w:val="superscript"/>
              </w:rPr>
              <w:t>a</w:t>
            </w:r>
          </w:p>
        </w:tc>
      </w:tr>
      <w:tr>
        <w:trPr>
          <w:trHeight w:val="638" w:hRule="atLeast"/>
        </w:trPr>
        <w:tc>
          <w:tcPr>
            <w:tcW w:w="1324" w:type="dxa"/>
          </w:tcPr>
          <w:p>
            <w:pPr>
              <w:pStyle w:val="TableParagraph"/>
              <w:spacing w:before="14"/>
              <w:rPr>
                <w:b/>
                <w:sz w:val="20"/>
              </w:rPr>
            </w:pPr>
          </w:p>
          <w:p>
            <w:pPr>
              <w:pStyle w:val="TableParagraph"/>
              <w:ind w:left="395"/>
              <w:rPr>
                <w:sz w:val="20"/>
              </w:rPr>
            </w:pPr>
            <w:r>
              <w:rPr>
                <w:spacing w:val="-2"/>
                <w:sz w:val="20"/>
              </w:rPr>
              <w:t>Model</w:t>
            </w:r>
          </w:p>
        </w:tc>
        <w:tc>
          <w:tcPr>
            <w:tcW w:w="1320" w:type="dxa"/>
          </w:tcPr>
          <w:p>
            <w:pPr>
              <w:pStyle w:val="TableParagraph"/>
              <w:spacing w:line="320" w:lineRule="exact"/>
              <w:ind w:left="339" w:right="331" w:firstLine="24"/>
              <w:rPr>
                <w:sz w:val="20"/>
              </w:rPr>
            </w:pPr>
            <w:r>
              <w:rPr>
                <w:sz w:val="20"/>
              </w:rPr>
              <w:t>Sum</w:t>
            </w:r>
            <w:r>
              <w:rPr>
                <w:spacing w:val="-12"/>
                <w:sz w:val="20"/>
              </w:rPr>
              <w:t> </w:t>
            </w:r>
            <w:r>
              <w:rPr>
                <w:sz w:val="20"/>
              </w:rPr>
              <w:t>of </w:t>
            </w:r>
            <w:r>
              <w:rPr>
                <w:spacing w:val="-2"/>
                <w:sz w:val="20"/>
              </w:rPr>
              <w:t>Squares</w:t>
            </w:r>
          </w:p>
        </w:tc>
        <w:tc>
          <w:tcPr>
            <w:tcW w:w="1320" w:type="dxa"/>
          </w:tcPr>
          <w:p>
            <w:pPr>
              <w:pStyle w:val="TableParagraph"/>
              <w:spacing w:before="14"/>
              <w:rPr>
                <w:b/>
                <w:sz w:val="20"/>
              </w:rPr>
            </w:pPr>
          </w:p>
          <w:p>
            <w:pPr>
              <w:pStyle w:val="TableParagraph"/>
              <w:ind w:left="16"/>
              <w:jc w:val="center"/>
              <w:rPr>
                <w:sz w:val="20"/>
              </w:rPr>
            </w:pPr>
            <w:r>
              <w:rPr>
                <w:spacing w:val="-5"/>
                <w:sz w:val="20"/>
              </w:rPr>
              <w:t>df</w:t>
            </w:r>
          </w:p>
        </w:tc>
        <w:tc>
          <w:tcPr>
            <w:tcW w:w="1320" w:type="dxa"/>
          </w:tcPr>
          <w:p>
            <w:pPr>
              <w:pStyle w:val="TableParagraph"/>
              <w:spacing w:line="320" w:lineRule="exact"/>
              <w:ind w:left="380" w:right="366" w:firstLine="52"/>
              <w:rPr>
                <w:sz w:val="20"/>
              </w:rPr>
            </w:pPr>
            <w:r>
              <w:rPr>
                <w:spacing w:val="-4"/>
                <w:sz w:val="20"/>
              </w:rPr>
              <w:t>Mean </w:t>
            </w:r>
            <w:r>
              <w:rPr>
                <w:spacing w:val="-2"/>
                <w:sz w:val="20"/>
              </w:rPr>
              <w:t>Square</w:t>
            </w:r>
          </w:p>
        </w:tc>
        <w:tc>
          <w:tcPr>
            <w:tcW w:w="1324" w:type="dxa"/>
          </w:tcPr>
          <w:p>
            <w:pPr>
              <w:pStyle w:val="TableParagraph"/>
              <w:spacing w:before="14"/>
              <w:rPr>
                <w:b/>
                <w:sz w:val="20"/>
              </w:rPr>
            </w:pPr>
          </w:p>
          <w:p>
            <w:pPr>
              <w:pStyle w:val="TableParagraph"/>
              <w:ind w:left="7"/>
              <w:jc w:val="center"/>
              <w:rPr>
                <w:sz w:val="20"/>
              </w:rPr>
            </w:pPr>
            <w:r>
              <w:rPr>
                <w:spacing w:val="-10"/>
                <w:sz w:val="20"/>
              </w:rPr>
              <w:t>F</w:t>
            </w:r>
          </w:p>
        </w:tc>
        <w:tc>
          <w:tcPr>
            <w:tcW w:w="1320" w:type="dxa"/>
          </w:tcPr>
          <w:p>
            <w:pPr>
              <w:pStyle w:val="TableParagraph"/>
              <w:spacing w:before="14"/>
              <w:rPr>
                <w:b/>
                <w:sz w:val="20"/>
              </w:rPr>
            </w:pPr>
          </w:p>
          <w:p>
            <w:pPr>
              <w:pStyle w:val="TableParagraph"/>
              <w:ind w:left="16" w:right="10"/>
              <w:jc w:val="center"/>
              <w:rPr>
                <w:sz w:val="20"/>
              </w:rPr>
            </w:pPr>
            <w:r>
              <w:rPr>
                <w:spacing w:val="-4"/>
                <w:sz w:val="20"/>
              </w:rPr>
              <w:t>Sig.</w:t>
            </w:r>
          </w:p>
        </w:tc>
      </w:tr>
      <w:tr>
        <w:trPr>
          <w:trHeight w:val="319" w:hRule="atLeast"/>
        </w:trPr>
        <w:tc>
          <w:tcPr>
            <w:tcW w:w="1324" w:type="dxa"/>
          </w:tcPr>
          <w:p>
            <w:pPr>
              <w:pStyle w:val="TableParagraph"/>
              <w:spacing w:line="214" w:lineRule="exact" w:before="86"/>
              <w:ind w:left="167"/>
              <w:rPr>
                <w:sz w:val="20"/>
              </w:rPr>
            </w:pPr>
            <w:r>
              <w:rPr>
                <w:spacing w:val="-2"/>
                <w:sz w:val="20"/>
              </w:rPr>
              <w:t>Regression</w:t>
            </w:r>
          </w:p>
        </w:tc>
        <w:tc>
          <w:tcPr>
            <w:tcW w:w="1320" w:type="dxa"/>
          </w:tcPr>
          <w:p>
            <w:pPr>
              <w:pStyle w:val="TableParagraph"/>
              <w:spacing w:line="214" w:lineRule="exact" w:before="86"/>
              <w:ind w:right="160"/>
              <w:jc w:val="right"/>
              <w:rPr>
                <w:sz w:val="20"/>
              </w:rPr>
            </w:pPr>
            <w:r>
              <w:rPr>
                <w:spacing w:val="-4"/>
                <w:sz w:val="20"/>
              </w:rPr>
              <w:t>,138</w:t>
            </w:r>
          </w:p>
        </w:tc>
        <w:tc>
          <w:tcPr>
            <w:tcW w:w="1320" w:type="dxa"/>
          </w:tcPr>
          <w:p>
            <w:pPr>
              <w:pStyle w:val="TableParagraph"/>
              <w:spacing w:line="214" w:lineRule="exact" w:before="86"/>
              <w:ind w:right="155"/>
              <w:jc w:val="right"/>
              <w:rPr>
                <w:sz w:val="20"/>
              </w:rPr>
            </w:pPr>
            <w:r>
              <w:rPr>
                <w:spacing w:val="-10"/>
                <w:sz w:val="20"/>
              </w:rPr>
              <w:t>3</w:t>
            </w:r>
          </w:p>
        </w:tc>
        <w:tc>
          <w:tcPr>
            <w:tcW w:w="1320" w:type="dxa"/>
          </w:tcPr>
          <w:p>
            <w:pPr>
              <w:pStyle w:val="TableParagraph"/>
              <w:spacing w:line="214" w:lineRule="exact" w:before="86"/>
              <w:ind w:right="155"/>
              <w:jc w:val="right"/>
              <w:rPr>
                <w:sz w:val="20"/>
              </w:rPr>
            </w:pPr>
            <w:r>
              <w:rPr>
                <w:spacing w:val="-4"/>
                <w:sz w:val="20"/>
              </w:rPr>
              <w:t>,046</w:t>
            </w:r>
          </w:p>
        </w:tc>
        <w:tc>
          <w:tcPr>
            <w:tcW w:w="1324" w:type="dxa"/>
          </w:tcPr>
          <w:p>
            <w:pPr>
              <w:pStyle w:val="TableParagraph"/>
              <w:spacing w:line="214" w:lineRule="exact" w:before="86"/>
              <w:ind w:left="700"/>
              <w:rPr>
                <w:sz w:val="20"/>
              </w:rPr>
            </w:pPr>
            <w:r>
              <w:rPr>
                <w:spacing w:val="-2"/>
                <w:sz w:val="20"/>
              </w:rPr>
              <w:t>2,906</w:t>
            </w:r>
          </w:p>
        </w:tc>
        <w:tc>
          <w:tcPr>
            <w:tcW w:w="1320" w:type="dxa"/>
          </w:tcPr>
          <w:p>
            <w:pPr>
              <w:pStyle w:val="TableParagraph"/>
              <w:spacing w:line="214" w:lineRule="exact" w:before="86"/>
              <w:ind w:left="737"/>
              <w:rPr>
                <w:sz w:val="20"/>
              </w:rPr>
            </w:pPr>
            <w:r>
              <w:rPr>
                <w:spacing w:val="-2"/>
                <w:sz w:val="20"/>
              </w:rPr>
              <w:t>,052</w:t>
            </w:r>
            <w:r>
              <w:rPr>
                <w:spacing w:val="-2"/>
                <w:sz w:val="20"/>
                <w:vertAlign w:val="superscript"/>
              </w:rPr>
              <w:t>b</w:t>
            </w:r>
          </w:p>
        </w:tc>
      </w:tr>
      <w:tr>
        <w:trPr>
          <w:trHeight w:val="318" w:hRule="atLeast"/>
        </w:trPr>
        <w:tc>
          <w:tcPr>
            <w:tcW w:w="1324" w:type="dxa"/>
          </w:tcPr>
          <w:p>
            <w:pPr>
              <w:pStyle w:val="TableParagraph"/>
              <w:spacing w:line="214" w:lineRule="exact" w:before="84"/>
              <w:ind w:left="167"/>
              <w:rPr>
                <w:sz w:val="20"/>
              </w:rPr>
            </w:pPr>
            <w:r>
              <w:rPr>
                <w:spacing w:val="-2"/>
                <w:sz w:val="20"/>
              </w:rPr>
              <w:t>Residual</w:t>
            </w:r>
          </w:p>
        </w:tc>
        <w:tc>
          <w:tcPr>
            <w:tcW w:w="1320" w:type="dxa"/>
          </w:tcPr>
          <w:p>
            <w:pPr>
              <w:pStyle w:val="TableParagraph"/>
              <w:spacing w:line="214" w:lineRule="exact" w:before="84"/>
              <w:ind w:right="160"/>
              <w:jc w:val="right"/>
              <w:rPr>
                <w:sz w:val="20"/>
              </w:rPr>
            </w:pPr>
            <w:r>
              <w:rPr>
                <w:spacing w:val="-4"/>
                <w:sz w:val="20"/>
              </w:rPr>
              <w:t>,444</w:t>
            </w:r>
          </w:p>
        </w:tc>
        <w:tc>
          <w:tcPr>
            <w:tcW w:w="1320" w:type="dxa"/>
          </w:tcPr>
          <w:p>
            <w:pPr>
              <w:pStyle w:val="TableParagraph"/>
              <w:spacing w:line="214" w:lineRule="exact" w:before="84"/>
              <w:ind w:right="155"/>
              <w:jc w:val="right"/>
              <w:rPr>
                <w:sz w:val="20"/>
              </w:rPr>
            </w:pPr>
            <w:r>
              <w:rPr>
                <w:spacing w:val="-5"/>
                <w:sz w:val="20"/>
              </w:rPr>
              <w:t>28</w:t>
            </w:r>
          </w:p>
        </w:tc>
        <w:tc>
          <w:tcPr>
            <w:tcW w:w="1320" w:type="dxa"/>
          </w:tcPr>
          <w:p>
            <w:pPr>
              <w:pStyle w:val="TableParagraph"/>
              <w:spacing w:line="214" w:lineRule="exact" w:before="84"/>
              <w:ind w:right="155"/>
              <w:jc w:val="right"/>
              <w:rPr>
                <w:sz w:val="20"/>
              </w:rPr>
            </w:pPr>
            <w:r>
              <w:rPr>
                <w:spacing w:val="-4"/>
                <w:sz w:val="20"/>
              </w:rPr>
              <w:t>,016</w:t>
            </w:r>
          </w:p>
        </w:tc>
        <w:tc>
          <w:tcPr>
            <w:tcW w:w="1324" w:type="dxa"/>
          </w:tcPr>
          <w:p>
            <w:pPr>
              <w:pStyle w:val="TableParagraph"/>
              <w:rPr>
                <w:sz w:val="22"/>
              </w:rPr>
            </w:pPr>
          </w:p>
        </w:tc>
        <w:tc>
          <w:tcPr>
            <w:tcW w:w="1320" w:type="dxa"/>
          </w:tcPr>
          <w:p>
            <w:pPr>
              <w:pStyle w:val="TableParagraph"/>
              <w:rPr>
                <w:sz w:val="22"/>
              </w:rPr>
            </w:pPr>
          </w:p>
        </w:tc>
      </w:tr>
      <w:tr>
        <w:trPr>
          <w:trHeight w:val="321" w:hRule="atLeast"/>
        </w:trPr>
        <w:tc>
          <w:tcPr>
            <w:tcW w:w="1324" w:type="dxa"/>
          </w:tcPr>
          <w:p>
            <w:pPr>
              <w:pStyle w:val="TableParagraph"/>
              <w:spacing w:line="214" w:lineRule="exact" w:before="88"/>
              <w:ind w:left="167"/>
              <w:rPr>
                <w:sz w:val="20"/>
              </w:rPr>
            </w:pPr>
            <w:r>
              <w:rPr>
                <w:spacing w:val="-2"/>
                <w:sz w:val="20"/>
              </w:rPr>
              <w:t>Total</w:t>
            </w:r>
          </w:p>
        </w:tc>
        <w:tc>
          <w:tcPr>
            <w:tcW w:w="1320" w:type="dxa"/>
          </w:tcPr>
          <w:p>
            <w:pPr>
              <w:pStyle w:val="TableParagraph"/>
              <w:spacing w:line="214" w:lineRule="exact" w:before="88"/>
              <w:ind w:right="160"/>
              <w:jc w:val="right"/>
              <w:rPr>
                <w:sz w:val="20"/>
              </w:rPr>
            </w:pPr>
            <w:r>
              <w:rPr>
                <w:spacing w:val="-4"/>
                <w:sz w:val="20"/>
              </w:rPr>
              <w:t>,583</w:t>
            </w:r>
          </w:p>
        </w:tc>
        <w:tc>
          <w:tcPr>
            <w:tcW w:w="1320" w:type="dxa"/>
          </w:tcPr>
          <w:p>
            <w:pPr>
              <w:pStyle w:val="TableParagraph"/>
              <w:spacing w:line="214" w:lineRule="exact" w:before="88"/>
              <w:ind w:right="155"/>
              <w:jc w:val="right"/>
              <w:rPr>
                <w:sz w:val="20"/>
              </w:rPr>
            </w:pPr>
            <w:r>
              <w:rPr>
                <w:spacing w:val="-5"/>
                <w:sz w:val="20"/>
              </w:rPr>
              <w:t>31</w:t>
            </w:r>
          </w:p>
        </w:tc>
        <w:tc>
          <w:tcPr>
            <w:tcW w:w="1320" w:type="dxa"/>
          </w:tcPr>
          <w:p>
            <w:pPr>
              <w:pStyle w:val="TableParagraph"/>
              <w:rPr>
                <w:sz w:val="22"/>
              </w:rPr>
            </w:pPr>
          </w:p>
        </w:tc>
        <w:tc>
          <w:tcPr>
            <w:tcW w:w="1324" w:type="dxa"/>
          </w:tcPr>
          <w:p>
            <w:pPr>
              <w:pStyle w:val="TableParagraph"/>
              <w:rPr>
                <w:sz w:val="22"/>
              </w:rPr>
            </w:pPr>
          </w:p>
        </w:tc>
        <w:tc>
          <w:tcPr>
            <w:tcW w:w="1320" w:type="dxa"/>
          </w:tcPr>
          <w:p>
            <w:pPr>
              <w:pStyle w:val="TableParagraph"/>
              <w:rPr>
                <w:sz w:val="22"/>
              </w:rPr>
            </w:pPr>
          </w:p>
        </w:tc>
      </w:tr>
      <w:tr>
        <w:trPr>
          <w:trHeight w:val="318" w:hRule="atLeast"/>
        </w:trPr>
        <w:tc>
          <w:tcPr>
            <w:tcW w:w="7928" w:type="dxa"/>
            <w:gridSpan w:val="6"/>
          </w:tcPr>
          <w:p>
            <w:pPr>
              <w:pStyle w:val="TableParagraph"/>
              <w:spacing w:line="214" w:lineRule="exact" w:before="84"/>
              <w:ind w:left="167"/>
              <w:rPr>
                <w:sz w:val="20"/>
              </w:rPr>
            </w:pPr>
            <w:r>
              <w:rPr>
                <w:color w:val="000104"/>
                <w:sz w:val="20"/>
              </w:rPr>
              <w:t>a.</w:t>
            </w:r>
            <w:r>
              <w:rPr>
                <w:color w:val="000104"/>
                <w:spacing w:val="-13"/>
                <w:sz w:val="20"/>
              </w:rPr>
              <w:t> </w:t>
            </w:r>
            <w:r>
              <w:rPr>
                <w:color w:val="000104"/>
                <w:sz w:val="20"/>
              </w:rPr>
              <w:t>Dependent</w:t>
            </w:r>
            <w:r>
              <w:rPr>
                <w:color w:val="000104"/>
                <w:spacing w:val="-10"/>
                <w:sz w:val="20"/>
              </w:rPr>
              <w:t> </w:t>
            </w:r>
            <w:r>
              <w:rPr>
                <w:color w:val="000104"/>
                <w:sz w:val="20"/>
              </w:rPr>
              <w:t>Variable:</w:t>
            </w:r>
            <w:r>
              <w:rPr>
                <w:color w:val="000104"/>
                <w:spacing w:val="-9"/>
                <w:sz w:val="20"/>
              </w:rPr>
              <w:t> </w:t>
            </w:r>
            <w:r>
              <w:rPr>
                <w:color w:val="000104"/>
                <w:sz w:val="20"/>
              </w:rPr>
              <w:t>Sustainability</w:t>
            </w:r>
            <w:r>
              <w:rPr>
                <w:color w:val="000104"/>
                <w:spacing w:val="-13"/>
                <w:sz w:val="20"/>
              </w:rPr>
              <w:t> </w:t>
            </w:r>
            <w:r>
              <w:rPr>
                <w:color w:val="000104"/>
                <w:sz w:val="20"/>
              </w:rPr>
              <w:t>Assurance</w:t>
            </w:r>
            <w:r>
              <w:rPr>
                <w:color w:val="000104"/>
                <w:spacing w:val="-9"/>
                <w:sz w:val="20"/>
              </w:rPr>
              <w:t> </w:t>
            </w:r>
            <w:r>
              <w:rPr>
                <w:color w:val="000104"/>
                <w:spacing w:val="-2"/>
                <w:sz w:val="20"/>
              </w:rPr>
              <w:t>Quality</w:t>
            </w:r>
          </w:p>
        </w:tc>
      </w:tr>
      <w:tr>
        <w:trPr>
          <w:trHeight w:val="318" w:hRule="atLeast"/>
        </w:trPr>
        <w:tc>
          <w:tcPr>
            <w:tcW w:w="7928" w:type="dxa"/>
            <w:gridSpan w:val="6"/>
          </w:tcPr>
          <w:p>
            <w:pPr>
              <w:pStyle w:val="TableParagraph"/>
              <w:spacing w:line="210" w:lineRule="exact" w:before="88"/>
              <w:ind w:left="167"/>
              <w:rPr>
                <w:sz w:val="20"/>
              </w:rPr>
            </w:pPr>
            <w:r>
              <w:rPr>
                <w:color w:val="000104"/>
                <w:sz w:val="20"/>
              </w:rPr>
              <w:t>b.</w:t>
            </w:r>
            <w:r>
              <w:rPr>
                <w:color w:val="000104"/>
                <w:spacing w:val="-12"/>
                <w:sz w:val="20"/>
              </w:rPr>
              <w:t> </w:t>
            </w:r>
            <w:r>
              <w:rPr>
                <w:color w:val="000104"/>
                <w:sz w:val="20"/>
              </w:rPr>
              <w:t>Predictors:</w:t>
            </w:r>
            <w:r>
              <w:rPr>
                <w:color w:val="000104"/>
                <w:spacing w:val="-6"/>
                <w:sz w:val="20"/>
              </w:rPr>
              <w:t> </w:t>
            </w:r>
            <w:r>
              <w:rPr>
                <w:color w:val="000104"/>
                <w:sz w:val="20"/>
              </w:rPr>
              <w:t>(Constant),</w:t>
            </w:r>
            <w:r>
              <w:rPr>
                <w:color w:val="000104"/>
                <w:spacing w:val="-13"/>
                <w:sz w:val="20"/>
              </w:rPr>
              <w:t> </w:t>
            </w:r>
            <w:r>
              <w:rPr>
                <w:color w:val="000104"/>
                <w:sz w:val="20"/>
              </w:rPr>
              <w:t>Assurance</w:t>
            </w:r>
            <w:r>
              <w:rPr>
                <w:color w:val="000104"/>
                <w:spacing w:val="-11"/>
                <w:sz w:val="20"/>
              </w:rPr>
              <w:t> </w:t>
            </w:r>
            <w:r>
              <w:rPr>
                <w:color w:val="000104"/>
                <w:sz w:val="20"/>
              </w:rPr>
              <w:t>Tenure,</w:t>
            </w:r>
            <w:r>
              <w:rPr>
                <w:color w:val="000104"/>
                <w:spacing w:val="-5"/>
                <w:sz w:val="20"/>
              </w:rPr>
              <w:t> </w:t>
            </w:r>
            <w:r>
              <w:rPr>
                <w:color w:val="000104"/>
                <w:sz w:val="20"/>
              </w:rPr>
              <w:t>Debt</w:t>
            </w:r>
            <w:r>
              <w:rPr>
                <w:color w:val="000104"/>
                <w:spacing w:val="-7"/>
                <w:sz w:val="20"/>
              </w:rPr>
              <w:t> </w:t>
            </w:r>
            <w:r>
              <w:rPr>
                <w:color w:val="000104"/>
                <w:sz w:val="20"/>
              </w:rPr>
              <w:t>Maturity,</w:t>
            </w:r>
            <w:r>
              <w:rPr>
                <w:color w:val="000104"/>
                <w:spacing w:val="-5"/>
                <w:sz w:val="20"/>
              </w:rPr>
              <w:t> </w:t>
            </w:r>
            <w:r>
              <w:rPr>
                <w:color w:val="000104"/>
                <w:spacing w:val="-2"/>
                <w:sz w:val="20"/>
              </w:rPr>
              <w:t>Leverage</w:t>
            </w:r>
          </w:p>
        </w:tc>
      </w:tr>
    </w:tbl>
    <w:p>
      <w:pPr>
        <w:spacing w:before="0"/>
        <w:ind w:left="568" w:right="0" w:firstLine="0"/>
        <w:jc w:val="left"/>
        <w:rPr>
          <w:i/>
          <w:sz w:val="24"/>
        </w:rPr>
      </w:pPr>
      <w:r>
        <w:rPr>
          <w:i/>
          <w:sz w:val="24"/>
        </w:rPr>
        <w:t>Sumber:</w:t>
      </w:r>
      <w:r>
        <w:rPr>
          <w:i/>
          <w:spacing w:val="-2"/>
          <w:sz w:val="24"/>
        </w:rPr>
        <w:t> </w:t>
      </w:r>
      <w:r>
        <w:rPr>
          <w:i/>
          <w:sz w:val="24"/>
        </w:rPr>
        <w:t>Data 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73"/>
        <w:ind w:left="568" w:right="562" w:firstLine="720"/>
        <w:jc w:val="both"/>
      </w:pPr>
      <w:r>
        <w:rPr/>
        <w:t>Hasil uji F</w:t>
      </w:r>
      <w:r>
        <w:rPr>
          <w:spacing w:val="-4"/>
        </w:rPr>
        <w:t> </w:t>
      </w:r>
      <w:r>
        <w:rPr/>
        <w:t>menunjukkan nilai F</w:t>
      </w:r>
      <w:r>
        <w:rPr>
          <w:spacing w:val="-8"/>
        </w:rPr>
        <w:t> </w:t>
      </w:r>
      <w:r>
        <w:rPr/>
        <w:t>= 2,906 dengan Sig. = 0,052</w:t>
      </w:r>
      <w:r>
        <w:rPr>
          <w:b/>
        </w:rPr>
        <w:t>. </w:t>
      </w:r>
      <w:r>
        <w:rPr/>
        <w:t>Karena nilai Sig.</w:t>
      </w:r>
      <w:r>
        <w:rPr>
          <w:spacing w:val="23"/>
        </w:rPr>
        <w:t> </w:t>
      </w:r>
      <w:r>
        <w:rPr/>
        <w:t>=</w:t>
      </w:r>
      <w:r>
        <w:rPr>
          <w:spacing w:val="26"/>
        </w:rPr>
        <w:t> </w:t>
      </w:r>
      <w:r>
        <w:rPr/>
        <w:t>0,052&gt;0,05,</w:t>
      </w:r>
      <w:r>
        <w:rPr>
          <w:spacing w:val="26"/>
        </w:rPr>
        <w:t> </w:t>
      </w:r>
      <w:r>
        <w:rPr/>
        <w:t>maka</w:t>
      </w:r>
      <w:r>
        <w:rPr>
          <w:spacing w:val="27"/>
        </w:rPr>
        <w:t> </w:t>
      </w:r>
      <w:r>
        <w:rPr/>
        <w:t>secara</w:t>
      </w:r>
      <w:r>
        <w:rPr>
          <w:spacing w:val="27"/>
        </w:rPr>
        <w:t> </w:t>
      </w:r>
      <w:r>
        <w:rPr/>
        <w:t>simultan</w:t>
      </w:r>
      <w:r>
        <w:rPr>
          <w:spacing w:val="21"/>
        </w:rPr>
        <w:t> </w:t>
      </w:r>
      <w:r>
        <w:rPr/>
        <w:t>variabel</w:t>
      </w:r>
      <w:r>
        <w:rPr>
          <w:spacing w:val="34"/>
        </w:rPr>
        <w:t> </w:t>
      </w:r>
      <w:r>
        <w:rPr>
          <w:i/>
        </w:rPr>
        <w:t>Leverage,</w:t>
      </w:r>
      <w:r>
        <w:rPr>
          <w:i/>
          <w:spacing w:val="27"/>
        </w:rPr>
        <w:t> </w:t>
      </w:r>
      <w:r>
        <w:rPr>
          <w:i/>
        </w:rPr>
        <w:t>Debt</w:t>
      </w:r>
      <w:r>
        <w:rPr>
          <w:i/>
          <w:spacing w:val="26"/>
        </w:rPr>
        <w:t> </w:t>
      </w:r>
      <w:r>
        <w:rPr>
          <w:i/>
        </w:rPr>
        <w:t>Maturity</w:t>
      </w:r>
      <w:r>
        <w:rPr/>
        <w:t>,</w:t>
      </w:r>
      <w:r>
        <w:rPr>
          <w:spacing w:val="26"/>
        </w:rPr>
        <w:t> </w:t>
      </w:r>
      <w:r>
        <w:rPr>
          <w:spacing w:val="-5"/>
        </w:rPr>
        <w:t>dan</w:t>
      </w:r>
    </w:p>
    <w:p>
      <w:pPr>
        <w:pStyle w:val="BodyText"/>
        <w:spacing w:after="0" w:line="480" w:lineRule="auto"/>
        <w:jc w:val="both"/>
        <w:sectPr>
          <w:pgSz w:w="11910" w:h="16840"/>
          <w:pgMar w:header="710" w:footer="0" w:top="1920" w:bottom="280" w:left="1700" w:right="1133"/>
        </w:sectPr>
      </w:pPr>
    </w:p>
    <w:p>
      <w:pPr>
        <w:pStyle w:val="BodyText"/>
        <w:spacing w:before="48"/>
      </w:pPr>
    </w:p>
    <w:p>
      <w:pPr>
        <w:spacing w:line="480" w:lineRule="auto" w:before="0"/>
        <w:ind w:left="568" w:right="564" w:firstLine="0"/>
        <w:jc w:val="both"/>
        <w:rPr>
          <w:sz w:val="24"/>
        </w:rPr>
      </w:pPr>
      <w:r>
        <w:rPr>
          <w:i/>
          <w:sz w:val="24"/>
        </w:rPr>
        <w:t>Assurance Tenure </w:t>
      </w:r>
      <w:r>
        <w:rPr>
          <w:sz w:val="24"/>
        </w:rPr>
        <w:t>tidak</w:t>
      </w:r>
      <w:r>
        <w:rPr>
          <w:spacing w:val="-2"/>
          <w:sz w:val="24"/>
        </w:rPr>
        <w:t> </w:t>
      </w:r>
      <w:r>
        <w:rPr>
          <w:sz w:val="24"/>
        </w:rPr>
        <w:t>berpengaruh signifikan terhadap </w:t>
      </w:r>
      <w:r>
        <w:rPr>
          <w:i/>
          <w:sz w:val="24"/>
        </w:rPr>
        <w:t>Sustainability Assurance Quality</w:t>
      </w:r>
      <w:r>
        <w:rPr>
          <w:sz w:val="24"/>
        </w:rPr>
        <w:t>. Namun, karena nilai Sig. mendekati 0,05 menunjukkan bahwa model hampir signifikan, sehingga tetap layak (fit) untuk dianalisis lebih lanjut.</w:t>
      </w:r>
    </w:p>
    <w:p>
      <w:pPr>
        <w:pStyle w:val="Heading3"/>
        <w:numPr>
          <w:ilvl w:val="2"/>
          <w:numId w:val="32"/>
        </w:numPr>
        <w:tabs>
          <w:tab w:pos="1288" w:val="left" w:leader="none"/>
        </w:tabs>
        <w:spacing w:line="240" w:lineRule="auto" w:before="165" w:after="0"/>
        <w:ind w:left="1288" w:right="0" w:hanging="720"/>
        <w:jc w:val="both"/>
      </w:pPr>
      <w:bookmarkStart w:name="_bookmark67" w:id="68"/>
      <w:bookmarkEnd w:id="68"/>
      <w:r>
        <w:rPr>
          <w:b w:val="0"/>
        </w:rPr>
      </w:r>
      <w:r>
        <w:rPr/>
        <w:t>Hasil</w:t>
      </w:r>
      <w:r>
        <w:rPr>
          <w:spacing w:val="-4"/>
        </w:rPr>
        <w:t> </w:t>
      </w:r>
      <w:r>
        <w:rPr/>
        <w:t>Uji</w:t>
      </w:r>
      <w:r>
        <w:rPr>
          <w:spacing w:val="-2"/>
        </w:rPr>
        <w:t> </w:t>
      </w:r>
      <w:r>
        <w:rPr/>
        <w:t>Signifikan</w:t>
      </w:r>
      <w:r>
        <w:rPr>
          <w:spacing w:val="-6"/>
        </w:rPr>
        <w:t> </w:t>
      </w:r>
      <w:r>
        <w:rPr/>
        <w:t>Pengaruh</w:t>
      </w:r>
      <w:r>
        <w:rPr>
          <w:spacing w:val="-5"/>
        </w:rPr>
        <w:t> </w:t>
      </w:r>
      <w:r>
        <w:rPr/>
        <w:t>(Uji</w:t>
      </w:r>
      <w:r>
        <w:rPr>
          <w:spacing w:val="-2"/>
        </w:rPr>
        <w:t> </w:t>
      </w:r>
      <w:r>
        <w:rPr>
          <w:spacing w:val="-5"/>
        </w:rPr>
        <w:t>t)</w:t>
      </w:r>
    </w:p>
    <w:p>
      <w:pPr>
        <w:pStyle w:val="BodyText"/>
        <w:spacing w:line="480" w:lineRule="auto" w:before="272"/>
        <w:ind w:left="568" w:right="568" w:firstLine="720"/>
        <w:jc w:val="both"/>
      </w:pPr>
      <w:r>
        <w:rPr/>
        <w:t>Uji</w:t>
      </w:r>
      <w:r>
        <w:rPr>
          <w:spacing w:val="-3"/>
        </w:rPr>
        <w:t> </w:t>
      </w:r>
      <w:r>
        <w:rPr/>
        <w:t>t</w:t>
      </w:r>
      <w:r>
        <w:rPr>
          <w:spacing w:val="-3"/>
        </w:rPr>
        <w:t> </w:t>
      </w:r>
      <w:r>
        <w:rPr/>
        <w:t>digunakan</w:t>
      </w:r>
      <w:r>
        <w:rPr>
          <w:spacing w:val="-3"/>
        </w:rPr>
        <w:t> </w:t>
      </w:r>
      <w:r>
        <w:rPr/>
        <w:t>dalam</w:t>
      </w:r>
      <w:r>
        <w:rPr>
          <w:spacing w:val="-3"/>
        </w:rPr>
        <w:t> </w:t>
      </w:r>
      <w:r>
        <w:rPr/>
        <w:t>menunjukkan</w:t>
      </w:r>
      <w:r>
        <w:rPr>
          <w:spacing w:val="-3"/>
        </w:rPr>
        <w:t> </w:t>
      </w:r>
      <w:r>
        <w:rPr/>
        <w:t>seberapa</w:t>
      </w:r>
      <w:r>
        <w:rPr>
          <w:spacing w:val="-2"/>
        </w:rPr>
        <w:t> </w:t>
      </w:r>
      <w:r>
        <w:rPr/>
        <w:t>besar</w:t>
      </w:r>
      <w:r>
        <w:rPr>
          <w:spacing w:val="-3"/>
        </w:rPr>
        <w:t> </w:t>
      </w:r>
      <w:r>
        <w:rPr/>
        <w:t>pengaruh</w:t>
      </w:r>
      <w:r>
        <w:rPr>
          <w:spacing w:val="-3"/>
        </w:rPr>
        <w:t> </w:t>
      </w:r>
      <w:r>
        <w:rPr/>
        <w:t>satu</w:t>
      </w:r>
      <w:r>
        <w:rPr>
          <w:spacing w:val="-3"/>
        </w:rPr>
        <w:t> </w:t>
      </w:r>
      <w:r>
        <w:rPr/>
        <w:t>variabel bebas (independen) secara parsial dalam menerangkan variasi variabel terikat (dependen). Hasil uji signifikan pengaruh (Uji t) dapat dilihat pada tabel 4.11 dibawah ini:</w:t>
      </w:r>
    </w:p>
    <w:p>
      <w:pPr>
        <w:spacing w:before="167"/>
        <w:ind w:left="0" w:right="4" w:firstLine="0"/>
        <w:jc w:val="center"/>
        <w:rPr>
          <w:b/>
          <w:sz w:val="22"/>
        </w:rPr>
      </w:pPr>
      <w:r>
        <w:rPr>
          <w:b/>
          <w:sz w:val="22"/>
        </w:rPr>
        <w:t>Tabel</w:t>
      </w:r>
      <w:r>
        <w:rPr>
          <w:b/>
          <w:spacing w:val="-8"/>
          <w:sz w:val="22"/>
        </w:rPr>
        <w:t> </w:t>
      </w:r>
      <w:r>
        <w:rPr>
          <w:b/>
          <w:sz w:val="22"/>
        </w:rPr>
        <w:t>4.11</w:t>
      </w:r>
      <w:r>
        <w:rPr>
          <w:b/>
          <w:spacing w:val="-4"/>
          <w:sz w:val="22"/>
        </w:rPr>
        <w:t> </w:t>
      </w:r>
      <w:r>
        <w:rPr>
          <w:b/>
          <w:sz w:val="22"/>
        </w:rPr>
        <w:t>Hasil</w:t>
      </w:r>
      <w:r>
        <w:rPr>
          <w:b/>
          <w:spacing w:val="-9"/>
          <w:sz w:val="22"/>
        </w:rPr>
        <w:t> </w:t>
      </w:r>
      <w:r>
        <w:rPr>
          <w:b/>
          <w:sz w:val="22"/>
        </w:rPr>
        <w:t>Uji</w:t>
      </w:r>
      <w:r>
        <w:rPr>
          <w:b/>
          <w:spacing w:val="-8"/>
          <w:sz w:val="22"/>
        </w:rPr>
        <w:t> </w:t>
      </w:r>
      <w:r>
        <w:rPr>
          <w:b/>
          <w:sz w:val="22"/>
        </w:rPr>
        <w:t>Signifikan</w:t>
      </w:r>
      <w:r>
        <w:rPr>
          <w:b/>
          <w:spacing w:val="-12"/>
          <w:sz w:val="22"/>
        </w:rPr>
        <w:t> </w:t>
      </w:r>
      <w:r>
        <w:rPr>
          <w:b/>
          <w:sz w:val="22"/>
        </w:rPr>
        <w:t>Pengaruh</w:t>
      </w:r>
      <w:r>
        <w:rPr>
          <w:b/>
          <w:spacing w:val="-9"/>
          <w:sz w:val="22"/>
        </w:rPr>
        <w:t> </w:t>
      </w:r>
      <w:r>
        <w:rPr>
          <w:b/>
          <w:sz w:val="22"/>
        </w:rPr>
        <w:t>(Uji</w:t>
      </w:r>
      <w:r>
        <w:rPr>
          <w:b/>
          <w:spacing w:val="-8"/>
          <w:sz w:val="22"/>
        </w:rPr>
        <w:t> </w:t>
      </w:r>
      <w:r>
        <w:rPr>
          <w:b/>
          <w:spacing w:val="-5"/>
          <w:sz w:val="22"/>
        </w:rPr>
        <w:t>t)</w:t>
      </w:r>
    </w:p>
    <w:p>
      <w:pPr>
        <w:pStyle w:val="BodyText"/>
        <w:spacing w:before="5" w:after="1"/>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9"/>
        <w:gridCol w:w="1372"/>
        <w:gridCol w:w="1208"/>
        <w:gridCol w:w="1160"/>
        <w:gridCol w:w="1280"/>
        <w:gridCol w:w="1160"/>
      </w:tblGrid>
      <w:tr>
        <w:trPr>
          <w:trHeight w:val="230" w:hRule="atLeast"/>
        </w:trPr>
        <w:tc>
          <w:tcPr>
            <w:tcW w:w="7929" w:type="dxa"/>
            <w:gridSpan w:val="6"/>
          </w:tcPr>
          <w:p>
            <w:pPr>
              <w:pStyle w:val="TableParagraph"/>
              <w:spacing w:line="210" w:lineRule="exact"/>
              <w:ind w:left="3"/>
              <w:jc w:val="center"/>
              <w:rPr>
                <w:b/>
                <w:sz w:val="20"/>
              </w:rPr>
            </w:pPr>
            <w:r>
              <w:rPr>
                <w:b/>
                <w:color w:val="000104"/>
                <w:spacing w:val="-2"/>
                <w:sz w:val="20"/>
              </w:rPr>
              <w:t>Coefficients</w:t>
            </w:r>
            <w:r>
              <w:rPr>
                <w:b/>
                <w:color w:val="000104"/>
                <w:spacing w:val="-2"/>
                <w:sz w:val="20"/>
                <w:vertAlign w:val="superscript"/>
              </w:rPr>
              <w:t>a</w:t>
            </w:r>
          </w:p>
        </w:tc>
      </w:tr>
      <w:tr>
        <w:trPr>
          <w:trHeight w:val="462" w:hRule="atLeast"/>
        </w:trPr>
        <w:tc>
          <w:tcPr>
            <w:tcW w:w="1749" w:type="dxa"/>
          </w:tcPr>
          <w:p>
            <w:pPr>
              <w:pStyle w:val="TableParagraph"/>
              <w:rPr>
                <w:sz w:val="22"/>
              </w:rPr>
            </w:pPr>
          </w:p>
        </w:tc>
        <w:tc>
          <w:tcPr>
            <w:tcW w:w="2580" w:type="dxa"/>
            <w:gridSpan w:val="2"/>
          </w:tcPr>
          <w:p>
            <w:pPr>
              <w:pStyle w:val="TableParagraph"/>
              <w:spacing w:line="228" w:lineRule="exact"/>
              <w:ind w:left="802" w:right="653" w:hanging="140"/>
              <w:rPr>
                <w:sz w:val="20"/>
              </w:rPr>
            </w:pPr>
            <w:r>
              <w:rPr>
                <w:spacing w:val="-2"/>
                <w:sz w:val="20"/>
              </w:rPr>
              <w:t>Unstandardized Coefficients</w:t>
            </w:r>
          </w:p>
        </w:tc>
        <w:tc>
          <w:tcPr>
            <w:tcW w:w="3600" w:type="dxa"/>
            <w:gridSpan w:val="3"/>
          </w:tcPr>
          <w:p>
            <w:pPr>
              <w:pStyle w:val="TableParagraph"/>
              <w:spacing w:line="226" w:lineRule="exact"/>
              <w:ind w:left="763"/>
              <w:rPr>
                <w:sz w:val="20"/>
              </w:rPr>
            </w:pPr>
            <w:r>
              <w:rPr>
                <w:sz w:val="20"/>
              </w:rPr>
              <w:t>Standardized</w:t>
            </w:r>
            <w:r>
              <w:rPr>
                <w:spacing w:val="-7"/>
                <w:sz w:val="20"/>
              </w:rPr>
              <w:t> </w:t>
            </w:r>
            <w:r>
              <w:rPr>
                <w:spacing w:val="-2"/>
                <w:sz w:val="20"/>
              </w:rPr>
              <w:t>Coefficients</w:t>
            </w:r>
          </w:p>
        </w:tc>
      </w:tr>
      <w:tr>
        <w:trPr>
          <w:trHeight w:val="230" w:hRule="atLeast"/>
        </w:trPr>
        <w:tc>
          <w:tcPr>
            <w:tcW w:w="1749" w:type="dxa"/>
          </w:tcPr>
          <w:p>
            <w:pPr>
              <w:pStyle w:val="TableParagraph"/>
              <w:spacing w:line="210" w:lineRule="exact"/>
              <w:ind w:left="106"/>
              <w:rPr>
                <w:sz w:val="20"/>
              </w:rPr>
            </w:pPr>
            <w:r>
              <w:rPr>
                <w:spacing w:val="-2"/>
                <w:sz w:val="20"/>
              </w:rPr>
              <w:t>Model</w:t>
            </w:r>
          </w:p>
        </w:tc>
        <w:tc>
          <w:tcPr>
            <w:tcW w:w="1372" w:type="dxa"/>
          </w:tcPr>
          <w:p>
            <w:pPr>
              <w:pStyle w:val="TableParagraph"/>
              <w:spacing w:line="210" w:lineRule="exact"/>
              <w:ind w:left="106"/>
              <w:rPr>
                <w:sz w:val="20"/>
              </w:rPr>
            </w:pPr>
            <w:r>
              <w:rPr>
                <w:spacing w:val="-10"/>
                <w:sz w:val="20"/>
              </w:rPr>
              <w:t>B</w:t>
            </w:r>
          </w:p>
        </w:tc>
        <w:tc>
          <w:tcPr>
            <w:tcW w:w="1208" w:type="dxa"/>
          </w:tcPr>
          <w:p>
            <w:pPr>
              <w:pStyle w:val="TableParagraph"/>
              <w:spacing w:line="210" w:lineRule="exact"/>
              <w:ind w:left="102"/>
              <w:rPr>
                <w:sz w:val="20"/>
              </w:rPr>
            </w:pPr>
            <w:r>
              <w:rPr>
                <w:sz w:val="20"/>
              </w:rPr>
              <w:t>Std.</w:t>
            </w:r>
            <w:r>
              <w:rPr>
                <w:spacing w:val="-1"/>
                <w:sz w:val="20"/>
              </w:rPr>
              <w:t> </w:t>
            </w:r>
            <w:r>
              <w:rPr>
                <w:spacing w:val="-2"/>
                <w:sz w:val="20"/>
              </w:rPr>
              <w:t>Error</w:t>
            </w:r>
          </w:p>
        </w:tc>
        <w:tc>
          <w:tcPr>
            <w:tcW w:w="1160" w:type="dxa"/>
          </w:tcPr>
          <w:p>
            <w:pPr>
              <w:pStyle w:val="TableParagraph"/>
              <w:spacing w:line="210" w:lineRule="exact"/>
              <w:ind w:left="107"/>
              <w:rPr>
                <w:sz w:val="20"/>
              </w:rPr>
            </w:pPr>
            <w:r>
              <w:rPr>
                <w:spacing w:val="-4"/>
                <w:sz w:val="20"/>
              </w:rPr>
              <w:t>Beta</w:t>
            </w:r>
          </w:p>
        </w:tc>
        <w:tc>
          <w:tcPr>
            <w:tcW w:w="1280" w:type="dxa"/>
          </w:tcPr>
          <w:p>
            <w:pPr>
              <w:pStyle w:val="TableParagraph"/>
              <w:spacing w:line="210" w:lineRule="exact"/>
              <w:ind w:left="107"/>
              <w:rPr>
                <w:sz w:val="20"/>
              </w:rPr>
            </w:pPr>
            <w:r>
              <w:rPr>
                <w:spacing w:val="-10"/>
                <w:sz w:val="20"/>
              </w:rPr>
              <w:t>t</w:t>
            </w:r>
          </w:p>
        </w:tc>
        <w:tc>
          <w:tcPr>
            <w:tcW w:w="1160" w:type="dxa"/>
          </w:tcPr>
          <w:p>
            <w:pPr>
              <w:pStyle w:val="TableParagraph"/>
              <w:spacing w:line="210" w:lineRule="exact"/>
              <w:ind w:left="108"/>
              <w:rPr>
                <w:sz w:val="20"/>
              </w:rPr>
            </w:pPr>
            <w:r>
              <w:rPr>
                <w:spacing w:val="-4"/>
                <w:sz w:val="20"/>
              </w:rPr>
              <w:t>Sig.</w:t>
            </w:r>
          </w:p>
        </w:tc>
      </w:tr>
      <w:tr>
        <w:trPr>
          <w:trHeight w:val="230" w:hRule="atLeast"/>
        </w:trPr>
        <w:tc>
          <w:tcPr>
            <w:tcW w:w="1749" w:type="dxa"/>
          </w:tcPr>
          <w:p>
            <w:pPr>
              <w:pStyle w:val="TableParagraph"/>
              <w:spacing w:line="210" w:lineRule="exact"/>
              <w:ind w:left="167"/>
              <w:rPr>
                <w:sz w:val="20"/>
              </w:rPr>
            </w:pPr>
            <w:r>
              <w:rPr>
                <w:spacing w:val="-2"/>
                <w:sz w:val="20"/>
              </w:rPr>
              <w:t>(Constant)</w:t>
            </w:r>
          </w:p>
        </w:tc>
        <w:tc>
          <w:tcPr>
            <w:tcW w:w="1372" w:type="dxa"/>
          </w:tcPr>
          <w:p>
            <w:pPr>
              <w:pStyle w:val="TableParagraph"/>
              <w:spacing w:line="210" w:lineRule="exact"/>
              <w:ind w:right="157"/>
              <w:jc w:val="right"/>
              <w:rPr>
                <w:sz w:val="20"/>
              </w:rPr>
            </w:pPr>
            <w:r>
              <w:rPr>
                <w:spacing w:val="-2"/>
                <w:sz w:val="20"/>
              </w:rPr>
              <w:t>1,084</w:t>
            </w:r>
          </w:p>
        </w:tc>
        <w:tc>
          <w:tcPr>
            <w:tcW w:w="1208" w:type="dxa"/>
          </w:tcPr>
          <w:p>
            <w:pPr>
              <w:pStyle w:val="TableParagraph"/>
              <w:spacing w:line="210" w:lineRule="exact"/>
              <w:ind w:right="156"/>
              <w:jc w:val="right"/>
              <w:rPr>
                <w:sz w:val="20"/>
              </w:rPr>
            </w:pPr>
            <w:r>
              <w:rPr>
                <w:spacing w:val="-4"/>
                <w:sz w:val="20"/>
              </w:rPr>
              <w:t>,121</w:t>
            </w:r>
          </w:p>
        </w:tc>
        <w:tc>
          <w:tcPr>
            <w:tcW w:w="1160" w:type="dxa"/>
          </w:tcPr>
          <w:p>
            <w:pPr>
              <w:pStyle w:val="TableParagraph"/>
              <w:rPr>
                <w:sz w:val="16"/>
              </w:rPr>
            </w:pPr>
          </w:p>
        </w:tc>
        <w:tc>
          <w:tcPr>
            <w:tcW w:w="1280" w:type="dxa"/>
          </w:tcPr>
          <w:p>
            <w:pPr>
              <w:pStyle w:val="TableParagraph"/>
              <w:spacing w:line="210" w:lineRule="exact"/>
              <w:ind w:right="156"/>
              <w:jc w:val="right"/>
              <w:rPr>
                <w:sz w:val="20"/>
              </w:rPr>
            </w:pPr>
            <w:r>
              <w:rPr>
                <w:spacing w:val="-2"/>
                <w:sz w:val="20"/>
              </w:rPr>
              <w:t>8,986</w:t>
            </w:r>
          </w:p>
        </w:tc>
        <w:tc>
          <w:tcPr>
            <w:tcW w:w="1160" w:type="dxa"/>
          </w:tcPr>
          <w:p>
            <w:pPr>
              <w:pStyle w:val="TableParagraph"/>
              <w:spacing w:line="210" w:lineRule="exact"/>
              <w:ind w:right="155"/>
              <w:jc w:val="right"/>
              <w:rPr>
                <w:sz w:val="20"/>
              </w:rPr>
            </w:pPr>
            <w:r>
              <w:rPr>
                <w:spacing w:val="-4"/>
                <w:sz w:val="20"/>
              </w:rPr>
              <w:t>,000</w:t>
            </w:r>
          </w:p>
        </w:tc>
      </w:tr>
      <w:tr>
        <w:trPr>
          <w:trHeight w:val="230" w:hRule="atLeast"/>
        </w:trPr>
        <w:tc>
          <w:tcPr>
            <w:tcW w:w="1749" w:type="dxa"/>
          </w:tcPr>
          <w:p>
            <w:pPr>
              <w:pStyle w:val="TableParagraph"/>
              <w:spacing w:line="210" w:lineRule="exact"/>
              <w:ind w:left="167"/>
              <w:rPr>
                <w:sz w:val="20"/>
              </w:rPr>
            </w:pPr>
            <w:r>
              <w:rPr>
                <w:spacing w:val="-2"/>
                <w:sz w:val="20"/>
              </w:rPr>
              <w:t>Leverage</w:t>
            </w:r>
          </w:p>
        </w:tc>
        <w:tc>
          <w:tcPr>
            <w:tcW w:w="1372" w:type="dxa"/>
          </w:tcPr>
          <w:p>
            <w:pPr>
              <w:pStyle w:val="TableParagraph"/>
              <w:spacing w:line="210" w:lineRule="exact"/>
              <w:ind w:right="153"/>
              <w:jc w:val="right"/>
              <w:rPr>
                <w:sz w:val="20"/>
              </w:rPr>
            </w:pPr>
            <w:r>
              <w:rPr>
                <w:sz w:val="20"/>
              </w:rPr>
              <w:t>-</w:t>
            </w:r>
            <w:r>
              <w:rPr>
                <w:spacing w:val="-4"/>
                <w:sz w:val="20"/>
              </w:rPr>
              <w:t>,266</w:t>
            </w:r>
          </w:p>
        </w:tc>
        <w:tc>
          <w:tcPr>
            <w:tcW w:w="1208" w:type="dxa"/>
          </w:tcPr>
          <w:p>
            <w:pPr>
              <w:pStyle w:val="TableParagraph"/>
              <w:spacing w:line="210" w:lineRule="exact"/>
              <w:ind w:right="156"/>
              <w:jc w:val="right"/>
              <w:rPr>
                <w:sz w:val="20"/>
              </w:rPr>
            </w:pPr>
            <w:r>
              <w:rPr>
                <w:spacing w:val="-4"/>
                <w:sz w:val="20"/>
              </w:rPr>
              <w:t>,185</w:t>
            </w:r>
          </w:p>
        </w:tc>
        <w:tc>
          <w:tcPr>
            <w:tcW w:w="1160" w:type="dxa"/>
          </w:tcPr>
          <w:p>
            <w:pPr>
              <w:pStyle w:val="TableParagraph"/>
              <w:spacing w:line="210" w:lineRule="exact"/>
              <w:ind w:right="152"/>
              <w:jc w:val="right"/>
              <w:rPr>
                <w:sz w:val="20"/>
              </w:rPr>
            </w:pPr>
            <w:r>
              <w:rPr>
                <w:sz w:val="20"/>
              </w:rPr>
              <w:t>-</w:t>
            </w:r>
            <w:r>
              <w:rPr>
                <w:spacing w:val="-4"/>
                <w:sz w:val="20"/>
              </w:rPr>
              <w:t>,342</w:t>
            </w:r>
          </w:p>
        </w:tc>
        <w:tc>
          <w:tcPr>
            <w:tcW w:w="1280" w:type="dxa"/>
          </w:tcPr>
          <w:p>
            <w:pPr>
              <w:pStyle w:val="TableParagraph"/>
              <w:spacing w:line="210" w:lineRule="exact"/>
              <w:ind w:right="152"/>
              <w:jc w:val="right"/>
              <w:rPr>
                <w:sz w:val="20"/>
              </w:rPr>
            </w:pPr>
            <w:r>
              <w:rPr>
                <w:sz w:val="20"/>
              </w:rPr>
              <w:t>-</w:t>
            </w:r>
            <w:r>
              <w:rPr>
                <w:spacing w:val="-2"/>
                <w:sz w:val="20"/>
              </w:rPr>
              <w:t>1,438</w:t>
            </w:r>
          </w:p>
        </w:tc>
        <w:tc>
          <w:tcPr>
            <w:tcW w:w="1160" w:type="dxa"/>
          </w:tcPr>
          <w:p>
            <w:pPr>
              <w:pStyle w:val="TableParagraph"/>
              <w:spacing w:line="210" w:lineRule="exact"/>
              <w:ind w:right="155"/>
              <w:jc w:val="right"/>
              <w:rPr>
                <w:sz w:val="20"/>
              </w:rPr>
            </w:pPr>
            <w:r>
              <w:rPr>
                <w:spacing w:val="-4"/>
                <w:sz w:val="20"/>
              </w:rPr>
              <w:t>,161</w:t>
            </w:r>
          </w:p>
        </w:tc>
      </w:tr>
      <w:tr>
        <w:trPr>
          <w:trHeight w:val="230" w:hRule="atLeast"/>
        </w:trPr>
        <w:tc>
          <w:tcPr>
            <w:tcW w:w="1749" w:type="dxa"/>
          </w:tcPr>
          <w:p>
            <w:pPr>
              <w:pStyle w:val="TableParagraph"/>
              <w:spacing w:line="210" w:lineRule="exact"/>
              <w:ind w:left="167"/>
              <w:rPr>
                <w:sz w:val="20"/>
              </w:rPr>
            </w:pPr>
            <w:r>
              <w:rPr>
                <w:sz w:val="20"/>
              </w:rPr>
              <w:t>Debt</w:t>
            </w:r>
            <w:r>
              <w:rPr>
                <w:spacing w:val="-2"/>
                <w:sz w:val="20"/>
              </w:rPr>
              <w:t> Maturity</w:t>
            </w:r>
          </w:p>
        </w:tc>
        <w:tc>
          <w:tcPr>
            <w:tcW w:w="1372" w:type="dxa"/>
          </w:tcPr>
          <w:p>
            <w:pPr>
              <w:pStyle w:val="TableParagraph"/>
              <w:spacing w:line="210" w:lineRule="exact"/>
              <w:ind w:right="157"/>
              <w:jc w:val="right"/>
              <w:rPr>
                <w:sz w:val="20"/>
              </w:rPr>
            </w:pPr>
            <w:r>
              <w:rPr>
                <w:spacing w:val="-4"/>
                <w:sz w:val="20"/>
              </w:rPr>
              <w:t>,025</w:t>
            </w:r>
          </w:p>
        </w:tc>
        <w:tc>
          <w:tcPr>
            <w:tcW w:w="1208" w:type="dxa"/>
          </w:tcPr>
          <w:p>
            <w:pPr>
              <w:pStyle w:val="TableParagraph"/>
              <w:spacing w:line="210" w:lineRule="exact"/>
              <w:ind w:right="156"/>
              <w:jc w:val="right"/>
              <w:rPr>
                <w:sz w:val="20"/>
              </w:rPr>
            </w:pPr>
            <w:r>
              <w:rPr>
                <w:spacing w:val="-4"/>
                <w:sz w:val="20"/>
              </w:rPr>
              <w:t>,145</w:t>
            </w:r>
          </w:p>
        </w:tc>
        <w:tc>
          <w:tcPr>
            <w:tcW w:w="1160" w:type="dxa"/>
          </w:tcPr>
          <w:p>
            <w:pPr>
              <w:pStyle w:val="TableParagraph"/>
              <w:spacing w:line="210" w:lineRule="exact"/>
              <w:ind w:right="156"/>
              <w:jc w:val="right"/>
              <w:rPr>
                <w:sz w:val="20"/>
              </w:rPr>
            </w:pPr>
            <w:r>
              <w:rPr>
                <w:spacing w:val="-4"/>
                <w:sz w:val="20"/>
              </w:rPr>
              <w:t>,036</w:t>
            </w:r>
          </w:p>
        </w:tc>
        <w:tc>
          <w:tcPr>
            <w:tcW w:w="1280" w:type="dxa"/>
          </w:tcPr>
          <w:p>
            <w:pPr>
              <w:pStyle w:val="TableParagraph"/>
              <w:spacing w:line="210" w:lineRule="exact"/>
              <w:ind w:right="156"/>
              <w:jc w:val="right"/>
              <w:rPr>
                <w:sz w:val="20"/>
              </w:rPr>
            </w:pPr>
            <w:r>
              <w:rPr>
                <w:spacing w:val="-4"/>
                <w:sz w:val="20"/>
              </w:rPr>
              <w:t>,173</w:t>
            </w:r>
          </w:p>
        </w:tc>
        <w:tc>
          <w:tcPr>
            <w:tcW w:w="1160" w:type="dxa"/>
          </w:tcPr>
          <w:p>
            <w:pPr>
              <w:pStyle w:val="TableParagraph"/>
              <w:spacing w:line="210" w:lineRule="exact"/>
              <w:ind w:right="155"/>
              <w:jc w:val="right"/>
              <w:rPr>
                <w:sz w:val="20"/>
              </w:rPr>
            </w:pPr>
            <w:r>
              <w:rPr>
                <w:spacing w:val="-4"/>
                <w:sz w:val="20"/>
              </w:rPr>
              <w:t>,864</w:t>
            </w:r>
          </w:p>
        </w:tc>
      </w:tr>
      <w:tr>
        <w:trPr>
          <w:trHeight w:val="458" w:hRule="atLeast"/>
        </w:trPr>
        <w:tc>
          <w:tcPr>
            <w:tcW w:w="1749" w:type="dxa"/>
          </w:tcPr>
          <w:p>
            <w:pPr>
              <w:pStyle w:val="TableParagraph"/>
              <w:spacing w:line="222" w:lineRule="exact"/>
              <w:ind w:left="167"/>
              <w:rPr>
                <w:sz w:val="20"/>
              </w:rPr>
            </w:pPr>
            <w:r>
              <w:rPr>
                <w:spacing w:val="-2"/>
                <w:sz w:val="20"/>
              </w:rPr>
              <w:t>Assurance</w:t>
            </w:r>
          </w:p>
          <w:p>
            <w:pPr>
              <w:pStyle w:val="TableParagraph"/>
              <w:spacing w:line="214" w:lineRule="exact" w:before="2"/>
              <w:ind w:left="167"/>
              <w:rPr>
                <w:sz w:val="20"/>
              </w:rPr>
            </w:pPr>
            <w:r>
              <w:rPr>
                <w:spacing w:val="-2"/>
                <w:sz w:val="20"/>
              </w:rPr>
              <w:t>Tenure</w:t>
            </w:r>
          </w:p>
        </w:tc>
        <w:tc>
          <w:tcPr>
            <w:tcW w:w="1372" w:type="dxa"/>
          </w:tcPr>
          <w:p>
            <w:pPr>
              <w:pStyle w:val="TableParagraph"/>
              <w:spacing w:before="108"/>
              <w:ind w:right="153"/>
              <w:jc w:val="right"/>
              <w:rPr>
                <w:sz w:val="20"/>
              </w:rPr>
            </w:pPr>
            <w:r>
              <w:rPr>
                <w:sz w:val="20"/>
              </w:rPr>
              <w:t>-</w:t>
            </w:r>
            <w:r>
              <w:rPr>
                <w:spacing w:val="-4"/>
                <w:sz w:val="20"/>
              </w:rPr>
              <w:t>,039</w:t>
            </w:r>
          </w:p>
        </w:tc>
        <w:tc>
          <w:tcPr>
            <w:tcW w:w="1208" w:type="dxa"/>
          </w:tcPr>
          <w:p>
            <w:pPr>
              <w:pStyle w:val="TableParagraph"/>
              <w:spacing w:before="108"/>
              <w:ind w:right="156"/>
              <w:jc w:val="right"/>
              <w:rPr>
                <w:sz w:val="20"/>
              </w:rPr>
            </w:pPr>
            <w:r>
              <w:rPr>
                <w:spacing w:val="-4"/>
                <w:sz w:val="20"/>
              </w:rPr>
              <w:t>,014</w:t>
            </w:r>
          </w:p>
        </w:tc>
        <w:tc>
          <w:tcPr>
            <w:tcW w:w="1160" w:type="dxa"/>
          </w:tcPr>
          <w:p>
            <w:pPr>
              <w:pStyle w:val="TableParagraph"/>
              <w:spacing w:before="108"/>
              <w:ind w:right="152"/>
              <w:jc w:val="right"/>
              <w:rPr>
                <w:sz w:val="20"/>
              </w:rPr>
            </w:pPr>
            <w:r>
              <w:rPr>
                <w:sz w:val="20"/>
              </w:rPr>
              <w:t>-</w:t>
            </w:r>
            <w:r>
              <w:rPr>
                <w:spacing w:val="-4"/>
                <w:sz w:val="20"/>
              </w:rPr>
              <w:t>,576</w:t>
            </w:r>
          </w:p>
        </w:tc>
        <w:tc>
          <w:tcPr>
            <w:tcW w:w="1280" w:type="dxa"/>
          </w:tcPr>
          <w:p>
            <w:pPr>
              <w:pStyle w:val="TableParagraph"/>
              <w:spacing w:before="108"/>
              <w:ind w:right="152"/>
              <w:jc w:val="right"/>
              <w:rPr>
                <w:sz w:val="20"/>
              </w:rPr>
            </w:pPr>
            <w:r>
              <w:rPr>
                <w:sz w:val="20"/>
              </w:rPr>
              <w:t>-</w:t>
            </w:r>
            <w:r>
              <w:rPr>
                <w:spacing w:val="-2"/>
                <w:sz w:val="20"/>
              </w:rPr>
              <w:t>2,731</w:t>
            </w:r>
          </w:p>
        </w:tc>
        <w:tc>
          <w:tcPr>
            <w:tcW w:w="1160" w:type="dxa"/>
          </w:tcPr>
          <w:p>
            <w:pPr>
              <w:pStyle w:val="TableParagraph"/>
              <w:spacing w:before="108"/>
              <w:ind w:right="155"/>
              <w:jc w:val="right"/>
              <w:rPr>
                <w:sz w:val="20"/>
              </w:rPr>
            </w:pPr>
            <w:r>
              <w:rPr>
                <w:spacing w:val="-4"/>
                <w:sz w:val="20"/>
              </w:rPr>
              <w:t>,011</w:t>
            </w:r>
          </w:p>
        </w:tc>
      </w:tr>
      <w:tr>
        <w:trPr>
          <w:trHeight w:val="234" w:hRule="atLeast"/>
        </w:trPr>
        <w:tc>
          <w:tcPr>
            <w:tcW w:w="7929" w:type="dxa"/>
            <w:gridSpan w:val="6"/>
          </w:tcPr>
          <w:p>
            <w:pPr>
              <w:pStyle w:val="TableParagraph"/>
              <w:spacing w:line="214" w:lineRule="exact"/>
              <w:ind w:left="167"/>
              <w:rPr>
                <w:sz w:val="20"/>
              </w:rPr>
            </w:pPr>
            <w:r>
              <w:rPr>
                <w:color w:val="000104"/>
                <w:sz w:val="20"/>
              </w:rPr>
              <w:t>a.</w:t>
            </w:r>
            <w:r>
              <w:rPr>
                <w:color w:val="000104"/>
                <w:spacing w:val="-2"/>
                <w:sz w:val="20"/>
              </w:rPr>
              <w:t> </w:t>
            </w:r>
            <w:r>
              <w:rPr>
                <w:color w:val="000104"/>
                <w:sz w:val="20"/>
              </w:rPr>
              <w:t>Dependent</w:t>
            </w:r>
            <w:r>
              <w:rPr>
                <w:color w:val="000104"/>
                <w:spacing w:val="1"/>
                <w:sz w:val="20"/>
              </w:rPr>
              <w:t> </w:t>
            </w:r>
            <w:r>
              <w:rPr>
                <w:color w:val="000104"/>
                <w:sz w:val="20"/>
              </w:rPr>
              <w:t>Variable:</w:t>
            </w:r>
            <w:r>
              <w:rPr>
                <w:color w:val="000104"/>
                <w:spacing w:val="-2"/>
                <w:sz w:val="20"/>
              </w:rPr>
              <w:t> </w:t>
            </w:r>
            <w:r>
              <w:rPr>
                <w:color w:val="000104"/>
                <w:sz w:val="20"/>
              </w:rPr>
              <w:t>Sustainability</w:t>
            </w:r>
            <w:r>
              <w:rPr>
                <w:color w:val="000104"/>
                <w:spacing w:val="-7"/>
                <w:sz w:val="20"/>
              </w:rPr>
              <w:t> </w:t>
            </w:r>
            <w:r>
              <w:rPr>
                <w:color w:val="000104"/>
                <w:sz w:val="20"/>
              </w:rPr>
              <w:t>Assurance</w:t>
            </w:r>
            <w:r>
              <w:rPr>
                <w:color w:val="000104"/>
                <w:spacing w:val="-3"/>
                <w:sz w:val="20"/>
              </w:rPr>
              <w:t> </w:t>
            </w:r>
            <w:r>
              <w:rPr>
                <w:color w:val="000104"/>
                <w:spacing w:val="-2"/>
                <w:sz w:val="20"/>
              </w:rPr>
              <w:t>Quality</w:t>
            </w:r>
          </w:p>
        </w:tc>
      </w:tr>
    </w:tbl>
    <w:p>
      <w:pPr>
        <w:spacing w:before="0"/>
        <w:ind w:left="568" w:right="0" w:firstLine="0"/>
        <w:jc w:val="both"/>
        <w:rPr>
          <w:i/>
          <w:sz w:val="24"/>
        </w:rPr>
      </w:pPr>
      <w:r>
        <w:rPr>
          <w:i/>
          <w:sz w:val="24"/>
        </w:rPr>
        <w:t>Sumber:</w:t>
      </w:r>
      <w:r>
        <w:rPr>
          <w:i/>
          <w:spacing w:val="-2"/>
          <w:sz w:val="24"/>
        </w:rPr>
        <w:t> </w:t>
      </w:r>
      <w:r>
        <w:rPr>
          <w:i/>
          <w:sz w:val="24"/>
        </w:rPr>
        <w:t>Data</w:t>
      </w:r>
      <w:r>
        <w:rPr>
          <w:i/>
          <w:spacing w:val="-1"/>
          <w:sz w:val="24"/>
        </w:rPr>
        <w:t> </w:t>
      </w:r>
      <w:r>
        <w:rPr>
          <w:i/>
          <w:sz w:val="24"/>
        </w:rPr>
        <w:t>Olahan,</w:t>
      </w:r>
      <w:r>
        <w:rPr>
          <w:i/>
          <w:spacing w:val="-2"/>
          <w:sz w:val="24"/>
        </w:rPr>
        <w:t> </w:t>
      </w:r>
      <w:r>
        <w:rPr>
          <w:i/>
          <w:sz w:val="24"/>
        </w:rPr>
        <w:t>2025</w:t>
      </w:r>
      <w:r>
        <w:rPr>
          <w:i/>
          <w:spacing w:val="-1"/>
          <w:sz w:val="24"/>
        </w:rPr>
        <w:t> </w:t>
      </w:r>
      <w:r>
        <w:rPr>
          <w:i/>
          <w:sz w:val="24"/>
        </w:rPr>
        <w:t>(Output</w:t>
      </w:r>
      <w:r>
        <w:rPr>
          <w:i/>
          <w:spacing w:val="-2"/>
          <w:sz w:val="24"/>
        </w:rPr>
        <w:t> </w:t>
      </w:r>
      <w:r>
        <w:rPr>
          <w:i/>
          <w:sz w:val="24"/>
        </w:rPr>
        <w:t>SPSS</w:t>
      </w:r>
      <w:r>
        <w:rPr>
          <w:i/>
          <w:spacing w:val="-1"/>
          <w:sz w:val="24"/>
        </w:rPr>
        <w:t> </w:t>
      </w:r>
      <w:r>
        <w:rPr>
          <w:i/>
          <w:sz w:val="24"/>
        </w:rPr>
        <w:t>Versi</w:t>
      </w:r>
      <w:r>
        <w:rPr>
          <w:i/>
          <w:spacing w:val="-1"/>
          <w:sz w:val="24"/>
        </w:rPr>
        <w:t> </w:t>
      </w:r>
      <w:r>
        <w:rPr>
          <w:i/>
          <w:spacing w:val="-5"/>
          <w:sz w:val="24"/>
        </w:rPr>
        <w:t>27)</w:t>
      </w:r>
    </w:p>
    <w:p>
      <w:pPr>
        <w:pStyle w:val="BodyText"/>
        <w:spacing w:line="480" w:lineRule="auto" w:before="266"/>
        <w:ind w:left="568" w:right="566" w:firstLine="720"/>
        <w:jc w:val="both"/>
      </w:pPr>
      <w:r>
        <w:rPr/>
        <w:t>Berdasarkan hasil pengujian signifikan pengaruh (Uji t), terlihat nilai signifikan untuk setiap variabel yang dapat disimpulkan sebagai berikut:</w:t>
      </w:r>
    </w:p>
    <w:p>
      <w:pPr>
        <w:pStyle w:val="ListParagraph"/>
        <w:numPr>
          <w:ilvl w:val="0"/>
          <w:numId w:val="34"/>
        </w:numPr>
        <w:tabs>
          <w:tab w:pos="1288" w:val="left" w:leader="none"/>
        </w:tabs>
        <w:spacing w:line="480" w:lineRule="auto" w:before="161" w:after="0"/>
        <w:ind w:left="1288" w:right="562" w:hanging="360"/>
        <w:jc w:val="both"/>
        <w:rPr>
          <w:sz w:val="24"/>
        </w:rPr>
      </w:pPr>
      <w:r>
        <w:rPr>
          <w:i/>
          <w:sz w:val="24"/>
        </w:rPr>
        <w:t>Leverage </w:t>
      </w:r>
      <w:r>
        <w:rPr>
          <w:sz w:val="24"/>
        </w:rPr>
        <w:t>memiliki nilai t sebesar -1,438 dengan signifikansi 0,161 &gt; 0,05, sehingga tidak berpengaruh signifikan ke arah negatif terhadap </w:t>
      </w:r>
      <w:r>
        <w:rPr>
          <w:i/>
          <w:sz w:val="24"/>
        </w:rPr>
        <w:t>Sustainability Assurance Quality</w:t>
      </w:r>
      <w:r>
        <w:rPr>
          <w:sz w:val="24"/>
        </w:rPr>
        <w:t>. Dari hasil tersebut, maka dapat disimpulkan bahwa hipotesis pertama (H1) ditolak</w:t>
      </w:r>
    </w:p>
    <w:p>
      <w:pPr>
        <w:pStyle w:val="ListParagraph"/>
        <w:numPr>
          <w:ilvl w:val="0"/>
          <w:numId w:val="34"/>
        </w:numPr>
        <w:tabs>
          <w:tab w:pos="1288" w:val="left" w:leader="none"/>
        </w:tabs>
        <w:spacing w:line="480" w:lineRule="auto" w:before="1" w:after="0"/>
        <w:ind w:left="1288" w:right="566" w:hanging="360"/>
        <w:jc w:val="both"/>
        <w:rPr>
          <w:sz w:val="24"/>
        </w:rPr>
      </w:pPr>
      <w:r>
        <w:rPr>
          <w:i/>
          <w:sz w:val="24"/>
        </w:rPr>
        <w:t>Debt Maturity </w:t>
      </w:r>
      <w:r>
        <w:rPr>
          <w:sz w:val="24"/>
        </w:rPr>
        <w:t>memiliki nilai t sebesar 0,173 dengan signifikansi 0,864 &gt; 0,05,</w:t>
      </w:r>
      <w:r>
        <w:rPr>
          <w:spacing w:val="40"/>
          <w:sz w:val="24"/>
        </w:rPr>
        <w:t> </w:t>
      </w:r>
      <w:r>
        <w:rPr>
          <w:sz w:val="24"/>
        </w:rPr>
        <w:t>yang</w:t>
      </w:r>
      <w:r>
        <w:rPr>
          <w:spacing w:val="35"/>
          <w:sz w:val="24"/>
        </w:rPr>
        <w:t> </w:t>
      </w:r>
      <w:r>
        <w:rPr>
          <w:sz w:val="24"/>
        </w:rPr>
        <w:t>berarti</w:t>
      </w:r>
      <w:r>
        <w:rPr>
          <w:spacing w:val="39"/>
          <w:sz w:val="24"/>
        </w:rPr>
        <w:t> </w:t>
      </w:r>
      <w:r>
        <w:rPr>
          <w:sz w:val="24"/>
        </w:rPr>
        <w:t>tidak</w:t>
      </w:r>
      <w:r>
        <w:rPr>
          <w:spacing w:val="38"/>
          <w:sz w:val="24"/>
        </w:rPr>
        <w:t> </w:t>
      </w:r>
      <w:r>
        <w:rPr>
          <w:sz w:val="24"/>
        </w:rPr>
        <w:t>berpengaruh</w:t>
      </w:r>
      <w:r>
        <w:rPr>
          <w:spacing w:val="38"/>
          <w:sz w:val="24"/>
        </w:rPr>
        <w:t> </w:t>
      </w:r>
      <w:r>
        <w:rPr>
          <w:sz w:val="24"/>
        </w:rPr>
        <w:t>signifikan</w:t>
      </w:r>
      <w:r>
        <w:rPr>
          <w:spacing w:val="38"/>
          <w:sz w:val="24"/>
        </w:rPr>
        <w:t> </w:t>
      </w:r>
      <w:r>
        <w:rPr>
          <w:sz w:val="24"/>
        </w:rPr>
        <w:t>ke</w:t>
      </w:r>
      <w:r>
        <w:rPr>
          <w:spacing w:val="39"/>
          <w:sz w:val="24"/>
        </w:rPr>
        <w:t> </w:t>
      </w:r>
      <w:r>
        <w:rPr>
          <w:sz w:val="24"/>
        </w:rPr>
        <w:t>arah</w:t>
      </w:r>
      <w:r>
        <w:rPr>
          <w:spacing w:val="38"/>
          <w:sz w:val="24"/>
        </w:rPr>
        <w:t> </w:t>
      </w:r>
      <w:r>
        <w:rPr>
          <w:sz w:val="24"/>
        </w:rPr>
        <w:t>positif</w:t>
      </w:r>
      <w:r>
        <w:rPr>
          <w:spacing w:val="38"/>
          <w:sz w:val="24"/>
        </w:rPr>
        <w:t> </w:t>
      </w:r>
      <w:r>
        <w:rPr>
          <w:sz w:val="24"/>
        </w:rPr>
        <w:t>terhadap</w:t>
      </w:r>
    </w:p>
    <w:p>
      <w:pPr>
        <w:pStyle w:val="ListParagraph"/>
        <w:spacing w:after="0" w:line="480" w:lineRule="auto"/>
        <w:jc w:val="both"/>
        <w:rPr>
          <w:sz w:val="24"/>
        </w:rPr>
        <w:sectPr>
          <w:pgSz w:w="11910" w:h="16840"/>
          <w:pgMar w:header="710" w:footer="0" w:top="1920" w:bottom="280" w:left="1700" w:right="1133"/>
        </w:sectPr>
      </w:pPr>
    </w:p>
    <w:p>
      <w:pPr>
        <w:pStyle w:val="BodyText"/>
        <w:spacing w:before="48"/>
      </w:pPr>
    </w:p>
    <w:p>
      <w:pPr>
        <w:spacing w:line="480" w:lineRule="auto" w:before="0"/>
        <w:ind w:left="1288" w:right="563" w:firstLine="0"/>
        <w:jc w:val="both"/>
        <w:rPr>
          <w:sz w:val="24"/>
        </w:rPr>
      </w:pPr>
      <w:r>
        <w:rPr>
          <w:i/>
          <w:sz w:val="24"/>
        </w:rPr>
        <w:t>Sustainability Assurance Quality</w:t>
      </w:r>
      <w:r>
        <w:rPr>
          <w:sz w:val="24"/>
        </w:rPr>
        <w:t>. Dari hasil tersebut, maka dapat disimpulkan bahwa hipotesis kedua (H2) ditolak</w:t>
      </w:r>
    </w:p>
    <w:p>
      <w:pPr>
        <w:pStyle w:val="ListParagraph"/>
        <w:numPr>
          <w:ilvl w:val="0"/>
          <w:numId w:val="34"/>
        </w:numPr>
        <w:tabs>
          <w:tab w:pos="1288" w:val="left" w:leader="none"/>
        </w:tabs>
        <w:spacing w:line="480" w:lineRule="auto" w:before="1" w:after="0"/>
        <w:ind w:left="1288" w:right="562" w:hanging="360"/>
        <w:jc w:val="both"/>
        <w:rPr>
          <w:sz w:val="24"/>
        </w:rPr>
      </w:pPr>
      <w:r>
        <w:rPr>
          <w:i/>
          <w:sz w:val="24"/>
        </w:rPr>
        <w:t>Assurer</w:t>
      </w:r>
      <w:r>
        <w:rPr>
          <w:i/>
          <w:spacing w:val="-3"/>
          <w:sz w:val="24"/>
        </w:rPr>
        <w:t> </w:t>
      </w:r>
      <w:r>
        <w:rPr>
          <w:i/>
          <w:sz w:val="24"/>
        </w:rPr>
        <w:t>Tenure </w:t>
      </w:r>
      <w:r>
        <w:rPr>
          <w:sz w:val="24"/>
        </w:rPr>
        <w:t>memiliki</w:t>
      </w:r>
      <w:r>
        <w:rPr>
          <w:spacing w:val="-4"/>
          <w:sz w:val="24"/>
        </w:rPr>
        <w:t> </w:t>
      </w:r>
      <w:r>
        <w:rPr>
          <w:sz w:val="24"/>
        </w:rPr>
        <w:t>nilai</w:t>
      </w:r>
      <w:r>
        <w:rPr>
          <w:spacing w:val="-4"/>
          <w:sz w:val="24"/>
        </w:rPr>
        <w:t> </w:t>
      </w:r>
      <w:r>
        <w:rPr>
          <w:sz w:val="24"/>
        </w:rPr>
        <w:t>t</w:t>
      </w:r>
      <w:r>
        <w:rPr>
          <w:spacing w:val="-2"/>
          <w:sz w:val="24"/>
        </w:rPr>
        <w:t> </w:t>
      </w:r>
      <w:r>
        <w:rPr>
          <w:sz w:val="24"/>
        </w:rPr>
        <w:t>sebesar -2,731</w:t>
      </w:r>
      <w:r>
        <w:rPr>
          <w:spacing w:val="-2"/>
          <w:sz w:val="24"/>
        </w:rPr>
        <w:t> </w:t>
      </w:r>
      <w:r>
        <w:rPr>
          <w:sz w:val="24"/>
        </w:rPr>
        <w:t>dengan</w:t>
      </w:r>
      <w:r>
        <w:rPr>
          <w:spacing w:val="-2"/>
          <w:sz w:val="24"/>
        </w:rPr>
        <w:t> </w:t>
      </w:r>
      <w:r>
        <w:rPr>
          <w:sz w:val="24"/>
        </w:rPr>
        <w:t>signifikansi 0,011</w:t>
      </w:r>
      <w:r>
        <w:rPr>
          <w:spacing w:val="-6"/>
          <w:sz w:val="24"/>
        </w:rPr>
        <w:t> </w:t>
      </w:r>
      <w:r>
        <w:rPr>
          <w:sz w:val="24"/>
        </w:rPr>
        <w:t>&lt; 0,05, sehingga berpengaruh negatif dan signifikan terhadap </w:t>
      </w:r>
      <w:r>
        <w:rPr>
          <w:i/>
          <w:sz w:val="24"/>
        </w:rPr>
        <w:t>Sustainability Assurance Quality</w:t>
      </w:r>
      <w:r>
        <w:rPr>
          <w:sz w:val="24"/>
        </w:rPr>
        <w:t>. Dari hasil tersebut, maka dapat disimpulkan bahwa hipotesis ketiga (H3) diterima.</w:t>
      </w:r>
    </w:p>
    <w:p>
      <w:pPr>
        <w:pStyle w:val="BodyText"/>
        <w:spacing w:before="8"/>
      </w:pPr>
    </w:p>
    <w:p>
      <w:pPr>
        <w:pStyle w:val="Heading3"/>
        <w:numPr>
          <w:ilvl w:val="1"/>
          <w:numId w:val="32"/>
        </w:numPr>
        <w:tabs>
          <w:tab w:pos="1288" w:val="left" w:leader="none"/>
        </w:tabs>
        <w:spacing w:line="240" w:lineRule="auto" w:before="1" w:after="0"/>
        <w:ind w:left="1288" w:right="0" w:hanging="720"/>
        <w:jc w:val="both"/>
      </w:pPr>
      <w:bookmarkStart w:name="_bookmark68" w:id="69"/>
      <w:bookmarkEnd w:id="69"/>
      <w:r>
        <w:rPr>
          <w:b w:val="0"/>
        </w:rPr>
      </w:r>
      <w:r>
        <w:rPr>
          <w:spacing w:val="-2"/>
        </w:rPr>
        <w:t>Pembahasan</w:t>
      </w:r>
    </w:p>
    <w:p>
      <w:pPr>
        <w:pStyle w:val="BodyText"/>
        <w:spacing w:before="39"/>
        <w:rPr>
          <w:b/>
        </w:rPr>
      </w:pPr>
    </w:p>
    <w:p>
      <w:pPr>
        <w:pStyle w:val="ListParagraph"/>
        <w:numPr>
          <w:ilvl w:val="2"/>
          <w:numId w:val="32"/>
        </w:numPr>
        <w:tabs>
          <w:tab w:pos="1288" w:val="left" w:leader="none"/>
        </w:tabs>
        <w:spacing w:line="240" w:lineRule="auto" w:before="1" w:after="0"/>
        <w:ind w:left="1288" w:right="0" w:hanging="720"/>
        <w:jc w:val="both"/>
        <w:rPr>
          <w:b/>
          <w:i/>
          <w:sz w:val="24"/>
        </w:rPr>
      </w:pPr>
      <w:bookmarkStart w:name="_bookmark69" w:id="70"/>
      <w:bookmarkEnd w:id="70"/>
      <w:r>
        <w:rPr/>
      </w:r>
      <w:r>
        <w:rPr>
          <w:b/>
          <w:sz w:val="24"/>
        </w:rPr>
        <w:t>Pengaruh</w:t>
      </w:r>
      <w:r>
        <w:rPr>
          <w:b/>
          <w:spacing w:val="-5"/>
          <w:sz w:val="24"/>
        </w:rPr>
        <w:t> </w:t>
      </w:r>
      <w:r>
        <w:rPr>
          <w:b/>
          <w:i/>
          <w:sz w:val="24"/>
        </w:rPr>
        <w:t>Leverage</w:t>
      </w:r>
      <w:r>
        <w:rPr>
          <w:b/>
          <w:i/>
          <w:spacing w:val="-2"/>
          <w:sz w:val="24"/>
        </w:rPr>
        <w:t> </w:t>
      </w:r>
      <w:r>
        <w:rPr>
          <w:b/>
          <w:sz w:val="24"/>
        </w:rPr>
        <w:t>terhadap</w:t>
      </w:r>
      <w:r>
        <w:rPr>
          <w:b/>
          <w:spacing w:val="-9"/>
          <w:sz w:val="24"/>
        </w:rPr>
        <w:t> </w:t>
      </w:r>
      <w:r>
        <w:rPr>
          <w:b/>
          <w:i/>
          <w:sz w:val="24"/>
        </w:rPr>
        <w:t>Sustainability</w:t>
      </w:r>
      <w:r>
        <w:rPr>
          <w:b/>
          <w:i/>
          <w:spacing w:val="-3"/>
          <w:sz w:val="24"/>
        </w:rPr>
        <w:t> </w:t>
      </w:r>
      <w:r>
        <w:rPr>
          <w:b/>
          <w:i/>
          <w:sz w:val="24"/>
        </w:rPr>
        <w:t>Assurance</w:t>
      </w:r>
      <w:r>
        <w:rPr>
          <w:b/>
          <w:i/>
          <w:spacing w:val="-2"/>
          <w:sz w:val="24"/>
        </w:rPr>
        <w:t> Quality</w:t>
      </w:r>
    </w:p>
    <w:p>
      <w:pPr>
        <w:spacing w:line="480" w:lineRule="auto" w:before="272"/>
        <w:ind w:left="568" w:right="563" w:firstLine="720"/>
        <w:jc w:val="both"/>
        <w:rPr>
          <w:sz w:val="24"/>
        </w:rPr>
      </w:pPr>
      <w:r>
        <w:rPr>
          <w:sz w:val="24"/>
        </w:rPr>
        <w:t>Berdasarkan hasil pengujian, variabel </w:t>
      </w:r>
      <w:r>
        <w:rPr>
          <w:i/>
          <w:sz w:val="24"/>
        </w:rPr>
        <w:t>Leverage </w:t>
      </w:r>
      <w:r>
        <w:rPr>
          <w:sz w:val="24"/>
        </w:rPr>
        <w:t>(X1) memiliki pengaruh tidak signifikan terhadap </w:t>
      </w:r>
      <w:r>
        <w:rPr>
          <w:i/>
          <w:sz w:val="24"/>
        </w:rPr>
        <w:t>Sustainability Assurance Quality. </w:t>
      </w:r>
      <w:r>
        <w:rPr>
          <w:sz w:val="24"/>
        </w:rPr>
        <w:t>Hasil ini tidak sejalan dengan hipotesis pertama (H1) yang menyatakan bahwa </w:t>
      </w:r>
      <w:r>
        <w:rPr>
          <w:i/>
          <w:sz w:val="24"/>
        </w:rPr>
        <w:t>leverage </w:t>
      </w:r>
      <w:r>
        <w:rPr>
          <w:sz w:val="24"/>
        </w:rPr>
        <w:t>berpengaruh positif signifikan</w:t>
      </w:r>
      <w:r>
        <w:rPr>
          <w:spacing w:val="40"/>
          <w:sz w:val="24"/>
        </w:rPr>
        <w:t> </w:t>
      </w:r>
      <w:r>
        <w:rPr>
          <w:sz w:val="24"/>
        </w:rPr>
        <w:t>terhadap </w:t>
      </w:r>
      <w:r>
        <w:rPr>
          <w:i/>
          <w:sz w:val="24"/>
        </w:rPr>
        <w:t>Sustainability Assurance Quality</w:t>
      </w:r>
      <w:r>
        <w:rPr>
          <w:sz w:val="24"/>
        </w:rPr>
        <w:t>.</w:t>
      </w:r>
    </w:p>
    <w:p>
      <w:pPr>
        <w:pStyle w:val="BodyText"/>
        <w:spacing w:line="480" w:lineRule="auto" w:before="161"/>
        <w:ind w:left="568" w:right="564" w:firstLine="720"/>
        <w:jc w:val="both"/>
      </w:pPr>
      <w:r>
        <w:rPr/>
        <w:t>Berdasarkan </w:t>
      </w:r>
      <w:r>
        <w:rPr>
          <w:i/>
        </w:rPr>
        <w:t>Stakeholder Theory, </w:t>
      </w:r>
      <w:r>
        <w:rPr/>
        <w:t>perusahaan dengan </w:t>
      </w:r>
      <w:r>
        <w:rPr>
          <w:i/>
        </w:rPr>
        <w:t>leverage </w:t>
      </w:r>
      <w:r>
        <w:rPr/>
        <w:t>yang tinggi semestinya</w:t>
      </w:r>
      <w:r>
        <w:rPr>
          <w:spacing w:val="-1"/>
        </w:rPr>
        <w:t> </w:t>
      </w:r>
      <w:r>
        <w:rPr/>
        <w:t>memiliki</w:t>
      </w:r>
      <w:r>
        <w:rPr>
          <w:spacing w:val="-4"/>
        </w:rPr>
        <w:t> </w:t>
      </w:r>
      <w:r>
        <w:rPr/>
        <w:t>insentif lebih</w:t>
      </w:r>
      <w:r>
        <w:rPr>
          <w:spacing w:val="-2"/>
        </w:rPr>
        <w:t> </w:t>
      </w:r>
      <w:r>
        <w:rPr/>
        <w:t>besar</w:t>
      </w:r>
      <w:r>
        <w:rPr>
          <w:spacing w:val="-2"/>
        </w:rPr>
        <w:t> </w:t>
      </w:r>
      <w:r>
        <w:rPr/>
        <w:t>untuk</w:t>
      </w:r>
      <w:r>
        <w:rPr>
          <w:spacing w:val="-2"/>
        </w:rPr>
        <w:t> </w:t>
      </w:r>
      <w:r>
        <w:rPr/>
        <w:t>meningkatkan</w:t>
      </w:r>
      <w:r>
        <w:rPr>
          <w:spacing w:val="-2"/>
        </w:rPr>
        <w:t> </w:t>
      </w:r>
      <w:r>
        <w:rPr/>
        <w:t>keandalan</w:t>
      </w:r>
      <w:r>
        <w:rPr>
          <w:spacing w:val="-5"/>
        </w:rPr>
        <w:t> </w:t>
      </w:r>
      <w:r>
        <w:rPr/>
        <w:t>informasi keberlanjutan melalui </w:t>
      </w:r>
      <w:r>
        <w:rPr>
          <w:i/>
        </w:rPr>
        <w:t>assurance </w:t>
      </w:r>
      <w:r>
        <w:rPr/>
        <w:t>berkualitas tinggi, guna mengurangi risiko ketidakpastian dan asimetri informasi di mata kreditur karena berdasarkan teori tersebut, perusahaan memandang kreditur sebagai </w:t>
      </w:r>
      <w:r>
        <w:rPr>
          <w:i/>
        </w:rPr>
        <w:t>stakeholder </w:t>
      </w:r>
      <w:r>
        <w:rPr/>
        <w:t>utama yang memiliki kepentingan terhadap transparansi dan pengungkapan perusahaan. Temuan pada penelitian ini menunjukkan bahwa perusahaan energi di Indonesia tidak menempatkan </w:t>
      </w:r>
      <w:r>
        <w:rPr>
          <w:i/>
        </w:rPr>
        <w:t>leverage </w:t>
      </w:r>
      <w:r>
        <w:rPr/>
        <w:t>sebagai determinan utama dalam penentuan kualitas </w:t>
      </w:r>
      <w:r>
        <w:rPr>
          <w:i/>
        </w:rPr>
        <w:t>assurance</w:t>
      </w:r>
      <w:r>
        <w:rPr/>
        <w:t>. Kondisi tersebut dapat disebabkan oleh beberapa faktor, antara lain tekanan</w:t>
      </w:r>
      <w:r>
        <w:rPr>
          <w:spacing w:val="69"/>
        </w:rPr>
        <w:t> </w:t>
      </w:r>
      <w:r>
        <w:rPr/>
        <w:t>eksternal</w:t>
      </w:r>
      <w:r>
        <w:rPr>
          <w:spacing w:val="70"/>
        </w:rPr>
        <w:t> </w:t>
      </w:r>
      <w:r>
        <w:rPr/>
        <w:t>dari</w:t>
      </w:r>
      <w:r>
        <w:rPr>
          <w:spacing w:val="70"/>
        </w:rPr>
        <w:t> </w:t>
      </w:r>
      <w:r>
        <w:rPr/>
        <w:t>kreditur</w:t>
      </w:r>
      <w:r>
        <w:rPr>
          <w:spacing w:val="73"/>
        </w:rPr>
        <w:t> </w:t>
      </w:r>
      <w:r>
        <w:rPr/>
        <w:t>yang</w:t>
      </w:r>
      <w:r>
        <w:rPr>
          <w:spacing w:val="69"/>
        </w:rPr>
        <w:t> </w:t>
      </w:r>
      <w:r>
        <w:rPr/>
        <w:t>relatif</w:t>
      </w:r>
      <w:r>
        <w:rPr>
          <w:spacing w:val="69"/>
        </w:rPr>
        <w:t> </w:t>
      </w:r>
      <w:r>
        <w:rPr/>
        <w:t>rendah,</w:t>
      </w:r>
      <w:r>
        <w:rPr>
          <w:spacing w:val="69"/>
        </w:rPr>
        <w:t> </w:t>
      </w:r>
      <w:r>
        <w:rPr/>
        <w:t>struktur</w:t>
      </w:r>
      <w:r>
        <w:rPr>
          <w:spacing w:val="69"/>
        </w:rPr>
        <w:t> </w:t>
      </w:r>
      <w:r>
        <w:rPr/>
        <w:t>pendanaan</w:t>
      </w:r>
      <w:r>
        <w:rPr>
          <w:spacing w:val="69"/>
        </w:rPr>
        <w:t> </w:t>
      </w:r>
      <w:r>
        <w:rPr/>
        <w:t>yang</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63"/>
        <w:jc w:val="both"/>
      </w:pPr>
      <w:r>
        <w:rPr/>
        <w:t>didominasi lembaga keuangan domestik yang umumnya tidak mensyaratkan tingkat </w:t>
      </w:r>
      <w:r>
        <w:rPr>
          <w:i/>
        </w:rPr>
        <w:t>assurance </w:t>
      </w:r>
      <w:r>
        <w:rPr/>
        <w:t>yang tinggi, serta regulasi ESG yang belum sepenuhnya terintegrasi</w:t>
      </w:r>
      <w:r>
        <w:rPr>
          <w:spacing w:val="-12"/>
        </w:rPr>
        <w:t> </w:t>
      </w:r>
      <w:r>
        <w:rPr/>
        <w:t>sebagai</w:t>
      </w:r>
      <w:r>
        <w:rPr>
          <w:spacing w:val="-12"/>
        </w:rPr>
        <w:t> </w:t>
      </w:r>
      <w:r>
        <w:rPr/>
        <w:t>dasar</w:t>
      </w:r>
      <w:r>
        <w:rPr>
          <w:spacing w:val="-13"/>
        </w:rPr>
        <w:t> </w:t>
      </w:r>
      <w:r>
        <w:rPr/>
        <w:t>dalam</w:t>
      </w:r>
      <w:r>
        <w:rPr>
          <w:spacing w:val="-12"/>
        </w:rPr>
        <w:t> </w:t>
      </w:r>
      <w:r>
        <w:rPr/>
        <w:t>penilaian</w:t>
      </w:r>
      <w:r>
        <w:rPr>
          <w:spacing w:val="-13"/>
        </w:rPr>
        <w:t> </w:t>
      </w:r>
      <w:r>
        <w:rPr/>
        <w:t>risiko</w:t>
      </w:r>
      <w:r>
        <w:rPr>
          <w:spacing w:val="-13"/>
        </w:rPr>
        <w:t> </w:t>
      </w:r>
      <w:r>
        <w:rPr/>
        <w:t>kredit.</w:t>
      </w:r>
      <w:r>
        <w:rPr>
          <w:spacing w:val="-13"/>
        </w:rPr>
        <w:t> </w:t>
      </w:r>
      <w:r>
        <w:rPr/>
        <w:t>Dengan</w:t>
      </w:r>
      <w:r>
        <w:rPr>
          <w:spacing w:val="-13"/>
        </w:rPr>
        <w:t> </w:t>
      </w:r>
      <w:r>
        <w:rPr/>
        <w:t>demikian,</w:t>
      </w:r>
      <w:r>
        <w:rPr>
          <w:spacing w:val="-3"/>
        </w:rPr>
        <w:t> </w:t>
      </w:r>
      <w:r>
        <w:rPr>
          <w:i/>
        </w:rPr>
        <w:t>leverage </w:t>
      </w:r>
      <w:r>
        <w:rPr/>
        <w:t>belum dapat dianggap sebagai variabel yang menentukan kualitas </w:t>
      </w:r>
      <w:r>
        <w:rPr>
          <w:i/>
        </w:rPr>
        <w:t>assurance </w:t>
      </w:r>
      <w:r>
        <w:rPr/>
        <w:t>pada sektor energi.</w:t>
      </w:r>
    </w:p>
    <w:p>
      <w:pPr>
        <w:pStyle w:val="BodyText"/>
        <w:spacing w:line="480" w:lineRule="auto" w:before="161"/>
        <w:ind w:left="568" w:right="562" w:firstLine="720"/>
        <w:jc w:val="both"/>
      </w:pPr>
      <w:r>
        <w:rPr/>
        <w:t>Hasil</w:t>
      </w:r>
      <w:r>
        <w:rPr>
          <w:spacing w:val="-7"/>
        </w:rPr>
        <w:t> </w:t>
      </w:r>
      <w:r>
        <w:rPr/>
        <w:t>penelitian</w:t>
      </w:r>
      <w:r>
        <w:rPr>
          <w:spacing w:val="-12"/>
        </w:rPr>
        <w:t> </w:t>
      </w:r>
      <w:r>
        <w:rPr/>
        <w:t>ini</w:t>
      </w:r>
      <w:r>
        <w:rPr>
          <w:spacing w:val="-10"/>
        </w:rPr>
        <w:t> </w:t>
      </w:r>
      <w:r>
        <w:rPr/>
        <w:t>mendukung</w:t>
      </w:r>
      <w:r>
        <w:rPr>
          <w:spacing w:val="-12"/>
        </w:rPr>
        <w:t> </w:t>
      </w:r>
      <w:r>
        <w:rPr/>
        <w:t>hasil</w:t>
      </w:r>
      <w:r>
        <w:rPr>
          <w:spacing w:val="-10"/>
        </w:rPr>
        <w:t> </w:t>
      </w:r>
      <w:r>
        <w:rPr/>
        <w:t>penelitian</w:t>
      </w:r>
      <w:r>
        <w:rPr>
          <w:spacing w:val="-12"/>
        </w:rPr>
        <w:t> </w:t>
      </w:r>
      <w:r>
        <w:rPr/>
        <w:t>Sari</w:t>
      </w:r>
      <w:r>
        <w:rPr>
          <w:spacing w:val="-10"/>
        </w:rPr>
        <w:t> </w:t>
      </w:r>
      <w:r>
        <w:rPr/>
        <w:t>&amp;</w:t>
      </w:r>
      <w:r>
        <w:rPr>
          <w:spacing w:val="-7"/>
        </w:rPr>
        <w:t> </w:t>
      </w:r>
      <w:r>
        <w:rPr/>
        <w:t>Priyadi</w:t>
      </w:r>
      <w:r>
        <w:rPr>
          <w:spacing w:val="-7"/>
        </w:rPr>
        <w:t> </w:t>
      </w:r>
      <w:r>
        <w:rPr/>
        <w:t>(2020),</w:t>
      </w:r>
      <w:r>
        <w:rPr>
          <w:spacing w:val="-7"/>
        </w:rPr>
        <w:t> </w:t>
      </w:r>
      <w:r>
        <w:rPr/>
        <w:t>yang menunjukkan</w:t>
      </w:r>
      <w:r>
        <w:rPr>
          <w:spacing w:val="-9"/>
        </w:rPr>
        <w:t> </w:t>
      </w:r>
      <w:r>
        <w:rPr/>
        <w:t>bahwa</w:t>
      </w:r>
      <w:r>
        <w:rPr>
          <w:spacing w:val="-4"/>
        </w:rPr>
        <w:t> </w:t>
      </w:r>
      <w:r>
        <w:rPr>
          <w:i/>
        </w:rPr>
        <w:t>leverage</w:t>
      </w:r>
      <w:r>
        <w:rPr>
          <w:i/>
          <w:spacing w:val="-2"/>
        </w:rPr>
        <w:t> </w:t>
      </w:r>
      <w:r>
        <w:rPr/>
        <w:t>tidak</w:t>
      </w:r>
      <w:r>
        <w:rPr>
          <w:spacing w:val="-9"/>
        </w:rPr>
        <w:t> </w:t>
      </w:r>
      <w:r>
        <w:rPr/>
        <w:t>memiliki</w:t>
      </w:r>
      <w:r>
        <w:rPr>
          <w:spacing w:val="-4"/>
        </w:rPr>
        <w:t> </w:t>
      </w:r>
      <w:r>
        <w:rPr/>
        <w:t>pengaruh</w:t>
      </w:r>
      <w:r>
        <w:rPr>
          <w:spacing w:val="-4"/>
        </w:rPr>
        <w:t> </w:t>
      </w:r>
      <w:r>
        <w:rPr/>
        <w:t>signifikan</w:t>
      </w:r>
      <w:r>
        <w:rPr>
          <w:spacing w:val="-4"/>
        </w:rPr>
        <w:t> </w:t>
      </w:r>
      <w:r>
        <w:rPr/>
        <w:t>terhadap</w:t>
      </w:r>
      <w:r>
        <w:rPr>
          <w:spacing w:val="-4"/>
        </w:rPr>
        <w:t> </w:t>
      </w:r>
      <w:r>
        <w:rPr/>
        <w:t>praktik pelaporan keberlanjutan di Indonesia, tetapi tidak mendukung</w:t>
      </w:r>
      <w:r>
        <w:rPr>
          <w:spacing w:val="-3"/>
        </w:rPr>
        <w:t> </w:t>
      </w:r>
      <w:r>
        <w:rPr/>
        <w:t>hasil dari penelitian penelitian yang dilakukan oleh Bugshan et al. (2024) yang menyimpulkan bahwa perusahaan dengan </w:t>
      </w:r>
      <w:r>
        <w:rPr>
          <w:i/>
        </w:rPr>
        <w:t>assurance </w:t>
      </w:r>
      <w:r>
        <w:rPr/>
        <w:t>dalam kegiatan keberlanjutannya cenderung memiliki </w:t>
      </w:r>
      <w:r>
        <w:rPr>
          <w:i/>
        </w:rPr>
        <w:t>leverage </w:t>
      </w:r>
      <w:r>
        <w:rPr/>
        <w:t>yang tinggi. Perbedaan ini dapat muncul karena struktur pendanaan perusahaan energi di Indonesia memiliki karakteristik berbeda dengan perusahaan global yang diteliti oleh Bugshan et al. serta regulasi dari perusahaan- perusahaan tersebut berbeda dengan perusahaan di Indonesia</w:t>
      </w:r>
    </w:p>
    <w:p>
      <w:pPr>
        <w:pStyle w:val="ListParagraph"/>
        <w:numPr>
          <w:ilvl w:val="2"/>
          <w:numId w:val="32"/>
        </w:numPr>
        <w:tabs>
          <w:tab w:pos="1288" w:val="left" w:leader="none"/>
        </w:tabs>
        <w:spacing w:line="240" w:lineRule="auto" w:before="166" w:after="0"/>
        <w:ind w:left="1288" w:right="0" w:hanging="720"/>
        <w:jc w:val="both"/>
        <w:rPr>
          <w:b/>
          <w:i/>
          <w:sz w:val="24"/>
        </w:rPr>
      </w:pPr>
      <w:bookmarkStart w:name="_bookmark70" w:id="71"/>
      <w:bookmarkEnd w:id="71"/>
      <w:r>
        <w:rPr/>
      </w:r>
      <w:r>
        <w:rPr>
          <w:b/>
          <w:sz w:val="24"/>
        </w:rPr>
        <w:t>Pengaruh</w:t>
      </w:r>
      <w:r>
        <w:rPr>
          <w:b/>
          <w:spacing w:val="-8"/>
          <w:sz w:val="24"/>
        </w:rPr>
        <w:t> </w:t>
      </w:r>
      <w:r>
        <w:rPr>
          <w:b/>
          <w:i/>
          <w:sz w:val="24"/>
        </w:rPr>
        <w:t>Debt</w:t>
      </w:r>
      <w:r>
        <w:rPr>
          <w:b/>
          <w:i/>
          <w:spacing w:val="-4"/>
          <w:sz w:val="24"/>
        </w:rPr>
        <w:t> </w:t>
      </w:r>
      <w:r>
        <w:rPr>
          <w:b/>
          <w:i/>
          <w:sz w:val="24"/>
        </w:rPr>
        <w:t>Maturity</w:t>
      </w:r>
      <w:r>
        <w:rPr>
          <w:b/>
          <w:i/>
          <w:spacing w:val="-3"/>
          <w:sz w:val="24"/>
        </w:rPr>
        <w:t> </w:t>
      </w:r>
      <w:r>
        <w:rPr>
          <w:b/>
          <w:sz w:val="24"/>
        </w:rPr>
        <w:t>terhadap</w:t>
      </w:r>
      <w:r>
        <w:rPr>
          <w:b/>
          <w:spacing w:val="-9"/>
          <w:sz w:val="24"/>
        </w:rPr>
        <w:t> </w:t>
      </w:r>
      <w:r>
        <w:rPr>
          <w:b/>
          <w:i/>
          <w:sz w:val="24"/>
        </w:rPr>
        <w:t>Sustainability</w:t>
      </w:r>
      <w:r>
        <w:rPr>
          <w:b/>
          <w:i/>
          <w:spacing w:val="-4"/>
          <w:sz w:val="24"/>
        </w:rPr>
        <w:t> </w:t>
      </w:r>
      <w:r>
        <w:rPr>
          <w:b/>
          <w:i/>
          <w:sz w:val="24"/>
        </w:rPr>
        <w:t>Assurance</w:t>
      </w:r>
      <w:r>
        <w:rPr>
          <w:b/>
          <w:i/>
          <w:spacing w:val="-3"/>
          <w:sz w:val="24"/>
        </w:rPr>
        <w:t> </w:t>
      </w:r>
      <w:r>
        <w:rPr>
          <w:b/>
          <w:i/>
          <w:spacing w:val="-2"/>
          <w:sz w:val="24"/>
        </w:rPr>
        <w:t>Quality</w:t>
      </w:r>
    </w:p>
    <w:p>
      <w:pPr>
        <w:spacing w:line="480" w:lineRule="auto" w:before="272"/>
        <w:ind w:left="568" w:right="562" w:firstLine="720"/>
        <w:jc w:val="both"/>
        <w:rPr>
          <w:i/>
          <w:sz w:val="24"/>
        </w:rPr>
      </w:pPr>
      <w:r>
        <w:rPr>
          <w:sz w:val="24"/>
        </w:rPr>
        <w:t>Berdasarkan hasil pengujian, variabel </w:t>
      </w:r>
      <w:r>
        <w:rPr>
          <w:i/>
          <w:sz w:val="24"/>
        </w:rPr>
        <w:t>Debt Maturity </w:t>
      </w:r>
      <w:r>
        <w:rPr>
          <w:sz w:val="24"/>
        </w:rPr>
        <w:t>(X2) memiliki pengaruh tidak signifikan terhadap </w:t>
      </w:r>
      <w:r>
        <w:rPr>
          <w:i/>
          <w:sz w:val="24"/>
        </w:rPr>
        <w:t>Sustainability Assurance Quality. </w:t>
      </w:r>
      <w:r>
        <w:rPr>
          <w:sz w:val="24"/>
        </w:rPr>
        <w:t>Selain itu, hasil dari koefisien regresi menunjukkan bahwa arah dari pengaruh </w:t>
      </w:r>
      <w:r>
        <w:rPr>
          <w:i/>
          <w:sz w:val="24"/>
        </w:rPr>
        <w:t>Debt Maturity </w:t>
      </w:r>
      <w:r>
        <w:rPr>
          <w:sz w:val="24"/>
        </w:rPr>
        <w:t>terhadap </w:t>
      </w:r>
      <w:r>
        <w:rPr>
          <w:i/>
          <w:sz w:val="24"/>
        </w:rPr>
        <w:t>Sustainability Assurance Quality </w:t>
      </w:r>
      <w:r>
        <w:rPr>
          <w:sz w:val="24"/>
        </w:rPr>
        <w:t>bersifat positif. Hasil ini tidak sejalan dengan hipotesis kedua (H2) yang</w:t>
      </w:r>
      <w:r>
        <w:rPr>
          <w:spacing w:val="-2"/>
          <w:sz w:val="24"/>
        </w:rPr>
        <w:t> </w:t>
      </w:r>
      <w:r>
        <w:rPr>
          <w:sz w:val="24"/>
        </w:rPr>
        <w:t>menyatakan bahwa </w:t>
      </w:r>
      <w:r>
        <w:rPr>
          <w:i/>
          <w:sz w:val="24"/>
        </w:rPr>
        <w:t>Debt Maturity </w:t>
      </w:r>
      <w:r>
        <w:rPr>
          <w:sz w:val="24"/>
        </w:rPr>
        <w:t>berpengaruh positif signifikan terhadap </w:t>
      </w:r>
      <w:r>
        <w:rPr>
          <w:i/>
          <w:sz w:val="24"/>
        </w:rPr>
        <w:t>Sustainability Assurance Quality.</w:t>
      </w:r>
    </w:p>
    <w:p>
      <w:pPr>
        <w:spacing w:after="0" w:line="480" w:lineRule="auto"/>
        <w:jc w:val="both"/>
        <w:rPr>
          <w:i/>
          <w:sz w:val="24"/>
        </w:rPr>
        <w:sectPr>
          <w:pgSz w:w="11910" w:h="16840"/>
          <w:pgMar w:header="710" w:footer="0" w:top="1920" w:bottom="280" w:left="1700" w:right="1133"/>
        </w:sectPr>
      </w:pPr>
    </w:p>
    <w:p>
      <w:pPr>
        <w:pStyle w:val="BodyText"/>
        <w:spacing w:before="48"/>
        <w:rPr>
          <w:i/>
        </w:rPr>
      </w:pPr>
    </w:p>
    <w:p>
      <w:pPr>
        <w:pStyle w:val="BodyText"/>
        <w:spacing w:line="480" w:lineRule="auto"/>
        <w:ind w:left="568" w:right="564" w:firstLine="720"/>
        <w:jc w:val="both"/>
      </w:pPr>
      <w:r>
        <w:rPr>
          <w:i/>
        </w:rPr>
        <w:t>Debt Maturity </w:t>
      </w:r>
      <w:r>
        <w:rPr/>
        <w:t>menggambarkan proporsi jattuh tempo utang dan menggambarkan seberapa besar kepercayaan kreditur terhadap stabilitas perusahaan. Berdasarkan </w:t>
      </w:r>
      <w:r>
        <w:rPr>
          <w:i/>
        </w:rPr>
        <w:t>Stakeholder Theory</w:t>
      </w:r>
      <w:r>
        <w:rPr/>
        <w:t>, perusahaan dengan struktur jatuh tempo utang yang panjang seharusnya terdorong untuk memberikan informasi keberlanjutan yang kredibel melalui </w:t>
      </w:r>
      <w:r>
        <w:rPr>
          <w:i/>
        </w:rPr>
        <w:t>assurance</w:t>
      </w:r>
      <w:r>
        <w:rPr/>
        <w:t>, guna menunjukkan komitmen terhadap risiko ESG dan menjaga hubungan baik dengan kreditur. Hal ini juga didukung oleh argumen Diamond (1991) yang menyatakan bahwa perusahaan dengan akses utang jangka panjang cenderung memiliki kualitas pelaporan lebih </w:t>
      </w:r>
      <w:r>
        <w:rPr>
          <w:spacing w:val="-2"/>
        </w:rPr>
        <w:t>baik.</w:t>
      </w:r>
    </w:p>
    <w:p>
      <w:pPr>
        <w:pStyle w:val="BodyText"/>
        <w:spacing w:line="480" w:lineRule="auto" w:before="162"/>
        <w:ind w:left="568" w:right="563" w:firstLine="720"/>
        <w:jc w:val="both"/>
      </w:pPr>
      <w:r>
        <w:rPr/>
        <w:t>Namun, penelitian ini menemukan bahwa </w:t>
      </w:r>
      <w:r>
        <w:rPr>
          <w:i/>
        </w:rPr>
        <w:t>Debt Maturity </w:t>
      </w:r>
      <w:r>
        <w:rPr/>
        <w:t>tidak memiliki pengaruh signifikan terhadap </w:t>
      </w:r>
      <w:r>
        <w:rPr>
          <w:i/>
        </w:rPr>
        <w:t>Sustainability Assurance Quality</w:t>
      </w:r>
      <w:r>
        <w:rPr/>
        <w:t>. Temuan ini bertentangan dengan hasil penelitian Bugshan et al. (2024), yang menunjukkan bahwa perusahaan dengan struktur jatuh tempo utang yang panjang memiliki kecenderungan lebih besar menggunakan </w:t>
      </w:r>
      <w:r>
        <w:rPr>
          <w:i/>
        </w:rPr>
        <w:t>assurance </w:t>
      </w:r>
      <w:r>
        <w:rPr/>
        <w:t>sebagai mekanisme kredibilitas. Temuan ini mengindikasikan bahwa struktur jatuh tempo utang pada perusahaan sektor energi di Indonesia tidak berperan sebagai determinan utama dalam keputusan perusahaan untuk meningkatkan kualitas </w:t>
      </w:r>
      <w:r>
        <w:rPr>
          <w:i/>
        </w:rPr>
        <w:t>assurance</w:t>
      </w:r>
      <w:r>
        <w:rPr/>
        <w:t>. Hal ini hampir serupa dengan penelitian Sari dan Priyadi (2020) yang menyatakan bahwa </w:t>
      </w:r>
      <w:r>
        <w:rPr>
          <w:i/>
        </w:rPr>
        <w:t>leverage </w:t>
      </w:r>
      <w:r>
        <w:rPr/>
        <w:t>berpengaruh negatif tidak signifikan terhadap CSR, sehingga dapat dikatakan struktur pendanaan perusahaan (utang jangka pendek maupun jangka panjang) tidak menjadi faktor penentu bagi aktivitas keberlanjutan. Salah satu kemungkinan penjelasnya adalah bahwa banyak perusahaan energi di Indonesia memiliki</w:t>
      </w:r>
      <w:r>
        <w:rPr>
          <w:spacing w:val="-14"/>
        </w:rPr>
        <w:t> </w:t>
      </w:r>
      <w:r>
        <w:rPr/>
        <w:t>akses</w:t>
      </w:r>
      <w:r>
        <w:rPr>
          <w:spacing w:val="-8"/>
        </w:rPr>
        <w:t> </w:t>
      </w:r>
      <w:r>
        <w:rPr/>
        <w:t>yang</w:t>
      </w:r>
      <w:r>
        <w:rPr>
          <w:spacing w:val="-14"/>
        </w:rPr>
        <w:t> </w:t>
      </w:r>
      <w:r>
        <w:rPr/>
        <w:t>relatif</w:t>
      </w:r>
      <w:r>
        <w:rPr>
          <w:spacing w:val="-10"/>
        </w:rPr>
        <w:t> </w:t>
      </w:r>
      <w:r>
        <w:rPr/>
        <w:t>kuat</w:t>
      </w:r>
      <w:r>
        <w:rPr>
          <w:spacing w:val="-14"/>
        </w:rPr>
        <w:t> </w:t>
      </w:r>
      <w:r>
        <w:rPr/>
        <w:t>terhadap</w:t>
      </w:r>
      <w:r>
        <w:rPr>
          <w:spacing w:val="-14"/>
        </w:rPr>
        <w:t> </w:t>
      </w:r>
      <w:r>
        <w:rPr/>
        <w:t>pembiayaan</w:t>
      </w:r>
      <w:r>
        <w:rPr>
          <w:spacing w:val="-10"/>
        </w:rPr>
        <w:t> </w:t>
      </w:r>
      <w:r>
        <w:rPr/>
        <w:t>jangka</w:t>
      </w:r>
      <w:r>
        <w:rPr>
          <w:spacing w:val="-9"/>
        </w:rPr>
        <w:t> </w:t>
      </w:r>
      <w:r>
        <w:rPr/>
        <w:t>panjang,</w:t>
      </w:r>
      <w:r>
        <w:rPr>
          <w:spacing w:val="-10"/>
        </w:rPr>
        <w:t> </w:t>
      </w:r>
      <w:r>
        <w:rPr/>
        <w:t>baik</w:t>
      </w:r>
      <w:r>
        <w:rPr>
          <w:spacing w:val="-10"/>
        </w:rPr>
        <w:t> </w:t>
      </w:r>
      <w:r>
        <w:rPr/>
        <w:t>melalui</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66"/>
        <w:jc w:val="both"/>
      </w:pPr>
      <w:r>
        <w:rPr/>
        <w:t>skema proyek pemerintah maupun melalui lembaga keuangan multinasional, sehingga</w:t>
      </w:r>
      <w:r>
        <w:rPr>
          <w:spacing w:val="-12"/>
        </w:rPr>
        <w:t> </w:t>
      </w:r>
      <w:r>
        <w:rPr/>
        <w:t>keputusan</w:t>
      </w:r>
      <w:r>
        <w:rPr>
          <w:spacing w:val="-12"/>
        </w:rPr>
        <w:t> </w:t>
      </w:r>
      <w:r>
        <w:rPr/>
        <w:t>terkait</w:t>
      </w:r>
      <w:r>
        <w:rPr>
          <w:spacing w:val="-11"/>
        </w:rPr>
        <w:t> </w:t>
      </w:r>
      <w:r>
        <w:rPr/>
        <w:t>kualitas</w:t>
      </w:r>
      <w:r>
        <w:rPr>
          <w:spacing w:val="-9"/>
        </w:rPr>
        <w:t> </w:t>
      </w:r>
      <w:r>
        <w:rPr>
          <w:i/>
        </w:rPr>
        <w:t>assurance</w:t>
      </w:r>
      <w:r>
        <w:rPr>
          <w:i/>
          <w:spacing w:val="-10"/>
        </w:rPr>
        <w:t> </w:t>
      </w:r>
      <w:r>
        <w:rPr/>
        <w:t>tidak</w:t>
      </w:r>
      <w:r>
        <w:rPr>
          <w:spacing w:val="-12"/>
        </w:rPr>
        <w:t> </w:t>
      </w:r>
      <w:r>
        <w:rPr/>
        <w:t>didorong</w:t>
      </w:r>
      <w:r>
        <w:rPr>
          <w:spacing w:val="-15"/>
        </w:rPr>
        <w:t> </w:t>
      </w:r>
      <w:r>
        <w:rPr/>
        <w:t>oleh</w:t>
      </w:r>
      <w:r>
        <w:rPr>
          <w:spacing w:val="-12"/>
        </w:rPr>
        <w:t> </w:t>
      </w:r>
      <w:r>
        <w:rPr/>
        <w:t>kebutuhan</w:t>
      </w:r>
      <w:r>
        <w:rPr>
          <w:spacing w:val="-12"/>
        </w:rPr>
        <w:t> </w:t>
      </w:r>
      <w:r>
        <w:rPr/>
        <w:t>untuk memberikan sinyal kredibilitas kepada kreditur. Dengan demikian, meskipun secara</w:t>
      </w:r>
      <w:r>
        <w:rPr>
          <w:spacing w:val="-15"/>
        </w:rPr>
        <w:t> </w:t>
      </w:r>
      <w:r>
        <w:rPr/>
        <w:t>teoretis</w:t>
      </w:r>
      <w:r>
        <w:rPr>
          <w:spacing w:val="-12"/>
        </w:rPr>
        <w:t> </w:t>
      </w:r>
      <w:r>
        <w:rPr>
          <w:i/>
        </w:rPr>
        <w:t>debt</w:t>
      </w:r>
      <w:r>
        <w:rPr>
          <w:i/>
          <w:spacing w:val="-12"/>
        </w:rPr>
        <w:t> </w:t>
      </w:r>
      <w:r>
        <w:rPr>
          <w:i/>
        </w:rPr>
        <w:t>maturity</w:t>
      </w:r>
      <w:r>
        <w:rPr>
          <w:i/>
          <w:spacing w:val="-10"/>
        </w:rPr>
        <w:t> </w:t>
      </w:r>
      <w:r>
        <w:rPr/>
        <w:t>dapat</w:t>
      </w:r>
      <w:r>
        <w:rPr>
          <w:spacing w:val="-12"/>
        </w:rPr>
        <w:t> </w:t>
      </w:r>
      <w:r>
        <w:rPr/>
        <w:t>berfungsi</w:t>
      </w:r>
      <w:r>
        <w:rPr>
          <w:spacing w:val="-12"/>
        </w:rPr>
        <w:t> </w:t>
      </w:r>
      <w:r>
        <w:rPr/>
        <w:t>sebagai</w:t>
      </w:r>
      <w:r>
        <w:rPr>
          <w:spacing w:val="-12"/>
        </w:rPr>
        <w:t> </w:t>
      </w:r>
      <w:r>
        <w:rPr/>
        <w:t>sinyal</w:t>
      </w:r>
      <w:r>
        <w:rPr>
          <w:spacing w:val="-12"/>
        </w:rPr>
        <w:t> </w:t>
      </w:r>
      <w:r>
        <w:rPr/>
        <w:t>kredibilitas</w:t>
      </w:r>
      <w:r>
        <w:rPr>
          <w:spacing w:val="-15"/>
        </w:rPr>
        <w:t> </w:t>
      </w:r>
      <w:r>
        <w:rPr/>
        <w:t>perusahaan, dalam</w:t>
      </w:r>
      <w:r>
        <w:rPr>
          <w:spacing w:val="-3"/>
        </w:rPr>
        <w:t> </w:t>
      </w:r>
      <w:r>
        <w:rPr/>
        <w:t>konteks</w:t>
      </w:r>
      <w:r>
        <w:rPr>
          <w:spacing w:val="-5"/>
        </w:rPr>
        <w:t> </w:t>
      </w:r>
      <w:r>
        <w:rPr/>
        <w:t>sektor</w:t>
      </w:r>
      <w:r>
        <w:rPr>
          <w:spacing w:val="-3"/>
        </w:rPr>
        <w:t> </w:t>
      </w:r>
      <w:r>
        <w:rPr/>
        <w:t>energi</w:t>
      </w:r>
      <w:r>
        <w:rPr>
          <w:spacing w:val="-3"/>
        </w:rPr>
        <w:t> </w:t>
      </w:r>
      <w:r>
        <w:rPr/>
        <w:t>di Indonesia variabel</w:t>
      </w:r>
      <w:r>
        <w:rPr>
          <w:spacing w:val="-3"/>
        </w:rPr>
        <w:t> </w:t>
      </w:r>
      <w:r>
        <w:rPr/>
        <w:t>ini</w:t>
      </w:r>
      <w:r>
        <w:rPr>
          <w:spacing w:val="-3"/>
        </w:rPr>
        <w:t> </w:t>
      </w:r>
      <w:r>
        <w:rPr/>
        <w:t>tidak</w:t>
      </w:r>
      <w:r>
        <w:rPr>
          <w:spacing w:val="-3"/>
        </w:rPr>
        <w:t> </w:t>
      </w:r>
      <w:r>
        <w:rPr/>
        <w:t>menunjukkan</w:t>
      </w:r>
      <w:r>
        <w:rPr>
          <w:spacing w:val="-3"/>
        </w:rPr>
        <w:t> </w:t>
      </w:r>
      <w:r>
        <w:rPr/>
        <w:t>kekuatan yang memadai untuk memengaruhi kualitas </w:t>
      </w:r>
      <w:r>
        <w:rPr>
          <w:i/>
        </w:rPr>
        <w:t>assurance</w:t>
      </w:r>
      <w:r>
        <w:rPr/>
        <w:t>.</w:t>
      </w:r>
    </w:p>
    <w:p>
      <w:pPr>
        <w:pStyle w:val="ListParagraph"/>
        <w:numPr>
          <w:ilvl w:val="1"/>
          <w:numId w:val="35"/>
        </w:numPr>
        <w:tabs>
          <w:tab w:pos="1288" w:val="left" w:leader="none"/>
        </w:tabs>
        <w:spacing w:line="480" w:lineRule="auto" w:before="166" w:after="0"/>
        <w:ind w:left="568" w:right="562" w:firstLine="0"/>
        <w:jc w:val="right"/>
        <w:rPr>
          <w:sz w:val="24"/>
        </w:rPr>
      </w:pPr>
      <w:bookmarkStart w:name="_bookmark71" w:id="72"/>
      <w:bookmarkEnd w:id="72"/>
      <w:r>
        <w:rPr/>
      </w:r>
      <w:r>
        <w:rPr>
          <w:b/>
          <w:sz w:val="24"/>
        </w:rPr>
        <w:t>Pengaruh</w:t>
      </w:r>
      <w:r>
        <w:rPr>
          <w:b/>
          <w:spacing w:val="-2"/>
          <w:sz w:val="24"/>
        </w:rPr>
        <w:t> </w:t>
      </w:r>
      <w:r>
        <w:rPr>
          <w:b/>
          <w:i/>
          <w:sz w:val="24"/>
        </w:rPr>
        <w:t>Assurance Tenure </w:t>
      </w:r>
      <w:r>
        <w:rPr>
          <w:b/>
          <w:sz w:val="24"/>
        </w:rPr>
        <w:t>terhadap</w:t>
      </w:r>
      <w:r>
        <w:rPr>
          <w:b/>
          <w:spacing w:val="-2"/>
          <w:sz w:val="24"/>
        </w:rPr>
        <w:t> </w:t>
      </w:r>
      <w:r>
        <w:rPr>
          <w:b/>
          <w:i/>
          <w:sz w:val="24"/>
        </w:rPr>
        <w:t>Sustainability Assurance Quality </w:t>
      </w:r>
      <w:r>
        <w:rPr>
          <w:sz w:val="24"/>
        </w:rPr>
        <w:t>Berdasarkan</w:t>
      </w:r>
      <w:r>
        <w:rPr>
          <w:spacing w:val="40"/>
          <w:sz w:val="24"/>
        </w:rPr>
        <w:t> </w:t>
      </w:r>
      <w:r>
        <w:rPr>
          <w:sz w:val="24"/>
        </w:rPr>
        <w:t>hasil</w:t>
      </w:r>
      <w:r>
        <w:rPr>
          <w:spacing w:val="40"/>
          <w:sz w:val="24"/>
        </w:rPr>
        <w:t> </w:t>
      </w:r>
      <w:r>
        <w:rPr>
          <w:sz w:val="24"/>
        </w:rPr>
        <w:t>pengujian,</w:t>
      </w:r>
      <w:r>
        <w:rPr>
          <w:spacing w:val="40"/>
          <w:sz w:val="24"/>
        </w:rPr>
        <w:t> </w:t>
      </w:r>
      <w:r>
        <w:rPr>
          <w:sz w:val="24"/>
        </w:rPr>
        <w:t>variabel</w:t>
      </w:r>
      <w:r>
        <w:rPr>
          <w:spacing w:val="40"/>
          <w:sz w:val="24"/>
        </w:rPr>
        <w:t> </w:t>
      </w:r>
      <w:r>
        <w:rPr>
          <w:i/>
          <w:sz w:val="24"/>
        </w:rPr>
        <w:t>Assurance</w:t>
      </w:r>
      <w:r>
        <w:rPr>
          <w:i/>
          <w:spacing w:val="40"/>
          <w:sz w:val="24"/>
        </w:rPr>
        <w:t> </w:t>
      </w:r>
      <w:r>
        <w:rPr>
          <w:i/>
          <w:sz w:val="24"/>
        </w:rPr>
        <w:t>Tenure</w:t>
      </w:r>
      <w:r>
        <w:rPr>
          <w:i/>
          <w:spacing w:val="40"/>
          <w:sz w:val="24"/>
        </w:rPr>
        <w:t> </w:t>
      </w:r>
      <w:r>
        <w:rPr>
          <w:sz w:val="24"/>
        </w:rPr>
        <w:t>(X3)</w:t>
      </w:r>
      <w:r>
        <w:rPr>
          <w:spacing w:val="40"/>
          <w:sz w:val="24"/>
        </w:rPr>
        <w:t> </w:t>
      </w:r>
      <w:r>
        <w:rPr>
          <w:sz w:val="24"/>
        </w:rPr>
        <w:t>memiliki pengaruh</w:t>
      </w:r>
      <w:r>
        <w:rPr>
          <w:spacing w:val="-15"/>
          <w:sz w:val="24"/>
        </w:rPr>
        <w:t> </w:t>
      </w:r>
      <w:r>
        <w:rPr>
          <w:sz w:val="24"/>
        </w:rPr>
        <w:t>signifikan</w:t>
      </w:r>
      <w:r>
        <w:rPr>
          <w:spacing w:val="-15"/>
          <w:sz w:val="24"/>
        </w:rPr>
        <w:t> </w:t>
      </w:r>
      <w:r>
        <w:rPr>
          <w:sz w:val="24"/>
        </w:rPr>
        <w:t>terhadap</w:t>
      </w:r>
      <w:r>
        <w:rPr>
          <w:spacing w:val="-15"/>
          <w:sz w:val="24"/>
        </w:rPr>
        <w:t> </w:t>
      </w:r>
      <w:r>
        <w:rPr>
          <w:i/>
          <w:sz w:val="24"/>
        </w:rPr>
        <w:t>Sustainability</w:t>
      </w:r>
      <w:r>
        <w:rPr>
          <w:i/>
          <w:spacing w:val="-15"/>
          <w:sz w:val="24"/>
        </w:rPr>
        <w:t> </w:t>
      </w:r>
      <w:r>
        <w:rPr>
          <w:i/>
          <w:sz w:val="24"/>
        </w:rPr>
        <w:t>Assurance</w:t>
      </w:r>
      <w:r>
        <w:rPr>
          <w:i/>
          <w:spacing w:val="-15"/>
          <w:sz w:val="24"/>
        </w:rPr>
        <w:t> </w:t>
      </w:r>
      <w:r>
        <w:rPr>
          <w:i/>
          <w:sz w:val="24"/>
        </w:rPr>
        <w:t>Quality.</w:t>
      </w:r>
      <w:r>
        <w:rPr>
          <w:i/>
          <w:spacing w:val="-15"/>
          <w:sz w:val="24"/>
        </w:rPr>
        <w:t> </w:t>
      </w:r>
      <w:r>
        <w:rPr>
          <w:sz w:val="24"/>
        </w:rPr>
        <w:t>Selain</w:t>
      </w:r>
      <w:r>
        <w:rPr>
          <w:spacing w:val="-15"/>
          <w:sz w:val="24"/>
        </w:rPr>
        <w:t> </w:t>
      </w:r>
      <w:r>
        <w:rPr>
          <w:sz w:val="24"/>
        </w:rPr>
        <w:t>itu,</w:t>
      </w:r>
      <w:r>
        <w:rPr>
          <w:spacing w:val="-15"/>
          <w:sz w:val="24"/>
        </w:rPr>
        <w:t> </w:t>
      </w:r>
      <w:r>
        <w:rPr>
          <w:sz w:val="24"/>
        </w:rPr>
        <w:t>hasil</w:t>
      </w:r>
      <w:r>
        <w:rPr>
          <w:spacing w:val="-15"/>
          <w:sz w:val="24"/>
        </w:rPr>
        <w:t> </w:t>
      </w:r>
      <w:r>
        <w:rPr>
          <w:sz w:val="24"/>
        </w:rPr>
        <w:t>dari koefisien</w:t>
      </w:r>
      <w:r>
        <w:rPr>
          <w:spacing w:val="40"/>
          <w:sz w:val="24"/>
        </w:rPr>
        <w:t> </w:t>
      </w:r>
      <w:r>
        <w:rPr>
          <w:sz w:val="24"/>
        </w:rPr>
        <w:t>regresi</w:t>
      </w:r>
      <w:r>
        <w:rPr>
          <w:spacing w:val="40"/>
          <w:sz w:val="24"/>
        </w:rPr>
        <w:t> </w:t>
      </w:r>
      <w:r>
        <w:rPr>
          <w:sz w:val="24"/>
        </w:rPr>
        <w:t>menunjukkan</w:t>
      </w:r>
      <w:r>
        <w:rPr>
          <w:spacing w:val="40"/>
          <w:sz w:val="24"/>
        </w:rPr>
        <w:t> </w:t>
      </w:r>
      <w:r>
        <w:rPr>
          <w:sz w:val="24"/>
        </w:rPr>
        <w:t>bahwa</w:t>
      </w:r>
      <w:r>
        <w:rPr>
          <w:spacing w:val="40"/>
          <w:sz w:val="24"/>
        </w:rPr>
        <w:t> </w:t>
      </w:r>
      <w:r>
        <w:rPr>
          <w:sz w:val="24"/>
        </w:rPr>
        <w:t>arah</w:t>
      </w:r>
      <w:r>
        <w:rPr>
          <w:spacing w:val="40"/>
          <w:sz w:val="24"/>
        </w:rPr>
        <w:t> </w:t>
      </w:r>
      <w:r>
        <w:rPr>
          <w:sz w:val="24"/>
        </w:rPr>
        <w:t>dari</w:t>
      </w:r>
      <w:r>
        <w:rPr>
          <w:spacing w:val="40"/>
          <w:sz w:val="24"/>
        </w:rPr>
        <w:t> </w:t>
      </w:r>
      <w:r>
        <w:rPr>
          <w:sz w:val="24"/>
        </w:rPr>
        <w:t>pengaruh</w:t>
      </w:r>
      <w:r>
        <w:rPr>
          <w:spacing w:val="80"/>
          <w:sz w:val="24"/>
        </w:rPr>
        <w:t> </w:t>
      </w:r>
      <w:r>
        <w:rPr>
          <w:i/>
          <w:sz w:val="24"/>
        </w:rPr>
        <w:t>Assurance</w:t>
      </w:r>
      <w:r>
        <w:rPr>
          <w:i/>
          <w:spacing w:val="40"/>
          <w:sz w:val="24"/>
        </w:rPr>
        <w:t> </w:t>
      </w:r>
      <w:r>
        <w:rPr>
          <w:i/>
          <w:sz w:val="24"/>
        </w:rPr>
        <w:t>Tenure</w:t>
      </w:r>
      <w:r>
        <w:rPr>
          <w:i/>
          <w:spacing w:val="40"/>
          <w:sz w:val="24"/>
        </w:rPr>
        <w:t> </w:t>
      </w:r>
      <w:r>
        <w:rPr>
          <w:sz w:val="24"/>
        </w:rPr>
        <w:t>terhadap</w:t>
      </w:r>
      <w:r>
        <w:rPr>
          <w:spacing w:val="-8"/>
          <w:sz w:val="24"/>
        </w:rPr>
        <w:t> </w:t>
      </w:r>
      <w:r>
        <w:rPr>
          <w:i/>
          <w:sz w:val="24"/>
        </w:rPr>
        <w:t>Sustainability</w:t>
      </w:r>
      <w:r>
        <w:rPr>
          <w:i/>
          <w:spacing w:val="-11"/>
          <w:sz w:val="24"/>
        </w:rPr>
        <w:t> </w:t>
      </w:r>
      <w:r>
        <w:rPr>
          <w:i/>
          <w:sz w:val="24"/>
        </w:rPr>
        <w:t>Assurance</w:t>
      </w:r>
      <w:r>
        <w:rPr>
          <w:i/>
          <w:spacing w:val="-8"/>
          <w:sz w:val="24"/>
        </w:rPr>
        <w:t> </w:t>
      </w:r>
      <w:r>
        <w:rPr>
          <w:i/>
          <w:sz w:val="24"/>
        </w:rPr>
        <w:t>Quality</w:t>
      </w:r>
      <w:r>
        <w:rPr>
          <w:i/>
          <w:spacing w:val="-7"/>
          <w:sz w:val="24"/>
        </w:rPr>
        <w:t> </w:t>
      </w:r>
      <w:r>
        <w:rPr>
          <w:sz w:val="24"/>
        </w:rPr>
        <w:t>bersifat</w:t>
      </w:r>
      <w:r>
        <w:rPr>
          <w:spacing w:val="-8"/>
          <w:sz w:val="24"/>
        </w:rPr>
        <w:t> </w:t>
      </w:r>
      <w:r>
        <w:rPr>
          <w:sz w:val="24"/>
        </w:rPr>
        <w:t>negatif.</w:t>
      </w:r>
      <w:r>
        <w:rPr>
          <w:spacing w:val="-6"/>
          <w:sz w:val="24"/>
        </w:rPr>
        <w:t> </w:t>
      </w:r>
      <w:r>
        <w:rPr>
          <w:sz w:val="24"/>
        </w:rPr>
        <w:t>Hasil</w:t>
      </w:r>
      <w:r>
        <w:rPr>
          <w:spacing w:val="-8"/>
          <w:sz w:val="24"/>
        </w:rPr>
        <w:t> </w:t>
      </w:r>
      <w:r>
        <w:rPr>
          <w:sz w:val="24"/>
        </w:rPr>
        <w:t>ini</w:t>
      </w:r>
      <w:r>
        <w:rPr>
          <w:spacing w:val="-6"/>
          <w:sz w:val="24"/>
        </w:rPr>
        <w:t> </w:t>
      </w:r>
      <w:r>
        <w:rPr>
          <w:sz w:val="24"/>
        </w:rPr>
        <w:t>sejalan</w:t>
      </w:r>
      <w:r>
        <w:rPr>
          <w:spacing w:val="-8"/>
          <w:sz w:val="24"/>
        </w:rPr>
        <w:t> </w:t>
      </w:r>
      <w:r>
        <w:rPr>
          <w:sz w:val="24"/>
        </w:rPr>
        <w:t>dengan hipotesis</w:t>
      </w:r>
      <w:r>
        <w:rPr>
          <w:spacing w:val="40"/>
          <w:sz w:val="24"/>
        </w:rPr>
        <w:t> </w:t>
      </w:r>
      <w:r>
        <w:rPr>
          <w:sz w:val="24"/>
        </w:rPr>
        <w:t>ketiga</w:t>
      </w:r>
      <w:r>
        <w:rPr>
          <w:spacing w:val="40"/>
          <w:sz w:val="24"/>
        </w:rPr>
        <w:t> </w:t>
      </w:r>
      <w:r>
        <w:rPr>
          <w:sz w:val="24"/>
        </w:rPr>
        <w:t>(H3</w:t>
      </w:r>
      <w:r>
        <w:rPr>
          <w:b/>
          <w:sz w:val="24"/>
        </w:rPr>
        <w:t>)</w:t>
      </w:r>
      <w:r>
        <w:rPr>
          <w:b/>
          <w:spacing w:val="40"/>
          <w:sz w:val="24"/>
        </w:rPr>
        <w:t> </w:t>
      </w:r>
      <w:r>
        <w:rPr>
          <w:sz w:val="24"/>
        </w:rPr>
        <w:t>yang</w:t>
      </w:r>
      <w:r>
        <w:rPr>
          <w:spacing w:val="39"/>
          <w:sz w:val="24"/>
        </w:rPr>
        <w:t> </w:t>
      </w:r>
      <w:r>
        <w:rPr>
          <w:sz w:val="24"/>
        </w:rPr>
        <w:t>menyatakan</w:t>
      </w:r>
      <w:r>
        <w:rPr>
          <w:spacing w:val="40"/>
          <w:sz w:val="24"/>
        </w:rPr>
        <w:t> </w:t>
      </w:r>
      <w:r>
        <w:rPr>
          <w:sz w:val="24"/>
        </w:rPr>
        <w:t>bahwa</w:t>
      </w:r>
      <w:r>
        <w:rPr>
          <w:spacing w:val="40"/>
          <w:sz w:val="24"/>
        </w:rPr>
        <w:t> </w:t>
      </w:r>
      <w:r>
        <w:rPr>
          <w:i/>
          <w:sz w:val="24"/>
        </w:rPr>
        <w:t>Assurance</w:t>
      </w:r>
      <w:r>
        <w:rPr>
          <w:i/>
          <w:spacing w:val="40"/>
          <w:sz w:val="24"/>
        </w:rPr>
        <w:t> </w:t>
      </w:r>
      <w:r>
        <w:rPr>
          <w:i/>
          <w:sz w:val="24"/>
        </w:rPr>
        <w:t>Tenure</w:t>
      </w:r>
      <w:r>
        <w:rPr>
          <w:i/>
          <w:spacing w:val="40"/>
          <w:sz w:val="24"/>
        </w:rPr>
        <w:t> </w:t>
      </w:r>
      <w:r>
        <w:rPr>
          <w:i/>
          <w:sz w:val="24"/>
        </w:rPr>
        <w:t>berpengaruh negatif</w:t>
      </w:r>
      <w:r>
        <w:rPr>
          <w:i/>
          <w:spacing w:val="40"/>
          <w:sz w:val="24"/>
        </w:rPr>
        <w:t> </w:t>
      </w:r>
      <w:r>
        <w:rPr>
          <w:i/>
          <w:sz w:val="24"/>
        </w:rPr>
        <w:t>signifikan</w:t>
      </w:r>
      <w:r>
        <w:rPr>
          <w:i/>
          <w:spacing w:val="40"/>
          <w:sz w:val="24"/>
        </w:rPr>
        <w:t> </w:t>
      </w:r>
      <w:r>
        <w:rPr>
          <w:i/>
          <w:sz w:val="24"/>
        </w:rPr>
        <w:t>terhadap</w:t>
      </w:r>
      <w:r>
        <w:rPr>
          <w:i/>
          <w:spacing w:val="40"/>
          <w:sz w:val="24"/>
        </w:rPr>
        <w:t> </w:t>
      </w:r>
      <w:r>
        <w:rPr>
          <w:i/>
          <w:sz w:val="24"/>
        </w:rPr>
        <w:t>Sustainability</w:t>
      </w:r>
      <w:r>
        <w:rPr>
          <w:i/>
          <w:spacing w:val="40"/>
          <w:sz w:val="24"/>
        </w:rPr>
        <w:t> </w:t>
      </w:r>
      <w:r>
        <w:rPr>
          <w:i/>
          <w:sz w:val="24"/>
        </w:rPr>
        <w:t>Assurance</w:t>
      </w:r>
      <w:r>
        <w:rPr>
          <w:i/>
          <w:spacing w:val="40"/>
          <w:sz w:val="24"/>
        </w:rPr>
        <w:t> </w:t>
      </w:r>
      <w:r>
        <w:rPr>
          <w:i/>
          <w:sz w:val="24"/>
        </w:rPr>
        <w:t>Quality</w:t>
      </w:r>
      <w:r>
        <w:rPr>
          <w:sz w:val="24"/>
        </w:rPr>
        <w:t>.</w:t>
      </w:r>
      <w:r>
        <w:rPr>
          <w:spacing w:val="40"/>
          <w:sz w:val="24"/>
        </w:rPr>
        <w:t> </w:t>
      </w:r>
      <w:r>
        <w:rPr>
          <w:sz w:val="24"/>
        </w:rPr>
        <w:t>Artinya,</w:t>
      </w:r>
      <w:r>
        <w:rPr>
          <w:spacing w:val="40"/>
          <w:sz w:val="24"/>
        </w:rPr>
        <w:t> </w:t>
      </w:r>
      <w:r>
        <w:rPr>
          <w:sz w:val="24"/>
        </w:rPr>
        <w:t>semakin lama</w:t>
      </w:r>
      <w:r>
        <w:rPr>
          <w:spacing w:val="44"/>
          <w:sz w:val="24"/>
        </w:rPr>
        <w:t> </w:t>
      </w:r>
      <w:r>
        <w:rPr>
          <w:sz w:val="24"/>
        </w:rPr>
        <w:t>hubungan</w:t>
      </w:r>
      <w:r>
        <w:rPr>
          <w:spacing w:val="45"/>
          <w:sz w:val="24"/>
        </w:rPr>
        <w:t> </w:t>
      </w:r>
      <w:r>
        <w:rPr>
          <w:sz w:val="24"/>
        </w:rPr>
        <w:t>antara</w:t>
      </w:r>
      <w:r>
        <w:rPr>
          <w:spacing w:val="44"/>
          <w:sz w:val="24"/>
        </w:rPr>
        <w:t> </w:t>
      </w:r>
      <w:r>
        <w:rPr>
          <w:sz w:val="24"/>
        </w:rPr>
        <w:t>perusahaan</w:t>
      </w:r>
      <w:r>
        <w:rPr>
          <w:spacing w:val="45"/>
          <w:sz w:val="24"/>
        </w:rPr>
        <w:t> </w:t>
      </w:r>
      <w:r>
        <w:rPr>
          <w:sz w:val="24"/>
        </w:rPr>
        <w:t>dan</w:t>
      </w:r>
      <w:r>
        <w:rPr>
          <w:spacing w:val="44"/>
          <w:sz w:val="24"/>
        </w:rPr>
        <w:t> </w:t>
      </w:r>
      <w:r>
        <w:rPr>
          <w:sz w:val="24"/>
        </w:rPr>
        <w:t>penyedia</w:t>
      </w:r>
      <w:r>
        <w:rPr>
          <w:spacing w:val="45"/>
          <w:sz w:val="24"/>
        </w:rPr>
        <w:t> </w:t>
      </w:r>
      <w:r>
        <w:rPr>
          <w:sz w:val="24"/>
        </w:rPr>
        <w:t>jasa</w:t>
      </w:r>
      <w:r>
        <w:rPr>
          <w:spacing w:val="44"/>
          <w:sz w:val="24"/>
        </w:rPr>
        <w:t> </w:t>
      </w:r>
      <w:r>
        <w:rPr>
          <w:sz w:val="24"/>
        </w:rPr>
        <w:t>assurance,</w:t>
      </w:r>
      <w:r>
        <w:rPr>
          <w:spacing w:val="44"/>
          <w:sz w:val="24"/>
        </w:rPr>
        <w:t> </w:t>
      </w:r>
      <w:r>
        <w:rPr>
          <w:sz w:val="24"/>
        </w:rPr>
        <w:t>semakin</w:t>
      </w:r>
      <w:r>
        <w:rPr>
          <w:spacing w:val="45"/>
          <w:sz w:val="24"/>
        </w:rPr>
        <w:t> </w:t>
      </w:r>
      <w:r>
        <w:rPr>
          <w:spacing w:val="-2"/>
          <w:sz w:val="24"/>
        </w:rPr>
        <w:t>besar</w:t>
      </w:r>
    </w:p>
    <w:p>
      <w:pPr>
        <w:pStyle w:val="BodyText"/>
        <w:spacing w:line="273" w:lineRule="exact"/>
        <w:ind w:left="568"/>
        <w:jc w:val="both"/>
      </w:pPr>
      <w:r>
        <w:rPr/>
        <w:t>risiko</w:t>
      </w:r>
      <w:r>
        <w:rPr>
          <w:spacing w:val="-3"/>
        </w:rPr>
        <w:t> </w:t>
      </w:r>
      <w:r>
        <w:rPr/>
        <w:t>penurunan</w:t>
      </w:r>
      <w:r>
        <w:rPr>
          <w:spacing w:val="-3"/>
        </w:rPr>
        <w:t> </w:t>
      </w:r>
      <w:r>
        <w:rPr/>
        <w:t>independensi</w:t>
      </w:r>
      <w:r>
        <w:rPr>
          <w:spacing w:val="-3"/>
        </w:rPr>
        <w:t> </w:t>
      </w:r>
      <w:r>
        <w:rPr/>
        <w:t>assuror</w:t>
      </w:r>
      <w:r>
        <w:rPr>
          <w:spacing w:val="-2"/>
        </w:rPr>
        <w:t> </w:t>
      </w:r>
      <w:r>
        <w:rPr/>
        <w:t>dan</w:t>
      </w:r>
      <w:r>
        <w:rPr>
          <w:spacing w:val="-3"/>
        </w:rPr>
        <w:t> </w:t>
      </w:r>
      <w:r>
        <w:rPr/>
        <w:t>menurunnya</w:t>
      </w:r>
      <w:r>
        <w:rPr>
          <w:spacing w:val="-2"/>
        </w:rPr>
        <w:t> </w:t>
      </w:r>
      <w:r>
        <w:rPr/>
        <w:t>kualitas</w:t>
      </w:r>
      <w:r>
        <w:rPr>
          <w:spacing w:val="-4"/>
        </w:rPr>
        <w:t> </w:t>
      </w:r>
      <w:r>
        <w:rPr>
          <w:spacing w:val="-2"/>
        </w:rPr>
        <w:t>assurance.</w:t>
      </w:r>
    </w:p>
    <w:p>
      <w:pPr>
        <w:pStyle w:val="BodyText"/>
        <w:spacing w:before="159"/>
      </w:pPr>
    </w:p>
    <w:p>
      <w:pPr>
        <w:pStyle w:val="BodyText"/>
        <w:spacing w:line="480" w:lineRule="auto" w:before="1"/>
        <w:ind w:left="568" w:right="562" w:firstLine="720"/>
        <w:jc w:val="both"/>
      </w:pPr>
      <w:r>
        <w:rPr/>
        <w:t>Hasil dari penelitian ini sejalan dengan dengan </w:t>
      </w:r>
      <w:r>
        <w:rPr>
          <w:i/>
        </w:rPr>
        <w:t>Stakeholder Theory</w:t>
      </w:r>
      <w:r>
        <w:rPr>
          <w:b/>
        </w:rPr>
        <w:t>, </w:t>
      </w:r>
      <w:r>
        <w:rPr/>
        <w:t>yang menyatakan bahwa untuk mempertahankan kepercayaan </w:t>
      </w:r>
      <w:r>
        <w:rPr>
          <w:i/>
        </w:rPr>
        <w:t>stakeholder</w:t>
      </w:r>
      <w:r>
        <w:rPr/>
        <w:t>, perusahaan harus memastikan transparansi dan keandalan informasi. </w:t>
      </w:r>
      <w:r>
        <w:rPr>
          <w:i/>
        </w:rPr>
        <w:t>Tenure </w:t>
      </w:r>
      <w:r>
        <w:rPr/>
        <w:t>yang terlalu panjang justru dapat mengurangi persepsi independensi penyedia jasa </w:t>
      </w:r>
      <w:r>
        <w:rPr>
          <w:i/>
        </w:rPr>
        <w:t>assurance</w:t>
      </w:r>
      <w:r>
        <w:rPr/>
        <w:t>, sehingga merugikan tujuan akuntabilitas perusahaan. Temuan ini memperkuat argumen bahwa hubungan kerja yang berkepanjangan dapat menimbulkan kedekatan</w:t>
      </w:r>
      <w:r>
        <w:rPr>
          <w:spacing w:val="40"/>
        </w:rPr>
        <w:t> </w:t>
      </w:r>
      <w:r>
        <w:rPr/>
        <w:t>yang</w:t>
      </w:r>
      <w:r>
        <w:rPr>
          <w:spacing w:val="40"/>
        </w:rPr>
        <w:t> </w:t>
      </w:r>
      <w:r>
        <w:rPr/>
        <w:t>berlebihan</w:t>
      </w:r>
      <w:r>
        <w:rPr>
          <w:spacing w:val="40"/>
        </w:rPr>
        <w:t> </w:t>
      </w:r>
      <w:r>
        <w:rPr/>
        <w:t>antara</w:t>
      </w:r>
      <w:r>
        <w:rPr>
          <w:spacing w:val="40"/>
        </w:rPr>
        <w:t> </w:t>
      </w:r>
      <w:r>
        <w:rPr/>
        <w:t>perusahaan</w:t>
      </w:r>
      <w:r>
        <w:rPr>
          <w:spacing w:val="40"/>
        </w:rPr>
        <w:t> </w:t>
      </w:r>
      <w:r>
        <w:rPr/>
        <w:t>dan</w:t>
      </w:r>
      <w:r>
        <w:rPr>
          <w:spacing w:val="40"/>
        </w:rPr>
        <w:t> </w:t>
      </w:r>
      <w:r>
        <w:rPr/>
        <w:t>assurer,</w:t>
      </w:r>
      <w:r>
        <w:rPr>
          <w:spacing w:val="40"/>
        </w:rPr>
        <w:t> </w:t>
      </w:r>
      <w:r>
        <w:rPr/>
        <w:t>yang</w:t>
      </w:r>
      <w:r>
        <w:rPr>
          <w:spacing w:val="40"/>
        </w:rPr>
        <w:t> </w:t>
      </w:r>
      <w:r>
        <w:rPr/>
        <w:t>pada</w:t>
      </w:r>
      <w:r>
        <w:rPr>
          <w:spacing w:val="40"/>
        </w:rPr>
        <w:t> </w:t>
      </w:r>
      <w:r>
        <w:rPr/>
        <w:t>akhirnya</w:t>
      </w:r>
    </w:p>
    <w:p>
      <w:pPr>
        <w:pStyle w:val="BodyText"/>
        <w:spacing w:after="0" w:line="480" w:lineRule="auto"/>
        <w:jc w:val="both"/>
        <w:sectPr>
          <w:pgSz w:w="11910" w:h="16840"/>
          <w:pgMar w:header="710" w:footer="0" w:top="1920" w:bottom="280" w:left="1700" w:right="1133"/>
        </w:sectPr>
      </w:pPr>
    </w:p>
    <w:p>
      <w:pPr>
        <w:pStyle w:val="BodyText"/>
        <w:spacing w:before="48"/>
      </w:pPr>
    </w:p>
    <w:p>
      <w:pPr>
        <w:pStyle w:val="BodyText"/>
        <w:spacing w:line="480" w:lineRule="auto"/>
        <w:ind w:left="568" w:right="565"/>
        <w:jc w:val="both"/>
      </w:pPr>
      <w:r>
        <w:rPr/>
        <w:t>berpotensi menurunkan objektivitas penilaian serta kualitas assurance yang </w:t>
      </w:r>
      <w:r>
        <w:rPr>
          <w:spacing w:val="-2"/>
        </w:rPr>
        <w:t>diberikan.</w:t>
      </w:r>
    </w:p>
    <w:p>
      <w:pPr>
        <w:pStyle w:val="BodyText"/>
        <w:spacing w:line="480" w:lineRule="auto" w:before="161"/>
        <w:ind w:left="568" w:right="563" w:firstLine="720"/>
        <w:jc w:val="both"/>
      </w:pPr>
      <w:r>
        <w:rPr/>
        <w:t>Selain</w:t>
      </w:r>
      <w:r>
        <w:rPr>
          <w:spacing w:val="-7"/>
        </w:rPr>
        <w:t> </w:t>
      </w:r>
      <w:r>
        <w:rPr/>
        <w:t>itu,</w:t>
      </w:r>
      <w:r>
        <w:rPr>
          <w:spacing w:val="-4"/>
        </w:rPr>
        <w:t> </w:t>
      </w:r>
      <w:r>
        <w:rPr/>
        <w:t>hasil</w:t>
      </w:r>
      <w:r>
        <w:rPr>
          <w:spacing w:val="-6"/>
        </w:rPr>
        <w:t> </w:t>
      </w:r>
      <w:r>
        <w:rPr/>
        <w:t>ini</w:t>
      </w:r>
      <w:r>
        <w:rPr>
          <w:spacing w:val="-6"/>
        </w:rPr>
        <w:t> </w:t>
      </w:r>
      <w:r>
        <w:rPr/>
        <w:t>juga</w:t>
      </w:r>
      <w:r>
        <w:rPr>
          <w:spacing w:val="-5"/>
        </w:rPr>
        <w:t> </w:t>
      </w:r>
      <w:r>
        <w:rPr/>
        <w:t>selaras</w:t>
      </w:r>
      <w:r>
        <w:rPr>
          <w:spacing w:val="-8"/>
        </w:rPr>
        <w:t> </w:t>
      </w:r>
      <w:r>
        <w:rPr/>
        <w:t>dengan</w:t>
      </w:r>
      <w:r>
        <w:rPr>
          <w:spacing w:val="-7"/>
        </w:rPr>
        <w:t> </w:t>
      </w:r>
      <w:r>
        <w:rPr/>
        <w:t>penelitian</w:t>
      </w:r>
      <w:r>
        <w:rPr>
          <w:spacing w:val="-7"/>
        </w:rPr>
        <w:t> </w:t>
      </w:r>
      <w:r>
        <w:rPr/>
        <w:t>terdahulu</w:t>
      </w:r>
      <w:r>
        <w:rPr>
          <w:spacing w:val="-7"/>
        </w:rPr>
        <w:t> </w:t>
      </w:r>
      <w:r>
        <w:rPr/>
        <w:t>yang</w:t>
      </w:r>
      <w:r>
        <w:rPr>
          <w:spacing w:val="-10"/>
        </w:rPr>
        <w:t> </w:t>
      </w:r>
      <w:r>
        <w:rPr/>
        <w:t>dilakukan oleh Ruiz-Barbadillo dan Martínez-Ferrero (2023) yang menunjukkan bahwa independensi assurer merupakan determinan penting dalam meningkatkan kredibilitas laporan keberlanjutan</w:t>
      </w:r>
      <w:r>
        <w:rPr>
          <w:b/>
        </w:rPr>
        <w:t>, </w:t>
      </w:r>
      <w:r>
        <w:rPr/>
        <w:t>sehingga masa penugasan yang optimal diperlukan untuk menjaga kualitas assurance tanpa mengorbankan kepercayaan </w:t>
      </w:r>
      <w:r>
        <w:rPr>
          <w:i/>
        </w:rPr>
        <w:t>stakeholder</w:t>
      </w:r>
      <w:r>
        <w:rPr/>
        <w:t>. Meskipun</w:t>
      </w:r>
      <w:r>
        <w:rPr>
          <w:spacing w:val="-3"/>
        </w:rPr>
        <w:t> </w:t>
      </w:r>
      <w:r>
        <w:rPr/>
        <w:t>terdapat</w:t>
      </w:r>
      <w:r>
        <w:rPr>
          <w:spacing w:val="-3"/>
        </w:rPr>
        <w:t> </w:t>
      </w:r>
      <w:r>
        <w:rPr/>
        <w:t>argumen</w:t>
      </w:r>
      <w:r>
        <w:rPr>
          <w:spacing w:val="-3"/>
        </w:rPr>
        <w:t> </w:t>
      </w:r>
      <w:r>
        <w:rPr/>
        <w:t>bahwa </w:t>
      </w:r>
      <w:r>
        <w:rPr>
          <w:i/>
        </w:rPr>
        <w:t>tenure </w:t>
      </w:r>
      <w:r>
        <w:rPr/>
        <w:t>yang</w:t>
      </w:r>
      <w:r>
        <w:rPr>
          <w:spacing w:val="-4"/>
        </w:rPr>
        <w:t> </w:t>
      </w:r>
      <w:r>
        <w:rPr/>
        <w:t>panjang</w:t>
      </w:r>
      <w:r>
        <w:rPr>
          <w:spacing w:val="-4"/>
        </w:rPr>
        <w:t> </w:t>
      </w:r>
      <w:r>
        <w:rPr/>
        <w:t>diperkirakan dapat meningkatkan kualitas melalui mekanisme</w:t>
      </w:r>
      <w:r>
        <w:rPr>
          <w:spacing w:val="40"/>
        </w:rPr>
        <w:t> </w:t>
      </w:r>
      <w:r>
        <w:rPr/>
        <w:t>efek pembelajaran (</w:t>
      </w:r>
      <w:r>
        <w:rPr>
          <w:i/>
        </w:rPr>
        <w:t>learning effect</w:t>
      </w:r>
      <w:r>
        <w:rPr/>
        <w:t>) (Martínez-Ferrero et al., 2018), hasil penelitian ini mengindikasikan bahwa pada perusahaan sektor energi di Indonesia</w:t>
      </w:r>
      <w:r>
        <w:rPr>
          <w:b/>
        </w:rPr>
        <w:t>, </w:t>
      </w:r>
      <w:r>
        <w:rPr/>
        <w:t>risiko kedekatan (</w:t>
      </w:r>
      <w:r>
        <w:rPr>
          <w:i/>
        </w:rPr>
        <w:t>familiarity threat) </w:t>
      </w:r>
      <w:r>
        <w:rPr/>
        <w:t>tampak</w:t>
      </w:r>
      <w:r>
        <w:rPr>
          <w:spacing w:val="-15"/>
        </w:rPr>
        <w:t> </w:t>
      </w:r>
      <w:r>
        <w:rPr/>
        <w:t>lebih</w:t>
      </w:r>
      <w:r>
        <w:rPr>
          <w:spacing w:val="-15"/>
        </w:rPr>
        <w:t> </w:t>
      </w:r>
      <w:r>
        <w:rPr/>
        <w:t>dominan</w:t>
      </w:r>
      <w:r>
        <w:rPr>
          <w:spacing w:val="-15"/>
        </w:rPr>
        <w:t> </w:t>
      </w:r>
      <w:r>
        <w:rPr/>
        <w:t>dibandingkan</w:t>
      </w:r>
      <w:r>
        <w:rPr>
          <w:spacing w:val="-15"/>
        </w:rPr>
        <w:t> </w:t>
      </w:r>
      <w:r>
        <w:rPr/>
        <w:t>manfaat</w:t>
      </w:r>
      <w:r>
        <w:rPr>
          <w:spacing w:val="-15"/>
        </w:rPr>
        <w:t> </w:t>
      </w:r>
      <w:r>
        <w:rPr/>
        <w:t>pembelajaran</w:t>
      </w:r>
      <w:r>
        <w:rPr>
          <w:b/>
        </w:rPr>
        <w:t>.</w:t>
      </w:r>
      <w:r>
        <w:rPr>
          <w:b/>
          <w:spacing w:val="-15"/>
        </w:rPr>
        <w:t> </w:t>
      </w:r>
      <w:r>
        <w:rPr/>
        <w:t>Selain</w:t>
      </w:r>
      <w:r>
        <w:rPr>
          <w:spacing w:val="-15"/>
        </w:rPr>
        <w:t> </w:t>
      </w:r>
      <w:r>
        <w:rPr/>
        <w:t>itu</w:t>
      </w:r>
      <w:r>
        <w:rPr>
          <w:b/>
        </w:rPr>
        <w:t>,</w:t>
      </w:r>
      <w:r>
        <w:rPr>
          <w:b/>
          <w:spacing w:val="-15"/>
        </w:rPr>
        <w:t> </w:t>
      </w:r>
      <w:r>
        <w:rPr/>
        <w:t>keterbatasan jumlah penyedia jasa </w:t>
      </w:r>
      <w:r>
        <w:rPr>
          <w:i/>
        </w:rPr>
        <w:t>assurance </w:t>
      </w:r>
      <w:r>
        <w:rPr/>
        <w:t>di Indonesia dapat mendorong perusahaan untuk mempertahankan assuror yang sama dari tahun ke tahun. Kondisi ini berpotensi menimbulkan hubungan kerja jangka panjang yang membuat prosedur </w:t>
      </w:r>
      <w:r>
        <w:rPr>
          <w:i/>
        </w:rPr>
        <w:t>assurance </w:t>
      </w:r>
      <w:r>
        <w:rPr/>
        <w:t>menjadi terlalu familiar</w:t>
      </w:r>
      <w:r>
        <w:rPr>
          <w:b/>
        </w:rPr>
        <w:t>, </w:t>
      </w:r>
      <w:r>
        <w:rPr/>
        <w:t>sehingga pada akhirnya menurunkan kualitas </w:t>
      </w:r>
      <w:r>
        <w:rPr>
          <w:i/>
        </w:rPr>
        <w:t>assurance </w:t>
      </w:r>
      <w:r>
        <w:rPr/>
        <w:t>yang diberikan.</w:t>
      </w:r>
    </w:p>
    <w:p>
      <w:pPr>
        <w:pStyle w:val="BodyText"/>
        <w:spacing w:after="0" w:line="480" w:lineRule="auto"/>
        <w:jc w:val="both"/>
        <w:sectPr>
          <w:pgSz w:w="11910" w:h="16840"/>
          <w:pgMar w:header="710" w:footer="0" w:top="1920" w:bottom="280" w:left="1700" w:right="1133"/>
        </w:sectPr>
      </w:pPr>
    </w:p>
    <w:p>
      <w:pPr>
        <w:pStyle w:val="BodyText"/>
        <w:spacing w:before="89"/>
        <w:rPr>
          <w:sz w:val="28"/>
        </w:rPr>
      </w:pPr>
    </w:p>
    <w:p>
      <w:pPr>
        <w:pStyle w:val="Heading2"/>
        <w:spacing w:line="417" w:lineRule="auto"/>
        <w:ind w:left="2733" w:right="2238" w:firstLine="1380"/>
        <w:jc w:val="left"/>
      </w:pPr>
      <w:bookmarkStart w:name="_bookmark72" w:id="73"/>
      <w:bookmarkEnd w:id="73"/>
      <w:r>
        <w:rPr>
          <w:b w:val="0"/>
        </w:rPr>
      </w:r>
      <w:r>
        <w:rPr/>
        <w:t>BAB V KESIMPULAN</w:t>
      </w:r>
      <w:r>
        <w:rPr>
          <w:spacing w:val="-16"/>
        </w:rPr>
        <w:t> </w:t>
      </w:r>
      <w:r>
        <w:rPr/>
        <w:t>DAN</w:t>
      </w:r>
      <w:r>
        <w:rPr>
          <w:spacing w:val="-18"/>
        </w:rPr>
        <w:t> </w:t>
      </w:r>
      <w:r>
        <w:rPr/>
        <w:t>SARAN</w:t>
      </w:r>
    </w:p>
    <w:p>
      <w:pPr>
        <w:pStyle w:val="Heading3"/>
        <w:numPr>
          <w:ilvl w:val="1"/>
          <w:numId w:val="36"/>
        </w:numPr>
        <w:tabs>
          <w:tab w:pos="1288" w:val="left" w:leader="none"/>
        </w:tabs>
        <w:spacing w:line="240" w:lineRule="auto" w:before="241" w:after="0"/>
        <w:ind w:left="1288" w:right="0" w:hanging="720"/>
        <w:jc w:val="both"/>
      </w:pPr>
      <w:bookmarkStart w:name="_bookmark73" w:id="74"/>
      <w:bookmarkEnd w:id="74"/>
      <w:r>
        <w:rPr>
          <w:b w:val="0"/>
        </w:rPr>
      </w:r>
      <w:r>
        <w:rPr>
          <w:spacing w:val="-2"/>
        </w:rPr>
        <w:t>Kesimpulan</w:t>
      </w:r>
    </w:p>
    <w:p>
      <w:pPr>
        <w:spacing w:line="480" w:lineRule="auto" w:before="272"/>
        <w:ind w:left="568" w:right="565" w:firstLine="720"/>
        <w:jc w:val="both"/>
        <w:rPr>
          <w:sz w:val="24"/>
        </w:rPr>
      </w:pPr>
      <w:r>
        <w:rPr>
          <w:sz w:val="24"/>
        </w:rPr>
        <w:t>Berdasarkan hasil analisis data, pengujian statistik, dan pembahasan pada Bab IV mengenai pengaruh </w:t>
      </w:r>
      <w:r>
        <w:rPr>
          <w:i/>
          <w:sz w:val="24"/>
        </w:rPr>
        <w:t>Leverage</w:t>
      </w:r>
      <w:r>
        <w:rPr>
          <w:b/>
          <w:i/>
          <w:sz w:val="24"/>
        </w:rPr>
        <w:t>, </w:t>
      </w:r>
      <w:r>
        <w:rPr>
          <w:i/>
          <w:sz w:val="24"/>
        </w:rPr>
        <w:t>Debt Maturity</w:t>
      </w:r>
      <w:r>
        <w:rPr>
          <w:sz w:val="24"/>
        </w:rPr>
        <w:t>, dan </w:t>
      </w:r>
      <w:r>
        <w:rPr>
          <w:i/>
          <w:sz w:val="24"/>
        </w:rPr>
        <w:t>Assurance Tenure </w:t>
      </w:r>
      <w:r>
        <w:rPr>
          <w:sz w:val="24"/>
        </w:rPr>
        <w:t>terhadap </w:t>
      </w:r>
      <w:r>
        <w:rPr>
          <w:i/>
          <w:sz w:val="24"/>
        </w:rPr>
        <w:t>Sustainability Assurance Quality </w:t>
      </w:r>
      <w:r>
        <w:rPr>
          <w:sz w:val="24"/>
        </w:rPr>
        <w:t>pada perusahaan sektor energi yang terdaftar di Bursa Efek Indonesia periode 2021–2024, maka diperoleh beberapa kesimpulan sebagai berikut:</w:t>
      </w:r>
    </w:p>
    <w:p>
      <w:pPr>
        <w:pStyle w:val="ListParagraph"/>
        <w:numPr>
          <w:ilvl w:val="0"/>
          <w:numId w:val="37"/>
        </w:numPr>
        <w:tabs>
          <w:tab w:pos="1288" w:val="left" w:leader="none"/>
        </w:tabs>
        <w:spacing w:line="480" w:lineRule="auto" w:before="161" w:after="0"/>
        <w:ind w:left="1288" w:right="564" w:hanging="360"/>
        <w:jc w:val="both"/>
        <w:rPr>
          <w:sz w:val="24"/>
        </w:rPr>
      </w:pPr>
      <w:r>
        <w:rPr>
          <w:i/>
          <w:sz w:val="24"/>
        </w:rPr>
        <w:t>Leverage </w:t>
      </w:r>
      <w:r>
        <w:rPr>
          <w:sz w:val="24"/>
        </w:rPr>
        <w:t>tidak berpengaruh signifikan ke arah negatif terhadap </w:t>
      </w:r>
      <w:r>
        <w:rPr>
          <w:i/>
          <w:sz w:val="24"/>
        </w:rPr>
        <w:t>Sustainability Assurance Quality</w:t>
      </w:r>
      <w:r>
        <w:rPr>
          <w:sz w:val="24"/>
        </w:rPr>
        <w:t>.</w:t>
      </w:r>
      <w:r>
        <w:rPr>
          <w:spacing w:val="-1"/>
          <w:sz w:val="24"/>
        </w:rPr>
        <w:t> </w:t>
      </w:r>
      <w:r>
        <w:rPr>
          <w:sz w:val="24"/>
        </w:rPr>
        <w:t>Temuan ini menunjukkan bahwa tingkat ketergantungan</w:t>
      </w:r>
      <w:r>
        <w:rPr>
          <w:spacing w:val="-1"/>
          <w:sz w:val="24"/>
        </w:rPr>
        <w:t> </w:t>
      </w:r>
      <w:r>
        <w:rPr>
          <w:sz w:val="24"/>
        </w:rPr>
        <w:t>perusahaan</w:t>
      </w:r>
      <w:r>
        <w:rPr>
          <w:spacing w:val="-1"/>
          <w:sz w:val="24"/>
        </w:rPr>
        <w:t> </w:t>
      </w:r>
      <w:r>
        <w:rPr>
          <w:sz w:val="24"/>
        </w:rPr>
        <w:t>terhadap</w:t>
      </w:r>
      <w:r>
        <w:rPr>
          <w:spacing w:val="-1"/>
          <w:sz w:val="24"/>
        </w:rPr>
        <w:t> </w:t>
      </w:r>
      <w:r>
        <w:rPr>
          <w:sz w:val="24"/>
        </w:rPr>
        <w:t>pendanaan</w:t>
      </w:r>
      <w:r>
        <w:rPr>
          <w:spacing w:val="-1"/>
          <w:sz w:val="24"/>
        </w:rPr>
        <w:t> </w:t>
      </w:r>
      <w:r>
        <w:rPr>
          <w:sz w:val="24"/>
        </w:rPr>
        <w:t>utang</w:t>
      </w:r>
      <w:r>
        <w:rPr>
          <w:spacing w:val="-5"/>
          <w:sz w:val="24"/>
        </w:rPr>
        <w:t> </w:t>
      </w:r>
      <w:r>
        <w:rPr>
          <w:sz w:val="24"/>
        </w:rPr>
        <w:t>tidak</w:t>
      </w:r>
      <w:r>
        <w:rPr>
          <w:spacing w:val="-1"/>
          <w:sz w:val="24"/>
        </w:rPr>
        <w:t> </w:t>
      </w:r>
      <w:r>
        <w:rPr>
          <w:sz w:val="24"/>
        </w:rPr>
        <w:t>menjadi faktor penentu</w:t>
      </w:r>
      <w:r>
        <w:rPr>
          <w:spacing w:val="-4"/>
          <w:sz w:val="24"/>
        </w:rPr>
        <w:t> </w:t>
      </w:r>
      <w:r>
        <w:rPr>
          <w:sz w:val="24"/>
        </w:rPr>
        <w:t>dalam</w:t>
      </w:r>
      <w:r>
        <w:rPr>
          <w:spacing w:val="-3"/>
          <w:sz w:val="24"/>
        </w:rPr>
        <w:t> </w:t>
      </w:r>
      <w:r>
        <w:rPr>
          <w:sz w:val="24"/>
        </w:rPr>
        <w:t>peningkatan</w:t>
      </w:r>
      <w:r>
        <w:rPr>
          <w:spacing w:val="-4"/>
          <w:sz w:val="24"/>
        </w:rPr>
        <w:t> </w:t>
      </w:r>
      <w:r>
        <w:rPr>
          <w:sz w:val="24"/>
        </w:rPr>
        <w:t>kualitas </w:t>
      </w:r>
      <w:r>
        <w:rPr>
          <w:i/>
          <w:sz w:val="24"/>
        </w:rPr>
        <w:t>assurance</w:t>
      </w:r>
      <w:r>
        <w:rPr>
          <w:i/>
          <w:spacing w:val="-1"/>
          <w:sz w:val="24"/>
        </w:rPr>
        <w:t> </w:t>
      </w:r>
      <w:r>
        <w:rPr>
          <w:sz w:val="24"/>
        </w:rPr>
        <w:t>pada</w:t>
      </w:r>
      <w:r>
        <w:rPr>
          <w:spacing w:val="-2"/>
          <w:sz w:val="24"/>
        </w:rPr>
        <w:t> </w:t>
      </w:r>
      <w:r>
        <w:rPr>
          <w:sz w:val="24"/>
        </w:rPr>
        <w:t>laporan</w:t>
      </w:r>
      <w:r>
        <w:rPr>
          <w:spacing w:val="-4"/>
          <w:sz w:val="24"/>
        </w:rPr>
        <w:t> </w:t>
      </w:r>
      <w:r>
        <w:rPr>
          <w:sz w:val="24"/>
        </w:rPr>
        <w:t>keberlanjutan. Keputusan</w:t>
      </w:r>
      <w:r>
        <w:rPr>
          <w:spacing w:val="-3"/>
          <w:sz w:val="24"/>
        </w:rPr>
        <w:t> </w:t>
      </w:r>
      <w:r>
        <w:rPr>
          <w:sz w:val="24"/>
        </w:rPr>
        <w:t>untuk</w:t>
      </w:r>
      <w:r>
        <w:rPr>
          <w:spacing w:val="-3"/>
          <w:sz w:val="24"/>
        </w:rPr>
        <w:t> </w:t>
      </w:r>
      <w:r>
        <w:rPr>
          <w:sz w:val="24"/>
        </w:rPr>
        <w:t>meningkatkan</w:t>
      </w:r>
      <w:r>
        <w:rPr>
          <w:spacing w:val="-3"/>
          <w:sz w:val="24"/>
        </w:rPr>
        <w:t> </w:t>
      </w:r>
      <w:r>
        <w:rPr>
          <w:sz w:val="24"/>
        </w:rPr>
        <w:t>kualitas </w:t>
      </w:r>
      <w:r>
        <w:rPr>
          <w:i/>
          <w:sz w:val="24"/>
        </w:rPr>
        <w:t>assurance </w:t>
      </w:r>
      <w:r>
        <w:rPr>
          <w:sz w:val="24"/>
        </w:rPr>
        <w:t>pada</w:t>
      </w:r>
      <w:r>
        <w:rPr>
          <w:spacing w:val="-1"/>
          <w:sz w:val="24"/>
        </w:rPr>
        <w:t> </w:t>
      </w:r>
      <w:r>
        <w:rPr>
          <w:sz w:val="24"/>
        </w:rPr>
        <w:t>perusahaan</w:t>
      </w:r>
      <w:r>
        <w:rPr>
          <w:spacing w:val="-3"/>
          <w:sz w:val="24"/>
        </w:rPr>
        <w:t> </w:t>
      </w:r>
      <w:r>
        <w:rPr>
          <w:sz w:val="24"/>
        </w:rPr>
        <w:t>sektor energi di Indonesia lebih banyak dipengaruhi faktor non-keuangan seperti tekanan regulasi dan tuntutan publik,</w:t>
      </w:r>
    </w:p>
    <w:p>
      <w:pPr>
        <w:pStyle w:val="ListParagraph"/>
        <w:numPr>
          <w:ilvl w:val="0"/>
          <w:numId w:val="37"/>
        </w:numPr>
        <w:tabs>
          <w:tab w:pos="1288" w:val="left" w:leader="none"/>
        </w:tabs>
        <w:spacing w:line="480" w:lineRule="auto" w:before="1" w:after="0"/>
        <w:ind w:left="1288" w:right="569" w:hanging="360"/>
        <w:jc w:val="both"/>
        <w:rPr>
          <w:sz w:val="24"/>
        </w:rPr>
      </w:pPr>
      <w:r>
        <w:rPr>
          <w:i/>
          <w:sz w:val="24"/>
        </w:rPr>
        <w:t>Debt Maturity </w:t>
      </w:r>
      <w:r>
        <w:rPr>
          <w:sz w:val="24"/>
        </w:rPr>
        <w:t>tidak berpengaruh signifikan ke arah positif terhadap </w:t>
      </w:r>
      <w:r>
        <w:rPr>
          <w:i/>
          <w:sz w:val="24"/>
        </w:rPr>
        <w:t>Sustainability Assurance Quality</w:t>
      </w:r>
      <w:r>
        <w:rPr>
          <w:b/>
          <w:sz w:val="24"/>
        </w:rPr>
        <w:t>. </w:t>
      </w:r>
      <w:r>
        <w:rPr>
          <w:sz w:val="24"/>
        </w:rPr>
        <w:t>Struktur jatuh tempo utang perusahaan, baik jangka pendek maupun jangka panjang, tidak terbukti mempengaruhi kualitas</w:t>
      </w:r>
      <w:r>
        <w:rPr>
          <w:spacing w:val="-15"/>
          <w:sz w:val="24"/>
        </w:rPr>
        <w:t> </w:t>
      </w:r>
      <w:r>
        <w:rPr>
          <w:sz w:val="24"/>
        </w:rPr>
        <w:t>assurance.</w:t>
      </w:r>
      <w:r>
        <w:rPr>
          <w:spacing w:val="-15"/>
          <w:sz w:val="24"/>
        </w:rPr>
        <w:t> </w:t>
      </w:r>
      <w:r>
        <w:rPr>
          <w:sz w:val="24"/>
        </w:rPr>
        <w:t>Hasil</w:t>
      </w:r>
      <w:r>
        <w:rPr>
          <w:spacing w:val="-15"/>
          <w:sz w:val="24"/>
        </w:rPr>
        <w:t> </w:t>
      </w:r>
      <w:r>
        <w:rPr>
          <w:sz w:val="24"/>
        </w:rPr>
        <w:t>ini</w:t>
      </w:r>
      <w:r>
        <w:rPr>
          <w:spacing w:val="-15"/>
          <w:sz w:val="24"/>
        </w:rPr>
        <w:t> </w:t>
      </w:r>
      <w:r>
        <w:rPr>
          <w:sz w:val="24"/>
        </w:rPr>
        <w:t>menunjukkan</w:t>
      </w:r>
      <w:r>
        <w:rPr>
          <w:spacing w:val="-15"/>
          <w:sz w:val="24"/>
        </w:rPr>
        <w:t> </w:t>
      </w:r>
      <w:r>
        <w:rPr>
          <w:sz w:val="24"/>
        </w:rPr>
        <w:t>bahwa</w:t>
      </w:r>
      <w:r>
        <w:rPr>
          <w:spacing w:val="-15"/>
          <w:sz w:val="24"/>
        </w:rPr>
        <w:t> </w:t>
      </w:r>
      <w:r>
        <w:rPr>
          <w:sz w:val="24"/>
        </w:rPr>
        <w:t>kreditor</w:t>
      </w:r>
      <w:r>
        <w:rPr>
          <w:spacing w:val="-15"/>
          <w:sz w:val="24"/>
        </w:rPr>
        <w:t> </w:t>
      </w:r>
      <w:r>
        <w:rPr>
          <w:sz w:val="24"/>
        </w:rPr>
        <w:t>bukan</w:t>
      </w:r>
      <w:r>
        <w:rPr>
          <w:spacing w:val="-15"/>
          <w:sz w:val="24"/>
        </w:rPr>
        <w:t> </w:t>
      </w:r>
      <w:r>
        <w:rPr>
          <w:sz w:val="24"/>
        </w:rPr>
        <w:t>pihak</w:t>
      </w:r>
      <w:r>
        <w:rPr>
          <w:spacing w:val="-15"/>
          <w:sz w:val="24"/>
        </w:rPr>
        <w:t> </w:t>
      </w:r>
      <w:r>
        <w:rPr>
          <w:sz w:val="24"/>
        </w:rPr>
        <w:t>yang mendorong perusahaan sektor energi untuk meningkatkan kualitas </w:t>
      </w:r>
      <w:r>
        <w:rPr>
          <w:i/>
          <w:sz w:val="24"/>
        </w:rPr>
        <w:t>assurance</w:t>
      </w:r>
      <w:r>
        <w:rPr>
          <w:sz w:val="24"/>
        </w:rPr>
        <w:t>, berbeda dengan temuan penelitian global.</w:t>
      </w:r>
    </w:p>
    <w:p>
      <w:pPr>
        <w:pStyle w:val="ListParagraph"/>
        <w:spacing w:after="0" w:line="480" w:lineRule="auto"/>
        <w:jc w:val="both"/>
        <w:rPr>
          <w:sz w:val="24"/>
        </w:rPr>
        <w:sectPr>
          <w:pgSz w:w="11910" w:h="16840"/>
          <w:pgMar w:header="710" w:footer="0" w:top="1920" w:bottom="280" w:left="1700" w:right="1133"/>
        </w:sectPr>
      </w:pPr>
    </w:p>
    <w:p>
      <w:pPr>
        <w:pStyle w:val="BodyText"/>
        <w:spacing w:before="48"/>
      </w:pPr>
    </w:p>
    <w:p>
      <w:pPr>
        <w:pStyle w:val="ListParagraph"/>
        <w:numPr>
          <w:ilvl w:val="0"/>
          <w:numId w:val="37"/>
        </w:numPr>
        <w:tabs>
          <w:tab w:pos="1288" w:val="left" w:leader="none"/>
        </w:tabs>
        <w:spacing w:line="480" w:lineRule="auto" w:before="0" w:after="0"/>
        <w:ind w:left="1288" w:right="564" w:hanging="360"/>
        <w:jc w:val="both"/>
        <w:rPr>
          <w:sz w:val="24"/>
        </w:rPr>
      </w:pPr>
      <w:r>
        <w:rPr>
          <w:i/>
          <w:sz w:val="24"/>
        </w:rPr>
        <w:t>Assurance Tenure </w:t>
      </w:r>
      <w:r>
        <w:rPr>
          <w:sz w:val="24"/>
        </w:rPr>
        <w:t>berpengaruh negatif dan signifikan terhadap </w:t>
      </w:r>
      <w:r>
        <w:rPr>
          <w:i/>
          <w:sz w:val="24"/>
        </w:rPr>
        <w:t>Sustainability Assurance Quality</w:t>
      </w:r>
      <w:r>
        <w:rPr>
          <w:b/>
          <w:sz w:val="24"/>
        </w:rPr>
        <w:t>. </w:t>
      </w:r>
      <w:r>
        <w:rPr>
          <w:sz w:val="24"/>
        </w:rPr>
        <w:t>Semakin panjang hubungan antara perusahaan dengan penyedia jasa </w:t>
      </w:r>
      <w:r>
        <w:rPr>
          <w:i/>
          <w:sz w:val="24"/>
        </w:rPr>
        <w:t>assurance</w:t>
      </w:r>
      <w:r>
        <w:rPr>
          <w:sz w:val="24"/>
        </w:rPr>
        <w:t>, semakin rendah kualitas assurance yang dihasilkan. Temuan ini mendukung hipotesis H3 dan konsisten dengan literatur yang menyebutkan bahwa tenure yang panjang dapat mengganggu independensi, mengurangi skeptisisme profesional assuror, dan menurunkan efektivitas </w:t>
      </w:r>
      <w:r>
        <w:rPr>
          <w:i/>
          <w:sz w:val="24"/>
        </w:rPr>
        <w:t>assurance</w:t>
      </w:r>
      <w:r>
        <w:rPr>
          <w:sz w:val="24"/>
        </w:rPr>
        <w:t>.</w:t>
      </w:r>
    </w:p>
    <w:p>
      <w:pPr>
        <w:pStyle w:val="BodyText"/>
        <w:spacing w:before="5"/>
      </w:pPr>
    </w:p>
    <w:p>
      <w:pPr>
        <w:spacing w:line="480" w:lineRule="auto" w:before="1"/>
        <w:ind w:left="568" w:right="562" w:firstLine="720"/>
        <w:jc w:val="both"/>
        <w:rPr>
          <w:sz w:val="24"/>
        </w:rPr>
      </w:pPr>
      <w:r>
        <w:rPr>
          <w:sz w:val="24"/>
        </w:rPr>
        <w:t>Secara keseluruhan, </w:t>
      </w:r>
      <w:r>
        <w:rPr>
          <w:i/>
          <w:sz w:val="24"/>
        </w:rPr>
        <w:t>Sustainability Assurance Quality </w:t>
      </w:r>
      <w:r>
        <w:rPr>
          <w:sz w:val="24"/>
        </w:rPr>
        <w:t>pada perusahaan sektor energi di Indonesia lebih dipengaruhi oleh faktor independensi penyedia </w:t>
      </w:r>
      <w:r>
        <w:rPr>
          <w:i/>
          <w:sz w:val="24"/>
        </w:rPr>
        <w:t>assurance</w:t>
      </w:r>
      <w:r>
        <w:rPr>
          <w:i/>
          <w:spacing w:val="-2"/>
          <w:sz w:val="24"/>
        </w:rPr>
        <w:t> </w:t>
      </w:r>
      <w:r>
        <w:rPr>
          <w:sz w:val="24"/>
        </w:rPr>
        <w:t>dibandingkan</w:t>
      </w:r>
      <w:r>
        <w:rPr>
          <w:spacing w:val="-4"/>
          <w:sz w:val="24"/>
        </w:rPr>
        <w:t> </w:t>
      </w:r>
      <w:r>
        <w:rPr>
          <w:sz w:val="24"/>
        </w:rPr>
        <w:t>faktor</w:t>
      </w:r>
      <w:r>
        <w:rPr>
          <w:spacing w:val="-4"/>
          <w:sz w:val="24"/>
        </w:rPr>
        <w:t> </w:t>
      </w:r>
      <w:r>
        <w:rPr>
          <w:sz w:val="24"/>
        </w:rPr>
        <w:t>keuangan</w:t>
      </w:r>
      <w:r>
        <w:rPr>
          <w:spacing w:val="-1"/>
          <w:sz w:val="24"/>
        </w:rPr>
        <w:t> </w:t>
      </w:r>
      <w:r>
        <w:rPr>
          <w:sz w:val="24"/>
        </w:rPr>
        <w:t>perusahaan. Hal</w:t>
      </w:r>
      <w:r>
        <w:rPr>
          <w:spacing w:val="-4"/>
          <w:sz w:val="24"/>
        </w:rPr>
        <w:t> </w:t>
      </w:r>
      <w:r>
        <w:rPr>
          <w:sz w:val="24"/>
        </w:rPr>
        <w:t>ini</w:t>
      </w:r>
      <w:r>
        <w:rPr>
          <w:spacing w:val="-4"/>
          <w:sz w:val="24"/>
        </w:rPr>
        <w:t> </w:t>
      </w:r>
      <w:r>
        <w:rPr>
          <w:sz w:val="24"/>
        </w:rPr>
        <w:t>menunjukkan</w:t>
      </w:r>
      <w:r>
        <w:rPr>
          <w:spacing w:val="-4"/>
          <w:sz w:val="24"/>
        </w:rPr>
        <w:t> </w:t>
      </w:r>
      <w:r>
        <w:rPr>
          <w:sz w:val="24"/>
        </w:rPr>
        <w:t>bahwa untuk menjaga legitimasi dan kepercayaan </w:t>
      </w:r>
      <w:r>
        <w:rPr>
          <w:i/>
          <w:sz w:val="24"/>
        </w:rPr>
        <w:t>stakeholder</w:t>
      </w:r>
      <w:r>
        <w:rPr>
          <w:sz w:val="24"/>
        </w:rPr>
        <w:t>, independensi penyedia </w:t>
      </w:r>
      <w:r>
        <w:rPr>
          <w:i/>
          <w:sz w:val="24"/>
        </w:rPr>
        <w:t>assurance </w:t>
      </w:r>
      <w:r>
        <w:rPr>
          <w:sz w:val="24"/>
        </w:rPr>
        <w:t>menjadi elemen</w:t>
      </w:r>
      <w:r>
        <w:rPr>
          <w:spacing w:val="-1"/>
          <w:sz w:val="24"/>
        </w:rPr>
        <w:t> </w:t>
      </w:r>
      <w:r>
        <w:rPr>
          <w:sz w:val="24"/>
        </w:rPr>
        <w:t>kunci,</w:t>
      </w:r>
      <w:r>
        <w:rPr>
          <w:spacing w:val="-1"/>
          <w:sz w:val="24"/>
        </w:rPr>
        <w:t> </w:t>
      </w:r>
      <w:r>
        <w:rPr>
          <w:sz w:val="24"/>
        </w:rPr>
        <w:t>selaras</w:t>
      </w:r>
      <w:r>
        <w:rPr>
          <w:spacing w:val="-6"/>
          <w:sz w:val="24"/>
        </w:rPr>
        <w:t> </w:t>
      </w:r>
      <w:r>
        <w:rPr>
          <w:sz w:val="24"/>
        </w:rPr>
        <w:t>dengan</w:t>
      </w:r>
      <w:r>
        <w:rPr>
          <w:spacing w:val="-1"/>
          <w:sz w:val="24"/>
        </w:rPr>
        <w:t> </w:t>
      </w:r>
      <w:r>
        <w:rPr>
          <w:sz w:val="24"/>
        </w:rPr>
        <w:t>prinsip</w:t>
      </w:r>
      <w:r>
        <w:rPr>
          <w:spacing w:val="-1"/>
          <w:sz w:val="24"/>
        </w:rPr>
        <w:t> </w:t>
      </w:r>
      <w:r>
        <w:rPr>
          <w:sz w:val="24"/>
        </w:rPr>
        <w:t>utama dalam </w:t>
      </w:r>
      <w:r>
        <w:rPr>
          <w:i/>
          <w:sz w:val="24"/>
        </w:rPr>
        <w:t>Stakeholder </w:t>
      </w:r>
      <w:r>
        <w:rPr>
          <w:i/>
          <w:spacing w:val="-2"/>
          <w:sz w:val="24"/>
        </w:rPr>
        <w:t>Theory</w:t>
      </w:r>
      <w:r>
        <w:rPr>
          <w:spacing w:val="-2"/>
          <w:sz w:val="24"/>
        </w:rPr>
        <w:t>.</w:t>
      </w:r>
    </w:p>
    <w:p>
      <w:pPr>
        <w:pStyle w:val="BodyText"/>
        <w:spacing w:before="9"/>
      </w:pPr>
    </w:p>
    <w:p>
      <w:pPr>
        <w:pStyle w:val="Heading3"/>
        <w:numPr>
          <w:ilvl w:val="1"/>
          <w:numId w:val="36"/>
        </w:numPr>
        <w:tabs>
          <w:tab w:pos="1288" w:val="left" w:leader="none"/>
        </w:tabs>
        <w:spacing w:line="240" w:lineRule="auto" w:before="0" w:after="0"/>
        <w:ind w:left="1288" w:right="0" w:hanging="720"/>
        <w:jc w:val="both"/>
      </w:pPr>
      <w:bookmarkStart w:name="_bookmark74" w:id="75"/>
      <w:bookmarkEnd w:id="75"/>
      <w:r>
        <w:rPr>
          <w:b w:val="0"/>
        </w:rPr>
      </w:r>
      <w:r>
        <w:rPr>
          <w:spacing w:val="-4"/>
        </w:rPr>
        <w:t>Saran</w:t>
      </w:r>
    </w:p>
    <w:p>
      <w:pPr>
        <w:pStyle w:val="BodyText"/>
        <w:spacing w:line="480" w:lineRule="auto" w:before="272"/>
        <w:ind w:left="568" w:right="576" w:firstLine="720"/>
        <w:jc w:val="both"/>
      </w:pPr>
      <w:r>
        <w:rPr/>
        <w:t>Berdasarkan hasil penelitian dan keterbatasan yang ada, maka peneliti memberikan beberapa saran baik bagi perusahaan, regulator, praktisi assurance, maupun peneliti selanjutnya.</w:t>
      </w:r>
    </w:p>
    <w:p>
      <w:pPr>
        <w:pStyle w:val="Heading3"/>
        <w:numPr>
          <w:ilvl w:val="2"/>
          <w:numId w:val="36"/>
        </w:numPr>
        <w:tabs>
          <w:tab w:pos="1288" w:val="left" w:leader="none"/>
        </w:tabs>
        <w:spacing w:line="240" w:lineRule="auto" w:before="164" w:after="0"/>
        <w:ind w:left="1288" w:right="0" w:hanging="720"/>
        <w:jc w:val="both"/>
      </w:pPr>
      <w:bookmarkStart w:name="_bookmark75" w:id="76"/>
      <w:bookmarkEnd w:id="76"/>
      <w:r>
        <w:rPr>
          <w:b w:val="0"/>
        </w:rPr>
      </w:r>
      <w:r>
        <w:rPr/>
        <w:t>Saran</w:t>
      </w:r>
      <w:r>
        <w:rPr>
          <w:spacing w:val="-2"/>
        </w:rPr>
        <w:t> </w:t>
      </w:r>
      <w:r>
        <w:rPr/>
        <w:t>bagi</w:t>
      </w:r>
      <w:r>
        <w:rPr>
          <w:spacing w:val="-3"/>
        </w:rPr>
        <w:t> </w:t>
      </w:r>
      <w:r>
        <w:rPr>
          <w:spacing w:val="-2"/>
        </w:rPr>
        <w:t>Perusahaan</w:t>
      </w:r>
    </w:p>
    <w:p>
      <w:pPr>
        <w:pStyle w:val="ListParagraph"/>
        <w:numPr>
          <w:ilvl w:val="3"/>
          <w:numId w:val="36"/>
        </w:numPr>
        <w:tabs>
          <w:tab w:pos="1287" w:val="left" w:leader="none"/>
          <w:tab w:pos="2715" w:val="left" w:leader="none"/>
          <w:tab w:pos="3590" w:val="left" w:leader="none"/>
          <w:tab w:pos="4797" w:val="left" w:leader="none"/>
          <w:tab w:pos="5512" w:val="left" w:leader="none"/>
          <w:tab w:pos="6791" w:val="left" w:leader="none"/>
          <w:tab w:pos="7733" w:val="left" w:leader="none"/>
        </w:tabs>
        <w:spacing w:line="240" w:lineRule="auto" w:before="273" w:after="0"/>
        <w:ind w:left="1287" w:right="0" w:hanging="359"/>
        <w:jc w:val="left"/>
        <w:rPr>
          <w:sz w:val="24"/>
        </w:rPr>
      </w:pPr>
      <w:r>
        <w:rPr>
          <w:spacing w:val="-2"/>
          <w:sz w:val="24"/>
        </w:rPr>
        <w:t>Melakukan</w:t>
      </w:r>
      <w:r>
        <w:rPr>
          <w:sz w:val="24"/>
        </w:rPr>
        <w:tab/>
      </w:r>
      <w:r>
        <w:rPr>
          <w:spacing w:val="-2"/>
          <w:sz w:val="24"/>
        </w:rPr>
        <w:t>rotasi</w:t>
      </w:r>
      <w:r>
        <w:rPr>
          <w:sz w:val="24"/>
        </w:rPr>
        <w:tab/>
      </w:r>
      <w:r>
        <w:rPr>
          <w:spacing w:val="-2"/>
          <w:sz w:val="24"/>
        </w:rPr>
        <w:t>penyedia</w:t>
      </w:r>
      <w:r>
        <w:rPr>
          <w:sz w:val="24"/>
        </w:rPr>
        <w:tab/>
      </w:r>
      <w:r>
        <w:rPr>
          <w:spacing w:val="-4"/>
          <w:sz w:val="24"/>
        </w:rPr>
        <w:t>jasa</w:t>
      </w:r>
      <w:r>
        <w:rPr>
          <w:sz w:val="24"/>
        </w:rPr>
        <w:tab/>
      </w:r>
      <w:r>
        <w:rPr>
          <w:spacing w:val="-2"/>
          <w:sz w:val="24"/>
        </w:rPr>
        <w:t>assurance</w:t>
      </w:r>
      <w:r>
        <w:rPr>
          <w:sz w:val="24"/>
        </w:rPr>
        <w:tab/>
      </w:r>
      <w:r>
        <w:rPr>
          <w:spacing w:val="-2"/>
          <w:sz w:val="24"/>
        </w:rPr>
        <w:t>secara</w:t>
      </w:r>
      <w:r>
        <w:rPr>
          <w:sz w:val="24"/>
        </w:rPr>
        <w:tab/>
      </w:r>
      <w:r>
        <w:rPr>
          <w:spacing w:val="-2"/>
          <w:sz w:val="24"/>
        </w:rPr>
        <w:t>berkala.</w:t>
      </w:r>
    </w:p>
    <w:p>
      <w:pPr>
        <w:pStyle w:val="BodyText"/>
      </w:pPr>
    </w:p>
    <w:p>
      <w:pPr>
        <w:pStyle w:val="BodyText"/>
        <w:spacing w:line="480" w:lineRule="auto"/>
        <w:ind w:left="1288" w:right="567"/>
        <w:jc w:val="both"/>
        <w:rPr>
          <w:i/>
        </w:rPr>
      </w:pPr>
      <w:r>
        <w:rPr/>
        <w:t>Mengingat </w:t>
      </w:r>
      <w:r>
        <w:rPr>
          <w:i/>
        </w:rPr>
        <w:t>Assurance Tenure </w:t>
      </w:r>
      <w:r>
        <w:rPr/>
        <w:t>terbukti menurunkan kualitas assurance, perusahaan perlu menetapkan kebijakan rotasi assuror untuk menjaga independensi, objektivitas, dan kualitas evaluasi </w:t>
      </w:r>
      <w:r>
        <w:rPr>
          <w:i/>
        </w:rPr>
        <w:t>sustainability report.</w:t>
      </w:r>
    </w:p>
    <w:p>
      <w:pPr>
        <w:pStyle w:val="BodyText"/>
        <w:spacing w:after="0" w:line="480" w:lineRule="auto"/>
        <w:jc w:val="both"/>
        <w:rPr>
          <w:i/>
        </w:rPr>
        <w:sectPr>
          <w:pgSz w:w="11910" w:h="16840"/>
          <w:pgMar w:header="710" w:footer="0" w:top="1920" w:bottom="280" w:left="1700" w:right="1133"/>
        </w:sectPr>
      </w:pPr>
    </w:p>
    <w:p>
      <w:pPr>
        <w:pStyle w:val="BodyText"/>
        <w:spacing w:before="48"/>
        <w:rPr>
          <w:i/>
        </w:rPr>
      </w:pPr>
    </w:p>
    <w:p>
      <w:pPr>
        <w:pStyle w:val="ListParagraph"/>
        <w:numPr>
          <w:ilvl w:val="3"/>
          <w:numId w:val="36"/>
        </w:numPr>
        <w:tabs>
          <w:tab w:pos="1288" w:val="left" w:leader="none"/>
        </w:tabs>
        <w:spacing w:line="480" w:lineRule="auto" w:before="0" w:after="0"/>
        <w:ind w:left="1288" w:right="563" w:hanging="360"/>
        <w:jc w:val="both"/>
        <w:rPr>
          <w:sz w:val="24"/>
        </w:rPr>
      </w:pPr>
      <w:r>
        <w:rPr>
          <w:sz w:val="24"/>
        </w:rPr>
        <w:t>Memperkuat pengungkapan keberlanjutan yang berorientasi pada stakeholder. Walaupun </w:t>
      </w:r>
      <w:r>
        <w:rPr>
          <w:i/>
          <w:sz w:val="24"/>
        </w:rPr>
        <w:t>leverage </w:t>
      </w:r>
      <w:r>
        <w:rPr>
          <w:sz w:val="24"/>
        </w:rPr>
        <w:t>dan </w:t>
      </w:r>
      <w:r>
        <w:rPr>
          <w:i/>
          <w:sz w:val="24"/>
        </w:rPr>
        <w:t>debt maturity </w:t>
      </w:r>
      <w:r>
        <w:rPr>
          <w:sz w:val="24"/>
        </w:rPr>
        <w:t>tidak berpengaruh signifikan, perusahaan tetap perlu meningkatkan kualitas pelaporan keberlanjutan sebagai bentuk akuntabilitas dan untuk memperkuat legitimasi di tengah tekanan transisi energi.</w:t>
      </w:r>
    </w:p>
    <w:p>
      <w:pPr>
        <w:pStyle w:val="BodyText"/>
        <w:spacing w:before="9"/>
      </w:pPr>
    </w:p>
    <w:p>
      <w:pPr>
        <w:pStyle w:val="Heading3"/>
        <w:numPr>
          <w:ilvl w:val="2"/>
          <w:numId w:val="36"/>
        </w:numPr>
        <w:tabs>
          <w:tab w:pos="1288" w:val="left" w:leader="none"/>
        </w:tabs>
        <w:spacing w:line="240" w:lineRule="auto" w:before="1" w:after="0"/>
        <w:ind w:left="1288" w:right="0" w:hanging="720"/>
        <w:jc w:val="both"/>
      </w:pPr>
      <w:bookmarkStart w:name="_bookmark76" w:id="77"/>
      <w:bookmarkEnd w:id="77"/>
      <w:r>
        <w:rPr>
          <w:b w:val="0"/>
        </w:rPr>
      </w:r>
      <w:r>
        <w:rPr/>
        <w:t>Saran</w:t>
      </w:r>
      <w:r>
        <w:rPr>
          <w:spacing w:val="-2"/>
        </w:rPr>
        <w:t> </w:t>
      </w:r>
      <w:r>
        <w:rPr/>
        <w:t>bagi</w:t>
      </w:r>
      <w:r>
        <w:rPr>
          <w:spacing w:val="-3"/>
        </w:rPr>
        <w:t> </w:t>
      </w:r>
      <w:r>
        <w:rPr>
          <w:spacing w:val="-2"/>
        </w:rPr>
        <w:t>Regulator</w:t>
      </w:r>
    </w:p>
    <w:p>
      <w:pPr>
        <w:pStyle w:val="BodyText"/>
        <w:spacing w:line="480" w:lineRule="auto" w:before="272"/>
        <w:ind w:left="1288" w:right="568"/>
        <w:jc w:val="both"/>
      </w:pPr>
      <w:r>
        <w:rPr/>
        <w:t>Saat ini, </w:t>
      </w:r>
      <w:r>
        <w:rPr>
          <w:i/>
        </w:rPr>
        <w:t>assurance </w:t>
      </w:r>
      <w:r>
        <w:rPr/>
        <w:t>atas laporan keberlanjutan masih bersifat sukarela. Pemerintah dan OJK dapat memperkuat ketentuan mengenai kualifikasi assuror, rotasi, dan standar </w:t>
      </w:r>
      <w:r>
        <w:rPr>
          <w:i/>
        </w:rPr>
        <w:t>assurance </w:t>
      </w:r>
      <w:r>
        <w:rPr/>
        <w:t>untuk meningkatkan konsistensi kualitas </w:t>
      </w:r>
      <w:r>
        <w:rPr>
          <w:i/>
        </w:rPr>
        <w:t>assurance</w:t>
      </w:r>
      <w:r>
        <w:rPr/>
        <w:t>. Dengan demikian regulator dapat mendorong regulasi terkait praktik </w:t>
      </w:r>
      <w:r>
        <w:rPr>
          <w:i/>
        </w:rPr>
        <w:t>Sustainability Assurance </w:t>
      </w:r>
      <w:r>
        <w:rPr/>
        <w:t>di Indonesia</w:t>
      </w:r>
    </w:p>
    <w:p>
      <w:pPr>
        <w:pStyle w:val="BodyText"/>
        <w:spacing w:before="8"/>
      </w:pPr>
    </w:p>
    <w:p>
      <w:pPr>
        <w:pStyle w:val="Heading3"/>
        <w:numPr>
          <w:ilvl w:val="2"/>
          <w:numId w:val="36"/>
        </w:numPr>
        <w:tabs>
          <w:tab w:pos="1288" w:val="left" w:leader="none"/>
        </w:tabs>
        <w:spacing w:line="240" w:lineRule="auto" w:before="0" w:after="0"/>
        <w:ind w:left="1288" w:right="0" w:hanging="720"/>
        <w:jc w:val="both"/>
      </w:pPr>
      <w:bookmarkStart w:name="_bookmark77" w:id="78"/>
      <w:bookmarkEnd w:id="78"/>
      <w:r>
        <w:rPr>
          <w:b w:val="0"/>
        </w:rPr>
      </w:r>
      <w:r>
        <w:rPr/>
        <w:t>Saran</w:t>
      </w:r>
      <w:r>
        <w:rPr>
          <w:spacing w:val="-3"/>
        </w:rPr>
        <w:t> </w:t>
      </w:r>
      <w:r>
        <w:rPr/>
        <w:t>bagi</w:t>
      </w:r>
      <w:r>
        <w:rPr>
          <w:spacing w:val="-4"/>
        </w:rPr>
        <w:t> </w:t>
      </w:r>
      <w:r>
        <w:rPr/>
        <w:t>Praktisi</w:t>
      </w:r>
      <w:r>
        <w:rPr>
          <w:spacing w:val="-4"/>
        </w:rPr>
        <w:t> </w:t>
      </w:r>
      <w:r>
        <w:rPr>
          <w:spacing w:val="-2"/>
        </w:rPr>
        <w:t>Assurance</w:t>
      </w:r>
    </w:p>
    <w:p>
      <w:pPr>
        <w:pStyle w:val="BodyText"/>
        <w:spacing w:line="480" w:lineRule="auto" w:before="273"/>
        <w:ind w:left="1288" w:right="565"/>
        <w:jc w:val="both"/>
      </w:pPr>
      <w:r>
        <w:rPr/>
        <w:t>Bagi</w:t>
      </w:r>
      <w:r>
        <w:rPr>
          <w:spacing w:val="-1"/>
        </w:rPr>
        <w:t> </w:t>
      </w:r>
      <w:r>
        <w:rPr/>
        <w:t>praktisi </w:t>
      </w:r>
      <w:r>
        <w:rPr>
          <w:i/>
        </w:rPr>
        <w:t>assurance </w:t>
      </w:r>
      <w:r>
        <w:rPr/>
        <w:t>diharapkan menjaga independensi</w:t>
      </w:r>
      <w:r>
        <w:rPr>
          <w:spacing w:val="-1"/>
        </w:rPr>
        <w:t> </w:t>
      </w:r>
      <w:r>
        <w:rPr/>
        <w:t>dan skeptisisme profesional. </w:t>
      </w:r>
      <w:r>
        <w:rPr>
          <w:i/>
        </w:rPr>
        <w:t>Assuror </w:t>
      </w:r>
      <w:r>
        <w:rPr/>
        <w:t>perlu menghindari hubungan yang terlalu panjang dengan klien agar kualitas assurance tetap tinggi dan tidak terpengaruh </w:t>
      </w:r>
      <w:r>
        <w:rPr>
          <w:i/>
        </w:rPr>
        <w:t>familiarity threat</w:t>
      </w:r>
      <w:r>
        <w:rPr/>
        <w:t>.</w:t>
      </w:r>
    </w:p>
    <w:p>
      <w:pPr>
        <w:pStyle w:val="BodyText"/>
        <w:spacing w:before="8"/>
      </w:pPr>
    </w:p>
    <w:p>
      <w:pPr>
        <w:pStyle w:val="Heading3"/>
        <w:numPr>
          <w:ilvl w:val="2"/>
          <w:numId w:val="36"/>
        </w:numPr>
        <w:tabs>
          <w:tab w:pos="1288" w:val="left" w:leader="none"/>
        </w:tabs>
        <w:spacing w:line="240" w:lineRule="auto" w:before="0" w:after="0"/>
        <w:ind w:left="1288" w:right="0" w:hanging="720"/>
        <w:jc w:val="both"/>
      </w:pPr>
      <w:bookmarkStart w:name="_bookmark78" w:id="79"/>
      <w:bookmarkEnd w:id="79"/>
      <w:r>
        <w:rPr>
          <w:b w:val="0"/>
        </w:rPr>
      </w:r>
      <w:r>
        <w:rPr/>
        <w:t>Saran</w:t>
      </w:r>
      <w:r>
        <w:rPr>
          <w:spacing w:val="-1"/>
        </w:rPr>
        <w:t> </w:t>
      </w:r>
      <w:r>
        <w:rPr/>
        <w:t>bagi</w:t>
      </w:r>
      <w:r>
        <w:rPr>
          <w:spacing w:val="-1"/>
        </w:rPr>
        <w:t> </w:t>
      </w:r>
      <w:r>
        <w:rPr/>
        <w:t>Peneliti</w:t>
      </w:r>
      <w:r>
        <w:rPr>
          <w:spacing w:val="-1"/>
        </w:rPr>
        <w:t> </w:t>
      </w:r>
      <w:r>
        <w:rPr>
          <w:spacing w:val="-2"/>
        </w:rPr>
        <w:t>Selanjutnya</w:t>
      </w:r>
    </w:p>
    <w:p>
      <w:pPr>
        <w:pStyle w:val="BodyText"/>
        <w:spacing w:line="480" w:lineRule="auto" w:before="272"/>
        <w:ind w:left="1288" w:right="563"/>
        <w:jc w:val="both"/>
      </w:pPr>
      <w:r>
        <w:rPr/>
        <w:t>Bagi</w:t>
      </w:r>
      <w:r>
        <w:rPr>
          <w:spacing w:val="-15"/>
        </w:rPr>
        <w:t> </w:t>
      </w:r>
      <w:r>
        <w:rPr/>
        <w:t>peneliti</w:t>
      </w:r>
      <w:r>
        <w:rPr>
          <w:spacing w:val="-15"/>
        </w:rPr>
        <w:t> </w:t>
      </w:r>
      <w:r>
        <w:rPr/>
        <w:t>selanjutnya</w:t>
      </w:r>
      <w:r>
        <w:rPr>
          <w:spacing w:val="-15"/>
        </w:rPr>
        <w:t> </w:t>
      </w:r>
      <w:r>
        <w:rPr/>
        <w:t>dapat</w:t>
      </w:r>
      <w:r>
        <w:rPr>
          <w:spacing w:val="-15"/>
        </w:rPr>
        <w:t> </w:t>
      </w:r>
      <w:r>
        <w:rPr/>
        <w:t>menggunakan</w:t>
      </w:r>
      <w:r>
        <w:rPr>
          <w:spacing w:val="-15"/>
        </w:rPr>
        <w:t> </w:t>
      </w:r>
      <w:r>
        <w:rPr/>
        <w:t>sampel</w:t>
      </w:r>
      <w:r>
        <w:rPr>
          <w:spacing w:val="-15"/>
        </w:rPr>
        <w:t> </w:t>
      </w:r>
      <w:r>
        <w:rPr/>
        <w:t>perusahaan</w:t>
      </w:r>
      <w:r>
        <w:rPr>
          <w:spacing w:val="-15"/>
        </w:rPr>
        <w:t> </w:t>
      </w:r>
      <w:r>
        <w:rPr/>
        <w:t>dari</w:t>
      </w:r>
      <w:r>
        <w:rPr>
          <w:spacing w:val="-15"/>
        </w:rPr>
        <w:t> </w:t>
      </w:r>
      <w:r>
        <w:rPr/>
        <w:t>sektor lain selain dari sektor energi untuk memperoleh gambaran yang lebih general mengenai faktor-faktor yang memengaruhi </w:t>
      </w:r>
      <w:r>
        <w:rPr>
          <w:i/>
        </w:rPr>
        <w:t>assurance quality </w:t>
      </w:r>
      <w:r>
        <w:rPr/>
        <w:t>di </w:t>
      </w:r>
      <w:r>
        <w:rPr>
          <w:spacing w:val="-2"/>
        </w:rPr>
        <w:t>Indonesia.</w:t>
      </w:r>
    </w:p>
    <w:p>
      <w:pPr>
        <w:pStyle w:val="BodyText"/>
        <w:spacing w:after="0" w:line="480" w:lineRule="auto"/>
        <w:jc w:val="both"/>
        <w:sectPr>
          <w:pgSz w:w="11910" w:h="16840"/>
          <w:pgMar w:header="710" w:footer="0" w:top="1920" w:bottom="280" w:left="1700" w:right="1133"/>
        </w:sectPr>
      </w:pPr>
    </w:p>
    <w:p>
      <w:pPr>
        <w:pStyle w:val="BodyText"/>
        <w:spacing w:before="9"/>
        <w:rPr>
          <w:sz w:val="28"/>
        </w:rPr>
      </w:pPr>
    </w:p>
    <w:p>
      <w:pPr>
        <w:pStyle w:val="Heading2"/>
        <w:ind w:left="358" w:right="358"/>
      </w:pPr>
      <w:bookmarkStart w:name="_bookmark79" w:id="80"/>
      <w:bookmarkEnd w:id="80"/>
      <w:r>
        <w:rPr>
          <w:b w:val="0"/>
        </w:rPr>
      </w:r>
      <w:r>
        <w:rPr/>
        <w:t>DAFTAR</w:t>
      </w:r>
      <w:r>
        <w:rPr>
          <w:spacing w:val="-2"/>
        </w:rPr>
        <w:t> PUSTAKA</w:t>
      </w:r>
    </w:p>
    <w:p>
      <w:pPr>
        <w:pStyle w:val="BodyText"/>
        <w:spacing w:before="316"/>
        <w:ind w:left="1288" w:right="562" w:hanging="721"/>
        <w:jc w:val="both"/>
      </w:pPr>
      <w:r>
        <w:rPr/>
        <w:t>Abdelhalim, A. M., Ibrahim, N., &amp; Alomair, M. (2023). The moderating role of digital environmental management accounting in the relationship between eco-efficiency and corporate sustainability. </w:t>
      </w:r>
      <w:r>
        <w:rPr>
          <w:i/>
        </w:rPr>
        <w:t>Sustainability, 15</w:t>
      </w:r>
      <w:r>
        <w:rPr/>
        <w:t>, 7052. </w:t>
      </w:r>
      <w:hyperlink r:id="rId18">
        <w:r>
          <w:rPr>
            <w:color w:val="0462C1"/>
            <w:spacing w:val="-2"/>
            <w:u w:val="single" w:color="0462C1"/>
          </w:rPr>
          <w:t>https://doi.org/10.3390/su15097052</w:t>
        </w:r>
      </w:hyperlink>
    </w:p>
    <w:p>
      <w:pPr>
        <w:pStyle w:val="BodyText"/>
        <w:spacing w:before="4"/>
      </w:pPr>
    </w:p>
    <w:p>
      <w:pPr>
        <w:spacing w:before="0"/>
        <w:ind w:left="1288" w:right="562" w:hanging="721"/>
        <w:jc w:val="both"/>
        <w:rPr>
          <w:sz w:val="24"/>
        </w:rPr>
      </w:pPr>
      <w:r>
        <w:rPr>
          <w:sz w:val="24"/>
        </w:rPr>
        <w:t>Asiah, N., &amp; Yeni, S. M. (2020). Pengaruh laba akuntansi dan arus kas operasi terhadap</w:t>
      </w:r>
      <w:r>
        <w:rPr>
          <w:spacing w:val="-3"/>
          <w:sz w:val="24"/>
        </w:rPr>
        <w:t> </w:t>
      </w:r>
      <w:r>
        <w:rPr>
          <w:sz w:val="24"/>
        </w:rPr>
        <w:t>harga</w:t>
      </w:r>
      <w:r>
        <w:rPr>
          <w:spacing w:val="-3"/>
          <w:sz w:val="24"/>
        </w:rPr>
        <w:t> </w:t>
      </w:r>
      <w:r>
        <w:rPr>
          <w:sz w:val="24"/>
        </w:rPr>
        <w:t>saham.</w:t>
      </w:r>
      <w:r>
        <w:rPr>
          <w:spacing w:val="-1"/>
          <w:sz w:val="24"/>
        </w:rPr>
        <w:t> </w:t>
      </w:r>
      <w:r>
        <w:rPr>
          <w:i/>
          <w:sz w:val="24"/>
        </w:rPr>
        <w:t>Jurnal</w:t>
      </w:r>
      <w:r>
        <w:rPr>
          <w:i/>
          <w:spacing w:val="-7"/>
          <w:sz w:val="24"/>
        </w:rPr>
        <w:t> </w:t>
      </w:r>
      <w:r>
        <w:rPr>
          <w:i/>
          <w:sz w:val="24"/>
        </w:rPr>
        <w:t>Akuntansi</w:t>
      </w:r>
      <w:r>
        <w:rPr>
          <w:i/>
          <w:spacing w:val="-6"/>
          <w:sz w:val="24"/>
        </w:rPr>
        <w:t> </w:t>
      </w:r>
      <w:r>
        <w:rPr>
          <w:i/>
          <w:sz w:val="24"/>
        </w:rPr>
        <w:t>Bisnis</w:t>
      </w:r>
      <w:r>
        <w:rPr>
          <w:i/>
          <w:spacing w:val="-5"/>
          <w:sz w:val="24"/>
        </w:rPr>
        <w:t> </w:t>
      </w:r>
      <w:r>
        <w:rPr>
          <w:i/>
          <w:sz w:val="24"/>
        </w:rPr>
        <w:t>Pelita</w:t>
      </w:r>
      <w:r>
        <w:rPr>
          <w:i/>
          <w:spacing w:val="-3"/>
          <w:sz w:val="24"/>
        </w:rPr>
        <w:t> </w:t>
      </w:r>
      <w:r>
        <w:rPr>
          <w:i/>
          <w:sz w:val="24"/>
        </w:rPr>
        <w:t>Bangsa,</w:t>
      </w:r>
      <w:r>
        <w:rPr>
          <w:i/>
          <w:spacing w:val="-3"/>
          <w:sz w:val="24"/>
        </w:rPr>
        <w:t> </w:t>
      </w:r>
      <w:r>
        <w:rPr>
          <w:i/>
          <w:sz w:val="24"/>
        </w:rPr>
        <w:t>5</w:t>
      </w:r>
      <w:r>
        <w:rPr>
          <w:sz w:val="24"/>
        </w:rPr>
        <w:t>(1),</w:t>
      </w:r>
      <w:r>
        <w:rPr>
          <w:spacing w:val="-3"/>
          <w:sz w:val="24"/>
        </w:rPr>
        <w:t> </w:t>
      </w:r>
      <w:r>
        <w:rPr>
          <w:sz w:val="24"/>
        </w:rPr>
        <w:t>43–62. </w:t>
      </w:r>
      <w:hyperlink r:id="rId19">
        <w:r>
          <w:rPr>
            <w:color w:val="2D74B5"/>
            <w:spacing w:val="-2"/>
            <w:sz w:val="24"/>
            <w:u w:val="single" w:color="2D74B5"/>
          </w:rPr>
          <w:t>https://doi.org/10.37366/akubis.v5i01.105</w:t>
        </w:r>
      </w:hyperlink>
    </w:p>
    <w:p>
      <w:pPr>
        <w:pStyle w:val="BodyText"/>
        <w:spacing w:before="4"/>
      </w:pPr>
    </w:p>
    <w:p>
      <w:pPr>
        <w:pStyle w:val="BodyText"/>
        <w:spacing w:before="1"/>
        <w:ind w:left="1288" w:right="562" w:hanging="721"/>
        <w:jc w:val="both"/>
      </w:pPr>
      <w:r>
        <w:rPr/>
        <w:t>Ballou, B., Chen, P.-C., Grenier, J. H., &amp; Heitger, D. L. (2018). Corporate social responsibility</w:t>
      </w:r>
      <w:r>
        <w:rPr>
          <w:spacing w:val="-14"/>
        </w:rPr>
        <w:t> </w:t>
      </w:r>
      <w:r>
        <w:rPr/>
        <w:t>assurance</w:t>
      </w:r>
      <w:r>
        <w:rPr>
          <w:spacing w:val="-5"/>
        </w:rPr>
        <w:t> </w:t>
      </w:r>
      <w:r>
        <w:rPr/>
        <w:t>and</w:t>
      </w:r>
      <w:r>
        <w:rPr>
          <w:spacing w:val="-7"/>
        </w:rPr>
        <w:t> </w:t>
      </w:r>
      <w:r>
        <w:rPr/>
        <w:t>reporting</w:t>
      </w:r>
      <w:r>
        <w:rPr>
          <w:spacing w:val="-11"/>
        </w:rPr>
        <w:t> </w:t>
      </w:r>
      <w:r>
        <w:rPr/>
        <w:t>quality:</w:t>
      </w:r>
      <w:r>
        <w:rPr>
          <w:spacing w:val="-9"/>
        </w:rPr>
        <w:t> </w:t>
      </w:r>
      <w:r>
        <w:rPr/>
        <w:t>Evidence</w:t>
      </w:r>
      <w:r>
        <w:rPr>
          <w:spacing w:val="-5"/>
        </w:rPr>
        <w:t> </w:t>
      </w:r>
      <w:r>
        <w:rPr/>
        <w:t>from</w:t>
      </w:r>
      <w:r>
        <w:rPr>
          <w:spacing w:val="-5"/>
        </w:rPr>
        <w:t> </w:t>
      </w:r>
      <w:r>
        <w:rPr/>
        <w:t>restatements. </w:t>
      </w:r>
      <w:r>
        <w:rPr>
          <w:i/>
        </w:rPr>
        <w:t>Journal of Accounting and Public Policy, 37</w:t>
      </w:r>
      <w:r>
        <w:rPr/>
        <w:t>(2), 167–188. </w:t>
      </w:r>
      <w:hyperlink r:id="rId20">
        <w:r>
          <w:rPr>
            <w:color w:val="0462C1"/>
            <w:spacing w:val="-2"/>
            <w:u w:val="single" w:color="0462C1"/>
          </w:rPr>
          <w:t>https://doi.org/10.1016/j.jaccpubpol.2018.02.001</w:t>
        </w:r>
      </w:hyperlink>
    </w:p>
    <w:p>
      <w:pPr>
        <w:pStyle w:val="BodyText"/>
        <w:spacing w:before="240"/>
        <w:ind w:left="1288" w:right="567" w:hanging="721"/>
        <w:jc w:val="both"/>
      </w:pPr>
      <w:r>
        <w:rPr/>
        <w:t>Beatriz Cuadrado-Ballesteros, Martínez-Ferrero, J., &amp; García-Sánchez, I. M. (2017).</w:t>
      </w:r>
      <w:r>
        <w:rPr>
          <w:spacing w:val="-15"/>
        </w:rPr>
        <w:t> </w:t>
      </w:r>
      <w:r>
        <w:rPr/>
        <w:t>Mitigating</w:t>
      </w:r>
      <w:r>
        <w:rPr>
          <w:spacing w:val="-15"/>
        </w:rPr>
        <w:t> </w:t>
      </w:r>
      <w:r>
        <w:rPr/>
        <w:t>information</w:t>
      </w:r>
      <w:r>
        <w:rPr>
          <w:spacing w:val="-15"/>
        </w:rPr>
        <w:t> </w:t>
      </w:r>
      <w:r>
        <w:rPr/>
        <w:t>asymmetry</w:t>
      </w:r>
      <w:r>
        <w:rPr>
          <w:spacing w:val="-15"/>
        </w:rPr>
        <w:t> </w:t>
      </w:r>
      <w:r>
        <w:rPr/>
        <w:t>through</w:t>
      </w:r>
      <w:r>
        <w:rPr>
          <w:spacing w:val="-15"/>
        </w:rPr>
        <w:t> </w:t>
      </w:r>
      <w:r>
        <w:rPr/>
        <w:t>sustainability</w:t>
      </w:r>
      <w:r>
        <w:rPr>
          <w:spacing w:val="-15"/>
        </w:rPr>
        <w:t> </w:t>
      </w:r>
      <w:r>
        <w:rPr/>
        <w:t>assurance: The role of accountants and levels of assurance. </w:t>
      </w:r>
      <w:r>
        <w:rPr>
          <w:i/>
        </w:rPr>
        <w:t>International Business Review, 26</w:t>
      </w:r>
      <w:r>
        <w:rPr/>
        <w:t>(6), 1141–1156. </w:t>
      </w:r>
      <w:hyperlink r:id="rId21">
        <w:r>
          <w:rPr>
            <w:color w:val="0462C1"/>
            <w:u w:val="single" w:color="0462C1"/>
          </w:rPr>
          <w:t>https://doi.org/10.1016/j.ibusrev.2017.04.009</w:t>
        </w:r>
      </w:hyperlink>
    </w:p>
    <w:p>
      <w:pPr>
        <w:pStyle w:val="BodyText"/>
        <w:spacing w:before="240"/>
        <w:ind w:left="568"/>
      </w:pPr>
      <w:r>
        <w:rPr>
          <w:color w:val="212121"/>
        </w:rPr>
        <w:t>Benlemlih,</w:t>
      </w:r>
      <w:r>
        <w:rPr>
          <w:color w:val="212121"/>
          <w:spacing w:val="54"/>
        </w:rPr>
        <w:t> </w:t>
      </w:r>
      <w:r>
        <w:rPr>
          <w:color w:val="212121"/>
        </w:rPr>
        <w:t>M.</w:t>
      </w:r>
      <w:r>
        <w:rPr>
          <w:color w:val="212121"/>
          <w:spacing w:val="54"/>
        </w:rPr>
        <w:t> </w:t>
      </w:r>
      <w:r>
        <w:rPr>
          <w:color w:val="212121"/>
        </w:rPr>
        <w:t>(2017).</w:t>
      </w:r>
      <w:r>
        <w:rPr>
          <w:color w:val="212121"/>
          <w:spacing w:val="50"/>
        </w:rPr>
        <w:t> </w:t>
      </w:r>
      <w:r>
        <w:rPr>
          <w:color w:val="212121"/>
        </w:rPr>
        <w:t>Corporate</w:t>
      </w:r>
      <w:r>
        <w:rPr>
          <w:color w:val="212121"/>
          <w:spacing w:val="55"/>
        </w:rPr>
        <w:t> </w:t>
      </w:r>
      <w:r>
        <w:rPr>
          <w:color w:val="212121"/>
        </w:rPr>
        <w:t>social</w:t>
      </w:r>
      <w:r>
        <w:rPr>
          <w:color w:val="212121"/>
          <w:spacing w:val="52"/>
        </w:rPr>
        <w:t> </w:t>
      </w:r>
      <w:r>
        <w:rPr>
          <w:color w:val="212121"/>
        </w:rPr>
        <w:t>responsibility</w:t>
      </w:r>
      <w:r>
        <w:rPr>
          <w:color w:val="212121"/>
          <w:spacing w:val="46"/>
        </w:rPr>
        <w:t> </w:t>
      </w:r>
      <w:r>
        <w:rPr>
          <w:color w:val="212121"/>
        </w:rPr>
        <w:t>and</w:t>
      </w:r>
      <w:r>
        <w:rPr>
          <w:color w:val="212121"/>
          <w:spacing w:val="54"/>
        </w:rPr>
        <w:t> </w:t>
      </w:r>
      <w:r>
        <w:rPr>
          <w:color w:val="212121"/>
        </w:rPr>
        <w:t>firm</w:t>
      </w:r>
      <w:r>
        <w:rPr>
          <w:color w:val="212121"/>
          <w:spacing w:val="55"/>
        </w:rPr>
        <w:t> </w:t>
      </w:r>
      <w:r>
        <w:rPr>
          <w:color w:val="212121"/>
        </w:rPr>
        <w:t>debt</w:t>
      </w:r>
      <w:r>
        <w:rPr>
          <w:color w:val="212121"/>
          <w:spacing w:val="58"/>
        </w:rPr>
        <w:t> </w:t>
      </w:r>
      <w:r>
        <w:rPr>
          <w:color w:val="212121"/>
          <w:spacing w:val="-2"/>
        </w:rPr>
        <w:t>maturity.</w:t>
      </w:r>
    </w:p>
    <w:p>
      <w:pPr>
        <w:spacing w:before="0"/>
        <w:ind w:left="1288" w:right="0" w:firstLine="0"/>
        <w:jc w:val="left"/>
        <w:rPr>
          <w:sz w:val="24"/>
        </w:rPr>
      </w:pPr>
      <w:r>
        <w:rPr>
          <w:i/>
          <w:color w:val="212121"/>
          <w:sz w:val="24"/>
        </w:rPr>
        <w:t>Journal</w:t>
      </w:r>
      <w:r>
        <w:rPr>
          <w:i/>
          <w:color w:val="212121"/>
          <w:spacing w:val="-2"/>
          <w:sz w:val="24"/>
        </w:rPr>
        <w:t> </w:t>
      </w:r>
      <w:r>
        <w:rPr>
          <w:i/>
          <w:color w:val="212121"/>
          <w:sz w:val="24"/>
        </w:rPr>
        <w:t>of</w:t>
      </w:r>
      <w:r>
        <w:rPr>
          <w:i/>
          <w:color w:val="212121"/>
          <w:spacing w:val="-2"/>
          <w:sz w:val="24"/>
        </w:rPr>
        <w:t> </w:t>
      </w:r>
      <w:r>
        <w:rPr>
          <w:i/>
          <w:color w:val="212121"/>
          <w:sz w:val="24"/>
        </w:rPr>
        <w:t>Business</w:t>
      </w:r>
      <w:r>
        <w:rPr>
          <w:i/>
          <w:color w:val="212121"/>
          <w:spacing w:val="-4"/>
          <w:sz w:val="24"/>
        </w:rPr>
        <w:t> </w:t>
      </w:r>
      <w:r>
        <w:rPr>
          <w:i/>
          <w:color w:val="212121"/>
          <w:sz w:val="24"/>
        </w:rPr>
        <w:t>Ethics</w:t>
      </w:r>
      <w:r>
        <w:rPr>
          <w:color w:val="212121"/>
          <w:sz w:val="24"/>
        </w:rPr>
        <w:t>,</w:t>
      </w:r>
      <w:r>
        <w:rPr>
          <w:color w:val="212121"/>
          <w:spacing w:val="-2"/>
          <w:sz w:val="24"/>
        </w:rPr>
        <w:t> </w:t>
      </w:r>
      <w:r>
        <w:rPr>
          <w:i/>
          <w:color w:val="212121"/>
          <w:sz w:val="24"/>
        </w:rPr>
        <w:t>144</w:t>
      </w:r>
      <w:r>
        <w:rPr>
          <w:color w:val="212121"/>
          <w:sz w:val="24"/>
        </w:rPr>
        <w:t>(3),</w:t>
      </w:r>
      <w:r>
        <w:rPr>
          <w:color w:val="212121"/>
          <w:spacing w:val="-1"/>
          <w:sz w:val="24"/>
        </w:rPr>
        <w:t> </w:t>
      </w:r>
      <w:r>
        <w:rPr>
          <w:color w:val="212121"/>
          <w:sz w:val="24"/>
        </w:rPr>
        <w:t>491-</w:t>
      </w:r>
      <w:r>
        <w:rPr>
          <w:color w:val="212121"/>
          <w:spacing w:val="-4"/>
          <w:sz w:val="24"/>
        </w:rPr>
        <w:t>517.</w:t>
      </w:r>
    </w:p>
    <w:p>
      <w:pPr>
        <w:pStyle w:val="BodyText"/>
      </w:pPr>
    </w:p>
    <w:p>
      <w:pPr>
        <w:pStyle w:val="BodyText"/>
        <w:ind w:left="1288" w:right="566" w:hanging="721"/>
        <w:jc w:val="both"/>
      </w:pPr>
      <w:r>
        <w:rPr/>
        <w:t>Ben-Nasr, H., Boubaker, S., &amp; Rouatbi, W. (2015). Ownership structure, control contestability, and corporate debt maturity. </w:t>
      </w:r>
      <w:r>
        <w:rPr>
          <w:i/>
        </w:rPr>
        <w:t>Journal of Corporate Finance, 35</w:t>
      </w:r>
      <w:r>
        <w:rPr/>
        <w:t>, 265–285.</w:t>
      </w:r>
    </w:p>
    <w:p>
      <w:pPr>
        <w:pStyle w:val="BodyText"/>
        <w:spacing w:before="241"/>
        <w:ind w:left="1288" w:right="562" w:hanging="721"/>
        <w:jc w:val="both"/>
      </w:pPr>
      <w:r>
        <w:rPr/>
        <w:t>Braam, G., Weerd, L. U., Hauck, M., &amp; Huijbregts, M. (2016). Determinants of corporate environmental reporting: The importance of environmental performance and assurance. </w:t>
      </w:r>
      <w:r>
        <w:rPr>
          <w:i/>
        </w:rPr>
        <w:t>Journal of Cleaner Production, 123</w:t>
      </w:r>
      <w:r>
        <w:rPr/>
        <w:t>(1), 724– </w:t>
      </w:r>
      <w:r>
        <w:rPr>
          <w:spacing w:val="-4"/>
        </w:rPr>
        <w:t>727.</w:t>
      </w:r>
    </w:p>
    <w:p>
      <w:pPr>
        <w:pStyle w:val="BodyText"/>
        <w:spacing w:before="240"/>
        <w:ind w:left="1288" w:right="564" w:hanging="721"/>
        <w:jc w:val="both"/>
      </w:pPr>
      <w:r>
        <w:rPr/>
        <w:t>Bugshan,</w:t>
      </w:r>
      <w:r>
        <w:rPr>
          <w:spacing w:val="-9"/>
        </w:rPr>
        <w:t> </w:t>
      </w:r>
      <w:r>
        <w:rPr/>
        <w:t>A.,</w:t>
      </w:r>
      <w:r>
        <w:rPr>
          <w:spacing w:val="-9"/>
        </w:rPr>
        <w:t> </w:t>
      </w:r>
      <w:r>
        <w:rPr/>
        <w:t>Alnori,</w:t>
      </w:r>
      <w:r>
        <w:rPr>
          <w:spacing w:val="-9"/>
        </w:rPr>
        <w:t> </w:t>
      </w:r>
      <w:r>
        <w:rPr/>
        <w:t>F.,</w:t>
      </w:r>
      <w:r>
        <w:rPr>
          <w:spacing w:val="-9"/>
        </w:rPr>
        <w:t> </w:t>
      </w:r>
      <w:r>
        <w:rPr/>
        <w:t>Bakry,</w:t>
      </w:r>
      <w:r>
        <w:rPr>
          <w:spacing w:val="-9"/>
        </w:rPr>
        <w:t> </w:t>
      </w:r>
      <w:r>
        <w:rPr/>
        <w:t>W.,</w:t>
      </w:r>
      <w:r>
        <w:rPr>
          <w:spacing w:val="-12"/>
        </w:rPr>
        <w:t> </w:t>
      </w:r>
      <w:r>
        <w:rPr/>
        <w:t>&amp;</w:t>
      </w:r>
      <w:r>
        <w:rPr>
          <w:spacing w:val="-11"/>
        </w:rPr>
        <w:t> </w:t>
      </w:r>
      <w:r>
        <w:rPr/>
        <w:t>Datt,</w:t>
      </w:r>
      <w:r>
        <w:rPr>
          <w:spacing w:val="-12"/>
        </w:rPr>
        <w:t> </w:t>
      </w:r>
      <w:r>
        <w:rPr/>
        <w:t>R.</w:t>
      </w:r>
      <w:r>
        <w:rPr>
          <w:spacing w:val="-13"/>
        </w:rPr>
        <w:t> </w:t>
      </w:r>
      <w:r>
        <w:rPr/>
        <w:t>(2024).</w:t>
      </w:r>
      <w:r>
        <w:rPr>
          <w:spacing w:val="-12"/>
        </w:rPr>
        <w:t> </w:t>
      </w:r>
      <w:r>
        <w:rPr/>
        <w:t>Carbon</w:t>
      </w:r>
      <w:r>
        <w:rPr>
          <w:spacing w:val="-12"/>
        </w:rPr>
        <w:t> </w:t>
      </w:r>
      <w:r>
        <w:rPr/>
        <w:t>assurance,</w:t>
      </w:r>
      <w:r>
        <w:rPr>
          <w:spacing w:val="-12"/>
        </w:rPr>
        <w:t> </w:t>
      </w:r>
      <w:r>
        <w:rPr/>
        <w:t>corporate capital structure, and debt maturity: Global evidence. </w:t>
      </w:r>
      <w:r>
        <w:rPr>
          <w:i/>
        </w:rPr>
        <w:t>Economics Letters, 245</w:t>
      </w:r>
      <w:r>
        <w:rPr/>
        <w:t>, 112067.</w:t>
      </w:r>
    </w:p>
    <w:p>
      <w:pPr>
        <w:spacing w:before="240"/>
        <w:ind w:left="1288" w:right="567" w:hanging="721"/>
        <w:jc w:val="both"/>
        <w:rPr>
          <w:sz w:val="24"/>
        </w:rPr>
      </w:pPr>
      <w:r>
        <w:rPr>
          <w:sz w:val="24"/>
        </w:rPr>
        <w:t>Casey,</w:t>
      </w:r>
      <w:r>
        <w:rPr>
          <w:spacing w:val="-11"/>
          <w:sz w:val="24"/>
        </w:rPr>
        <w:t> </w:t>
      </w:r>
      <w:r>
        <w:rPr>
          <w:sz w:val="24"/>
        </w:rPr>
        <w:t>R.</w:t>
      </w:r>
      <w:r>
        <w:rPr>
          <w:spacing w:val="-12"/>
          <w:sz w:val="24"/>
        </w:rPr>
        <w:t> </w:t>
      </w:r>
      <w:r>
        <w:rPr>
          <w:sz w:val="24"/>
        </w:rPr>
        <w:t>J.,</w:t>
      </w:r>
      <w:r>
        <w:rPr>
          <w:spacing w:val="-11"/>
          <w:sz w:val="24"/>
        </w:rPr>
        <w:t> </w:t>
      </w:r>
      <w:r>
        <w:rPr>
          <w:sz w:val="24"/>
        </w:rPr>
        <w:t>&amp;</w:t>
      </w:r>
      <w:r>
        <w:rPr>
          <w:spacing w:val="-10"/>
          <w:sz w:val="24"/>
        </w:rPr>
        <w:t> </w:t>
      </w:r>
      <w:r>
        <w:rPr>
          <w:sz w:val="24"/>
        </w:rPr>
        <w:t>Grenier,</w:t>
      </w:r>
      <w:r>
        <w:rPr>
          <w:spacing w:val="-11"/>
          <w:sz w:val="24"/>
        </w:rPr>
        <w:t> </w:t>
      </w:r>
      <w:r>
        <w:rPr>
          <w:sz w:val="24"/>
        </w:rPr>
        <w:t>J.</w:t>
      </w:r>
      <w:r>
        <w:rPr>
          <w:spacing w:val="-11"/>
          <w:sz w:val="24"/>
        </w:rPr>
        <w:t> </w:t>
      </w:r>
      <w:r>
        <w:rPr>
          <w:sz w:val="24"/>
        </w:rPr>
        <w:t>H.</w:t>
      </w:r>
      <w:r>
        <w:rPr>
          <w:spacing w:val="-11"/>
          <w:sz w:val="24"/>
        </w:rPr>
        <w:t> </w:t>
      </w:r>
      <w:r>
        <w:rPr>
          <w:sz w:val="24"/>
        </w:rPr>
        <w:t>(2015).</w:t>
      </w:r>
      <w:r>
        <w:rPr>
          <w:spacing w:val="-11"/>
          <w:sz w:val="24"/>
        </w:rPr>
        <w:t> </w:t>
      </w:r>
      <w:r>
        <w:rPr>
          <w:sz w:val="24"/>
        </w:rPr>
        <w:t>Understanding</w:t>
      </w:r>
      <w:r>
        <w:rPr>
          <w:spacing w:val="-14"/>
          <w:sz w:val="24"/>
        </w:rPr>
        <w:t> </w:t>
      </w:r>
      <w:r>
        <w:rPr>
          <w:sz w:val="24"/>
        </w:rPr>
        <w:t>and</w:t>
      </w:r>
      <w:r>
        <w:rPr>
          <w:spacing w:val="-11"/>
          <w:sz w:val="24"/>
        </w:rPr>
        <w:t> </w:t>
      </w:r>
      <w:r>
        <w:rPr>
          <w:sz w:val="24"/>
        </w:rPr>
        <w:t>contributing</w:t>
      </w:r>
      <w:r>
        <w:rPr>
          <w:spacing w:val="-14"/>
          <w:sz w:val="24"/>
        </w:rPr>
        <w:t> </w:t>
      </w:r>
      <w:r>
        <w:rPr>
          <w:sz w:val="24"/>
        </w:rPr>
        <w:t>to</w:t>
      </w:r>
      <w:r>
        <w:rPr>
          <w:spacing w:val="-11"/>
          <w:sz w:val="24"/>
        </w:rPr>
        <w:t> </w:t>
      </w:r>
      <w:r>
        <w:rPr>
          <w:sz w:val="24"/>
        </w:rPr>
        <w:t>the</w:t>
      </w:r>
      <w:r>
        <w:rPr>
          <w:spacing w:val="-14"/>
          <w:sz w:val="24"/>
        </w:rPr>
        <w:t> </w:t>
      </w:r>
      <w:r>
        <w:rPr>
          <w:sz w:val="24"/>
        </w:rPr>
        <w:t>enigma of corporate social responsibility (CSR) assurance in the United States. </w:t>
      </w:r>
      <w:r>
        <w:rPr>
          <w:i/>
          <w:sz w:val="24"/>
        </w:rPr>
        <w:t>Auditing: A Journal of Practice &amp; Theory, 34</w:t>
      </w:r>
      <w:r>
        <w:rPr>
          <w:sz w:val="24"/>
        </w:rPr>
        <w:t>(1), 97–130.</w:t>
      </w:r>
    </w:p>
    <w:p>
      <w:pPr>
        <w:spacing w:before="241"/>
        <w:ind w:left="1288" w:right="567" w:hanging="721"/>
        <w:jc w:val="both"/>
        <w:rPr>
          <w:sz w:val="24"/>
        </w:rPr>
      </w:pPr>
      <w:r>
        <w:rPr>
          <w:sz w:val="24"/>
        </w:rPr>
        <w:t>Damayanti,</w:t>
      </w:r>
      <w:r>
        <w:rPr>
          <w:spacing w:val="-9"/>
          <w:sz w:val="24"/>
        </w:rPr>
        <w:t> </w:t>
      </w:r>
      <w:r>
        <w:rPr>
          <w:sz w:val="24"/>
        </w:rPr>
        <w:t>A.,</w:t>
      </w:r>
      <w:r>
        <w:rPr>
          <w:spacing w:val="-9"/>
          <w:sz w:val="24"/>
        </w:rPr>
        <w:t> </w:t>
      </w:r>
      <w:r>
        <w:rPr>
          <w:sz w:val="24"/>
        </w:rPr>
        <w:t>&amp;</w:t>
      </w:r>
      <w:r>
        <w:rPr>
          <w:spacing w:val="-8"/>
          <w:sz w:val="24"/>
        </w:rPr>
        <w:t> </w:t>
      </w:r>
      <w:r>
        <w:rPr>
          <w:sz w:val="24"/>
        </w:rPr>
        <w:t>Astuti,</w:t>
      </w:r>
      <w:r>
        <w:rPr>
          <w:spacing w:val="-9"/>
          <w:sz w:val="24"/>
        </w:rPr>
        <w:t> </w:t>
      </w:r>
      <w:r>
        <w:rPr>
          <w:sz w:val="24"/>
        </w:rPr>
        <w:t>S.</w:t>
      </w:r>
      <w:r>
        <w:rPr>
          <w:spacing w:val="-9"/>
          <w:sz w:val="24"/>
        </w:rPr>
        <w:t> </w:t>
      </w:r>
      <w:r>
        <w:rPr>
          <w:sz w:val="24"/>
        </w:rPr>
        <w:t>B.</w:t>
      </w:r>
      <w:r>
        <w:rPr>
          <w:spacing w:val="-9"/>
          <w:sz w:val="24"/>
        </w:rPr>
        <w:t> </w:t>
      </w:r>
      <w:r>
        <w:rPr>
          <w:sz w:val="24"/>
        </w:rPr>
        <w:t>(2022).</w:t>
      </w:r>
      <w:r>
        <w:rPr>
          <w:spacing w:val="-8"/>
          <w:sz w:val="24"/>
        </w:rPr>
        <w:t> </w:t>
      </w:r>
      <w:r>
        <w:rPr>
          <w:sz w:val="24"/>
        </w:rPr>
        <w:t>Pengaruh</w:t>
      </w:r>
      <w:r>
        <w:rPr>
          <w:spacing w:val="-8"/>
          <w:sz w:val="24"/>
        </w:rPr>
        <w:t> </w:t>
      </w:r>
      <w:r>
        <w:rPr>
          <w:sz w:val="24"/>
        </w:rPr>
        <w:t>green</w:t>
      </w:r>
      <w:r>
        <w:rPr>
          <w:spacing w:val="-9"/>
          <w:sz w:val="24"/>
        </w:rPr>
        <w:t> </w:t>
      </w:r>
      <w:r>
        <w:rPr>
          <w:sz w:val="24"/>
        </w:rPr>
        <w:t>accounting</w:t>
      </w:r>
      <w:r>
        <w:rPr>
          <w:spacing w:val="-13"/>
          <w:sz w:val="24"/>
        </w:rPr>
        <w:t> </w:t>
      </w:r>
      <w:r>
        <w:rPr>
          <w:sz w:val="24"/>
        </w:rPr>
        <w:t>terhadap</w:t>
      </w:r>
      <w:r>
        <w:rPr>
          <w:spacing w:val="-9"/>
          <w:sz w:val="24"/>
        </w:rPr>
        <w:t> </w:t>
      </w:r>
      <w:r>
        <w:rPr>
          <w:sz w:val="24"/>
        </w:rPr>
        <w:t>kinerja perusahaan. </w:t>
      </w:r>
      <w:r>
        <w:rPr>
          <w:i/>
          <w:sz w:val="24"/>
        </w:rPr>
        <w:t>Relevan: Jurnal Riset Akuntansi, 2</w:t>
      </w:r>
      <w:r>
        <w:rPr>
          <w:sz w:val="24"/>
        </w:rPr>
        <w:t>(2), 116–125.</w:t>
      </w:r>
    </w:p>
    <w:p>
      <w:pPr>
        <w:spacing w:before="240"/>
        <w:ind w:left="1288" w:right="566" w:hanging="721"/>
        <w:jc w:val="both"/>
        <w:rPr>
          <w:sz w:val="24"/>
        </w:rPr>
      </w:pPr>
      <w:r>
        <w:rPr>
          <w:sz w:val="24"/>
        </w:rPr>
        <w:t>Darsono,</w:t>
      </w:r>
      <w:r>
        <w:rPr>
          <w:spacing w:val="-15"/>
          <w:sz w:val="24"/>
        </w:rPr>
        <w:t> </w:t>
      </w:r>
      <w:r>
        <w:rPr>
          <w:sz w:val="24"/>
        </w:rPr>
        <w:t>P.</w:t>
      </w:r>
      <w:r>
        <w:rPr>
          <w:spacing w:val="-15"/>
          <w:sz w:val="24"/>
        </w:rPr>
        <w:t> </w:t>
      </w:r>
      <w:r>
        <w:rPr>
          <w:sz w:val="24"/>
        </w:rPr>
        <w:t>(2005).</w:t>
      </w:r>
      <w:r>
        <w:rPr>
          <w:spacing w:val="-15"/>
          <w:sz w:val="24"/>
        </w:rPr>
        <w:t> </w:t>
      </w:r>
      <w:r>
        <w:rPr>
          <w:i/>
          <w:sz w:val="24"/>
        </w:rPr>
        <w:t>Manajemen</w:t>
      </w:r>
      <w:r>
        <w:rPr>
          <w:i/>
          <w:spacing w:val="-15"/>
          <w:sz w:val="24"/>
        </w:rPr>
        <w:t> </w:t>
      </w:r>
      <w:r>
        <w:rPr>
          <w:i/>
          <w:sz w:val="24"/>
        </w:rPr>
        <w:t>keuangan:</w:t>
      </w:r>
      <w:r>
        <w:rPr>
          <w:i/>
          <w:spacing w:val="-15"/>
          <w:sz w:val="24"/>
        </w:rPr>
        <w:t> </w:t>
      </w:r>
      <w:r>
        <w:rPr>
          <w:i/>
          <w:sz w:val="24"/>
        </w:rPr>
        <w:t>Pendekatan</w:t>
      </w:r>
      <w:r>
        <w:rPr>
          <w:i/>
          <w:spacing w:val="-15"/>
          <w:sz w:val="24"/>
        </w:rPr>
        <w:t> </w:t>
      </w:r>
      <w:r>
        <w:rPr>
          <w:i/>
          <w:sz w:val="24"/>
        </w:rPr>
        <w:t>praktis</w:t>
      </w:r>
      <w:r>
        <w:rPr>
          <w:i/>
          <w:spacing w:val="-15"/>
          <w:sz w:val="24"/>
        </w:rPr>
        <w:t> </w:t>
      </w:r>
      <w:r>
        <w:rPr>
          <w:i/>
          <w:sz w:val="24"/>
        </w:rPr>
        <w:t>kajian</w:t>
      </w:r>
      <w:r>
        <w:rPr>
          <w:i/>
          <w:spacing w:val="-15"/>
          <w:sz w:val="24"/>
        </w:rPr>
        <w:t> </w:t>
      </w:r>
      <w:r>
        <w:rPr>
          <w:i/>
          <w:sz w:val="24"/>
        </w:rPr>
        <w:t>pengambilan keputusan bisnis berbasis analisis keuangan</w:t>
      </w:r>
      <w:r>
        <w:rPr>
          <w:sz w:val="24"/>
        </w:rPr>
        <w:t>. Diadit Media.</w:t>
      </w:r>
    </w:p>
    <w:p>
      <w:pPr>
        <w:spacing w:after="0"/>
        <w:jc w:val="both"/>
        <w:rPr>
          <w:sz w:val="24"/>
        </w:rPr>
        <w:sectPr>
          <w:pgSz w:w="11910" w:h="16840"/>
          <w:pgMar w:header="710" w:footer="0" w:top="1920" w:bottom="280" w:left="1700" w:right="1133"/>
        </w:sectPr>
      </w:pPr>
    </w:p>
    <w:p>
      <w:pPr>
        <w:pStyle w:val="BodyText"/>
        <w:spacing w:before="48"/>
      </w:pPr>
    </w:p>
    <w:p>
      <w:pPr>
        <w:spacing w:before="0"/>
        <w:ind w:left="1288" w:right="564" w:hanging="721"/>
        <w:jc w:val="both"/>
        <w:rPr>
          <w:rFonts w:ascii="Arial MT"/>
          <w:sz w:val="20"/>
        </w:rPr>
      </w:pPr>
      <w:r>
        <w:rPr>
          <w:color w:val="212121"/>
          <w:sz w:val="24"/>
        </w:rPr>
        <w:t>Diamond, D. W. (1991). Debt maturity structure and liquidity risk. </w:t>
      </w:r>
      <w:r>
        <w:rPr>
          <w:i/>
          <w:color w:val="212121"/>
          <w:sz w:val="24"/>
        </w:rPr>
        <w:t>The Quarterly Journal of economics</w:t>
      </w:r>
      <w:r>
        <w:rPr>
          <w:color w:val="212121"/>
          <w:sz w:val="24"/>
        </w:rPr>
        <w:t>, </w:t>
      </w:r>
      <w:r>
        <w:rPr>
          <w:i/>
          <w:color w:val="212121"/>
          <w:sz w:val="24"/>
        </w:rPr>
        <w:t>106</w:t>
      </w:r>
      <w:r>
        <w:rPr>
          <w:color w:val="212121"/>
          <w:sz w:val="24"/>
        </w:rPr>
        <w:t>(3), 709-737</w:t>
      </w:r>
      <w:r>
        <w:rPr>
          <w:rFonts w:ascii="Arial MT"/>
          <w:color w:val="212121"/>
          <w:sz w:val="20"/>
        </w:rPr>
        <w:t>.</w:t>
      </w:r>
    </w:p>
    <w:p>
      <w:pPr>
        <w:pStyle w:val="BodyText"/>
        <w:spacing w:before="241"/>
        <w:ind w:left="1288" w:right="569" w:hanging="721"/>
        <w:jc w:val="both"/>
      </w:pPr>
      <w:r>
        <w:rPr>
          <w:color w:val="212121"/>
        </w:rPr>
        <w:t>Diamond,</w:t>
      </w:r>
      <w:r>
        <w:rPr>
          <w:color w:val="212121"/>
          <w:spacing w:val="-3"/>
        </w:rPr>
        <w:t> </w:t>
      </w:r>
      <w:r>
        <w:rPr>
          <w:color w:val="212121"/>
        </w:rPr>
        <w:t>D.</w:t>
      </w:r>
      <w:r>
        <w:rPr>
          <w:color w:val="212121"/>
          <w:spacing w:val="-3"/>
        </w:rPr>
        <w:t> </w:t>
      </w:r>
      <w:r>
        <w:rPr>
          <w:color w:val="212121"/>
        </w:rPr>
        <w:t>W.,</w:t>
      </w:r>
      <w:r>
        <w:rPr>
          <w:color w:val="212121"/>
          <w:spacing w:val="-3"/>
        </w:rPr>
        <w:t> </w:t>
      </w:r>
      <w:r>
        <w:rPr>
          <w:color w:val="212121"/>
        </w:rPr>
        <w:t>&amp;</w:t>
      </w:r>
      <w:r>
        <w:rPr>
          <w:color w:val="212121"/>
          <w:spacing w:val="-3"/>
        </w:rPr>
        <w:t> </w:t>
      </w:r>
      <w:r>
        <w:rPr>
          <w:color w:val="212121"/>
        </w:rPr>
        <w:t>He,</w:t>
      </w:r>
      <w:r>
        <w:rPr>
          <w:color w:val="212121"/>
          <w:spacing w:val="-3"/>
        </w:rPr>
        <w:t> </w:t>
      </w:r>
      <w:r>
        <w:rPr>
          <w:color w:val="212121"/>
        </w:rPr>
        <w:t>Z.</w:t>
      </w:r>
      <w:r>
        <w:rPr>
          <w:color w:val="212121"/>
          <w:spacing w:val="-3"/>
        </w:rPr>
        <w:t> </w:t>
      </w:r>
      <w:r>
        <w:rPr>
          <w:color w:val="212121"/>
        </w:rPr>
        <w:t>(2014).</w:t>
      </w:r>
      <w:r>
        <w:rPr>
          <w:color w:val="212121"/>
          <w:spacing w:val="-3"/>
        </w:rPr>
        <w:t> </w:t>
      </w:r>
      <w:r>
        <w:rPr>
          <w:color w:val="212121"/>
        </w:rPr>
        <w:t>A</w:t>
      </w:r>
      <w:r>
        <w:rPr>
          <w:color w:val="212121"/>
          <w:spacing w:val="-8"/>
        </w:rPr>
        <w:t> </w:t>
      </w:r>
      <w:r>
        <w:rPr>
          <w:color w:val="212121"/>
        </w:rPr>
        <w:t>theory</w:t>
      </w:r>
      <w:r>
        <w:rPr>
          <w:color w:val="212121"/>
          <w:spacing w:val="-10"/>
        </w:rPr>
        <w:t> </w:t>
      </w:r>
      <w:r>
        <w:rPr>
          <w:color w:val="212121"/>
        </w:rPr>
        <w:t>of</w:t>
      </w:r>
      <w:r>
        <w:rPr>
          <w:color w:val="212121"/>
          <w:spacing w:val="-3"/>
        </w:rPr>
        <w:t> </w:t>
      </w:r>
      <w:r>
        <w:rPr>
          <w:color w:val="212121"/>
        </w:rPr>
        <w:t>debt maturity:</w:t>
      </w:r>
      <w:r>
        <w:rPr>
          <w:color w:val="212121"/>
          <w:spacing w:val="-9"/>
        </w:rPr>
        <w:t> </w:t>
      </w:r>
      <w:r>
        <w:rPr>
          <w:color w:val="212121"/>
        </w:rPr>
        <w:t>the</w:t>
      </w:r>
      <w:r>
        <w:rPr>
          <w:color w:val="212121"/>
          <w:spacing w:val="-2"/>
        </w:rPr>
        <w:t> </w:t>
      </w:r>
      <w:r>
        <w:rPr>
          <w:color w:val="212121"/>
        </w:rPr>
        <w:t>long</w:t>
      </w:r>
      <w:r>
        <w:rPr>
          <w:color w:val="212121"/>
          <w:spacing w:val="-7"/>
        </w:rPr>
        <w:t> </w:t>
      </w:r>
      <w:r>
        <w:rPr>
          <w:color w:val="212121"/>
        </w:rPr>
        <w:t>and</w:t>
      </w:r>
      <w:r>
        <w:rPr>
          <w:color w:val="212121"/>
          <w:spacing w:val="-3"/>
        </w:rPr>
        <w:t> </w:t>
      </w:r>
      <w:r>
        <w:rPr>
          <w:color w:val="212121"/>
        </w:rPr>
        <w:t>short</w:t>
      </w:r>
      <w:r>
        <w:rPr>
          <w:color w:val="212121"/>
          <w:spacing w:val="-2"/>
        </w:rPr>
        <w:t> </w:t>
      </w:r>
      <w:r>
        <w:rPr>
          <w:color w:val="212121"/>
        </w:rPr>
        <w:t>of debt overhang. </w:t>
      </w:r>
      <w:r>
        <w:rPr>
          <w:i/>
          <w:color w:val="212121"/>
        </w:rPr>
        <w:t>The Journal of Finance</w:t>
      </w:r>
      <w:r>
        <w:rPr>
          <w:color w:val="212121"/>
        </w:rPr>
        <w:t>, </w:t>
      </w:r>
      <w:r>
        <w:rPr>
          <w:i/>
          <w:color w:val="212121"/>
        </w:rPr>
        <w:t>69</w:t>
      </w:r>
      <w:r>
        <w:rPr>
          <w:color w:val="212121"/>
        </w:rPr>
        <w:t>(2), 719-762.</w:t>
      </w:r>
    </w:p>
    <w:p>
      <w:pPr>
        <w:spacing w:before="240"/>
        <w:ind w:left="1288" w:right="561" w:hanging="721"/>
        <w:jc w:val="both"/>
        <w:rPr>
          <w:sz w:val="24"/>
        </w:rPr>
      </w:pPr>
      <w:r>
        <w:rPr>
          <w:sz w:val="24"/>
        </w:rPr>
        <w:t>Elkington, J. (1998). Accounting for the triple bottom line. </w:t>
      </w:r>
      <w:r>
        <w:rPr>
          <w:i/>
          <w:sz w:val="24"/>
        </w:rPr>
        <w:t>Measuring Business Excellence, 2</w:t>
      </w:r>
      <w:r>
        <w:rPr>
          <w:sz w:val="24"/>
        </w:rPr>
        <w:t>(3), 18–22. </w:t>
      </w:r>
      <w:hyperlink r:id="rId22">
        <w:r>
          <w:rPr>
            <w:color w:val="0462C1"/>
            <w:sz w:val="24"/>
            <w:u w:val="single" w:color="0462C1"/>
          </w:rPr>
          <w:t>https://doi.org/10.1108/eb025539</w:t>
        </w:r>
      </w:hyperlink>
    </w:p>
    <w:p>
      <w:pPr>
        <w:spacing w:before="240"/>
        <w:ind w:left="568" w:right="0" w:firstLine="0"/>
        <w:jc w:val="left"/>
        <w:rPr>
          <w:sz w:val="24"/>
        </w:rPr>
      </w:pPr>
      <w:r>
        <w:rPr>
          <w:sz w:val="24"/>
        </w:rPr>
        <w:t>Freeman,</w:t>
      </w:r>
      <w:r>
        <w:rPr>
          <w:spacing w:val="32"/>
          <w:sz w:val="24"/>
        </w:rPr>
        <w:t>  </w:t>
      </w:r>
      <w:r>
        <w:rPr>
          <w:sz w:val="24"/>
        </w:rPr>
        <w:t>R.</w:t>
      </w:r>
      <w:r>
        <w:rPr>
          <w:spacing w:val="33"/>
          <w:sz w:val="24"/>
        </w:rPr>
        <w:t>  </w:t>
      </w:r>
      <w:r>
        <w:rPr>
          <w:sz w:val="24"/>
        </w:rPr>
        <w:t>E.</w:t>
      </w:r>
      <w:r>
        <w:rPr>
          <w:spacing w:val="31"/>
          <w:sz w:val="24"/>
        </w:rPr>
        <w:t>  </w:t>
      </w:r>
      <w:r>
        <w:rPr>
          <w:sz w:val="24"/>
        </w:rPr>
        <w:t>(1984).</w:t>
      </w:r>
      <w:r>
        <w:rPr>
          <w:spacing w:val="35"/>
          <w:sz w:val="24"/>
        </w:rPr>
        <w:t>  </w:t>
      </w:r>
      <w:r>
        <w:rPr>
          <w:i/>
          <w:sz w:val="24"/>
        </w:rPr>
        <w:t>Strategic</w:t>
      </w:r>
      <w:r>
        <w:rPr>
          <w:i/>
          <w:spacing w:val="32"/>
          <w:sz w:val="24"/>
        </w:rPr>
        <w:t>  </w:t>
      </w:r>
      <w:r>
        <w:rPr>
          <w:i/>
          <w:sz w:val="24"/>
        </w:rPr>
        <w:t>management:</w:t>
      </w:r>
      <w:r>
        <w:rPr>
          <w:i/>
          <w:spacing w:val="32"/>
          <w:sz w:val="24"/>
        </w:rPr>
        <w:t>  </w:t>
      </w:r>
      <w:r>
        <w:rPr>
          <w:i/>
          <w:sz w:val="24"/>
        </w:rPr>
        <w:t>A</w:t>
      </w:r>
      <w:r>
        <w:rPr>
          <w:i/>
          <w:spacing w:val="32"/>
          <w:sz w:val="24"/>
        </w:rPr>
        <w:t>  </w:t>
      </w:r>
      <w:r>
        <w:rPr>
          <w:i/>
          <w:sz w:val="24"/>
        </w:rPr>
        <w:t>stakeholder</w:t>
      </w:r>
      <w:r>
        <w:rPr>
          <w:i/>
          <w:spacing w:val="33"/>
          <w:sz w:val="24"/>
        </w:rPr>
        <w:t>  </w:t>
      </w:r>
      <w:r>
        <w:rPr>
          <w:i/>
          <w:spacing w:val="-2"/>
          <w:sz w:val="24"/>
        </w:rPr>
        <w:t>approach</w:t>
      </w:r>
      <w:r>
        <w:rPr>
          <w:spacing w:val="-2"/>
          <w:sz w:val="24"/>
        </w:rPr>
        <w:t>.</w:t>
      </w:r>
    </w:p>
    <w:p>
      <w:pPr>
        <w:pStyle w:val="BodyText"/>
        <w:ind w:left="1288"/>
      </w:pPr>
      <w:r>
        <w:rPr>
          <w:spacing w:val="-2"/>
        </w:rPr>
        <w:t>Pitman/Ballinger.</w:t>
      </w:r>
    </w:p>
    <w:p>
      <w:pPr>
        <w:pStyle w:val="BodyText"/>
        <w:spacing w:before="240"/>
        <w:ind w:left="568"/>
      </w:pPr>
      <w:r>
        <w:rPr/>
        <w:t>Global</w:t>
      </w:r>
      <w:r>
        <w:rPr>
          <w:spacing w:val="-6"/>
        </w:rPr>
        <w:t> </w:t>
      </w:r>
      <w:r>
        <w:rPr/>
        <w:t>Reporting</w:t>
      </w:r>
      <w:r>
        <w:rPr>
          <w:spacing w:val="-8"/>
        </w:rPr>
        <w:t> </w:t>
      </w:r>
      <w:r>
        <w:rPr/>
        <w:t>Initiative</w:t>
      </w:r>
      <w:r>
        <w:rPr>
          <w:spacing w:val="-2"/>
        </w:rPr>
        <w:t> </w:t>
      </w:r>
      <w:r>
        <w:rPr/>
        <w:t>Standards.</w:t>
      </w:r>
      <w:r>
        <w:rPr>
          <w:spacing w:val="-4"/>
        </w:rPr>
        <w:t> </w:t>
      </w:r>
      <w:r>
        <w:rPr/>
        <w:t>(2016).</w:t>
      </w:r>
      <w:r>
        <w:rPr>
          <w:spacing w:val="3"/>
        </w:rPr>
        <w:t> </w:t>
      </w:r>
      <w:hyperlink r:id="rId23">
        <w:r>
          <w:rPr>
            <w:color w:val="0462C1"/>
            <w:spacing w:val="-2"/>
            <w:u w:val="single" w:color="0462C1"/>
          </w:rPr>
          <w:t>www.globalreporting.org</w:t>
        </w:r>
      </w:hyperlink>
    </w:p>
    <w:p>
      <w:pPr>
        <w:spacing w:before="240"/>
        <w:ind w:left="1288" w:right="566" w:hanging="721"/>
        <w:jc w:val="both"/>
        <w:rPr>
          <w:sz w:val="24"/>
        </w:rPr>
      </w:pPr>
      <w:r>
        <w:rPr>
          <w:sz w:val="24"/>
        </w:rPr>
        <w:t>Ghozali, I. (2018). </w:t>
      </w:r>
      <w:r>
        <w:rPr>
          <w:i/>
          <w:sz w:val="24"/>
        </w:rPr>
        <w:t>Aplikasi analisis multivariate dengan program SPSS 25 </w:t>
      </w:r>
      <w:r>
        <w:rPr>
          <w:sz w:val="24"/>
        </w:rPr>
        <w:t>(9th ed.). Badan Penerbit Universitas Diponegoro.</w:t>
      </w:r>
    </w:p>
    <w:p>
      <w:pPr>
        <w:pStyle w:val="BodyText"/>
        <w:spacing w:before="240"/>
        <w:ind w:left="1288" w:right="563" w:hanging="721"/>
        <w:jc w:val="both"/>
      </w:pPr>
      <w:r>
        <w:rPr/>
        <w:t>Gul,</w:t>
      </w:r>
      <w:r>
        <w:rPr>
          <w:spacing w:val="-1"/>
        </w:rPr>
        <w:t> </w:t>
      </w:r>
      <w:r>
        <w:rPr/>
        <w:t>F.</w:t>
      </w:r>
      <w:r>
        <w:rPr>
          <w:spacing w:val="-3"/>
        </w:rPr>
        <w:t> </w:t>
      </w:r>
      <w:r>
        <w:rPr/>
        <w:t>A.,</w:t>
      </w:r>
      <w:r>
        <w:rPr>
          <w:spacing w:val="-1"/>
        </w:rPr>
        <w:t> </w:t>
      </w:r>
      <w:r>
        <w:rPr/>
        <w:t>Fung,</w:t>
      </w:r>
      <w:r>
        <w:rPr>
          <w:spacing w:val="-3"/>
        </w:rPr>
        <w:t> </w:t>
      </w:r>
      <w:r>
        <w:rPr/>
        <w:t>S.</w:t>
      </w:r>
      <w:r>
        <w:rPr>
          <w:spacing w:val="-8"/>
        </w:rPr>
        <w:t> </w:t>
      </w:r>
      <w:r>
        <w:rPr/>
        <w:t>Y.</w:t>
      </w:r>
      <w:r>
        <w:rPr>
          <w:spacing w:val="-1"/>
        </w:rPr>
        <w:t> </w:t>
      </w:r>
      <w:r>
        <w:rPr/>
        <w:t>K.,</w:t>
      </w:r>
      <w:r>
        <w:rPr>
          <w:spacing w:val="-8"/>
        </w:rPr>
        <w:t> </w:t>
      </w:r>
      <w:r>
        <w:rPr/>
        <w:t>&amp;</w:t>
      </w:r>
      <w:r>
        <w:rPr>
          <w:spacing w:val="-7"/>
        </w:rPr>
        <w:t> </w:t>
      </w:r>
      <w:r>
        <w:rPr/>
        <w:t>Jaggi,</w:t>
      </w:r>
      <w:r>
        <w:rPr>
          <w:spacing w:val="-3"/>
        </w:rPr>
        <w:t> </w:t>
      </w:r>
      <w:r>
        <w:rPr/>
        <w:t>B.</w:t>
      </w:r>
      <w:r>
        <w:rPr>
          <w:spacing w:val="-8"/>
        </w:rPr>
        <w:t> </w:t>
      </w:r>
      <w:r>
        <w:rPr/>
        <w:t>(2009).</w:t>
      </w:r>
      <w:r>
        <w:rPr>
          <w:spacing w:val="-7"/>
        </w:rPr>
        <w:t> </w:t>
      </w:r>
      <w:r>
        <w:rPr/>
        <w:t>Earnings</w:t>
      </w:r>
      <w:r>
        <w:rPr>
          <w:spacing w:val="-9"/>
        </w:rPr>
        <w:t> </w:t>
      </w:r>
      <w:r>
        <w:rPr/>
        <w:t>quality:</w:t>
      </w:r>
      <w:r>
        <w:rPr>
          <w:spacing w:val="-6"/>
        </w:rPr>
        <w:t> </w:t>
      </w:r>
      <w:r>
        <w:rPr/>
        <w:t>Some</w:t>
      </w:r>
      <w:r>
        <w:rPr>
          <w:spacing w:val="-6"/>
        </w:rPr>
        <w:t> </w:t>
      </w:r>
      <w:r>
        <w:rPr/>
        <w:t>evidence</w:t>
      </w:r>
      <w:r>
        <w:rPr>
          <w:spacing w:val="-6"/>
        </w:rPr>
        <w:t> </w:t>
      </w:r>
      <w:r>
        <w:rPr/>
        <w:t>on the role of auditor tenure and auditors' industry expertise. </w:t>
      </w:r>
      <w:r>
        <w:rPr>
          <w:i/>
        </w:rPr>
        <w:t>Journal of Accounting and Economics</w:t>
      </w:r>
      <w:r>
        <w:rPr/>
        <w:t>, 47(3), 265–287. https://doi.org/10.1016/j. </w:t>
      </w:r>
      <w:r>
        <w:rPr>
          <w:spacing w:val="-2"/>
        </w:rPr>
        <w:t>jacceco.2009.03.001</w:t>
      </w:r>
    </w:p>
    <w:p>
      <w:pPr>
        <w:pStyle w:val="BodyText"/>
        <w:spacing w:before="161"/>
        <w:ind w:left="1288" w:right="562" w:hanging="721"/>
        <w:jc w:val="both"/>
      </w:pPr>
      <w:r>
        <w:rPr/>
        <w:t>Gunawan,</w:t>
      </w:r>
      <w:r>
        <w:rPr>
          <w:spacing w:val="-7"/>
        </w:rPr>
        <w:t> </w:t>
      </w:r>
      <w:r>
        <w:rPr/>
        <w:t>Y.,</w:t>
      </w:r>
      <w:r>
        <w:rPr>
          <w:spacing w:val="-7"/>
        </w:rPr>
        <w:t> </w:t>
      </w:r>
      <w:r>
        <w:rPr/>
        <w:t>&amp;</w:t>
      </w:r>
      <w:r>
        <w:rPr>
          <w:spacing w:val="-6"/>
        </w:rPr>
        <w:t> </w:t>
      </w:r>
      <w:r>
        <w:rPr/>
        <w:t>Mayangsari,</w:t>
      </w:r>
      <w:r>
        <w:rPr>
          <w:spacing w:val="-7"/>
        </w:rPr>
        <w:t> </w:t>
      </w:r>
      <w:r>
        <w:rPr/>
        <w:t>S.</w:t>
      </w:r>
      <w:r>
        <w:rPr>
          <w:spacing w:val="-7"/>
        </w:rPr>
        <w:t> </w:t>
      </w:r>
      <w:r>
        <w:rPr/>
        <w:t>(2015).</w:t>
      </w:r>
      <w:r>
        <w:rPr>
          <w:spacing w:val="-6"/>
        </w:rPr>
        <w:t> </w:t>
      </w:r>
      <w:r>
        <w:rPr/>
        <w:t>Pengaruh</w:t>
      </w:r>
      <w:r>
        <w:rPr>
          <w:spacing w:val="-7"/>
        </w:rPr>
        <w:t> </w:t>
      </w:r>
      <w:r>
        <w:rPr/>
        <w:t>sustainability</w:t>
      </w:r>
      <w:r>
        <w:rPr>
          <w:spacing w:val="-14"/>
        </w:rPr>
        <w:t> </w:t>
      </w:r>
      <w:r>
        <w:rPr/>
        <w:t>reporting</w:t>
      </w:r>
      <w:r>
        <w:rPr>
          <w:spacing w:val="-11"/>
        </w:rPr>
        <w:t> </w:t>
      </w:r>
      <w:r>
        <w:rPr/>
        <w:t>terhadap nilai perusahaan dengan investment opportunity set sebagai variabel moderating.</w:t>
      </w:r>
      <w:r>
        <w:rPr>
          <w:spacing w:val="61"/>
          <w:w w:val="150"/>
        </w:rPr>
        <w:t>    </w:t>
      </w:r>
      <w:r>
        <w:rPr>
          <w:i/>
        </w:rPr>
        <w:t>Jurnal</w:t>
      </w:r>
      <w:r>
        <w:rPr>
          <w:i/>
          <w:spacing w:val="62"/>
          <w:w w:val="150"/>
        </w:rPr>
        <w:t>    </w:t>
      </w:r>
      <w:r>
        <w:rPr>
          <w:i/>
        </w:rPr>
        <w:t>Akuntansi</w:t>
      </w:r>
      <w:r>
        <w:rPr>
          <w:i/>
          <w:spacing w:val="60"/>
          <w:w w:val="150"/>
        </w:rPr>
        <w:t>    </w:t>
      </w:r>
      <w:r>
        <w:rPr>
          <w:i/>
        </w:rPr>
        <w:t>Trisakti,</w:t>
      </w:r>
      <w:r>
        <w:rPr>
          <w:i/>
          <w:spacing w:val="62"/>
          <w:w w:val="150"/>
        </w:rPr>
        <w:t>    </w:t>
      </w:r>
      <w:r>
        <w:rPr>
          <w:i/>
        </w:rPr>
        <w:t>2</w:t>
      </w:r>
      <w:r>
        <w:rPr/>
        <w:t>(1),</w:t>
      </w:r>
      <w:r>
        <w:rPr>
          <w:spacing w:val="60"/>
          <w:w w:val="150"/>
        </w:rPr>
        <w:t>    </w:t>
      </w:r>
      <w:r>
        <w:rPr>
          <w:spacing w:val="-5"/>
        </w:rPr>
        <w:t>1.</w:t>
      </w:r>
    </w:p>
    <w:p>
      <w:pPr>
        <w:pStyle w:val="BodyText"/>
        <w:ind w:left="1288"/>
      </w:pPr>
      <w:hyperlink r:id="rId24">
        <w:r>
          <w:rPr>
            <w:color w:val="0462C1"/>
            <w:spacing w:val="-2"/>
            <w:u w:val="single" w:color="0462C1"/>
          </w:rPr>
          <w:t>https://doi.org/10.25105/jat.v2i1.4828</w:t>
        </w:r>
      </w:hyperlink>
    </w:p>
    <w:p>
      <w:pPr>
        <w:pStyle w:val="BodyText"/>
        <w:spacing w:before="241"/>
        <w:ind w:left="1288" w:right="566" w:hanging="721"/>
        <w:jc w:val="both"/>
      </w:pPr>
      <w:r>
        <w:rPr/>
        <w:t>Hapsari, M. D. (2023). Analisis penerapan laporan keberlanjutan (sustainability report) terhadap nilai perusahaan. </w:t>
      </w:r>
      <w:r>
        <w:rPr>
          <w:i/>
        </w:rPr>
        <w:t>Akuntansi 45, 4</w:t>
      </w:r>
      <w:r>
        <w:rPr/>
        <w:t>(1), 65–72.</w:t>
      </w:r>
    </w:p>
    <w:p>
      <w:pPr>
        <w:pStyle w:val="BodyText"/>
        <w:spacing w:before="240"/>
        <w:ind w:left="1288" w:right="562" w:hanging="721"/>
        <w:jc w:val="both"/>
      </w:pPr>
      <w:r>
        <w:rPr/>
        <w:t>Hastawati, R. R., &amp; Sarsiti. (2016). Pengaruh kinerja lingkungan dan corporate social responsibility (CSR) terhadap kinerja keuangan pada perusahaan manufaktur yang terdaftar di Bursa Efek Indonesia tahun 2011–2013. </w:t>
      </w:r>
      <w:r>
        <w:rPr>
          <w:i/>
        </w:rPr>
        <w:t>Jurnal Penelitian dan Kajian Ilmiah, 4</w:t>
      </w:r>
      <w:r>
        <w:rPr/>
        <w:t>(4), Universitas Surakarta.</w:t>
      </w:r>
    </w:p>
    <w:p>
      <w:pPr>
        <w:pStyle w:val="BodyText"/>
        <w:spacing w:before="240"/>
        <w:ind w:left="1288" w:right="563" w:hanging="721"/>
        <w:jc w:val="both"/>
      </w:pPr>
      <w:r>
        <w:rPr/>
        <w:t>Huang, D. Z.-X. (2022). An integrated theory of the firm approach to environmental, social and governance performance. </w:t>
      </w:r>
      <w:r>
        <w:rPr>
          <w:i/>
        </w:rPr>
        <w:t>Accounting and Finance, 62</w:t>
      </w:r>
      <w:r>
        <w:rPr/>
        <w:t>(2), 1567–1598. </w:t>
      </w:r>
      <w:hyperlink r:id="rId25">
        <w:r>
          <w:rPr>
            <w:color w:val="0462C1"/>
            <w:u w:val="single" w:color="0462C1"/>
          </w:rPr>
          <w:t>https://doi.org/10.1111/acfi.12832</w:t>
        </w:r>
      </w:hyperlink>
    </w:p>
    <w:p>
      <w:pPr>
        <w:pStyle w:val="BodyText"/>
        <w:spacing w:before="240"/>
        <w:ind w:left="1288" w:right="564" w:hanging="721"/>
        <w:jc w:val="both"/>
      </w:pPr>
      <w:r>
        <w:rPr/>
        <w:t>Jadoon, I. A., Ali, A., Ayub, U. T., &amp; Mumtaz, R. (2020). The impact of sustainability reporting quality on the value relevance of corporate sustainability performance. </w:t>
      </w:r>
      <w:r>
        <w:rPr>
          <w:i/>
        </w:rPr>
        <w:t>Sustainable Development, 29</w:t>
      </w:r>
      <w:r>
        <w:rPr/>
        <w:t>(1), 155–175.</w:t>
      </w:r>
    </w:p>
    <w:p>
      <w:pPr>
        <w:pStyle w:val="BodyText"/>
        <w:spacing w:before="241"/>
        <w:ind w:left="1288" w:right="565" w:hanging="721"/>
        <w:jc w:val="both"/>
      </w:pPr>
      <w:r>
        <w:rPr/>
        <w:t>Khan, S. A. R., Yu, Z., Golpîra, H., &amp; Sharif, A. (2019). The nexus between corporate social responsibility and corporate performance: An empirical evidence. </w:t>
      </w:r>
      <w:r>
        <w:rPr>
          <w:i/>
        </w:rPr>
        <w:t>LogForum, 15</w:t>
      </w:r>
      <w:r>
        <w:rPr/>
        <w:t>(2).</w:t>
      </w:r>
    </w:p>
    <w:p>
      <w:pPr>
        <w:pStyle w:val="BodyText"/>
        <w:spacing w:after="0"/>
        <w:jc w:val="both"/>
        <w:sectPr>
          <w:pgSz w:w="11910" w:h="16840"/>
          <w:pgMar w:header="710" w:footer="0" w:top="1920" w:bottom="280" w:left="1700" w:right="1133"/>
        </w:sectPr>
      </w:pPr>
    </w:p>
    <w:p>
      <w:pPr>
        <w:pStyle w:val="BodyText"/>
        <w:spacing w:before="48"/>
      </w:pPr>
    </w:p>
    <w:p>
      <w:pPr>
        <w:pStyle w:val="BodyText"/>
        <w:ind w:left="1288" w:right="568" w:hanging="721"/>
        <w:jc w:val="both"/>
      </w:pPr>
      <w:r>
        <w:rPr/>
        <w:t>Kheireddine, H., Lacombe, I., &amp; Jarboui, A. (2024). The moderating effect of environmental performance on the relationship between sustainability assurance quality and firm value: A simultaneous equations approach. </w:t>
      </w:r>
      <w:r>
        <w:rPr>
          <w:i/>
        </w:rPr>
        <w:t>Benchmarking: An International Journal, 31</w:t>
      </w:r>
      <w:r>
        <w:rPr/>
        <w:t>(10), 3690–3722.</w:t>
      </w:r>
    </w:p>
    <w:p>
      <w:pPr>
        <w:spacing w:before="241"/>
        <w:ind w:left="1288" w:right="562" w:hanging="721"/>
        <w:jc w:val="both"/>
        <w:rPr>
          <w:sz w:val="24"/>
        </w:rPr>
      </w:pPr>
      <w:r>
        <w:rPr>
          <w:sz w:val="24"/>
        </w:rPr>
        <w:t>Kurnianta,</w:t>
      </w:r>
      <w:r>
        <w:rPr>
          <w:spacing w:val="-10"/>
          <w:sz w:val="24"/>
        </w:rPr>
        <w:t> </w:t>
      </w:r>
      <w:r>
        <w:rPr>
          <w:sz w:val="24"/>
        </w:rPr>
        <w:t>B.,</w:t>
      </w:r>
      <w:r>
        <w:rPr>
          <w:spacing w:val="-7"/>
          <w:sz w:val="24"/>
        </w:rPr>
        <w:t> </w:t>
      </w:r>
      <w:r>
        <w:rPr>
          <w:sz w:val="24"/>
        </w:rPr>
        <w:t>&amp;</w:t>
      </w:r>
      <w:r>
        <w:rPr>
          <w:spacing w:val="-9"/>
          <w:sz w:val="24"/>
        </w:rPr>
        <w:t> </w:t>
      </w:r>
      <w:r>
        <w:rPr>
          <w:sz w:val="24"/>
        </w:rPr>
        <w:t>Dianawati,</w:t>
      </w:r>
      <w:r>
        <w:rPr>
          <w:spacing w:val="-10"/>
          <w:sz w:val="24"/>
        </w:rPr>
        <w:t> </w:t>
      </w:r>
      <w:r>
        <w:rPr>
          <w:sz w:val="24"/>
        </w:rPr>
        <w:t>W.</w:t>
      </w:r>
      <w:r>
        <w:rPr>
          <w:spacing w:val="-10"/>
          <w:sz w:val="24"/>
        </w:rPr>
        <w:t> </w:t>
      </w:r>
      <w:r>
        <w:rPr>
          <w:sz w:val="24"/>
        </w:rPr>
        <w:t>(2021).</w:t>
      </w:r>
      <w:r>
        <w:rPr>
          <w:spacing w:val="-7"/>
          <w:sz w:val="24"/>
        </w:rPr>
        <w:t> </w:t>
      </w:r>
      <w:r>
        <w:rPr>
          <w:sz w:val="24"/>
        </w:rPr>
        <w:t>The</w:t>
      </w:r>
      <w:r>
        <w:rPr>
          <w:spacing w:val="-9"/>
          <w:sz w:val="24"/>
        </w:rPr>
        <w:t> </w:t>
      </w:r>
      <w:r>
        <w:rPr>
          <w:sz w:val="24"/>
        </w:rPr>
        <w:t>impact</w:t>
      </w:r>
      <w:r>
        <w:rPr>
          <w:spacing w:val="-9"/>
          <w:sz w:val="24"/>
        </w:rPr>
        <w:t> </w:t>
      </w:r>
      <w:r>
        <w:rPr>
          <w:sz w:val="24"/>
        </w:rPr>
        <w:t>of</w:t>
      </w:r>
      <w:r>
        <w:rPr>
          <w:spacing w:val="-10"/>
          <w:sz w:val="24"/>
        </w:rPr>
        <w:t> </w:t>
      </w:r>
      <w:r>
        <w:rPr>
          <w:sz w:val="24"/>
        </w:rPr>
        <w:t>eco-efficiency</w:t>
      </w:r>
      <w:r>
        <w:rPr>
          <w:spacing w:val="-14"/>
          <w:sz w:val="24"/>
        </w:rPr>
        <w:t> </w:t>
      </w:r>
      <w:r>
        <w:rPr>
          <w:sz w:val="24"/>
        </w:rPr>
        <w:t>on</w:t>
      </w:r>
      <w:r>
        <w:rPr>
          <w:spacing w:val="-10"/>
          <w:sz w:val="24"/>
        </w:rPr>
        <w:t> </w:t>
      </w:r>
      <w:r>
        <w:rPr>
          <w:sz w:val="24"/>
        </w:rPr>
        <w:t>firm</w:t>
      </w:r>
      <w:r>
        <w:rPr>
          <w:spacing w:val="-5"/>
          <w:sz w:val="24"/>
        </w:rPr>
        <w:t> </w:t>
      </w:r>
      <w:r>
        <w:rPr>
          <w:sz w:val="24"/>
        </w:rPr>
        <w:t>value and firm size as the moderating variable. </w:t>
      </w:r>
      <w:r>
        <w:rPr>
          <w:i/>
          <w:sz w:val="24"/>
        </w:rPr>
        <w:t>Review of International Geographical Education (RIGEO), 11</w:t>
      </w:r>
      <w:r>
        <w:rPr>
          <w:sz w:val="24"/>
        </w:rPr>
        <w:t>(4), 522–530. </w:t>
      </w:r>
      <w:hyperlink r:id="rId26">
        <w:r>
          <w:rPr>
            <w:color w:val="0462C1"/>
            <w:spacing w:val="-2"/>
            <w:sz w:val="24"/>
            <w:u w:val="single" w:color="0462C1"/>
          </w:rPr>
          <w:t>https://doi.org/10.48047/rigeo.11.04.48</w:t>
        </w:r>
      </w:hyperlink>
    </w:p>
    <w:p>
      <w:pPr>
        <w:spacing w:before="240"/>
        <w:ind w:left="1288" w:right="566" w:hanging="721"/>
        <w:jc w:val="both"/>
        <w:rPr>
          <w:sz w:val="24"/>
        </w:rPr>
      </w:pPr>
      <w:r>
        <w:rPr>
          <w:sz w:val="24"/>
        </w:rPr>
        <w:t>Lemma, T. T., Azmi Shabestari, M., Freedman, M., Lulseged, A., &amp; Mlilo, M. (2020). Corporate carbon risk, voluntary disclosure and debt maturity. </w:t>
      </w:r>
      <w:r>
        <w:rPr>
          <w:i/>
          <w:sz w:val="24"/>
        </w:rPr>
        <w:t>International</w:t>
      </w:r>
      <w:r>
        <w:rPr>
          <w:i/>
          <w:spacing w:val="-7"/>
          <w:sz w:val="24"/>
        </w:rPr>
        <w:t> </w:t>
      </w:r>
      <w:r>
        <w:rPr>
          <w:i/>
          <w:sz w:val="24"/>
        </w:rPr>
        <w:t>Journal</w:t>
      </w:r>
      <w:r>
        <w:rPr>
          <w:i/>
          <w:spacing w:val="-7"/>
          <w:sz w:val="24"/>
        </w:rPr>
        <w:t> </w:t>
      </w:r>
      <w:r>
        <w:rPr>
          <w:i/>
          <w:sz w:val="24"/>
        </w:rPr>
        <w:t>of</w:t>
      </w:r>
      <w:r>
        <w:rPr>
          <w:i/>
          <w:spacing w:val="-7"/>
          <w:sz w:val="24"/>
        </w:rPr>
        <w:t> </w:t>
      </w:r>
      <w:r>
        <w:rPr>
          <w:i/>
          <w:sz w:val="24"/>
        </w:rPr>
        <w:t>Accounting</w:t>
      </w:r>
      <w:r>
        <w:rPr>
          <w:i/>
          <w:spacing w:val="-8"/>
          <w:sz w:val="24"/>
        </w:rPr>
        <w:t> </w:t>
      </w:r>
      <w:r>
        <w:rPr>
          <w:i/>
          <w:sz w:val="24"/>
        </w:rPr>
        <w:t>Information</w:t>
      </w:r>
      <w:r>
        <w:rPr>
          <w:i/>
          <w:spacing w:val="-8"/>
          <w:sz w:val="24"/>
        </w:rPr>
        <w:t> </w:t>
      </w:r>
      <w:r>
        <w:rPr>
          <w:i/>
          <w:sz w:val="24"/>
        </w:rPr>
        <w:t>Management,</w:t>
      </w:r>
      <w:r>
        <w:rPr>
          <w:i/>
          <w:spacing w:val="-8"/>
          <w:sz w:val="24"/>
        </w:rPr>
        <w:t> </w:t>
      </w:r>
      <w:r>
        <w:rPr>
          <w:i/>
          <w:sz w:val="24"/>
        </w:rPr>
        <w:t>28</w:t>
      </w:r>
      <w:r>
        <w:rPr>
          <w:sz w:val="24"/>
        </w:rPr>
        <w:t>(4),</w:t>
      </w:r>
      <w:r>
        <w:rPr>
          <w:spacing w:val="-7"/>
          <w:sz w:val="24"/>
        </w:rPr>
        <w:t> </w:t>
      </w:r>
      <w:r>
        <w:rPr>
          <w:sz w:val="24"/>
        </w:rPr>
        <w:t>667– </w:t>
      </w:r>
      <w:r>
        <w:rPr>
          <w:spacing w:val="-4"/>
          <w:sz w:val="24"/>
        </w:rPr>
        <w:t>683.</w:t>
      </w:r>
    </w:p>
    <w:p>
      <w:pPr>
        <w:pStyle w:val="BodyText"/>
        <w:spacing w:before="241"/>
        <w:ind w:left="1288" w:right="562" w:hanging="721"/>
        <w:jc w:val="both"/>
      </w:pPr>
      <w:r>
        <w:rPr/>
        <w:t>Lim, C. Y., &amp; Tan, H. T. (2008). Non‐audit service fees and audit quality: The impact of auditor specialization. </w:t>
      </w:r>
      <w:r>
        <w:rPr>
          <w:i/>
        </w:rPr>
        <w:t>Journal of Accounting Research</w:t>
      </w:r>
      <w:r>
        <w:rPr/>
        <w:t>, 46(1), 199–246. </w:t>
      </w:r>
      <w:hyperlink r:id="rId27">
        <w:r>
          <w:rPr>
            <w:color w:val="0462C1"/>
            <w:u w:val="single" w:color="0462C1"/>
          </w:rPr>
          <w:t>https://doi.org/10.1111/j.1475‐679X.2007.00266.x</w:t>
        </w:r>
      </w:hyperlink>
    </w:p>
    <w:p>
      <w:pPr>
        <w:pStyle w:val="BodyText"/>
        <w:spacing w:before="160"/>
        <w:ind w:left="1288" w:right="566" w:hanging="721"/>
        <w:jc w:val="both"/>
      </w:pPr>
      <w:r>
        <w:rPr/>
        <w:t>Long, W., Luo, L., Sun, H., &amp; Zhong, Q. (2022). Does</w:t>
      </w:r>
      <w:r>
        <w:rPr>
          <w:spacing w:val="-1"/>
        </w:rPr>
        <w:t> </w:t>
      </w:r>
      <w:r>
        <w:rPr/>
        <w:t>going</w:t>
      </w:r>
      <w:r>
        <w:rPr>
          <w:spacing w:val="-4"/>
        </w:rPr>
        <w:t> </w:t>
      </w:r>
      <w:r>
        <w:rPr/>
        <w:t>abroad lead</w:t>
      </w:r>
      <w:r>
        <w:rPr>
          <w:spacing w:val="-4"/>
        </w:rPr>
        <w:t> </w:t>
      </w:r>
      <w:r>
        <w:rPr/>
        <w:t>to going green?</w:t>
      </w:r>
      <w:r>
        <w:rPr>
          <w:spacing w:val="-9"/>
        </w:rPr>
        <w:t> </w:t>
      </w:r>
      <w:r>
        <w:rPr/>
        <w:t>Firm</w:t>
      </w:r>
      <w:r>
        <w:rPr>
          <w:spacing w:val="-9"/>
        </w:rPr>
        <w:t> </w:t>
      </w:r>
      <w:r>
        <w:rPr/>
        <w:t>outward</w:t>
      </w:r>
      <w:r>
        <w:rPr>
          <w:spacing w:val="-10"/>
        </w:rPr>
        <w:t> </w:t>
      </w:r>
      <w:r>
        <w:rPr/>
        <w:t>foreign</w:t>
      </w:r>
      <w:r>
        <w:rPr>
          <w:spacing w:val="-11"/>
        </w:rPr>
        <w:t> </w:t>
      </w:r>
      <w:r>
        <w:rPr/>
        <w:t>direct</w:t>
      </w:r>
      <w:r>
        <w:rPr>
          <w:spacing w:val="-12"/>
        </w:rPr>
        <w:t> </w:t>
      </w:r>
      <w:r>
        <w:rPr/>
        <w:t>investment</w:t>
      </w:r>
      <w:r>
        <w:rPr>
          <w:spacing w:val="-12"/>
        </w:rPr>
        <w:t> </w:t>
      </w:r>
      <w:r>
        <w:rPr/>
        <w:t>and</w:t>
      </w:r>
      <w:r>
        <w:rPr>
          <w:spacing w:val="-11"/>
        </w:rPr>
        <w:t> </w:t>
      </w:r>
      <w:r>
        <w:rPr/>
        <w:t>domestic</w:t>
      </w:r>
      <w:r>
        <w:rPr>
          <w:spacing w:val="-12"/>
        </w:rPr>
        <w:t> </w:t>
      </w:r>
      <w:r>
        <w:rPr/>
        <w:t>environmental performance. </w:t>
      </w:r>
      <w:r>
        <w:rPr>
          <w:i/>
        </w:rPr>
        <w:t>Business Strategy and the Environment, 32</w:t>
      </w:r>
      <w:r>
        <w:rPr/>
        <w:t>(1), 484–498.</w:t>
      </w:r>
    </w:p>
    <w:p>
      <w:pPr>
        <w:pStyle w:val="BodyText"/>
        <w:tabs>
          <w:tab w:pos="3156" w:val="left" w:leader="none"/>
          <w:tab w:pos="4875" w:val="left" w:leader="none"/>
          <w:tab w:pos="6466" w:val="left" w:leader="none"/>
          <w:tab w:pos="7850" w:val="left" w:leader="none"/>
        </w:tabs>
        <w:spacing w:before="240"/>
        <w:ind w:left="1288" w:right="562" w:hanging="721"/>
        <w:jc w:val="both"/>
      </w:pPr>
      <w:r>
        <w:rPr/>
        <w:t>Mariyam, S., &amp; Ramli,</w:t>
      </w:r>
      <w:r>
        <w:rPr>
          <w:spacing w:val="-1"/>
        </w:rPr>
        <w:t> </w:t>
      </w:r>
      <w:r>
        <w:rPr/>
        <w:t>A. H. (2020). Peran mediasi strategic change management pada usaha mikro kecil dan menengah dalam kondisi pandemik Covid-19. </w:t>
      </w:r>
      <w:r>
        <w:rPr>
          <w:i/>
          <w:spacing w:val="-2"/>
        </w:rPr>
        <w:t>Prosiding</w:t>
      </w:r>
      <w:r>
        <w:rPr>
          <w:i/>
        </w:rPr>
        <w:tab/>
      </w:r>
      <w:r>
        <w:rPr>
          <w:i/>
          <w:spacing w:val="-2"/>
        </w:rPr>
        <w:t>Seminar</w:t>
      </w:r>
      <w:r>
        <w:rPr>
          <w:i/>
        </w:rPr>
        <w:tab/>
      </w:r>
      <w:r>
        <w:rPr>
          <w:i/>
          <w:spacing w:val="-2"/>
        </w:rPr>
        <w:t>Stiami,</w:t>
      </w:r>
      <w:r>
        <w:rPr>
          <w:i/>
        </w:rPr>
        <w:tab/>
      </w:r>
      <w:r>
        <w:rPr>
          <w:i/>
          <w:spacing w:val="-2"/>
        </w:rPr>
        <w:t>7</w:t>
      </w:r>
      <w:r>
        <w:rPr>
          <w:spacing w:val="-2"/>
        </w:rPr>
        <w:t>(2),</w:t>
      </w:r>
      <w:r>
        <w:rPr/>
        <w:tab/>
      </w:r>
      <w:r>
        <w:rPr>
          <w:spacing w:val="-2"/>
        </w:rPr>
        <w:t>46–52. </w:t>
      </w:r>
      <w:hyperlink r:id="rId28">
        <w:r>
          <w:rPr>
            <w:color w:val="0462C1"/>
            <w:spacing w:val="-2"/>
            <w:u w:val="single" w:color="0462C1"/>
          </w:rPr>
          <w:t>https://ojs.stiami.ac.id/index.php/PS/article/view/954</w:t>
        </w:r>
      </w:hyperlink>
    </w:p>
    <w:p>
      <w:pPr>
        <w:pStyle w:val="BodyText"/>
        <w:spacing w:before="241"/>
        <w:ind w:left="1288" w:right="564" w:hanging="721"/>
        <w:jc w:val="both"/>
      </w:pPr>
      <w:r>
        <w:rPr/>
        <w:t>Martínez-Ferrero, J., García-Sánchez, I. M., &amp; Ruiz-Barbadillo, E. (2018). The quality</w:t>
      </w:r>
      <w:r>
        <w:rPr>
          <w:spacing w:val="-6"/>
        </w:rPr>
        <w:t> </w:t>
      </w:r>
      <w:r>
        <w:rPr/>
        <w:t>of sustainability</w:t>
      </w:r>
      <w:r>
        <w:rPr>
          <w:spacing w:val="-6"/>
        </w:rPr>
        <w:t> </w:t>
      </w:r>
      <w:r>
        <w:rPr/>
        <w:t>assurance reports:</w:t>
      </w:r>
      <w:r>
        <w:rPr>
          <w:spacing w:val="-1"/>
        </w:rPr>
        <w:t> </w:t>
      </w:r>
      <w:r>
        <w:rPr/>
        <w:t>The expertise and experience of assurance providers as determinants. </w:t>
      </w:r>
      <w:r>
        <w:rPr>
          <w:i/>
        </w:rPr>
        <w:t>Business Strategy and the Environment, 27</w:t>
      </w:r>
      <w:r>
        <w:rPr/>
        <w:t>(8), 1181–1196. </w:t>
      </w:r>
      <w:hyperlink r:id="rId29">
        <w:r>
          <w:rPr>
            <w:color w:val="0462C1"/>
            <w:u w:val="single" w:color="0462C1"/>
          </w:rPr>
          <w:t>https://doi.org/10.1002/bse.2061</w:t>
        </w:r>
      </w:hyperlink>
    </w:p>
    <w:p>
      <w:pPr>
        <w:pStyle w:val="BodyText"/>
        <w:tabs>
          <w:tab w:pos="3211" w:val="left" w:leader="none"/>
          <w:tab w:pos="4247" w:val="left" w:leader="none"/>
          <w:tab w:pos="6348" w:val="left" w:leader="none"/>
          <w:tab w:pos="7614" w:val="left" w:leader="none"/>
        </w:tabs>
        <w:spacing w:before="240"/>
        <w:ind w:left="1288" w:right="562" w:hanging="721"/>
        <w:jc w:val="both"/>
      </w:pPr>
      <w:r>
        <w:rPr/>
        <w:t>Martínez-Ferrero,</w:t>
      </w:r>
      <w:r>
        <w:rPr>
          <w:spacing w:val="-15"/>
        </w:rPr>
        <w:t> </w:t>
      </w:r>
      <w:r>
        <w:rPr/>
        <w:t>J.,</w:t>
      </w:r>
      <w:r>
        <w:rPr>
          <w:spacing w:val="-14"/>
        </w:rPr>
        <w:t> </w:t>
      </w:r>
      <w:r>
        <w:rPr/>
        <w:t>Ruiz-Barbadillo,</w:t>
      </w:r>
      <w:r>
        <w:rPr>
          <w:spacing w:val="-12"/>
        </w:rPr>
        <w:t> </w:t>
      </w:r>
      <w:r>
        <w:rPr/>
        <w:t>E.,</w:t>
      </w:r>
      <w:r>
        <w:rPr>
          <w:spacing w:val="-15"/>
        </w:rPr>
        <w:t> </w:t>
      </w:r>
      <w:r>
        <w:rPr/>
        <w:t>&amp;</w:t>
      </w:r>
      <w:r>
        <w:rPr>
          <w:spacing w:val="-11"/>
        </w:rPr>
        <w:t> </w:t>
      </w:r>
      <w:r>
        <w:rPr/>
        <w:t>Guidi,</w:t>
      </w:r>
      <w:r>
        <w:rPr>
          <w:spacing w:val="-10"/>
        </w:rPr>
        <w:t> </w:t>
      </w:r>
      <w:r>
        <w:rPr/>
        <w:t>M.</w:t>
      </w:r>
      <w:r>
        <w:rPr>
          <w:spacing w:val="-12"/>
        </w:rPr>
        <w:t> </w:t>
      </w:r>
      <w:r>
        <w:rPr/>
        <w:t>(2021).</w:t>
      </w:r>
      <w:r>
        <w:rPr>
          <w:spacing w:val="-12"/>
        </w:rPr>
        <w:t> </w:t>
      </w:r>
      <w:r>
        <w:rPr/>
        <w:t>How</w:t>
      </w:r>
      <w:r>
        <w:rPr>
          <w:spacing w:val="-14"/>
        </w:rPr>
        <w:t> </w:t>
      </w:r>
      <w:r>
        <w:rPr/>
        <w:t>capital</w:t>
      </w:r>
      <w:r>
        <w:rPr>
          <w:spacing w:val="-11"/>
        </w:rPr>
        <w:t> </w:t>
      </w:r>
      <w:r>
        <w:rPr/>
        <w:t>markets assess the credibility</w:t>
      </w:r>
      <w:r>
        <w:rPr>
          <w:spacing w:val="-4"/>
        </w:rPr>
        <w:t> </w:t>
      </w:r>
      <w:r>
        <w:rPr/>
        <w:t>and accuracy of CSR reporting: Exploring the effects of assurance quality and CSR restatement issuance. </w:t>
      </w:r>
      <w:r>
        <w:rPr>
          <w:i/>
        </w:rPr>
        <w:t>Business Ethics, the </w:t>
      </w:r>
      <w:r>
        <w:rPr>
          <w:i/>
          <w:spacing w:val="-2"/>
        </w:rPr>
        <w:t>Environment</w:t>
      </w:r>
      <w:r>
        <w:rPr>
          <w:i/>
        </w:rPr>
        <w:tab/>
      </w:r>
      <w:r>
        <w:rPr>
          <w:i/>
          <w:spacing w:val="-4"/>
        </w:rPr>
        <w:t>and</w:t>
      </w:r>
      <w:r>
        <w:rPr>
          <w:i/>
        </w:rPr>
        <w:tab/>
      </w:r>
      <w:r>
        <w:rPr>
          <w:i/>
          <w:spacing w:val="-2"/>
        </w:rPr>
        <w:t>Responsibility,</w:t>
      </w:r>
      <w:r>
        <w:rPr>
          <w:i/>
        </w:rPr>
        <w:tab/>
      </w:r>
      <w:r>
        <w:rPr>
          <w:i/>
          <w:spacing w:val="-2"/>
        </w:rPr>
        <w:t>30</w:t>
      </w:r>
      <w:r>
        <w:rPr>
          <w:spacing w:val="-2"/>
        </w:rPr>
        <w:t>(4),</w:t>
      </w:r>
      <w:r>
        <w:rPr/>
        <w:tab/>
      </w:r>
      <w:r>
        <w:rPr>
          <w:spacing w:val="-2"/>
        </w:rPr>
        <w:t>551–569. </w:t>
      </w:r>
      <w:hyperlink r:id="rId30">
        <w:r>
          <w:rPr>
            <w:color w:val="0462C1"/>
            <w:spacing w:val="-2"/>
            <w:u w:val="single" w:color="0462C1"/>
          </w:rPr>
          <w:t>https://doi.org/10.1111/beer.12355</w:t>
        </w:r>
      </w:hyperlink>
    </w:p>
    <w:p>
      <w:pPr>
        <w:spacing w:before="240"/>
        <w:ind w:left="1288" w:right="563" w:hanging="721"/>
        <w:jc w:val="both"/>
        <w:rPr>
          <w:sz w:val="24"/>
        </w:rPr>
      </w:pPr>
      <w:r>
        <w:rPr>
          <w:sz w:val="24"/>
        </w:rPr>
        <w:t>Meutia, I., Ramadhani, M., &amp; Adam, M. (2019). Does eco-efficiency improve financial performance of manufacturing companies in Indonesia? </w:t>
      </w:r>
      <w:r>
        <w:rPr>
          <w:i/>
          <w:sz w:val="24"/>
        </w:rPr>
        <w:t>Jurnal Dinamika Akuntansi dan Bisnis, 6</w:t>
      </w:r>
      <w:r>
        <w:rPr>
          <w:sz w:val="24"/>
        </w:rPr>
        <w:t>(2), 137–150.</w:t>
      </w:r>
    </w:p>
    <w:p>
      <w:pPr>
        <w:pStyle w:val="BodyText"/>
        <w:spacing w:before="241"/>
        <w:ind w:left="1288" w:right="573" w:hanging="721"/>
        <w:jc w:val="both"/>
      </w:pPr>
      <w:r>
        <w:rPr/>
        <w:t>M. Abdul, I. Rahman, Z. Karya, S. Domas, &amp; A. Firmansyah. (2021). Hubungan pengungkapan keberlanjutan dan nilai perusahaan: Kasus perusahaan sub sektor perbankan di Indonesia. </w:t>
      </w:r>
      <w:r>
        <w:rPr>
          <w:i/>
        </w:rPr>
        <w:t>JURNALKU, 1</w:t>
      </w:r>
      <w:r>
        <w:rPr/>
        <w:t>(4), 390–399.</w:t>
      </w:r>
    </w:p>
    <w:p>
      <w:pPr>
        <w:pStyle w:val="BodyText"/>
        <w:spacing w:after="0"/>
        <w:jc w:val="both"/>
        <w:sectPr>
          <w:pgSz w:w="11910" w:h="16840"/>
          <w:pgMar w:header="710" w:footer="0" w:top="1920" w:bottom="280" w:left="1700" w:right="1133"/>
        </w:sectPr>
      </w:pPr>
    </w:p>
    <w:p>
      <w:pPr>
        <w:pStyle w:val="BodyText"/>
        <w:spacing w:before="48"/>
      </w:pPr>
    </w:p>
    <w:p>
      <w:pPr>
        <w:spacing w:before="0"/>
        <w:ind w:left="1288" w:right="562" w:hanging="721"/>
        <w:jc w:val="both"/>
        <w:rPr>
          <w:sz w:val="24"/>
        </w:rPr>
      </w:pPr>
      <w:r>
        <w:rPr>
          <w:sz w:val="24"/>
        </w:rPr>
        <w:t>Nguyen, V. H., Choi, B., &amp; Agbola, F. W. (2020). Corporate social responsibility and</w:t>
      </w:r>
      <w:r>
        <w:rPr>
          <w:spacing w:val="-6"/>
          <w:sz w:val="24"/>
        </w:rPr>
        <w:t> </w:t>
      </w:r>
      <w:r>
        <w:rPr>
          <w:sz w:val="24"/>
        </w:rPr>
        <w:t>debt</w:t>
      </w:r>
      <w:r>
        <w:rPr>
          <w:spacing w:val="-6"/>
          <w:sz w:val="24"/>
        </w:rPr>
        <w:t> </w:t>
      </w:r>
      <w:r>
        <w:rPr>
          <w:sz w:val="24"/>
        </w:rPr>
        <w:t>maturity:</w:t>
      </w:r>
      <w:r>
        <w:rPr>
          <w:spacing w:val="-5"/>
          <w:sz w:val="24"/>
        </w:rPr>
        <w:t> </w:t>
      </w:r>
      <w:r>
        <w:rPr>
          <w:sz w:val="24"/>
        </w:rPr>
        <w:t>Australian</w:t>
      </w:r>
      <w:r>
        <w:rPr>
          <w:spacing w:val="-6"/>
          <w:sz w:val="24"/>
        </w:rPr>
        <w:t> </w:t>
      </w:r>
      <w:r>
        <w:rPr>
          <w:sz w:val="24"/>
        </w:rPr>
        <w:t>evidence.</w:t>
      </w:r>
      <w:r>
        <w:rPr>
          <w:spacing w:val="-4"/>
          <w:sz w:val="24"/>
        </w:rPr>
        <w:t> </w:t>
      </w:r>
      <w:r>
        <w:rPr>
          <w:i/>
          <w:sz w:val="24"/>
        </w:rPr>
        <w:t>Pacific-Basin</w:t>
      </w:r>
      <w:r>
        <w:rPr>
          <w:i/>
          <w:spacing w:val="-10"/>
          <w:sz w:val="24"/>
        </w:rPr>
        <w:t> </w:t>
      </w:r>
      <w:r>
        <w:rPr>
          <w:i/>
          <w:sz w:val="24"/>
        </w:rPr>
        <w:t>Finance</w:t>
      </w:r>
      <w:r>
        <w:rPr>
          <w:i/>
          <w:spacing w:val="-7"/>
          <w:sz w:val="24"/>
        </w:rPr>
        <w:t> </w:t>
      </w:r>
      <w:r>
        <w:rPr>
          <w:i/>
          <w:sz w:val="24"/>
        </w:rPr>
        <w:t>Journal,</w:t>
      </w:r>
      <w:r>
        <w:rPr>
          <w:i/>
          <w:spacing w:val="-6"/>
          <w:sz w:val="24"/>
        </w:rPr>
        <w:t> </w:t>
      </w:r>
      <w:r>
        <w:rPr>
          <w:i/>
          <w:sz w:val="24"/>
        </w:rPr>
        <w:t>62</w:t>
      </w:r>
      <w:r>
        <w:rPr>
          <w:sz w:val="24"/>
        </w:rPr>
        <w:t>, </w:t>
      </w:r>
      <w:r>
        <w:rPr>
          <w:spacing w:val="-2"/>
          <w:sz w:val="24"/>
        </w:rPr>
        <w:t>101374.</w:t>
      </w:r>
    </w:p>
    <w:p>
      <w:pPr>
        <w:pStyle w:val="BodyText"/>
        <w:spacing w:before="241"/>
        <w:ind w:left="1288" w:right="568" w:hanging="721"/>
        <w:jc w:val="both"/>
      </w:pPr>
      <w:r>
        <w:rPr/>
        <w:t>O’Dwyer, B., &amp; Owen, D. L. (2005). Assurance statement practice in environmental, social and sustainability reporting: A critical evaluation. </w:t>
      </w:r>
      <w:r>
        <w:rPr>
          <w:i/>
        </w:rPr>
        <w:t>British Accounting Review, 37</w:t>
      </w:r>
      <w:r>
        <w:rPr/>
        <w:t>, 205–229.</w:t>
      </w:r>
    </w:p>
    <w:p>
      <w:pPr>
        <w:spacing w:before="240"/>
        <w:ind w:left="1288" w:right="564" w:hanging="721"/>
        <w:jc w:val="both"/>
        <w:rPr>
          <w:sz w:val="24"/>
        </w:rPr>
      </w:pPr>
      <w:r>
        <w:rPr>
          <w:color w:val="212121"/>
          <w:sz w:val="24"/>
        </w:rPr>
        <w:t>Ozkan,</w:t>
      </w:r>
      <w:r>
        <w:rPr>
          <w:color w:val="212121"/>
          <w:spacing w:val="-4"/>
          <w:sz w:val="24"/>
        </w:rPr>
        <w:t> </w:t>
      </w:r>
      <w:r>
        <w:rPr>
          <w:color w:val="212121"/>
          <w:sz w:val="24"/>
        </w:rPr>
        <w:t>A.</w:t>
      </w:r>
      <w:r>
        <w:rPr>
          <w:color w:val="212121"/>
          <w:spacing w:val="-4"/>
          <w:sz w:val="24"/>
        </w:rPr>
        <w:t> </w:t>
      </w:r>
      <w:r>
        <w:rPr>
          <w:color w:val="212121"/>
          <w:sz w:val="24"/>
        </w:rPr>
        <w:t>(2002).</w:t>
      </w:r>
      <w:r>
        <w:rPr>
          <w:color w:val="212121"/>
          <w:spacing w:val="-4"/>
          <w:sz w:val="24"/>
        </w:rPr>
        <w:t> </w:t>
      </w:r>
      <w:r>
        <w:rPr>
          <w:color w:val="212121"/>
          <w:sz w:val="24"/>
        </w:rPr>
        <w:t>The</w:t>
      </w:r>
      <w:r>
        <w:rPr>
          <w:color w:val="212121"/>
          <w:spacing w:val="-3"/>
          <w:sz w:val="24"/>
        </w:rPr>
        <w:t> </w:t>
      </w:r>
      <w:r>
        <w:rPr>
          <w:color w:val="212121"/>
          <w:sz w:val="24"/>
        </w:rPr>
        <w:t>determinants</w:t>
      </w:r>
      <w:r>
        <w:rPr>
          <w:color w:val="212121"/>
          <w:spacing w:val="-6"/>
          <w:sz w:val="24"/>
        </w:rPr>
        <w:t> </w:t>
      </w:r>
      <w:r>
        <w:rPr>
          <w:color w:val="212121"/>
          <w:sz w:val="24"/>
        </w:rPr>
        <w:t>of</w:t>
      </w:r>
      <w:r>
        <w:rPr>
          <w:color w:val="212121"/>
          <w:spacing w:val="-8"/>
          <w:sz w:val="24"/>
        </w:rPr>
        <w:t> </w:t>
      </w:r>
      <w:r>
        <w:rPr>
          <w:color w:val="212121"/>
          <w:sz w:val="24"/>
        </w:rPr>
        <w:t>corporate</w:t>
      </w:r>
      <w:r>
        <w:rPr>
          <w:color w:val="212121"/>
          <w:spacing w:val="-2"/>
          <w:sz w:val="24"/>
        </w:rPr>
        <w:t> </w:t>
      </w:r>
      <w:r>
        <w:rPr>
          <w:color w:val="212121"/>
          <w:sz w:val="24"/>
        </w:rPr>
        <w:t>debt</w:t>
      </w:r>
      <w:r>
        <w:rPr>
          <w:color w:val="212121"/>
          <w:spacing w:val="-6"/>
          <w:sz w:val="24"/>
        </w:rPr>
        <w:t> </w:t>
      </w:r>
      <w:r>
        <w:rPr>
          <w:color w:val="212121"/>
          <w:sz w:val="24"/>
        </w:rPr>
        <w:t>maturity:</w:t>
      </w:r>
      <w:r>
        <w:rPr>
          <w:color w:val="212121"/>
          <w:spacing w:val="-11"/>
          <w:sz w:val="24"/>
        </w:rPr>
        <w:t> </w:t>
      </w:r>
      <w:r>
        <w:rPr>
          <w:color w:val="212121"/>
          <w:sz w:val="24"/>
        </w:rPr>
        <w:t>evidence</w:t>
      </w:r>
      <w:r>
        <w:rPr>
          <w:color w:val="212121"/>
          <w:spacing w:val="-3"/>
          <w:sz w:val="24"/>
        </w:rPr>
        <w:t> </w:t>
      </w:r>
      <w:r>
        <w:rPr>
          <w:color w:val="212121"/>
          <w:sz w:val="24"/>
        </w:rPr>
        <w:t>from</w:t>
      </w:r>
      <w:r>
        <w:rPr>
          <w:color w:val="212121"/>
          <w:spacing w:val="-3"/>
          <w:sz w:val="24"/>
        </w:rPr>
        <w:t> </w:t>
      </w:r>
      <w:r>
        <w:rPr>
          <w:color w:val="212121"/>
          <w:sz w:val="24"/>
        </w:rPr>
        <w:t>UK firms. </w:t>
      </w:r>
      <w:r>
        <w:rPr>
          <w:i/>
          <w:color w:val="212121"/>
          <w:sz w:val="24"/>
        </w:rPr>
        <w:t>Applied Financial Economics</w:t>
      </w:r>
      <w:r>
        <w:rPr>
          <w:color w:val="212121"/>
          <w:sz w:val="24"/>
        </w:rPr>
        <w:t>, </w:t>
      </w:r>
      <w:r>
        <w:rPr>
          <w:i/>
          <w:color w:val="212121"/>
          <w:sz w:val="24"/>
        </w:rPr>
        <w:t>12</w:t>
      </w:r>
      <w:r>
        <w:rPr>
          <w:color w:val="212121"/>
          <w:sz w:val="24"/>
        </w:rPr>
        <w:t>(1), 19-24.</w:t>
      </w:r>
    </w:p>
    <w:p>
      <w:pPr>
        <w:pStyle w:val="BodyText"/>
        <w:spacing w:before="240"/>
        <w:ind w:left="1288" w:right="564" w:hanging="721"/>
        <w:jc w:val="both"/>
      </w:pPr>
      <w:r>
        <w:rPr/>
        <w:t>Perego,</w:t>
      </w:r>
      <w:r>
        <w:rPr>
          <w:spacing w:val="-15"/>
        </w:rPr>
        <w:t> </w:t>
      </w:r>
      <w:r>
        <w:rPr/>
        <w:t>P.,</w:t>
      </w:r>
      <w:r>
        <w:rPr>
          <w:spacing w:val="-15"/>
        </w:rPr>
        <w:t> </w:t>
      </w:r>
      <w:r>
        <w:rPr/>
        <w:t>&amp;</w:t>
      </w:r>
      <w:r>
        <w:rPr>
          <w:spacing w:val="-13"/>
        </w:rPr>
        <w:t> </w:t>
      </w:r>
      <w:r>
        <w:rPr/>
        <w:t>Kolk,</w:t>
      </w:r>
      <w:r>
        <w:rPr>
          <w:spacing w:val="-10"/>
        </w:rPr>
        <w:t> </w:t>
      </w:r>
      <w:r>
        <w:rPr/>
        <w:t>A.</w:t>
      </w:r>
      <w:r>
        <w:rPr>
          <w:spacing w:val="-14"/>
        </w:rPr>
        <w:t> </w:t>
      </w:r>
      <w:r>
        <w:rPr/>
        <w:t>(2012).</w:t>
      </w:r>
      <w:r>
        <w:rPr>
          <w:spacing w:val="-12"/>
        </w:rPr>
        <w:t> </w:t>
      </w:r>
      <w:r>
        <w:rPr/>
        <w:t>Multinationals’</w:t>
      </w:r>
      <w:r>
        <w:rPr>
          <w:spacing w:val="-14"/>
        </w:rPr>
        <w:t> </w:t>
      </w:r>
      <w:r>
        <w:rPr/>
        <w:t>accountability</w:t>
      </w:r>
      <w:r>
        <w:rPr>
          <w:spacing w:val="-15"/>
        </w:rPr>
        <w:t> </w:t>
      </w:r>
      <w:r>
        <w:rPr/>
        <w:t>on</w:t>
      </w:r>
      <w:r>
        <w:rPr>
          <w:spacing w:val="-12"/>
        </w:rPr>
        <w:t> </w:t>
      </w:r>
      <w:r>
        <w:rPr/>
        <w:t>sustainability:</w:t>
      </w:r>
      <w:r>
        <w:rPr>
          <w:spacing w:val="-15"/>
        </w:rPr>
        <w:t> </w:t>
      </w:r>
      <w:r>
        <w:rPr/>
        <w:t>The evolution of third-party assurance of sustainability reports. </w:t>
      </w:r>
      <w:r>
        <w:rPr>
          <w:i/>
        </w:rPr>
        <w:t>Journal of Business Ethics, 110</w:t>
      </w:r>
      <w:r>
        <w:rPr/>
        <w:t>(2), 173–190.</w:t>
      </w:r>
    </w:p>
    <w:p>
      <w:pPr>
        <w:pStyle w:val="BodyText"/>
        <w:spacing w:before="241"/>
        <w:ind w:left="1288" w:right="565" w:hanging="721"/>
        <w:jc w:val="both"/>
      </w:pPr>
      <w:r>
        <w:rPr/>
        <w:t>Reynolds, J. K., &amp; Francis, J. R. (2000). Does size matter? The influence of large clients on office‐level auditor reporting decisions. </w:t>
      </w:r>
      <w:r>
        <w:rPr>
          <w:i/>
        </w:rPr>
        <w:t>Journal of Accounting and Economics</w:t>
      </w:r>
      <w:r>
        <w:rPr/>
        <w:t>, 30(3), 375–400. https://doi.org/10.1016/ S0165‐ </w:t>
      </w:r>
      <w:r>
        <w:rPr>
          <w:spacing w:val="-2"/>
        </w:rPr>
        <w:t>4101(01)00010‐6</w:t>
      </w:r>
    </w:p>
    <w:p>
      <w:pPr>
        <w:pStyle w:val="BodyText"/>
        <w:spacing w:before="160"/>
        <w:ind w:left="1288" w:right="568" w:hanging="721"/>
        <w:jc w:val="both"/>
      </w:pPr>
      <w:r>
        <w:rPr/>
        <w:t>Ruiz-Barbadillo,</w:t>
      </w:r>
      <w:r>
        <w:rPr>
          <w:spacing w:val="-9"/>
        </w:rPr>
        <w:t> </w:t>
      </w:r>
      <w:r>
        <w:rPr/>
        <w:t>E.,</w:t>
      </w:r>
      <w:r>
        <w:rPr>
          <w:spacing w:val="-9"/>
        </w:rPr>
        <w:t> </w:t>
      </w:r>
      <w:r>
        <w:rPr/>
        <w:t>&amp;</w:t>
      </w:r>
      <w:r>
        <w:rPr>
          <w:spacing w:val="-11"/>
        </w:rPr>
        <w:t> </w:t>
      </w:r>
      <w:r>
        <w:rPr/>
        <w:t>Martínez-Ferrero,</w:t>
      </w:r>
      <w:r>
        <w:rPr>
          <w:spacing w:val="-8"/>
        </w:rPr>
        <w:t> </w:t>
      </w:r>
      <w:r>
        <w:rPr/>
        <w:t>J.</w:t>
      </w:r>
      <w:r>
        <w:rPr>
          <w:spacing w:val="-9"/>
        </w:rPr>
        <w:t> </w:t>
      </w:r>
      <w:r>
        <w:rPr/>
        <w:t>(2020).</w:t>
      </w:r>
      <w:r>
        <w:rPr>
          <w:spacing w:val="-8"/>
        </w:rPr>
        <w:t> </w:t>
      </w:r>
      <w:r>
        <w:rPr/>
        <w:t>Empirical</w:t>
      </w:r>
      <w:r>
        <w:rPr>
          <w:spacing w:val="-8"/>
        </w:rPr>
        <w:t> </w:t>
      </w:r>
      <w:r>
        <w:rPr/>
        <w:t>analysis</w:t>
      </w:r>
      <w:r>
        <w:rPr>
          <w:spacing w:val="-10"/>
        </w:rPr>
        <w:t> </w:t>
      </w:r>
      <w:r>
        <w:rPr/>
        <w:t>of</w:t>
      </w:r>
      <w:r>
        <w:rPr>
          <w:spacing w:val="-8"/>
        </w:rPr>
        <w:t> </w:t>
      </w:r>
      <w:r>
        <w:rPr/>
        <w:t>the</w:t>
      </w:r>
      <w:r>
        <w:rPr>
          <w:spacing w:val="-7"/>
        </w:rPr>
        <w:t> </w:t>
      </w:r>
      <w:r>
        <w:rPr/>
        <w:t>effect of the joint provision of audit and sustainability assurance services on assurance quality. </w:t>
      </w:r>
      <w:r>
        <w:rPr>
          <w:i/>
        </w:rPr>
        <w:t>Journal of Cleaner Production, 266</w:t>
      </w:r>
      <w:r>
        <w:rPr/>
        <w:t>, 121943.</w:t>
      </w:r>
    </w:p>
    <w:p>
      <w:pPr>
        <w:pStyle w:val="BodyText"/>
        <w:spacing w:before="240"/>
        <w:ind w:left="1288" w:right="562" w:hanging="721"/>
        <w:jc w:val="both"/>
      </w:pPr>
      <w:r>
        <w:rPr/>
        <w:t>Ruiz-Barbadillo, E., &amp; Martínez-Ferrero, J. (2023). Is tenure important in the sustainability assurance context? An empirical analysis of the informative value of assurance statements. </w:t>
      </w:r>
      <w:r>
        <w:rPr>
          <w:i/>
        </w:rPr>
        <w:t>Meditari Accountancy Research, 31</w:t>
      </w:r>
      <w:r>
        <w:rPr/>
        <w:t>(5). </w:t>
      </w:r>
      <w:hyperlink r:id="rId31">
        <w:r>
          <w:rPr>
            <w:color w:val="0462C1"/>
            <w:spacing w:val="-2"/>
            <w:u w:val="single" w:color="0462C1"/>
          </w:rPr>
          <w:t>https://doi.org/10.1108/MEDAR-01-2022-1580</w:t>
        </w:r>
      </w:hyperlink>
    </w:p>
    <w:p>
      <w:pPr>
        <w:spacing w:before="241"/>
        <w:ind w:left="1288" w:right="564" w:hanging="721"/>
        <w:jc w:val="both"/>
        <w:rPr>
          <w:sz w:val="24"/>
        </w:rPr>
      </w:pPr>
      <w:r>
        <w:rPr>
          <w:sz w:val="24"/>
        </w:rPr>
        <w:t>Sari,</w:t>
      </w:r>
      <w:r>
        <w:rPr>
          <w:spacing w:val="-15"/>
          <w:sz w:val="24"/>
        </w:rPr>
        <w:t> </w:t>
      </w:r>
      <w:r>
        <w:rPr>
          <w:sz w:val="24"/>
        </w:rPr>
        <w:t>Y.</w:t>
      </w:r>
      <w:r>
        <w:rPr>
          <w:spacing w:val="-15"/>
          <w:sz w:val="24"/>
        </w:rPr>
        <w:t> </w:t>
      </w:r>
      <w:r>
        <w:rPr>
          <w:sz w:val="24"/>
        </w:rPr>
        <w:t>A.,</w:t>
      </w:r>
      <w:r>
        <w:rPr>
          <w:spacing w:val="-15"/>
          <w:sz w:val="24"/>
        </w:rPr>
        <w:t> </w:t>
      </w:r>
      <w:r>
        <w:rPr>
          <w:sz w:val="24"/>
        </w:rPr>
        <w:t>&amp;</w:t>
      </w:r>
      <w:r>
        <w:rPr>
          <w:spacing w:val="-15"/>
          <w:sz w:val="24"/>
        </w:rPr>
        <w:t> </w:t>
      </w:r>
      <w:r>
        <w:rPr>
          <w:sz w:val="24"/>
        </w:rPr>
        <w:t>Priyadi,</w:t>
      </w:r>
      <w:r>
        <w:rPr>
          <w:spacing w:val="-15"/>
          <w:sz w:val="24"/>
        </w:rPr>
        <w:t> </w:t>
      </w:r>
      <w:r>
        <w:rPr>
          <w:sz w:val="24"/>
        </w:rPr>
        <w:t>M.</w:t>
      </w:r>
      <w:r>
        <w:rPr>
          <w:spacing w:val="-15"/>
          <w:sz w:val="24"/>
        </w:rPr>
        <w:t> </w:t>
      </w:r>
      <w:r>
        <w:rPr>
          <w:sz w:val="24"/>
        </w:rPr>
        <w:t>(2020).</w:t>
      </w:r>
      <w:r>
        <w:rPr>
          <w:spacing w:val="-15"/>
          <w:sz w:val="24"/>
        </w:rPr>
        <w:t> </w:t>
      </w:r>
      <w:r>
        <w:rPr>
          <w:sz w:val="24"/>
        </w:rPr>
        <w:t>Faktor-faktor</w:t>
      </w:r>
      <w:r>
        <w:rPr>
          <w:spacing w:val="-15"/>
          <w:sz w:val="24"/>
        </w:rPr>
        <w:t> </w:t>
      </w:r>
      <w:r>
        <w:rPr>
          <w:sz w:val="24"/>
        </w:rPr>
        <w:t>yang</w:t>
      </w:r>
      <w:r>
        <w:rPr>
          <w:spacing w:val="-15"/>
          <w:sz w:val="24"/>
        </w:rPr>
        <w:t> </w:t>
      </w:r>
      <w:r>
        <w:rPr>
          <w:sz w:val="24"/>
        </w:rPr>
        <w:t>mempengaruhi</w:t>
      </w:r>
      <w:r>
        <w:rPr>
          <w:spacing w:val="-15"/>
          <w:sz w:val="24"/>
        </w:rPr>
        <w:t> </w:t>
      </w:r>
      <w:r>
        <w:rPr>
          <w:sz w:val="24"/>
        </w:rPr>
        <w:t>pengungkapan corporate social responsibility pada perusahaan manufaktur. </w:t>
      </w:r>
      <w:r>
        <w:rPr>
          <w:i/>
          <w:sz w:val="24"/>
        </w:rPr>
        <w:t>Jurnal Ilmu dan Riset Akuntansi (JIRA), 9</w:t>
      </w:r>
      <w:r>
        <w:rPr>
          <w:sz w:val="24"/>
        </w:rPr>
        <w:t>(4)(1).</w:t>
      </w:r>
    </w:p>
    <w:p>
      <w:pPr>
        <w:spacing w:before="240"/>
        <w:ind w:left="1288" w:right="567" w:hanging="721"/>
        <w:jc w:val="both"/>
        <w:rPr>
          <w:sz w:val="24"/>
        </w:rPr>
      </w:pPr>
      <w:r>
        <w:rPr>
          <w:sz w:val="24"/>
        </w:rPr>
        <w:t>Shu, H., Tan, W., &amp; Wei, P. (2023). Carbon policy risk and corporate capital structure</w:t>
      </w:r>
      <w:r>
        <w:rPr>
          <w:spacing w:val="-1"/>
          <w:sz w:val="24"/>
        </w:rPr>
        <w:t> </w:t>
      </w:r>
      <w:r>
        <w:rPr>
          <w:sz w:val="24"/>
        </w:rPr>
        <w:t>decision.</w:t>
      </w:r>
      <w:r>
        <w:rPr>
          <w:spacing w:val="-1"/>
          <w:sz w:val="24"/>
        </w:rPr>
        <w:t> </w:t>
      </w:r>
      <w:r>
        <w:rPr>
          <w:i/>
          <w:sz w:val="24"/>
        </w:rPr>
        <w:t>International</w:t>
      </w:r>
      <w:r>
        <w:rPr>
          <w:i/>
          <w:spacing w:val="-6"/>
          <w:sz w:val="24"/>
        </w:rPr>
        <w:t> </w:t>
      </w:r>
      <w:r>
        <w:rPr>
          <w:i/>
          <w:sz w:val="24"/>
        </w:rPr>
        <w:t>Review</w:t>
      </w:r>
      <w:r>
        <w:rPr>
          <w:i/>
          <w:spacing w:val="-2"/>
          <w:sz w:val="24"/>
        </w:rPr>
        <w:t> </w:t>
      </w:r>
      <w:r>
        <w:rPr>
          <w:i/>
          <w:sz w:val="24"/>
        </w:rPr>
        <w:t>of</w:t>
      </w:r>
      <w:r>
        <w:rPr>
          <w:i/>
          <w:spacing w:val="-4"/>
          <w:sz w:val="24"/>
        </w:rPr>
        <w:t> </w:t>
      </w:r>
      <w:r>
        <w:rPr>
          <w:i/>
          <w:sz w:val="24"/>
        </w:rPr>
        <w:t>Financial</w:t>
      </w:r>
      <w:r>
        <w:rPr>
          <w:i/>
          <w:spacing w:val="-2"/>
          <w:sz w:val="24"/>
        </w:rPr>
        <w:t> </w:t>
      </w:r>
      <w:r>
        <w:rPr>
          <w:i/>
          <w:sz w:val="24"/>
        </w:rPr>
        <w:t>Analysis,</w:t>
      </w:r>
      <w:r>
        <w:rPr>
          <w:i/>
          <w:spacing w:val="-2"/>
          <w:sz w:val="24"/>
        </w:rPr>
        <w:t> </w:t>
      </w:r>
      <w:r>
        <w:rPr>
          <w:i/>
          <w:sz w:val="24"/>
        </w:rPr>
        <w:t>86</w:t>
      </w:r>
      <w:r>
        <w:rPr>
          <w:sz w:val="24"/>
        </w:rPr>
        <w:t>,</w:t>
      </w:r>
      <w:r>
        <w:rPr>
          <w:spacing w:val="-2"/>
          <w:sz w:val="24"/>
        </w:rPr>
        <w:t> 102523.</w:t>
      </w:r>
    </w:p>
    <w:p>
      <w:pPr>
        <w:pStyle w:val="BodyText"/>
        <w:spacing w:before="240"/>
        <w:ind w:left="1288" w:right="562" w:hanging="721"/>
        <w:jc w:val="both"/>
      </w:pPr>
      <w:r>
        <w:rPr/>
        <w:t>Simnett, R., Vanstraelen, A., &amp; Chua, W. F. (2009). Assurance on sustainability reports: An international comparison. </w:t>
      </w:r>
      <w:r>
        <w:rPr>
          <w:i/>
        </w:rPr>
        <w:t>The Accounting</w:t>
      </w:r>
      <w:r>
        <w:rPr>
          <w:i/>
          <w:spacing w:val="-1"/>
        </w:rPr>
        <w:t> </w:t>
      </w:r>
      <w:r>
        <w:rPr>
          <w:i/>
        </w:rPr>
        <w:t>Review,</w:t>
      </w:r>
      <w:r>
        <w:rPr>
          <w:i/>
          <w:spacing w:val="-1"/>
        </w:rPr>
        <w:t> </w:t>
      </w:r>
      <w:r>
        <w:rPr>
          <w:i/>
        </w:rPr>
        <w:t>84</w:t>
      </w:r>
      <w:r>
        <w:rPr/>
        <w:t>(3), 937– 967. </w:t>
      </w:r>
      <w:hyperlink r:id="rId32">
        <w:r>
          <w:rPr>
            <w:color w:val="0462C1"/>
            <w:u w:val="single" w:color="0462C1"/>
          </w:rPr>
          <w:t>https://doi.org/10.2308/accr.2009.84.3.937</w:t>
        </w:r>
      </w:hyperlink>
    </w:p>
    <w:p>
      <w:pPr>
        <w:spacing w:before="240"/>
        <w:ind w:left="1288" w:right="562" w:hanging="721"/>
        <w:jc w:val="both"/>
        <w:rPr>
          <w:sz w:val="24"/>
        </w:rPr>
      </w:pPr>
      <w:r>
        <w:rPr>
          <w:sz w:val="24"/>
        </w:rPr>
        <w:t>Syeliya, M. Z., Grant, S., Umesh, S., &amp; Howard, D. (2018). Voluntary disclosure in emerging countries: A literature review. </w:t>
      </w:r>
      <w:r>
        <w:rPr>
          <w:i/>
          <w:sz w:val="24"/>
        </w:rPr>
        <w:t>Journal of Accounting in Emerging</w:t>
      </w:r>
      <w:r>
        <w:rPr>
          <w:i/>
          <w:spacing w:val="-4"/>
          <w:sz w:val="24"/>
        </w:rPr>
        <w:t> </w:t>
      </w:r>
      <w:r>
        <w:rPr>
          <w:i/>
          <w:sz w:val="24"/>
        </w:rPr>
        <w:t>Economies,</w:t>
      </w:r>
      <w:r>
        <w:rPr>
          <w:i/>
          <w:spacing w:val="-2"/>
          <w:sz w:val="24"/>
        </w:rPr>
        <w:t> </w:t>
      </w:r>
      <w:r>
        <w:rPr>
          <w:i/>
          <w:sz w:val="24"/>
        </w:rPr>
        <w:t>8</w:t>
      </w:r>
      <w:r>
        <w:rPr>
          <w:sz w:val="24"/>
        </w:rPr>
        <w:t>(1),</w:t>
      </w:r>
      <w:r>
        <w:rPr>
          <w:spacing w:val="-2"/>
          <w:sz w:val="24"/>
        </w:rPr>
        <w:t> </w:t>
      </w:r>
      <w:r>
        <w:rPr>
          <w:sz w:val="24"/>
        </w:rPr>
        <w:t>29–65. </w:t>
      </w:r>
      <w:hyperlink r:id="rId33">
        <w:r>
          <w:rPr>
            <w:color w:val="0462C1"/>
            <w:sz w:val="24"/>
            <w:u w:val="single" w:color="0462C1"/>
          </w:rPr>
          <w:t>https://doi.org/10.1108/JAEE-08-</w:t>
        </w:r>
        <w:r>
          <w:rPr>
            <w:color w:val="0462C1"/>
            <w:spacing w:val="-2"/>
            <w:sz w:val="24"/>
            <w:u w:val="single" w:color="0462C1"/>
          </w:rPr>
          <w:t>2016-</w:t>
        </w:r>
      </w:hyperlink>
    </w:p>
    <w:p>
      <w:pPr>
        <w:pStyle w:val="BodyText"/>
        <w:spacing w:before="1"/>
        <w:ind w:left="1288"/>
      </w:pPr>
      <w:hyperlink r:id="rId33">
        <w:r>
          <w:rPr>
            <w:color w:val="0462C1"/>
            <w:spacing w:val="-4"/>
            <w:u w:val="single" w:color="0462C1"/>
          </w:rPr>
          <w:t>0069</w:t>
        </w:r>
      </w:hyperlink>
    </w:p>
    <w:p>
      <w:pPr>
        <w:pStyle w:val="BodyText"/>
        <w:spacing w:after="0"/>
        <w:sectPr>
          <w:pgSz w:w="11910" w:h="16840"/>
          <w:pgMar w:header="710" w:footer="0" w:top="1920" w:bottom="280" w:left="1700" w:right="1133"/>
        </w:sectPr>
      </w:pPr>
    </w:p>
    <w:p>
      <w:pPr>
        <w:pStyle w:val="BodyText"/>
        <w:spacing w:before="48"/>
      </w:pPr>
    </w:p>
    <w:p>
      <w:pPr>
        <w:pStyle w:val="BodyText"/>
        <w:ind w:left="1288" w:right="562" w:hanging="721"/>
        <w:jc w:val="both"/>
      </w:pPr>
      <w:r>
        <w:rPr/>
        <w:t>Wibowo, R. J. A. (2023). Tinjauan Kebijakan Hukum Insentif Perpajakan Pada Sektor Energi dan Transportasi Untuk Mendukung Net Zero Emission Tahun</w:t>
      </w:r>
      <w:r>
        <w:rPr>
          <w:spacing w:val="-12"/>
        </w:rPr>
        <w:t> </w:t>
      </w:r>
      <w:r>
        <w:rPr/>
        <w:t>2060</w:t>
      </w:r>
      <w:r>
        <w:rPr>
          <w:spacing w:val="-12"/>
        </w:rPr>
        <w:t> </w:t>
      </w:r>
      <w:r>
        <w:rPr/>
        <w:t>di</w:t>
      </w:r>
      <w:r>
        <w:rPr>
          <w:spacing w:val="-11"/>
        </w:rPr>
        <w:t> </w:t>
      </w:r>
      <w:r>
        <w:rPr/>
        <w:t>Indonesia.</w:t>
      </w:r>
      <w:r>
        <w:rPr>
          <w:spacing w:val="-11"/>
        </w:rPr>
        <w:t> </w:t>
      </w:r>
      <w:r>
        <w:rPr>
          <w:i/>
        </w:rPr>
        <w:t>Jurnal</w:t>
      </w:r>
      <w:r>
        <w:rPr>
          <w:i/>
          <w:spacing w:val="-11"/>
        </w:rPr>
        <w:t> </w:t>
      </w:r>
      <w:r>
        <w:rPr>
          <w:i/>
        </w:rPr>
        <w:t>Pajak</w:t>
      </w:r>
      <w:r>
        <w:rPr>
          <w:i/>
          <w:spacing w:val="-11"/>
        </w:rPr>
        <w:t> </w:t>
      </w:r>
      <w:r>
        <w:rPr>
          <w:i/>
        </w:rPr>
        <w:t>Indonesia</w:t>
      </w:r>
      <w:r>
        <w:rPr>
          <w:i/>
          <w:spacing w:val="-12"/>
        </w:rPr>
        <w:t> </w:t>
      </w:r>
      <w:r>
        <w:rPr>
          <w:i/>
        </w:rPr>
        <w:t>(Indonesian</w:t>
      </w:r>
      <w:r>
        <w:rPr>
          <w:i/>
          <w:spacing w:val="-12"/>
        </w:rPr>
        <w:t> </w:t>
      </w:r>
      <w:r>
        <w:rPr>
          <w:i/>
        </w:rPr>
        <w:t>Tax</w:t>
      </w:r>
      <w:r>
        <w:rPr>
          <w:i/>
          <w:spacing w:val="-11"/>
        </w:rPr>
        <w:t> </w:t>
      </w:r>
      <w:r>
        <w:rPr>
          <w:i/>
        </w:rPr>
        <w:t>Review)</w:t>
      </w:r>
      <w:r>
        <w:rPr/>
        <w:t>, 7(1), 91-107. </w:t>
      </w:r>
      <w:r>
        <w:rPr>
          <w:color w:val="5B9BD4"/>
          <w:u w:val="single" w:color="5B9BD4"/>
        </w:rPr>
        <w:t>https://doi.org/10.31092/jpi.v7i1.2193</w:t>
      </w:r>
    </w:p>
    <w:p>
      <w:pPr>
        <w:pStyle w:val="BodyText"/>
        <w:tabs>
          <w:tab w:pos="3036" w:val="left" w:leader="none"/>
          <w:tab w:pos="4596" w:val="left" w:leader="none"/>
          <w:tab w:pos="6091" w:val="left" w:leader="none"/>
          <w:tab w:pos="7606" w:val="left" w:leader="none"/>
        </w:tabs>
        <w:spacing w:before="241"/>
        <w:ind w:left="1288" w:right="565" w:hanging="721"/>
        <w:jc w:val="both"/>
      </w:pPr>
      <w:r>
        <w:rPr/>
        <w:t>Yunus,</w:t>
      </w:r>
      <w:r>
        <w:rPr>
          <w:spacing w:val="-15"/>
        </w:rPr>
        <w:t> </w:t>
      </w:r>
      <w:r>
        <w:rPr/>
        <w:t>R.</w:t>
      </w:r>
      <w:r>
        <w:rPr>
          <w:spacing w:val="-13"/>
        </w:rPr>
        <w:t> </w:t>
      </w:r>
      <w:r>
        <w:rPr/>
        <w:t>R.</w:t>
      </w:r>
      <w:r>
        <w:rPr>
          <w:spacing w:val="-15"/>
        </w:rPr>
        <w:t> </w:t>
      </w:r>
      <w:r>
        <w:rPr/>
        <w:t>S.,</w:t>
      </w:r>
      <w:r>
        <w:rPr>
          <w:spacing w:val="-12"/>
        </w:rPr>
        <w:t> </w:t>
      </w:r>
      <w:r>
        <w:rPr/>
        <w:t>Septyanto,</w:t>
      </w:r>
      <w:r>
        <w:rPr>
          <w:spacing w:val="-11"/>
        </w:rPr>
        <w:t> </w:t>
      </w:r>
      <w:r>
        <w:rPr/>
        <w:t>D.,</w:t>
      </w:r>
      <w:r>
        <w:rPr>
          <w:spacing w:val="-15"/>
        </w:rPr>
        <w:t> </w:t>
      </w:r>
      <w:r>
        <w:rPr/>
        <w:t>&amp;</w:t>
      </w:r>
      <w:r>
        <w:rPr>
          <w:spacing w:val="-15"/>
        </w:rPr>
        <w:t> </w:t>
      </w:r>
      <w:r>
        <w:rPr/>
        <w:t>Ramli,</w:t>
      </w:r>
      <w:r>
        <w:rPr>
          <w:spacing w:val="-15"/>
        </w:rPr>
        <w:t> </w:t>
      </w:r>
      <w:r>
        <w:rPr/>
        <w:t>A.</w:t>
      </w:r>
      <w:r>
        <w:rPr>
          <w:spacing w:val="-8"/>
        </w:rPr>
        <w:t> </w:t>
      </w:r>
      <w:r>
        <w:rPr/>
        <w:t>H.</w:t>
      </w:r>
      <w:r>
        <w:rPr>
          <w:spacing w:val="-12"/>
        </w:rPr>
        <w:t> </w:t>
      </w:r>
      <w:r>
        <w:rPr/>
        <w:t>(2023).</w:t>
      </w:r>
      <w:r>
        <w:rPr>
          <w:spacing w:val="-11"/>
        </w:rPr>
        <w:t> </w:t>
      </w:r>
      <w:r>
        <w:rPr/>
        <w:t>Analysis</w:t>
      </w:r>
      <w:r>
        <w:rPr>
          <w:spacing w:val="-15"/>
        </w:rPr>
        <w:t> </w:t>
      </w:r>
      <w:r>
        <w:rPr/>
        <w:t>of</w:t>
      </w:r>
      <w:r>
        <w:rPr>
          <w:spacing w:val="-12"/>
        </w:rPr>
        <w:t> </w:t>
      </w:r>
      <w:r>
        <w:rPr/>
        <w:t>factors</w:t>
      </w:r>
      <w:r>
        <w:rPr>
          <w:spacing w:val="-15"/>
        </w:rPr>
        <w:t> </w:t>
      </w:r>
      <w:r>
        <w:rPr/>
        <w:t>affecting customer satisfaction and customer loyalty in the Shopee marketplace. </w:t>
      </w:r>
      <w:r>
        <w:rPr>
          <w:i/>
          <w:spacing w:val="-2"/>
        </w:rPr>
        <w:t>Majalah</w:t>
      </w:r>
      <w:r>
        <w:rPr>
          <w:i/>
        </w:rPr>
        <w:tab/>
      </w:r>
      <w:r>
        <w:rPr>
          <w:i/>
          <w:spacing w:val="-2"/>
        </w:rPr>
        <w:t>Ilmiah</w:t>
      </w:r>
      <w:r>
        <w:rPr>
          <w:i/>
        </w:rPr>
        <w:tab/>
      </w:r>
      <w:r>
        <w:rPr>
          <w:i/>
          <w:spacing w:val="-2"/>
        </w:rPr>
        <w:t>Bijak,</w:t>
      </w:r>
      <w:r>
        <w:rPr>
          <w:i/>
        </w:rPr>
        <w:tab/>
      </w:r>
      <w:r>
        <w:rPr>
          <w:i/>
          <w:spacing w:val="-2"/>
        </w:rPr>
        <w:t>20</w:t>
      </w:r>
      <w:r>
        <w:rPr>
          <w:spacing w:val="-2"/>
        </w:rPr>
        <w:t>(2),</w:t>
      </w:r>
      <w:r>
        <w:rPr/>
        <w:tab/>
      </w:r>
      <w:r>
        <w:rPr>
          <w:spacing w:val="-2"/>
        </w:rPr>
        <w:t>293–310. </w:t>
      </w:r>
      <w:hyperlink r:id="rId34">
        <w:r>
          <w:rPr>
            <w:color w:val="0462C1"/>
            <w:spacing w:val="-2"/>
            <w:u w:val="single" w:color="0462C1"/>
          </w:rPr>
          <w:t>https://doi.org/10.31334/bijak.v20i2.3427</w:t>
        </w:r>
      </w:hyperlink>
    </w:p>
    <w:p>
      <w:pPr>
        <w:pStyle w:val="BodyText"/>
        <w:spacing w:before="240"/>
        <w:ind w:left="1288" w:right="562" w:hanging="721"/>
        <w:jc w:val="both"/>
      </w:pPr>
      <w:r>
        <w:rPr/>
        <w:t>Zaman,</w:t>
      </w:r>
      <w:r>
        <w:rPr>
          <w:spacing w:val="-15"/>
        </w:rPr>
        <w:t> </w:t>
      </w:r>
      <w:r>
        <w:rPr/>
        <w:t>R.,</w:t>
      </w:r>
      <w:r>
        <w:rPr>
          <w:spacing w:val="-15"/>
        </w:rPr>
        <w:t> </w:t>
      </w:r>
      <w:r>
        <w:rPr/>
        <w:t>Farooq,</w:t>
      </w:r>
      <w:r>
        <w:rPr>
          <w:spacing w:val="-15"/>
        </w:rPr>
        <w:t> </w:t>
      </w:r>
      <w:r>
        <w:rPr/>
        <w:t>M.</w:t>
      </w:r>
      <w:r>
        <w:rPr>
          <w:spacing w:val="-15"/>
        </w:rPr>
        <w:t> </w:t>
      </w:r>
      <w:r>
        <w:rPr/>
        <w:t>B.,</w:t>
      </w:r>
      <w:r>
        <w:rPr>
          <w:spacing w:val="-15"/>
        </w:rPr>
        <w:t> </w:t>
      </w:r>
      <w:r>
        <w:rPr/>
        <w:t>Khalid,</w:t>
      </w:r>
      <w:r>
        <w:rPr>
          <w:spacing w:val="-15"/>
        </w:rPr>
        <w:t> </w:t>
      </w:r>
      <w:r>
        <w:rPr/>
        <w:t>F.,</w:t>
      </w:r>
      <w:r>
        <w:rPr>
          <w:spacing w:val="-15"/>
        </w:rPr>
        <w:t> </w:t>
      </w:r>
      <w:r>
        <w:rPr/>
        <w:t>&amp;</w:t>
      </w:r>
      <w:r>
        <w:rPr>
          <w:spacing w:val="-15"/>
        </w:rPr>
        <w:t> </w:t>
      </w:r>
      <w:r>
        <w:rPr/>
        <w:t>Mahmood,</w:t>
      </w:r>
      <w:r>
        <w:rPr>
          <w:spacing w:val="-15"/>
        </w:rPr>
        <w:t> </w:t>
      </w:r>
      <w:r>
        <w:rPr/>
        <w:t>Z.</w:t>
      </w:r>
      <w:r>
        <w:rPr>
          <w:spacing w:val="-15"/>
        </w:rPr>
        <w:t> </w:t>
      </w:r>
      <w:r>
        <w:rPr/>
        <w:t>(2021).</w:t>
      </w:r>
      <w:r>
        <w:rPr>
          <w:spacing w:val="-15"/>
        </w:rPr>
        <w:t> </w:t>
      </w:r>
      <w:r>
        <w:rPr/>
        <w:t>Examining</w:t>
      </w:r>
      <w:r>
        <w:rPr>
          <w:spacing w:val="-15"/>
        </w:rPr>
        <w:t> </w:t>
      </w:r>
      <w:r>
        <w:rPr/>
        <w:t>the</w:t>
      </w:r>
      <w:r>
        <w:rPr>
          <w:spacing w:val="-15"/>
        </w:rPr>
        <w:t> </w:t>
      </w:r>
      <w:r>
        <w:rPr/>
        <w:t>extent of and determinants for sustainability assurance quality: The role of audit committees. </w:t>
      </w:r>
      <w:r>
        <w:rPr>
          <w:i/>
        </w:rPr>
        <w:t>Business Strategy and the Environment</w:t>
      </w:r>
      <w:r>
        <w:rPr/>
        <w:t>, 1–20. </w:t>
      </w:r>
      <w:hyperlink r:id="rId35">
        <w:r>
          <w:rPr>
            <w:color w:val="0462C1"/>
            <w:spacing w:val="-2"/>
            <w:u w:val="single" w:color="0462C1"/>
          </w:rPr>
          <w:t>https://doi.org/10.1002/bse.2777</w:t>
        </w:r>
      </w:hyperlink>
    </w:p>
    <w:p>
      <w:pPr>
        <w:spacing w:before="241"/>
        <w:ind w:left="1288" w:right="562" w:hanging="721"/>
        <w:jc w:val="both"/>
        <w:rPr>
          <w:sz w:val="24"/>
        </w:rPr>
      </w:pPr>
      <w:r>
        <w:rPr>
          <w:sz w:val="24"/>
        </w:rPr>
        <w:t>Zheng, X., El Ghoul, S., Guedhami, O., &amp; Kwok, C. C. (2012). National culture and corporate debt maturity. </w:t>
      </w:r>
      <w:r>
        <w:rPr>
          <w:i/>
          <w:sz w:val="24"/>
        </w:rPr>
        <w:t>Journal of Banking &amp; Finance, 36</w:t>
      </w:r>
      <w:r>
        <w:rPr>
          <w:sz w:val="24"/>
        </w:rPr>
        <w:t>(2), 468– </w:t>
      </w:r>
      <w:r>
        <w:rPr>
          <w:spacing w:val="-4"/>
          <w:sz w:val="24"/>
        </w:rPr>
        <w:t>488.</w:t>
      </w:r>
    </w:p>
    <w:p>
      <w:pPr>
        <w:spacing w:after="0"/>
        <w:jc w:val="both"/>
        <w:rPr>
          <w:sz w:val="24"/>
        </w:rPr>
        <w:sectPr>
          <w:pgSz w:w="11910" w:h="16840"/>
          <w:pgMar w:header="710" w:footer="0" w:top="1920" w:bottom="280" w:left="1700" w:right="1133"/>
        </w:sectPr>
      </w:pPr>
    </w:p>
    <w:p>
      <w:pPr>
        <w:pStyle w:val="BodyText"/>
        <w:rPr>
          <w:sz w:val="80"/>
        </w:rPr>
      </w:pPr>
    </w:p>
    <w:p>
      <w:pPr>
        <w:pStyle w:val="BodyText"/>
        <w:rPr>
          <w:sz w:val="80"/>
        </w:rPr>
      </w:pPr>
    </w:p>
    <w:p>
      <w:pPr>
        <w:pStyle w:val="BodyText"/>
        <w:rPr>
          <w:sz w:val="80"/>
        </w:rPr>
      </w:pPr>
    </w:p>
    <w:p>
      <w:pPr>
        <w:pStyle w:val="BodyText"/>
        <w:rPr>
          <w:sz w:val="80"/>
        </w:rPr>
      </w:pPr>
    </w:p>
    <w:p>
      <w:pPr>
        <w:pStyle w:val="BodyText"/>
        <w:rPr>
          <w:sz w:val="80"/>
        </w:rPr>
      </w:pPr>
    </w:p>
    <w:p>
      <w:pPr>
        <w:pStyle w:val="BodyText"/>
        <w:spacing w:before="155"/>
        <w:rPr>
          <w:sz w:val="80"/>
        </w:rPr>
      </w:pPr>
    </w:p>
    <w:p>
      <w:pPr>
        <w:pStyle w:val="Heading1"/>
      </w:pPr>
      <w:bookmarkStart w:name="_bookmark80" w:id="81"/>
      <w:bookmarkEnd w:id="81"/>
      <w:r>
        <w:rPr>
          <w:b w:val="0"/>
        </w:rPr>
      </w:r>
      <w:r>
        <w:rPr>
          <w:spacing w:val="-2"/>
        </w:rPr>
        <w:t>LAMPIRAN</w:t>
      </w:r>
    </w:p>
    <w:p>
      <w:pPr>
        <w:pStyle w:val="Heading1"/>
        <w:spacing w:after="0"/>
        <w:sectPr>
          <w:headerReference w:type="default" r:id="rId36"/>
          <w:pgSz w:w="11910" w:h="16840"/>
          <w:pgMar w:header="0" w:footer="0" w:top="1920" w:bottom="280" w:left="1700" w:right="1133"/>
        </w:sectPr>
      </w:pPr>
    </w:p>
    <w:p>
      <w:pPr>
        <w:pStyle w:val="BodyText"/>
        <w:spacing w:before="78"/>
        <w:rPr>
          <w:b/>
          <w:sz w:val="22"/>
        </w:rPr>
      </w:pPr>
    </w:p>
    <w:p>
      <w:pPr>
        <w:spacing w:before="0"/>
        <w:ind w:left="568" w:right="0" w:firstLine="0"/>
        <w:jc w:val="left"/>
        <w:rPr>
          <w:b/>
          <w:sz w:val="22"/>
        </w:rPr>
      </w:pPr>
      <w:bookmarkStart w:name="_bookmark81" w:id="82"/>
      <w:bookmarkEnd w:id="82"/>
      <w:r>
        <w:rPr/>
      </w:r>
      <w:r>
        <w:rPr>
          <w:b/>
          <w:sz w:val="22"/>
        </w:rPr>
        <w:t>Lampiran 2</w:t>
      </w:r>
      <w:r>
        <w:rPr>
          <w:b/>
          <w:spacing w:val="-3"/>
          <w:sz w:val="22"/>
        </w:rPr>
        <w:t> </w:t>
      </w:r>
      <w:r>
        <w:rPr>
          <w:b/>
          <w:sz w:val="22"/>
        </w:rPr>
        <w:t>Sampel</w:t>
      </w:r>
      <w:r>
        <w:rPr>
          <w:b/>
          <w:spacing w:val="-8"/>
          <w:sz w:val="22"/>
        </w:rPr>
        <w:t> </w:t>
      </w:r>
      <w:r>
        <w:rPr>
          <w:b/>
          <w:sz w:val="22"/>
        </w:rPr>
        <w:t>Perusahaan</w:t>
      </w:r>
      <w:r>
        <w:rPr>
          <w:b/>
          <w:spacing w:val="-1"/>
          <w:sz w:val="22"/>
        </w:rPr>
        <w:t> </w:t>
      </w:r>
      <w:r>
        <w:rPr>
          <w:b/>
          <w:sz w:val="22"/>
        </w:rPr>
        <w:t>Sektor</w:t>
      </w:r>
      <w:r>
        <w:rPr>
          <w:b/>
          <w:spacing w:val="-7"/>
          <w:sz w:val="22"/>
        </w:rPr>
        <w:t> </w:t>
      </w:r>
      <w:r>
        <w:rPr>
          <w:b/>
          <w:spacing w:val="-2"/>
          <w:sz w:val="22"/>
        </w:rPr>
        <w:t>Energi</w:t>
      </w:r>
    </w:p>
    <w:p>
      <w:pPr>
        <w:pStyle w:val="BodyText"/>
        <w:spacing w:before="4" w:after="1"/>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992"/>
        <w:gridCol w:w="4114"/>
      </w:tblGrid>
      <w:tr>
        <w:trPr>
          <w:trHeight w:val="278" w:hRule="atLeast"/>
        </w:trPr>
        <w:tc>
          <w:tcPr>
            <w:tcW w:w="564" w:type="dxa"/>
          </w:tcPr>
          <w:p>
            <w:pPr>
              <w:pStyle w:val="TableParagraph"/>
              <w:spacing w:line="258" w:lineRule="exact"/>
              <w:ind w:left="8" w:right="1"/>
              <w:jc w:val="center"/>
              <w:rPr>
                <w:b/>
                <w:sz w:val="24"/>
              </w:rPr>
            </w:pPr>
            <w:r>
              <w:rPr>
                <w:b/>
                <w:spacing w:val="-5"/>
                <w:sz w:val="24"/>
              </w:rPr>
              <w:t>No</w:t>
            </w:r>
          </w:p>
        </w:tc>
        <w:tc>
          <w:tcPr>
            <w:tcW w:w="992" w:type="dxa"/>
          </w:tcPr>
          <w:p>
            <w:pPr>
              <w:pStyle w:val="TableParagraph"/>
              <w:spacing w:line="258" w:lineRule="exact"/>
              <w:ind w:left="13" w:right="14"/>
              <w:jc w:val="center"/>
              <w:rPr>
                <w:b/>
                <w:sz w:val="24"/>
              </w:rPr>
            </w:pPr>
            <w:r>
              <w:rPr>
                <w:b/>
                <w:spacing w:val="-4"/>
                <w:sz w:val="24"/>
              </w:rPr>
              <w:t>Kode</w:t>
            </w:r>
          </w:p>
        </w:tc>
        <w:tc>
          <w:tcPr>
            <w:tcW w:w="4114" w:type="dxa"/>
          </w:tcPr>
          <w:p>
            <w:pPr>
              <w:pStyle w:val="TableParagraph"/>
              <w:spacing w:line="258" w:lineRule="exact"/>
              <w:ind w:left="1168"/>
              <w:rPr>
                <w:b/>
                <w:sz w:val="24"/>
              </w:rPr>
            </w:pPr>
            <w:r>
              <w:rPr>
                <w:b/>
                <w:sz w:val="24"/>
              </w:rPr>
              <w:t>Nama</w:t>
            </w:r>
            <w:r>
              <w:rPr>
                <w:b/>
                <w:spacing w:val="-7"/>
                <w:sz w:val="24"/>
              </w:rPr>
              <w:t> </w:t>
            </w:r>
            <w:r>
              <w:rPr>
                <w:b/>
                <w:spacing w:val="-2"/>
                <w:sz w:val="24"/>
              </w:rPr>
              <w:t>Perushaan</w:t>
            </w:r>
          </w:p>
        </w:tc>
      </w:tr>
      <w:tr>
        <w:trPr>
          <w:trHeight w:val="498" w:hRule="atLeast"/>
        </w:trPr>
        <w:tc>
          <w:tcPr>
            <w:tcW w:w="564" w:type="dxa"/>
          </w:tcPr>
          <w:p>
            <w:pPr>
              <w:pStyle w:val="TableParagraph"/>
              <w:spacing w:before="103"/>
              <w:ind w:left="8" w:right="4"/>
              <w:jc w:val="center"/>
              <w:rPr>
                <w:sz w:val="24"/>
              </w:rPr>
            </w:pPr>
            <w:r>
              <w:rPr>
                <w:spacing w:val="-10"/>
                <w:sz w:val="24"/>
              </w:rPr>
              <w:t>1</w:t>
            </w:r>
          </w:p>
        </w:tc>
        <w:tc>
          <w:tcPr>
            <w:tcW w:w="992" w:type="dxa"/>
          </w:tcPr>
          <w:p>
            <w:pPr>
              <w:pStyle w:val="TableParagraph"/>
              <w:spacing w:before="103"/>
              <w:ind w:left="13" w:right="7"/>
              <w:jc w:val="center"/>
              <w:rPr>
                <w:sz w:val="24"/>
              </w:rPr>
            </w:pPr>
            <w:r>
              <w:rPr>
                <w:spacing w:val="-4"/>
                <w:sz w:val="24"/>
              </w:rPr>
              <w:t>ABMM</w:t>
            </w:r>
          </w:p>
        </w:tc>
        <w:tc>
          <w:tcPr>
            <w:tcW w:w="4114" w:type="dxa"/>
          </w:tcPr>
          <w:p>
            <w:pPr>
              <w:pStyle w:val="TableParagraph"/>
              <w:spacing w:before="103"/>
              <w:ind w:left="107"/>
              <w:rPr>
                <w:sz w:val="24"/>
              </w:rPr>
            </w:pPr>
            <w:r>
              <w:rPr>
                <w:sz w:val="24"/>
              </w:rPr>
              <w:t>ABM</w:t>
            </w:r>
            <w:r>
              <w:rPr>
                <w:spacing w:val="-4"/>
                <w:sz w:val="24"/>
              </w:rPr>
              <w:t> </w:t>
            </w:r>
            <w:r>
              <w:rPr>
                <w:sz w:val="24"/>
              </w:rPr>
              <w:t>Investama</w:t>
            </w:r>
            <w:r>
              <w:rPr>
                <w:spacing w:val="-6"/>
                <w:sz w:val="24"/>
              </w:rPr>
              <w:t> </w:t>
            </w:r>
            <w:r>
              <w:rPr>
                <w:spacing w:val="-4"/>
                <w:sz w:val="24"/>
              </w:rPr>
              <w:t>Tbk.</w:t>
            </w:r>
          </w:p>
        </w:tc>
      </w:tr>
      <w:tr>
        <w:trPr>
          <w:trHeight w:val="501" w:hRule="atLeast"/>
        </w:trPr>
        <w:tc>
          <w:tcPr>
            <w:tcW w:w="564" w:type="dxa"/>
          </w:tcPr>
          <w:p>
            <w:pPr>
              <w:pStyle w:val="TableParagraph"/>
              <w:spacing w:before="107"/>
              <w:ind w:left="8" w:right="4"/>
              <w:jc w:val="center"/>
              <w:rPr>
                <w:sz w:val="24"/>
              </w:rPr>
            </w:pPr>
            <w:r>
              <w:rPr>
                <w:spacing w:val="-10"/>
                <w:sz w:val="24"/>
              </w:rPr>
              <w:t>2</w:t>
            </w:r>
          </w:p>
        </w:tc>
        <w:tc>
          <w:tcPr>
            <w:tcW w:w="992" w:type="dxa"/>
          </w:tcPr>
          <w:p>
            <w:pPr>
              <w:pStyle w:val="TableParagraph"/>
              <w:spacing w:before="107"/>
              <w:ind w:left="13" w:right="9"/>
              <w:jc w:val="center"/>
              <w:rPr>
                <w:sz w:val="24"/>
              </w:rPr>
            </w:pPr>
            <w:r>
              <w:rPr>
                <w:spacing w:val="-4"/>
                <w:sz w:val="24"/>
              </w:rPr>
              <w:t>BUMI</w:t>
            </w:r>
          </w:p>
        </w:tc>
        <w:tc>
          <w:tcPr>
            <w:tcW w:w="4114" w:type="dxa"/>
          </w:tcPr>
          <w:p>
            <w:pPr>
              <w:pStyle w:val="TableParagraph"/>
              <w:spacing w:before="107"/>
              <w:ind w:left="107"/>
              <w:rPr>
                <w:sz w:val="24"/>
              </w:rPr>
            </w:pPr>
            <w:r>
              <w:rPr>
                <w:sz w:val="24"/>
              </w:rPr>
              <w:t>Bumi</w:t>
            </w:r>
            <w:r>
              <w:rPr>
                <w:spacing w:val="-3"/>
                <w:sz w:val="24"/>
              </w:rPr>
              <w:t> </w:t>
            </w:r>
            <w:r>
              <w:rPr>
                <w:sz w:val="24"/>
              </w:rPr>
              <w:t>Resources</w:t>
            </w:r>
            <w:r>
              <w:rPr>
                <w:spacing w:val="-7"/>
                <w:sz w:val="24"/>
              </w:rPr>
              <w:t> </w:t>
            </w:r>
            <w:r>
              <w:rPr>
                <w:spacing w:val="-4"/>
                <w:sz w:val="24"/>
              </w:rPr>
              <w:t>Tbk.</w:t>
            </w:r>
          </w:p>
        </w:tc>
      </w:tr>
      <w:tr>
        <w:trPr>
          <w:trHeight w:val="502" w:hRule="atLeast"/>
        </w:trPr>
        <w:tc>
          <w:tcPr>
            <w:tcW w:w="564" w:type="dxa"/>
          </w:tcPr>
          <w:p>
            <w:pPr>
              <w:pStyle w:val="TableParagraph"/>
              <w:spacing w:before="107"/>
              <w:ind w:left="8" w:right="4"/>
              <w:jc w:val="center"/>
              <w:rPr>
                <w:sz w:val="24"/>
              </w:rPr>
            </w:pPr>
            <w:r>
              <w:rPr>
                <w:spacing w:val="-10"/>
                <w:sz w:val="24"/>
              </w:rPr>
              <w:t>3</w:t>
            </w:r>
          </w:p>
        </w:tc>
        <w:tc>
          <w:tcPr>
            <w:tcW w:w="992" w:type="dxa"/>
          </w:tcPr>
          <w:p>
            <w:pPr>
              <w:pStyle w:val="TableParagraph"/>
              <w:spacing w:before="107"/>
              <w:ind w:left="13" w:right="8"/>
              <w:jc w:val="center"/>
              <w:rPr>
                <w:sz w:val="24"/>
              </w:rPr>
            </w:pPr>
            <w:r>
              <w:rPr>
                <w:spacing w:val="-4"/>
                <w:sz w:val="24"/>
              </w:rPr>
              <w:t>DEWA</w:t>
            </w:r>
          </w:p>
        </w:tc>
        <w:tc>
          <w:tcPr>
            <w:tcW w:w="4114" w:type="dxa"/>
          </w:tcPr>
          <w:p>
            <w:pPr>
              <w:pStyle w:val="TableParagraph"/>
              <w:spacing w:before="107"/>
              <w:ind w:left="107"/>
              <w:rPr>
                <w:sz w:val="24"/>
              </w:rPr>
            </w:pPr>
            <w:r>
              <w:rPr>
                <w:sz w:val="24"/>
              </w:rPr>
              <w:t>Darma</w:t>
            </w:r>
            <w:r>
              <w:rPr>
                <w:spacing w:val="-4"/>
                <w:sz w:val="24"/>
              </w:rPr>
              <w:t> </w:t>
            </w:r>
            <w:r>
              <w:rPr>
                <w:sz w:val="24"/>
              </w:rPr>
              <w:t>Henwa</w:t>
            </w:r>
            <w:r>
              <w:rPr>
                <w:spacing w:val="-6"/>
                <w:sz w:val="24"/>
              </w:rPr>
              <w:t> </w:t>
            </w:r>
            <w:r>
              <w:rPr>
                <w:spacing w:val="-5"/>
                <w:sz w:val="24"/>
              </w:rPr>
              <w:t>Tbk</w:t>
            </w:r>
          </w:p>
        </w:tc>
      </w:tr>
      <w:tr>
        <w:trPr>
          <w:trHeight w:val="502" w:hRule="atLeast"/>
        </w:trPr>
        <w:tc>
          <w:tcPr>
            <w:tcW w:w="564" w:type="dxa"/>
          </w:tcPr>
          <w:p>
            <w:pPr>
              <w:pStyle w:val="TableParagraph"/>
              <w:spacing w:before="107"/>
              <w:ind w:left="8" w:right="4"/>
              <w:jc w:val="center"/>
              <w:rPr>
                <w:sz w:val="24"/>
              </w:rPr>
            </w:pPr>
            <w:r>
              <w:rPr>
                <w:spacing w:val="-10"/>
                <w:sz w:val="24"/>
              </w:rPr>
              <w:t>4</w:t>
            </w:r>
          </w:p>
        </w:tc>
        <w:tc>
          <w:tcPr>
            <w:tcW w:w="992" w:type="dxa"/>
          </w:tcPr>
          <w:p>
            <w:pPr>
              <w:pStyle w:val="TableParagraph"/>
              <w:spacing w:before="107"/>
              <w:ind w:left="13" w:right="8"/>
              <w:jc w:val="center"/>
              <w:rPr>
                <w:sz w:val="24"/>
              </w:rPr>
            </w:pPr>
            <w:r>
              <w:rPr>
                <w:spacing w:val="-4"/>
                <w:sz w:val="24"/>
              </w:rPr>
              <w:t>INDY</w:t>
            </w:r>
          </w:p>
        </w:tc>
        <w:tc>
          <w:tcPr>
            <w:tcW w:w="4114" w:type="dxa"/>
          </w:tcPr>
          <w:p>
            <w:pPr>
              <w:pStyle w:val="TableParagraph"/>
              <w:spacing w:before="107"/>
              <w:ind w:left="107"/>
              <w:rPr>
                <w:sz w:val="24"/>
              </w:rPr>
            </w:pPr>
            <w:r>
              <w:rPr>
                <w:sz w:val="24"/>
              </w:rPr>
              <w:t>Indika</w:t>
            </w:r>
            <w:r>
              <w:rPr>
                <w:spacing w:val="-4"/>
                <w:sz w:val="24"/>
              </w:rPr>
              <w:t> </w:t>
            </w:r>
            <w:r>
              <w:rPr>
                <w:sz w:val="24"/>
              </w:rPr>
              <w:t>Energy</w:t>
            </w:r>
            <w:r>
              <w:rPr>
                <w:spacing w:val="-14"/>
                <w:sz w:val="24"/>
              </w:rPr>
              <w:t> </w:t>
            </w:r>
            <w:r>
              <w:rPr>
                <w:spacing w:val="-4"/>
                <w:sz w:val="24"/>
              </w:rPr>
              <w:t>Tbk.</w:t>
            </w:r>
          </w:p>
        </w:tc>
      </w:tr>
      <w:tr>
        <w:trPr>
          <w:trHeight w:val="498" w:hRule="atLeast"/>
        </w:trPr>
        <w:tc>
          <w:tcPr>
            <w:tcW w:w="564" w:type="dxa"/>
          </w:tcPr>
          <w:p>
            <w:pPr>
              <w:pStyle w:val="TableParagraph"/>
              <w:spacing w:before="103"/>
              <w:ind w:left="8" w:right="4"/>
              <w:jc w:val="center"/>
              <w:rPr>
                <w:sz w:val="24"/>
              </w:rPr>
            </w:pPr>
            <w:r>
              <w:rPr>
                <w:spacing w:val="-10"/>
                <w:sz w:val="24"/>
              </w:rPr>
              <w:t>5</w:t>
            </w:r>
          </w:p>
        </w:tc>
        <w:tc>
          <w:tcPr>
            <w:tcW w:w="992" w:type="dxa"/>
          </w:tcPr>
          <w:p>
            <w:pPr>
              <w:pStyle w:val="TableParagraph"/>
              <w:spacing w:before="103"/>
              <w:ind w:left="13" w:right="8"/>
              <w:jc w:val="center"/>
              <w:rPr>
                <w:sz w:val="24"/>
              </w:rPr>
            </w:pPr>
            <w:r>
              <w:rPr>
                <w:spacing w:val="-4"/>
                <w:sz w:val="24"/>
              </w:rPr>
              <w:t>ITMG</w:t>
            </w:r>
          </w:p>
        </w:tc>
        <w:tc>
          <w:tcPr>
            <w:tcW w:w="4114" w:type="dxa"/>
          </w:tcPr>
          <w:p>
            <w:pPr>
              <w:pStyle w:val="TableParagraph"/>
              <w:spacing w:before="103"/>
              <w:ind w:left="107"/>
              <w:rPr>
                <w:sz w:val="24"/>
              </w:rPr>
            </w:pPr>
            <w:r>
              <w:rPr>
                <w:sz w:val="24"/>
              </w:rPr>
              <w:t>Indo</w:t>
            </w:r>
            <w:r>
              <w:rPr>
                <w:spacing w:val="-14"/>
                <w:sz w:val="24"/>
              </w:rPr>
              <w:t> </w:t>
            </w:r>
            <w:r>
              <w:rPr>
                <w:sz w:val="24"/>
              </w:rPr>
              <w:t>Tambangraya</w:t>
            </w:r>
            <w:r>
              <w:rPr>
                <w:spacing w:val="-7"/>
                <w:sz w:val="24"/>
              </w:rPr>
              <w:t> </w:t>
            </w:r>
            <w:r>
              <w:rPr>
                <w:sz w:val="24"/>
              </w:rPr>
              <w:t>Megah</w:t>
            </w:r>
            <w:r>
              <w:rPr>
                <w:spacing w:val="-13"/>
                <w:sz w:val="24"/>
              </w:rPr>
              <w:t> </w:t>
            </w:r>
            <w:r>
              <w:rPr>
                <w:spacing w:val="-4"/>
                <w:sz w:val="24"/>
              </w:rPr>
              <w:t>Tbk.</w:t>
            </w:r>
          </w:p>
        </w:tc>
      </w:tr>
      <w:tr>
        <w:trPr>
          <w:trHeight w:val="502" w:hRule="atLeast"/>
        </w:trPr>
        <w:tc>
          <w:tcPr>
            <w:tcW w:w="564" w:type="dxa"/>
          </w:tcPr>
          <w:p>
            <w:pPr>
              <w:pStyle w:val="TableParagraph"/>
              <w:spacing w:before="107"/>
              <w:ind w:left="8" w:right="4"/>
              <w:jc w:val="center"/>
              <w:rPr>
                <w:sz w:val="24"/>
              </w:rPr>
            </w:pPr>
            <w:r>
              <w:rPr>
                <w:spacing w:val="-10"/>
                <w:sz w:val="24"/>
              </w:rPr>
              <w:t>6</w:t>
            </w:r>
          </w:p>
        </w:tc>
        <w:tc>
          <w:tcPr>
            <w:tcW w:w="992" w:type="dxa"/>
          </w:tcPr>
          <w:p>
            <w:pPr>
              <w:pStyle w:val="TableParagraph"/>
              <w:spacing w:before="107"/>
              <w:ind w:left="13" w:right="9"/>
              <w:jc w:val="center"/>
              <w:rPr>
                <w:sz w:val="24"/>
              </w:rPr>
            </w:pPr>
            <w:r>
              <w:rPr>
                <w:spacing w:val="-4"/>
                <w:sz w:val="24"/>
              </w:rPr>
              <w:t>MEDC</w:t>
            </w:r>
          </w:p>
        </w:tc>
        <w:tc>
          <w:tcPr>
            <w:tcW w:w="4114" w:type="dxa"/>
          </w:tcPr>
          <w:p>
            <w:pPr>
              <w:pStyle w:val="TableParagraph"/>
              <w:spacing w:before="107"/>
              <w:ind w:left="107"/>
              <w:rPr>
                <w:sz w:val="24"/>
              </w:rPr>
            </w:pPr>
            <w:r>
              <w:rPr>
                <w:sz w:val="24"/>
              </w:rPr>
              <w:t>Medco</w:t>
            </w:r>
            <w:r>
              <w:rPr>
                <w:spacing w:val="-5"/>
                <w:sz w:val="24"/>
              </w:rPr>
              <w:t> </w:t>
            </w:r>
            <w:r>
              <w:rPr>
                <w:sz w:val="24"/>
              </w:rPr>
              <w:t>Energi</w:t>
            </w:r>
            <w:r>
              <w:rPr>
                <w:spacing w:val="-1"/>
                <w:sz w:val="24"/>
              </w:rPr>
              <w:t> </w:t>
            </w:r>
            <w:r>
              <w:rPr>
                <w:sz w:val="24"/>
              </w:rPr>
              <w:t>Internasional</w:t>
            </w:r>
            <w:r>
              <w:rPr>
                <w:spacing w:val="-9"/>
                <w:sz w:val="24"/>
              </w:rPr>
              <w:t> </w:t>
            </w:r>
            <w:r>
              <w:rPr>
                <w:spacing w:val="-5"/>
                <w:sz w:val="24"/>
              </w:rPr>
              <w:t>Tbk</w:t>
            </w:r>
          </w:p>
        </w:tc>
      </w:tr>
      <w:tr>
        <w:trPr>
          <w:trHeight w:val="501" w:hRule="atLeast"/>
        </w:trPr>
        <w:tc>
          <w:tcPr>
            <w:tcW w:w="564" w:type="dxa"/>
          </w:tcPr>
          <w:p>
            <w:pPr>
              <w:pStyle w:val="TableParagraph"/>
              <w:spacing w:before="106"/>
              <w:ind w:left="8" w:right="4"/>
              <w:jc w:val="center"/>
              <w:rPr>
                <w:sz w:val="24"/>
              </w:rPr>
            </w:pPr>
            <w:r>
              <w:rPr>
                <w:spacing w:val="-10"/>
                <w:sz w:val="24"/>
              </w:rPr>
              <w:t>7</w:t>
            </w:r>
          </w:p>
        </w:tc>
        <w:tc>
          <w:tcPr>
            <w:tcW w:w="992" w:type="dxa"/>
          </w:tcPr>
          <w:p>
            <w:pPr>
              <w:pStyle w:val="TableParagraph"/>
              <w:spacing w:before="106"/>
              <w:ind w:left="13" w:right="11"/>
              <w:jc w:val="center"/>
              <w:rPr>
                <w:sz w:val="24"/>
              </w:rPr>
            </w:pPr>
            <w:r>
              <w:rPr>
                <w:spacing w:val="-4"/>
                <w:sz w:val="24"/>
              </w:rPr>
              <w:t>PGAS</w:t>
            </w:r>
          </w:p>
        </w:tc>
        <w:tc>
          <w:tcPr>
            <w:tcW w:w="4114" w:type="dxa"/>
          </w:tcPr>
          <w:p>
            <w:pPr>
              <w:pStyle w:val="TableParagraph"/>
              <w:spacing w:before="106"/>
              <w:ind w:left="107"/>
              <w:rPr>
                <w:sz w:val="24"/>
              </w:rPr>
            </w:pPr>
            <w:r>
              <w:rPr>
                <w:sz w:val="24"/>
              </w:rPr>
              <w:t>Perusahaan</w:t>
            </w:r>
            <w:r>
              <w:rPr>
                <w:spacing w:val="-7"/>
                <w:sz w:val="24"/>
              </w:rPr>
              <w:t> </w:t>
            </w:r>
            <w:r>
              <w:rPr>
                <w:sz w:val="24"/>
              </w:rPr>
              <w:t>Gas</w:t>
            </w:r>
            <w:r>
              <w:rPr>
                <w:spacing w:val="-6"/>
                <w:sz w:val="24"/>
              </w:rPr>
              <w:t> </w:t>
            </w:r>
            <w:r>
              <w:rPr>
                <w:sz w:val="24"/>
              </w:rPr>
              <w:t>Negara</w:t>
            </w:r>
            <w:r>
              <w:rPr>
                <w:spacing w:val="-6"/>
                <w:sz w:val="24"/>
              </w:rPr>
              <w:t> </w:t>
            </w:r>
            <w:r>
              <w:rPr>
                <w:spacing w:val="-4"/>
                <w:sz w:val="24"/>
              </w:rPr>
              <w:t>Tbk.</w:t>
            </w:r>
          </w:p>
        </w:tc>
      </w:tr>
      <w:tr>
        <w:trPr>
          <w:trHeight w:val="498" w:hRule="atLeast"/>
        </w:trPr>
        <w:tc>
          <w:tcPr>
            <w:tcW w:w="564" w:type="dxa"/>
          </w:tcPr>
          <w:p>
            <w:pPr>
              <w:pStyle w:val="TableParagraph"/>
              <w:spacing w:before="107"/>
              <w:ind w:left="8" w:right="4"/>
              <w:jc w:val="center"/>
              <w:rPr>
                <w:sz w:val="24"/>
              </w:rPr>
            </w:pPr>
            <w:r>
              <w:rPr>
                <w:spacing w:val="-10"/>
                <w:sz w:val="24"/>
              </w:rPr>
              <w:t>8</w:t>
            </w:r>
          </w:p>
        </w:tc>
        <w:tc>
          <w:tcPr>
            <w:tcW w:w="992" w:type="dxa"/>
          </w:tcPr>
          <w:p>
            <w:pPr>
              <w:pStyle w:val="TableParagraph"/>
              <w:spacing w:before="107"/>
              <w:ind w:left="13" w:right="8"/>
              <w:jc w:val="center"/>
              <w:rPr>
                <w:sz w:val="24"/>
              </w:rPr>
            </w:pPr>
            <w:r>
              <w:rPr>
                <w:spacing w:val="-4"/>
                <w:sz w:val="24"/>
              </w:rPr>
              <w:t>PTRO</w:t>
            </w:r>
          </w:p>
        </w:tc>
        <w:tc>
          <w:tcPr>
            <w:tcW w:w="4114" w:type="dxa"/>
          </w:tcPr>
          <w:p>
            <w:pPr>
              <w:pStyle w:val="TableParagraph"/>
              <w:spacing w:before="107"/>
              <w:ind w:left="107"/>
              <w:rPr>
                <w:sz w:val="24"/>
              </w:rPr>
            </w:pPr>
            <w:r>
              <w:rPr>
                <w:sz w:val="24"/>
              </w:rPr>
              <w:t>Petrosea</w:t>
            </w:r>
            <w:r>
              <w:rPr>
                <w:spacing w:val="-8"/>
                <w:sz w:val="24"/>
              </w:rPr>
              <w:t> </w:t>
            </w:r>
            <w:r>
              <w:rPr>
                <w:spacing w:val="-4"/>
                <w:sz w:val="24"/>
              </w:rPr>
              <w:t>Tbk.</w:t>
            </w:r>
          </w:p>
        </w:tc>
      </w:tr>
    </w:tbl>
    <w:p>
      <w:pPr>
        <w:spacing w:before="1"/>
        <w:ind w:left="568" w:right="0" w:firstLine="0"/>
        <w:jc w:val="left"/>
        <w:rPr>
          <w:i/>
          <w:sz w:val="24"/>
        </w:rPr>
      </w:pPr>
      <w:r>
        <w:rPr>
          <w:i/>
          <w:sz w:val="24"/>
        </w:rPr>
        <w:t>Sumber:</w:t>
      </w:r>
      <w:r>
        <w:rPr>
          <w:i/>
          <w:spacing w:val="-2"/>
          <w:sz w:val="24"/>
        </w:rPr>
        <w:t> </w:t>
      </w:r>
      <w:r>
        <w:rPr>
          <w:i/>
          <w:sz w:val="24"/>
        </w:rPr>
        <w:t>Bursa</w:t>
      </w:r>
      <w:r>
        <w:rPr>
          <w:i/>
          <w:spacing w:val="-1"/>
          <w:sz w:val="24"/>
        </w:rPr>
        <w:t> </w:t>
      </w:r>
      <w:r>
        <w:rPr>
          <w:i/>
          <w:sz w:val="24"/>
        </w:rPr>
        <w:t>Efek Indonesia,</w:t>
      </w:r>
      <w:r>
        <w:rPr>
          <w:i/>
          <w:spacing w:val="-1"/>
          <w:sz w:val="24"/>
        </w:rPr>
        <w:t> </w:t>
      </w:r>
      <w:r>
        <w:rPr>
          <w:i/>
          <w:spacing w:val="-4"/>
          <w:sz w:val="24"/>
        </w:rPr>
        <w:t>2025</w:t>
      </w:r>
    </w:p>
    <w:sectPr>
      <w:headerReference w:type="default" r:id="rId37"/>
      <w:pgSz w:w="11910" w:h="16840"/>
      <w:pgMar w:header="0" w:footer="0" w:top="1920" w:bottom="28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1136">
              <wp:simplePos x="0" y="0"/>
              <wp:positionH relativeFrom="page">
                <wp:posOffset>6318884</wp:posOffset>
              </wp:positionH>
              <wp:positionV relativeFrom="page">
                <wp:posOffset>445854</wp:posOffset>
              </wp:positionV>
              <wp:extent cx="2159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549988pt;margin-top:35.10664pt;width:17pt;height:15.3pt;mso-position-horizontal-relative:page;mso-position-vertical-relative:page;z-index:-17145344"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1648">
              <wp:simplePos x="0" y="0"/>
              <wp:positionH relativeFrom="page">
                <wp:posOffset>6290945</wp:posOffset>
              </wp:positionH>
              <wp:positionV relativeFrom="page">
                <wp:posOffset>438234</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495.350006pt;margin-top:34.50663pt;width:19pt;height:15.3pt;mso-position-horizontal-relative:page;mso-position-vertical-relative:page;z-index:-1714483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2160">
              <wp:simplePos x="0" y="0"/>
              <wp:positionH relativeFrom="page">
                <wp:posOffset>6290945</wp:posOffset>
              </wp:positionH>
              <wp:positionV relativeFrom="page">
                <wp:posOffset>438234</wp:posOffset>
              </wp:positionV>
              <wp:extent cx="24130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 style="position:absolute;margin-left:495.350006pt;margin-top:34.50663pt;width:19pt;height:15.3pt;mso-position-horizontal-relative:page;mso-position-vertical-relative:page;z-index:-17144320" type="#_x0000_t202" id="docshape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w:t>
                    </w:r>
                    <w:r>
                      <w:rPr>
                        <w:spacing w:val="-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72672">
              <wp:simplePos x="0" y="0"/>
              <wp:positionH relativeFrom="page">
                <wp:posOffset>6290945</wp:posOffset>
              </wp:positionH>
              <wp:positionV relativeFrom="page">
                <wp:posOffset>438234</wp:posOffset>
              </wp:positionV>
              <wp:extent cx="241300"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 style="position:absolute;margin-left:495.350006pt;margin-top:34.50663pt;width:19pt;height:15.3pt;mso-position-horizontal-relative:page;mso-position-vertical-relative:page;z-index:-17143808" type="#_x0000_t202" id="docshape1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1"/>
      <w:numFmt w:val="decimal"/>
      <w:lvlText w:val="%1)"/>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59" w:hanging="360"/>
      </w:pPr>
      <w:rPr>
        <w:rFonts w:hint="default"/>
        <w:lang w:val="id" w:eastAsia="en-US" w:bidi="ar-SA"/>
      </w:rPr>
    </w:lvl>
    <w:lvl w:ilvl="2">
      <w:start w:val="0"/>
      <w:numFmt w:val="bullet"/>
      <w:lvlText w:val="•"/>
      <w:lvlJc w:val="left"/>
      <w:pPr>
        <w:ind w:left="2839" w:hanging="360"/>
      </w:pPr>
      <w:rPr>
        <w:rFonts w:hint="default"/>
        <w:lang w:val="id" w:eastAsia="en-US" w:bidi="ar-SA"/>
      </w:rPr>
    </w:lvl>
    <w:lvl w:ilvl="3">
      <w:start w:val="0"/>
      <w:numFmt w:val="bullet"/>
      <w:lvlText w:val="•"/>
      <w:lvlJc w:val="left"/>
      <w:pPr>
        <w:ind w:left="3618" w:hanging="360"/>
      </w:pPr>
      <w:rPr>
        <w:rFonts w:hint="default"/>
        <w:lang w:val="id" w:eastAsia="en-US" w:bidi="ar-SA"/>
      </w:rPr>
    </w:lvl>
    <w:lvl w:ilvl="4">
      <w:start w:val="0"/>
      <w:numFmt w:val="bullet"/>
      <w:lvlText w:val="•"/>
      <w:lvlJc w:val="left"/>
      <w:pPr>
        <w:ind w:left="4398" w:hanging="360"/>
      </w:pPr>
      <w:rPr>
        <w:rFonts w:hint="default"/>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5957" w:hanging="360"/>
      </w:pPr>
      <w:rPr>
        <w:rFonts w:hint="default"/>
        <w:lang w:val="id" w:eastAsia="en-US" w:bidi="ar-SA"/>
      </w:rPr>
    </w:lvl>
    <w:lvl w:ilvl="7">
      <w:start w:val="0"/>
      <w:numFmt w:val="bullet"/>
      <w:lvlText w:val="•"/>
      <w:lvlJc w:val="left"/>
      <w:pPr>
        <w:ind w:left="6736" w:hanging="360"/>
      </w:pPr>
      <w:rPr>
        <w:rFonts w:hint="default"/>
        <w:lang w:val="id" w:eastAsia="en-US" w:bidi="ar-SA"/>
      </w:rPr>
    </w:lvl>
    <w:lvl w:ilvl="8">
      <w:start w:val="0"/>
      <w:numFmt w:val="bullet"/>
      <w:lvlText w:val="•"/>
      <w:lvlJc w:val="left"/>
      <w:pPr>
        <w:ind w:left="7516" w:hanging="360"/>
      </w:pPr>
      <w:rPr>
        <w:rFonts w:hint="default"/>
        <w:lang w:val="id" w:eastAsia="en-US" w:bidi="ar-SA"/>
      </w:rPr>
    </w:lvl>
  </w:abstractNum>
  <w:abstractNum w:abstractNumId="35">
    <w:multiLevelType w:val="hybridMultilevel"/>
    <w:lvl w:ilvl="0">
      <w:start w:val="5"/>
      <w:numFmt w:val="decimal"/>
      <w:lvlText w:val="%1"/>
      <w:lvlJc w:val="left"/>
      <w:pPr>
        <w:ind w:left="1289" w:hanging="721"/>
        <w:jc w:val="left"/>
      </w:pPr>
      <w:rPr>
        <w:rFonts w:hint="default"/>
        <w:lang w:val="id" w:eastAsia="en-US" w:bidi="ar-SA"/>
      </w:rPr>
    </w:lvl>
    <w:lvl w:ilvl="1">
      <w:start w:val="1"/>
      <w:numFmt w:val="decimal"/>
      <w:lvlText w:val="%1.%2"/>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398" w:hanging="360"/>
      </w:pPr>
      <w:rPr>
        <w:rFonts w:hint="default"/>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5957" w:hanging="360"/>
      </w:pPr>
      <w:rPr>
        <w:rFonts w:hint="default"/>
        <w:lang w:val="id" w:eastAsia="en-US" w:bidi="ar-SA"/>
      </w:rPr>
    </w:lvl>
    <w:lvl w:ilvl="7">
      <w:start w:val="0"/>
      <w:numFmt w:val="bullet"/>
      <w:lvlText w:val="•"/>
      <w:lvlJc w:val="left"/>
      <w:pPr>
        <w:ind w:left="6736" w:hanging="360"/>
      </w:pPr>
      <w:rPr>
        <w:rFonts w:hint="default"/>
        <w:lang w:val="id" w:eastAsia="en-US" w:bidi="ar-SA"/>
      </w:rPr>
    </w:lvl>
    <w:lvl w:ilvl="8">
      <w:start w:val="0"/>
      <w:numFmt w:val="bullet"/>
      <w:lvlText w:val="•"/>
      <w:lvlJc w:val="left"/>
      <w:pPr>
        <w:ind w:left="7516" w:hanging="360"/>
      </w:pPr>
      <w:rPr>
        <w:rFonts w:hint="default"/>
        <w:lang w:val="id" w:eastAsia="en-US" w:bidi="ar-SA"/>
      </w:rPr>
    </w:lvl>
  </w:abstractNum>
  <w:abstractNum w:abstractNumId="34">
    <w:multiLevelType w:val="hybridMultilevel"/>
    <w:lvl w:ilvl="0">
      <w:start w:val="3"/>
      <w:numFmt w:val="decimal"/>
      <w:lvlText w:val="%1"/>
      <w:lvlJc w:val="left"/>
      <w:pPr>
        <w:ind w:left="568" w:hanging="721"/>
        <w:jc w:val="left"/>
      </w:pPr>
      <w:rPr>
        <w:rFonts w:hint="default"/>
        <w:lang w:val="id" w:eastAsia="en-US" w:bidi="ar-SA"/>
      </w:rPr>
    </w:lvl>
    <w:lvl w:ilvl="1">
      <w:start w:val="1"/>
      <w:numFmt w:val="decimal"/>
      <w:lvlText w:val="%1.%2"/>
      <w:lvlJc w:val="left"/>
      <w:pPr>
        <w:ind w:left="568"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263" w:hanging="721"/>
      </w:pPr>
      <w:rPr>
        <w:rFonts w:hint="default"/>
        <w:lang w:val="id" w:eastAsia="en-US" w:bidi="ar-SA"/>
      </w:rPr>
    </w:lvl>
    <w:lvl w:ilvl="3">
      <w:start w:val="0"/>
      <w:numFmt w:val="bullet"/>
      <w:lvlText w:val="•"/>
      <w:lvlJc w:val="left"/>
      <w:pPr>
        <w:ind w:left="3114" w:hanging="721"/>
      </w:pPr>
      <w:rPr>
        <w:rFonts w:hint="default"/>
        <w:lang w:val="id" w:eastAsia="en-US" w:bidi="ar-SA"/>
      </w:rPr>
    </w:lvl>
    <w:lvl w:ilvl="4">
      <w:start w:val="0"/>
      <w:numFmt w:val="bullet"/>
      <w:lvlText w:val="•"/>
      <w:lvlJc w:val="left"/>
      <w:pPr>
        <w:ind w:left="3966" w:hanging="721"/>
      </w:pPr>
      <w:rPr>
        <w:rFonts w:hint="default"/>
        <w:lang w:val="id" w:eastAsia="en-US" w:bidi="ar-SA"/>
      </w:rPr>
    </w:lvl>
    <w:lvl w:ilvl="5">
      <w:start w:val="0"/>
      <w:numFmt w:val="bullet"/>
      <w:lvlText w:val="•"/>
      <w:lvlJc w:val="left"/>
      <w:pPr>
        <w:ind w:left="4817" w:hanging="721"/>
      </w:pPr>
      <w:rPr>
        <w:rFonts w:hint="default"/>
        <w:lang w:val="id" w:eastAsia="en-US" w:bidi="ar-SA"/>
      </w:rPr>
    </w:lvl>
    <w:lvl w:ilvl="6">
      <w:start w:val="0"/>
      <w:numFmt w:val="bullet"/>
      <w:lvlText w:val="•"/>
      <w:lvlJc w:val="left"/>
      <w:pPr>
        <w:ind w:left="5669" w:hanging="721"/>
      </w:pPr>
      <w:rPr>
        <w:rFonts w:hint="default"/>
        <w:lang w:val="id" w:eastAsia="en-US" w:bidi="ar-SA"/>
      </w:rPr>
    </w:lvl>
    <w:lvl w:ilvl="7">
      <w:start w:val="0"/>
      <w:numFmt w:val="bullet"/>
      <w:lvlText w:val="•"/>
      <w:lvlJc w:val="left"/>
      <w:pPr>
        <w:ind w:left="6520" w:hanging="721"/>
      </w:pPr>
      <w:rPr>
        <w:rFonts w:hint="default"/>
        <w:lang w:val="id" w:eastAsia="en-US" w:bidi="ar-SA"/>
      </w:rPr>
    </w:lvl>
    <w:lvl w:ilvl="8">
      <w:start w:val="0"/>
      <w:numFmt w:val="bullet"/>
      <w:lvlText w:val="•"/>
      <w:lvlJc w:val="left"/>
      <w:pPr>
        <w:ind w:left="7372" w:hanging="721"/>
      </w:pPr>
      <w:rPr>
        <w:rFonts w:hint="default"/>
        <w:lang w:val="id" w:eastAsia="en-US" w:bidi="ar-SA"/>
      </w:rPr>
    </w:lvl>
  </w:abstractNum>
  <w:abstractNum w:abstractNumId="33">
    <w:multiLevelType w:val="hybridMultilevel"/>
    <w:lvl w:ilvl="0">
      <w:start w:val="1"/>
      <w:numFmt w:val="lowerLetter"/>
      <w:lvlText w:val="%1)"/>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59" w:hanging="360"/>
      </w:pPr>
      <w:rPr>
        <w:rFonts w:hint="default"/>
        <w:lang w:val="id" w:eastAsia="en-US" w:bidi="ar-SA"/>
      </w:rPr>
    </w:lvl>
    <w:lvl w:ilvl="2">
      <w:start w:val="0"/>
      <w:numFmt w:val="bullet"/>
      <w:lvlText w:val="•"/>
      <w:lvlJc w:val="left"/>
      <w:pPr>
        <w:ind w:left="2839" w:hanging="360"/>
      </w:pPr>
      <w:rPr>
        <w:rFonts w:hint="default"/>
        <w:lang w:val="id" w:eastAsia="en-US" w:bidi="ar-SA"/>
      </w:rPr>
    </w:lvl>
    <w:lvl w:ilvl="3">
      <w:start w:val="0"/>
      <w:numFmt w:val="bullet"/>
      <w:lvlText w:val="•"/>
      <w:lvlJc w:val="left"/>
      <w:pPr>
        <w:ind w:left="3618" w:hanging="360"/>
      </w:pPr>
      <w:rPr>
        <w:rFonts w:hint="default"/>
        <w:lang w:val="id" w:eastAsia="en-US" w:bidi="ar-SA"/>
      </w:rPr>
    </w:lvl>
    <w:lvl w:ilvl="4">
      <w:start w:val="0"/>
      <w:numFmt w:val="bullet"/>
      <w:lvlText w:val="•"/>
      <w:lvlJc w:val="left"/>
      <w:pPr>
        <w:ind w:left="4398" w:hanging="360"/>
      </w:pPr>
      <w:rPr>
        <w:rFonts w:hint="default"/>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5957" w:hanging="360"/>
      </w:pPr>
      <w:rPr>
        <w:rFonts w:hint="default"/>
        <w:lang w:val="id" w:eastAsia="en-US" w:bidi="ar-SA"/>
      </w:rPr>
    </w:lvl>
    <w:lvl w:ilvl="7">
      <w:start w:val="0"/>
      <w:numFmt w:val="bullet"/>
      <w:lvlText w:val="•"/>
      <w:lvlJc w:val="left"/>
      <w:pPr>
        <w:ind w:left="6736" w:hanging="360"/>
      </w:pPr>
      <w:rPr>
        <w:rFonts w:hint="default"/>
        <w:lang w:val="id" w:eastAsia="en-US" w:bidi="ar-SA"/>
      </w:rPr>
    </w:lvl>
    <w:lvl w:ilvl="8">
      <w:start w:val="0"/>
      <w:numFmt w:val="bullet"/>
      <w:lvlText w:val="•"/>
      <w:lvlJc w:val="left"/>
      <w:pPr>
        <w:ind w:left="7516" w:hanging="360"/>
      </w:pPr>
      <w:rPr>
        <w:rFonts w:hint="default"/>
        <w:lang w:val="id" w:eastAsia="en-US" w:bidi="ar-SA"/>
      </w:rPr>
    </w:lvl>
  </w:abstractNum>
  <w:abstractNum w:abstractNumId="32">
    <w:multiLevelType w:val="hybridMultilevel"/>
    <w:lvl w:ilvl="0">
      <w:start w:val="1"/>
      <w:numFmt w:val="lowerLetter"/>
      <w:lvlText w:val="%1)"/>
      <w:lvlJc w:val="left"/>
      <w:pPr>
        <w:ind w:left="1277" w:hanging="709"/>
        <w:jc w:val="left"/>
      </w:pPr>
      <w:rPr>
        <w:rFonts w:hint="default"/>
        <w:spacing w:val="0"/>
        <w:w w:val="100"/>
        <w:lang w:val="id" w:eastAsia="en-US" w:bidi="ar-SA"/>
      </w:rPr>
    </w:lvl>
    <w:lvl w:ilvl="1">
      <w:start w:val="0"/>
      <w:numFmt w:val="bullet"/>
      <w:lvlText w:val="•"/>
      <w:lvlJc w:val="left"/>
      <w:pPr>
        <w:ind w:left="2059" w:hanging="709"/>
      </w:pPr>
      <w:rPr>
        <w:rFonts w:hint="default"/>
        <w:lang w:val="id" w:eastAsia="en-US" w:bidi="ar-SA"/>
      </w:rPr>
    </w:lvl>
    <w:lvl w:ilvl="2">
      <w:start w:val="0"/>
      <w:numFmt w:val="bullet"/>
      <w:lvlText w:val="•"/>
      <w:lvlJc w:val="left"/>
      <w:pPr>
        <w:ind w:left="2839" w:hanging="709"/>
      </w:pPr>
      <w:rPr>
        <w:rFonts w:hint="default"/>
        <w:lang w:val="id" w:eastAsia="en-US" w:bidi="ar-SA"/>
      </w:rPr>
    </w:lvl>
    <w:lvl w:ilvl="3">
      <w:start w:val="0"/>
      <w:numFmt w:val="bullet"/>
      <w:lvlText w:val="•"/>
      <w:lvlJc w:val="left"/>
      <w:pPr>
        <w:ind w:left="3618" w:hanging="709"/>
      </w:pPr>
      <w:rPr>
        <w:rFonts w:hint="default"/>
        <w:lang w:val="id" w:eastAsia="en-US" w:bidi="ar-SA"/>
      </w:rPr>
    </w:lvl>
    <w:lvl w:ilvl="4">
      <w:start w:val="0"/>
      <w:numFmt w:val="bullet"/>
      <w:lvlText w:val="•"/>
      <w:lvlJc w:val="left"/>
      <w:pPr>
        <w:ind w:left="4398" w:hanging="709"/>
      </w:pPr>
      <w:rPr>
        <w:rFonts w:hint="default"/>
        <w:lang w:val="id" w:eastAsia="en-US" w:bidi="ar-SA"/>
      </w:rPr>
    </w:lvl>
    <w:lvl w:ilvl="5">
      <w:start w:val="0"/>
      <w:numFmt w:val="bullet"/>
      <w:lvlText w:val="•"/>
      <w:lvlJc w:val="left"/>
      <w:pPr>
        <w:ind w:left="5177" w:hanging="709"/>
      </w:pPr>
      <w:rPr>
        <w:rFonts w:hint="default"/>
        <w:lang w:val="id" w:eastAsia="en-US" w:bidi="ar-SA"/>
      </w:rPr>
    </w:lvl>
    <w:lvl w:ilvl="6">
      <w:start w:val="0"/>
      <w:numFmt w:val="bullet"/>
      <w:lvlText w:val="•"/>
      <w:lvlJc w:val="left"/>
      <w:pPr>
        <w:ind w:left="5957" w:hanging="709"/>
      </w:pPr>
      <w:rPr>
        <w:rFonts w:hint="default"/>
        <w:lang w:val="id" w:eastAsia="en-US" w:bidi="ar-SA"/>
      </w:rPr>
    </w:lvl>
    <w:lvl w:ilvl="7">
      <w:start w:val="0"/>
      <w:numFmt w:val="bullet"/>
      <w:lvlText w:val="•"/>
      <w:lvlJc w:val="left"/>
      <w:pPr>
        <w:ind w:left="6736" w:hanging="709"/>
      </w:pPr>
      <w:rPr>
        <w:rFonts w:hint="default"/>
        <w:lang w:val="id" w:eastAsia="en-US" w:bidi="ar-SA"/>
      </w:rPr>
    </w:lvl>
    <w:lvl w:ilvl="8">
      <w:start w:val="0"/>
      <w:numFmt w:val="bullet"/>
      <w:lvlText w:val="•"/>
      <w:lvlJc w:val="left"/>
      <w:pPr>
        <w:ind w:left="7516" w:hanging="709"/>
      </w:pPr>
      <w:rPr>
        <w:rFonts w:hint="default"/>
        <w:lang w:val="id" w:eastAsia="en-US" w:bidi="ar-SA"/>
      </w:rPr>
    </w:lvl>
  </w:abstractNum>
  <w:abstractNum w:abstractNumId="31">
    <w:multiLevelType w:val="hybridMultilevel"/>
    <w:lvl w:ilvl="0">
      <w:start w:val="4"/>
      <w:numFmt w:val="decimal"/>
      <w:lvlText w:val="%1"/>
      <w:lvlJc w:val="left"/>
      <w:pPr>
        <w:ind w:left="1289" w:hanging="721"/>
        <w:jc w:val="left"/>
      </w:pPr>
      <w:rPr>
        <w:rFonts w:hint="default"/>
        <w:lang w:val="id" w:eastAsia="en-US" w:bidi="ar-SA"/>
      </w:rPr>
    </w:lvl>
    <w:lvl w:ilvl="1">
      <w:start w:val="1"/>
      <w:numFmt w:val="decimal"/>
      <w:lvlText w:val="%1.%2"/>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lowerLetter"/>
      <w:lvlText w:val="%5)"/>
      <w:lvlJc w:val="left"/>
      <w:pPr>
        <w:ind w:left="1289" w:hanging="360"/>
        <w:jc w:val="left"/>
      </w:pPr>
      <w:rPr>
        <w:rFonts w:hint="default" w:ascii="Times New Roman" w:hAnsi="Times New Roman" w:eastAsia="Times New Roman" w:cs="Times New Roman"/>
        <w:b w:val="0"/>
        <w:bCs w:val="0"/>
        <w:i w:val="0"/>
        <w:iCs w:val="0"/>
        <w:spacing w:val="-1"/>
        <w:w w:val="100"/>
        <w:sz w:val="20"/>
        <w:szCs w:val="20"/>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5957" w:hanging="360"/>
      </w:pPr>
      <w:rPr>
        <w:rFonts w:hint="default"/>
        <w:lang w:val="id" w:eastAsia="en-US" w:bidi="ar-SA"/>
      </w:rPr>
    </w:lvl>
    <w:lvl w:ilvl="7">
      <w:start w:val="0"/>
      <w:numFmt w:val="bullet"/>
      <w:lvlText w:val="•"/>
      <w:lvlJc w:val="left"/>
      <w:pPr>
        <w:ind w:left="6736" w:hanging="360"/>
      </w:pPr>
      <w:rPr>
        <w:rFonts w:hint="default"/>
        <w:lang w:val="id" w:eastAsia="en-US" w:bidi="ar-SA"/>
      </w:rPr>
    </w:lvl>
    <w:lvl w:ilvl="8">
      <w:start w:val="0"/>
      <w:numFmt w:val="bullet"/>
      <w:lvlText w:val="•"/>
      <w:lvlJc w:val="left"/>
      <w:pPr>
        <w:ind w:left="7516" w:hanging="360"/>
      </w:pPr>
      <w:rPr>
        <w:rFonts w:hint="default"/>
        <w:lang w:val="id" w:eastAsia="en-US" w:bidi="ar-SA"/>
      </w:rPr>
    </w:lvl>
  </w:abstractNum>
  <w:abstractNum w:abstractNumId="30">
    <w:multiLevelType w:val="hybridMultilevel"/>
    <w:lvl w:ilvl="0">
      <w:start w:val="1"/>
      <w:numFmt w:val="decimal"/>
      <w:lvlText w:val="%1."/>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59" w:hanging="360"/>
      </w:pPr>
      <w:rPr>
        <w:rFonts w:hint="default"/>
        <w:lang w:val="id" w:eastAsia="en-US" w:bidi="ar-SA"/>
      </w:rPr>
    </w:lvl>
    <w:lvl w:ilvl="2">
      <w:start w:val="0"/>
      <w:numFmt w:val="bullet"/>
      <w:lvlText w:val="•"/>
      <w:lvlJc w:val="left"/>
      <w:pPr>
        <w:ind w:left="2839" w:hanging="360"/>
      </w:pPr>
      <w:rPr>
        <w:rFonts w:hint="default"/>
        <w:lang w:val="id" w:eastAsia="en-US" w:bidi="ar-SA"/>
      </w:rPr>
    </w:lvl>
    <w:lvl w:ilvl="3">
      <w:start w:val="0"/>
      <w:numFmt w:val="bullet"/>
      <w:lvlText w:val="•"/>
      <w:lvlJc w:val="left"/>
      <w:pPr>
        <w:ind w:left="3618" w:hanging="360"/>
      </w:pPr>
      <w:rPr>
        <w:rFonts w:hint="default"/>
        <w:lang w:val="id" w:eastAsia="en-US" w:bidi="ar-SA"/>
      </w:rPr>
    </w:lvl>
    <w:lvl w:ilvl="4">
      <w:start w:val="0"/>
      <w:numFmt w:val="bullet"/>
      <w:lvlText w:val="•"/>
      <w:lvlJc w:val="left"/>
      <w:pPr>
        <w:ind w:left="4398" w:hanging="360"/>
      </w:pPr>
      <w:rPr>
        <w:rFonts w:hint="default"/>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5957" w:hanging="360"/>
      </w:pPr>
      <w:rPr>
        <w:rFonts w:hint="default"/>
        <w:lang w:val="id" w:eastAsia="en-US" w:bidi="ar-SA"/>
      </w:rPr>
    </w:lvl>
    <w:lvl w:ilvl="7">
      <w:start w:val="0"/>
      <w:numFmt w:val="bullet"/>
      <w:lvlText w:val="•"/>
      <w:lvlJc w:val="left"/>
      <w:pPr>
        <w:ind w:left="6736" w:hanging="360"/>
      </w:pPr>
      <w:rPr>
        <w:rFonts w:hint="default"/>
        <w:lang w:val="id" w:eastAsia="en-US" w:bidi="ar-SA"/>
      </w:rPr>
    </w:lvl>
    <w:lvl w:ilvl="8">
      <w:start w:val="0"/>
      <w:numFmt w:val="bullet"/>
      <w:lvlText w:val="•"/>
      <w:lvlJc w:val="left"/>
      <w:pPr>
        <w:ind w:left="7516" w:hanging="360"/>
      </w:pPr>
      <w:rPr>
        <w:rFonts w:hint="default"/>
        <w:lang w:val="id" w:eastAsia="en-US" w:bidi="ar-SA"/>
      </w:rPr>
    </w:lvl>
  </w:abstractNum>
  <w:abstractNum w:abstractNumId="29">
    <w:multiLevelType w:val="hybridMultilevel"/>
    <w:lvl w:ilvl="0">
      <w:start w:val="1"/>
      <w:numFmt w:val="decimal"/>
      <w:lvlText w:val="%1."/>
      <w:lvlJc w:val="left"/>
      <w:pPr>
        <w:ind w:left="1289" w:hanging="360"/>
        <w:jc w:val="left"/>
      </w:pPr>
      <w:rPr>
        <w:rFonts w:hint="default"/>
        <w:spacing w:val="0"/>
        <w:w w:val="100"/>
        <w:lang w:val="id" w:eastAsia="en-US" w:bidi="ar-SA"/>
      </w:rPr>
    </w:lvl>
    <w:lvl w:ilvl="1">
      <w:start w:val="0"/>
      <w:numFmt w:val="bullet"/>
      <w:lvlText w:val="•"/>
      <w:lvlJc w:val="left"/>
      <w:pPr>
        <w:ind w:left="2059" w:hanging="360"/>
      </w:pPr>
      <w:rPr>
        <w:rFonts w:hint="default"/>
        <w:lang w:val="id" w:eastAsia="en-US" w:bidi="ar-SA"/>
      </w:rPr>
    </w:lvl>
    <w:lvl w:ilvl="2">
      <w:start w:val="0"/>
      <w:numFmt w:val="bullet"/>
      <w:lvlText w:val="•"/>
      <w:lvlJc w:val="left"/>
      <w:pPr>
        <w:ind w:left="2839" w:hanging="360"/>
      </w:pPr>
      <w:rPr>
        <w:rFonts w:hint="default"/>
        <w:lang w:val="id" w:eastAsia="en-US" w:bidi="ar-SA"/>
      </w:rPr>
    </w:lvl>
    <w:lvl w:ilvl="3">
      <w:start w:val="0"/>
      <w:numFmt w:val="bullet"/>
      <w:lvlText w:val="•"/>
      <w:lvlJc w:val="left"/>
      <w:pPr>
        <w:ind w:left="3618" w:hanging="360"/>
      </w:pPr>
      <w:rPr>
        <w:rFonts w:hint="default"/>
        <w:lang w:val="id" w:eastAsia="en-US" w:bidi="ar-SA"/>
      </w:rPr>
    </w:lvl>
    <w:lvl w:ilvl="4">
      <w:start w:val="0"/>
      <w:numFmt w:val="bullet"/>
      <w:lvlText w:val="•"/>
      <w:lvlJc w:val="left"/>
      <w:pPr>
        <w:ind w:left="4398" w:hanging="360"/>
      </w:pPr>
      <w:rPr>
        <w:rFonts w:hint="default"/>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5957" w:hanging="360"/>
      </w:pPr>
      <w:rPr>
        <w:rFonts w:hint="default"/>
        <w:lang w:val="id" w:eastAsia="en-US" w:bidi="ar-SA"/>
      </w:rPr>
    </w:lvl>
    <w:lvl w:ilvl="7">
      <w:start w:val="0"/>
      <w:numFmt w:val="bullet"/>
      <w:lvlText w:val="•"/>
      <w:lvlJc w:val="left"/>
      <w:pPr>
        <w:ind w:left="6736" w:hanging="360"/>
      </w:pPr>
      <w:rPr>
        <w:rFonts w:hint="default"/>
        <w:lang w:val="id" w:eastAsia="en-US" w:bidi="ar-SA"/>
      </w:rPr>
    </w:lvl>
    <w:lvl w:ilvl="8">
      <w:start w:val="0"/>
      <w:numFmt w:val="bullet"/>
      <w:lvlText w:val="•"/>
      <w:lvlJc w:val="left"/>
      <w:pPr>
        <w:ind w:left="7516" w:hanging="360"/>
      </w:pPr>
      <w:rPr>
        <w:rFonts w:hint="default"/>
        <w:lang w:val="id" w:eastAsia="en-US" w:bidi="ar-SA"/>
      </w:rPr>
    </w:lvl>
  </w:abstractNum>
  <w:abstractNum w:abstractNumId="28">
    <w:multiLevelType w:val="hybridMultilevel"/>
    <w:lvl w:ilvl="0">
      <w:start w:val="1"/>
      <w:numFmt w:val="decimal"/>
      <w:lvlText w:val="%1."/>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59" w:hanging="360"/>
      </w:pPr>
      <w:rPr>
        <w:rFonts w:hint="default"/>
        <w:lang w:val="id" w:eastAsia="en-US" w:bidi="ar-SA"/>
      </w:rPr>
    </w:lvl>
    <w:lvl w:ilvl="2">
      <w:start w:val="0"/>
      <w:numFmt w:val="bullet"/>
      <w:lvlText w:val="•"/>
      <w:lvlJc w:val="left"/>
      <w:pPr>
        <w:ind w:left="2839" w:hanging="360"/>
      </w:pPr>
      <w:rPr>
        <w:rFonts w:hint="default"/>
        <w:lang w:val="id" w:eastAsia="en-US" w:bidi="ar-SA"/>
      </w:rPr>
    </w:lvl>
    <w:lvl w:ilvl="3">
      <w:start w:val="0"/>
      <w:numFmt w:val="bullet"/>
      <w:lvlText w:val="•"/>
      <w:lvlJc w:val="left"/>
      <w:pPr>
        <w:ind w:left="3618" w:hanging="360"/>
      </w:pPr>
      <w:rPr>
        <w:rFonts w:hint="default"/>
        <w:lang w:val="id" w:eastAsia="en-US" w:bidi="ar-SA"/>
      </w:rPr>
    </w:lvl>
    <w:lvl w:ilvl="4">
      <w:start w:val="0"/>
      <w:numFmt w:val="bullet"/>
      <w:lvlText w:val="•"/>
      <w:lvlJc w:val="left"/>
      <w:pPr>
        <w:ind w:left="4398" w:hanging="360"/>
      </w:pPr>
      <w:rPr>
        <w:rFonts w:hint="default"/>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5957" w:hanging="360"/>
      </w:pPr>
      <w:rPr>
        <w:rFonts w:hint="default"/>
        <w:lang w:val="id" w:eastAsia="en-US" w:bidi="ar-SA"/>
      </w:rPr>
    </w:lvl>
    <w:lvl w:ilvl="7">
      <w:start w:val="0"/>
      <w:numFmt w:val="bullet"/>
      <w:lvlText w:val="•"/>
      <w:lvlJc w:val="left"/>
      <w:pPr>
        <w:ind w:left="6736" w:hanging="360"/>
      </w:pPr>
      <w:rPr>
        <w:rFonts w:hint="default"/>
        <w:lang w:val="id" w:eastAsia="en-US" w:bidi="ar-SA"/>
      </w:rPr>
    </w:lvl>
    <w:lvl w:ilvl="8">
      <w:start w:val="0"/>
      <w:numFmt w:val="bullet"/>
      <w:lvlText w:val="•"/>
      <w:lvlJc w:val="left"/>
      <w:pPr>
        <w:ind w:left="7516" w:hanging="360"/>
      </w:pPr>
      <w:rPr>
        <w:rFonts w:hint="default"/>
        <w:lang w:val="id" w:eastAsia="en-US" w:bidi="ar-SA"/>
      </w:rPr>
    </w:lvl>
  </w:abstractNum>
  <w:abstractNum w:abstractNumId="27">
    <w:multiLevelType w:val="hybridMultilevel"/>
    <w:lvl w:ilvl="0">
      <w:start w:val="3"/>
      <w:numFmt w:val="decimal"/>
      <w:lvlText w:val="%1"/>
      <w:lvlJc w:val="left"/>
      <w:pPr>
        <w:ind w:left="1289" w:hanging="721"/>
        <w:jc w:val="left"/>
      </w:pPr>
      <w:rPr>
        <w:rFonts w:hint="default"/>
        <w:lang w:val="id" w:eastAsia="en-US" w:bidi="ar-SA"/>
      </w:rPr>
    </w:lvl>
    <w:lvl w:ilvl="1">
      <w:start w:val="6"/>
      <w:numFmt w:val="decimal"/>
      <w:lvlText w:val="%1.%2"/>
      <w:lvlJc w:val="left"/>
      <w:pPr>
        <w:ind w:left="1289" w:hanging="721"/>
        <w:jc w:val="left"/>
      </w:pPr>
      <w:rPr>
        <w:rFonts w:hint="default"/>
        <w:lang w:val="id" w:eastAsia="en-US" w:bidi="ar-SA"/>
      </w:rPr>
    </w:lvl>
    <w:lvl w:ilvl="2">
      <w:start w:val="2"/>
      <w:numFmt w:val="decimal"/>
      <w:lvlText w:val="%1.%2.%3"/>
      <w:lvlJc w:val="left"/>
      <w:pPr>
        <w:ind w:left="1289" w:hanging="721"/>
        <w:jc w:val="left"/>
      </w:pPr>
      <w:rPr>
        <w:rFonts w:hint="default"/>
        <w:lang w:val="id" w:eastAsia="en-US" w:bidi="ar-SA"/>
      </w:rPr>
    </w:lvl>
    <w:lvl w:ilvl="3">
      <w:start w:val="1"/>
      <w:numFmt w:val="decimal"/>
      <w:lvlText w:val="%1.%2.%3.%4"/>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0"/>
      <w:numFmt w:val="bullet"/>
      <w:lvlText w:val="•"/>
      <w:lvlJc w:val="left"/>
      <w:pPr>
        <w:ind w:left="4398" w:hanging="721"/>
      </w:pPr>
      <w:rPr>
        <w:rFonts w:hint="default"/>
        <w:lang w:val="id" w:eastAsia="en-US" w:bidi="ar-SA"/>
      </w:rPr>
    </w:lvl>
    <w:lvl w:ilvl="5">
      <w:start w:val="0"/>
      <w:numFmt w:val="bullet"/>
      <w:lvlText w:val="•"/>
      <w:lvlJc w:val="left"/>
      <w:pPr>
        <w:ind w:left="5177" w:hanging="721"/>
      </w:pPr>
      <w:rPr>
        <w:rFonts w:hint="default"/>
        <w:lang w:val="id" w:eastAsia="en-US" w:bidi="ar-SA"/>
      </w:rPr>
    </w:lvl>
    <w:lvl w:ilvl="6">
      <w:start w:val="0"/>
      <w:numFmt w:val="bullet"/>
      <w:lvlText w:val="•"/>
      <w:lvlJc w:val="left"/>
      <w:pPr>
        <w:ind w:left="5957" w:hanging="721"/>
      </w:pPr>
      <w:rPr>
        <w:rFonts w:hint="default"/>
        <w:lang w:val="id" w:eastAsia="en-US" w:bidi="ar-SA"/>
      </w:rPr>
    </w:lvl>
    <w:lvl w:ilvl="7">
      <w:start w:val="0"/>
      <w:numFmt w:val="bullet"/>
      <w:lvlText w:val="•"/>
      <w:lvlJc w:val="left"/>
      <w:pPr>
        <w:ind w:left="6736" w:hanging="721"/>
      </w:pPr>
      <w:rPr>
        <w:rFonts w:hint="default"/>
        <w:lang w:val="id" w:eastAsia="en-US" w:bidi="ar-SA"/>
      </w:rPr>
    </w:lvl>
    <w:lvl w:ilvl="8">
      <w:start w:val="0"/>
      <w:numFmt w:val="bullet"/>
      <w:lvlText w:val="•"/>
      <w:lvlJc w:val="left"/>
      <w:pPr>
        <w:ind w:left="7516" w:hanging="721"/>
      </w:pPr>
      <w:rPr>
        <w:rFonts w:hint="default"/>
        <w:lang w:val="id" w:eastAsia="en-US" w:bidi="ar-SA"/>
      </w:rPr>
    </w:lvl>
  </w:abstractNum>
  <w:abstractNum w:abstractNumId="26">
    <w:multiLevelType w:val="hybridMultilevel"/>
    <w:lvl w:ilvl="0">
      <w:start w:val="3"/>
      <w:numFmt w:val="decimal"/>
      <w:lvlText w:val="%1"/>
      <w:lvlJc w:val="left"/>
      <w:pPr>
        <w:ind w:left="1289" w:hanging="865"/>
        <w:jc w:val="left"/>
      </w:pPr>
      <w:rPr>
        <w:rFonts w:hint="default"/>
        <w:lang w:val="id" w:eastAsia="en-US" w:bidi="ar-SA"/>
      </w:rPr>
    </w:lvl>
    <w:lvl w:ilvl="1">
      <w:start w:val="1"/>
      <w:numFmt w:val="decimal"/>
      <w:lvlText w:val="%1.%2"/>
      <w:lvlJc w:val="left"/>
      <w:pPr>
        <w:ind w:left="1289" w:hanging="865"/>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9" w:hanging="865"/>
        <w:jc w:val="righ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lowerLetter"/>
      <w:lvlText w:val="%5)"/>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5957" w:hanging="360"/>
      </w:pPr>
      <w:rPr>
        <w:rFonts w:hint="default"/>
        <w:lang w:val="id" w:eastAsia="en-US" w:bidi="ar-SA"/>
      </w:rPr>
    </w:lvl>
    <w:lvl w:ilvl="7">
      <w:start w:val="0"/>
      <w:numFmt w:val="bullet"/>
      <w:lvlText w:val="•"/>
      <w:lvlJc w:val="left"/>
      <w:pPr>
        <w:ind w:left="6736" w:hanging="360"/>
      </w:pPr>
      <w:rPr>
        <w:rFonts w:hint="default"/>
        <w:lang w:val="id" w:eastAsia="en-US" w:bidi="ar-SA"/>
      </w:rPr>
    </w:lvl>
    <w:lvl w:ilvl="8">
      <w:start w:val="0"/>
      <w:numFmt w:val="bullet"/>
      <w:lvlText w:val="•"/>
      <w:lvlJc w:val="left"/>
      <w:pPr>
        <w:ind w:left="7516" w:hanging="360"/>
      </w:pPr>
      <w:rPr>
        <w:rFonts w:hint="default"/>
        <w:lang w:val="id" w:eastAsia="en-US" w:bidi="ar-SA"/>
      </w:rPr>
    </w:lvl>
  </w:abstractNum>
  <w:abstractNum w:abstractNumId="25">
    <w:multiLevelType w:val="hybridMultilevel"/>
    <w:lvl w:ilvl="0">
      <w:start w:val="2"/>
      <w:numFmt w:val="decimal"/>
      <w:lvlText w:val="%1"/>
      <w:lvlJc w:val="left"/>
      <w:pPr>
        <w:ind w:left="1277" w:hanging="793"/>
        <w:jc w:val="left"/>
      </w:pPr>
      <w:rPr>
        <w:rFonts w:hint="default"/>
        <w:lang w:val="id" w:eastAsia="en-US" w:bidi="ar-SA"/>
      </w:rPr>
    </w:lvl>
    <w:lvl w:ilvl="1">
      <w:start w:val="3"/>
      <w:numFmt w:val="decimal"/>
      <w:lvlText w:val="%1.%2."/>
      <w:lvlJc w:val="left"/>
      <w:pPr>
        <w:ind w:left="1277" w:hanging="793"/>
        <w:jc w:val="righ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7"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618" w:hanging="721"/>
      </w:pPr>
      <w:rPr>
        <w:rFonts w:hint="default"/>
        <w:lang w:val="id" w:eastAsia="en-US" w:bidi="ar-SA"/>
      </w:rPr>
    </w:lvl>
    <w:lvl w:ilvl="4">
      <w:start w:val="0"/>
      <w:numFmt w:val="bullet"/>
      <w:lvlText w:val="•"/>
      <w:lvlJc w:val="left"/>
      <w:pPr>
        <w:ind w:left="4398" w:hanging="721"/>
      </w:pPr>
      <w:rPr>
        <w:rFonts w:hint="default"/>
        <w:lang w:val="id" w:eastAsia="en-US" w:bidi="ar-SA"/>
      </w:rPr>
    </w:lvl>
    <w:lvl w:ilvl="5">
      <w:start w:val="0"/>
      <w:numFmt w:val="bullet"/>
      <w:lvlText w:val="•"/>
      <w:lvlJc w:val="left"/>
      <w:pPr>
        <w:ind w:left="5177" w:hanging="721"/>
      </w:pPr>
      <w:rPr>
        <w:rFonts w:hint="default"/>
        <w:lang w:val="id" w:eastAsia="en-US" w:bidi="ar-SA"/>
      </w:rPr>
    </w:lvl>
    <w:lvl w:ilvl="6">
      <w:start w:val="0"/>
      <w:numFmt w:val="bullet"/>
      <w:lvlText w:val="•"/>
      <w:lvlJc w:val="left"/>
      <w:pPr>
        <w:ind w:left="5957" w:hanging="721"/>
      </w:pPr>
      <w:rPr>
        <w:rFonts w:hint="default"/>
        <w:lang w:val="id" w:eastAsia="en-US" w:bidi="ar-SA"/>
      </w:rPr>
    </w:lvl>
    <w:lvl w:ilvl="7">
      <w:start w:val="0"/>
      <w:numFmt w:val="bullet"/>
      <w:lvlText w:val="•"/>
      <w:lvlJc w:val="left"/>
      <w:pPr>
        <w:ind w:left="6736" w:hanging="721"/>
      </w:pPr>
      <w:rPr>
        <w:rFonts w:hint="default"/>
        <w:lang w:val="id" w:eastAsia="en-US" w:bidi="ar-SA"/>
      </w:rPr>
    </w:lvl>
    <w:lvl w:ilvl="8">
      <w:start w:val="0"/>
      <w:numFmt w:val="bullet"/>
      <w:lvlText w:val="•"/>
      <w:lvlJc w:val="left"/>
      <w:pPr>
        <w:ind w:left="7516" w:hanging="721"/>
      </w:pPr>
      <w:rPr>
        <w:rFonts w:hint="default"/>
        <w:lang w:val="id" w:eastAsia="en-US" w:bidi="ar-SA"/>
      </w:rPr>
    </w:lvl>
  </w:abstractNum>
  <w:abstractNum w:abstractNumId="24">
    <w:multiLevelType w:val="hybridMultilevel"/>
    <w:lvl w:ilvl="0">
      <w:start w:val="0"/>
      <w:numFmt w:val="bullet"/>
      <w:lvlText w:val="-"/>
      <w:lvlJc w:val="left"/>
      <w:pPr>
        <w:ind w:left="108"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272" w:hanging="120"/>
      </w:pPr>
      <w:rPr>
        <w:rFonts w:hint="default"/>
        <w:lang w:val="id" w:eastAsia="en-US" w:bidi="ar-SA"/>
      </w:rPr>
    </w:lvl>
    <w:lvl w:ilvl="2">
      <w:start w:val="0"/>
      <w:numFmt w:val="bullet"/>
      <w:lvlText w:val="•"/>
      <w:lvlJc w:val="left"/>
      <w:pPr>
        <w:ind w:left="445" w:hanging="120"/>
      </w:pPr>
      <w:rPr>
        <w:rFonts w:hint="default"/>
        <w:lang w:val="id" w:eastAsia="en-US" w:bidi="ar-SA"/>
      </w:rPr>
    </w:lvl>
    <w:lvl w:ilvl="3">
      <w:start w:val="0"/>
      <w:numFmt w:val="bullet"/>
      <w:lvlText w:val="•"/>
      <w:lvlJc w:val="left"/>
      <w:pPr>
        <w:ind w:left="617" w:hanging="120"/>
      </w:pPr>
      <w:rPr>
        <w:rFonts w:hint="default"/>
        <w:lang w:val="id" w:eastAsia="en-US" w:bidi="ar-SA"/>
      </w:rPr>
    </w:lvl>
    <w:lvl w:ilvl="4">
      <w:start w:val="0"/>
      <w:numFmt w:val="bullet"/>
      <w:lvlText w:val="•"/>
      <w:lvlJc w:val="left"/>
      <w:pPr>
        <w:ind w:left="790" w:hanging="120"/>
      </w:pPr>
      <w:rPr>
        <w:rFonts w:hint="default"/>
        <w:lang w:val="id" w:eastAsia="en-US" w:bidi="ar-SA"/>
      </w:rPr>
    </w:lvl>
    <w:lvl w:ilvl="5">
      <w:start w:val="0"/>
      <w:numFmt w:val="bullet"/>
      <w:lvlText w:val="•"/>
      <w:lvlJc w:val="left"/>
      <w:pPr>
        <w:ind w:left="963" w:hanging="120"/>
      </w:pPr>
      <w:rPr>
        <w:rFonts w:hint="default"/>
        <w:lang w:val="id" w:eastAsia="en-US" w:bidi="ar-SA"/>
      </w:rPr>
    </w:lvl>
    <w:lvl w:ilvl="6">
      <w:start w:val="0"/>
      <w:numFmt w:val="bullet"/>
      <w:lvlText w:val="•"/>
      <w:lvlJc w:val="left"/>
      <w:pPr>
        <w:ind w:left="1135" w:hanging="120"/>
      </w:pPr>
      <w:rPr>
        <w:rFonts w:hint="default"/>
        <w:lang w:val="id" w:eastAsia="en-US" w:bidi="ar-SA"/>
      </w:rPr>
    </w:lvl>
    <w:lvl w:ilvl="7">
      <w:start w:val="0"/>
      <w:numFmt w:val="bullet"/>
      <w:lvlText w:val="•"/>
      <w:lvlJc w:val="left"/>
      <w:pPr>
        <w:ind w:left="1308" w:hanging="120"/>
      </w:pPr>
      <w:rPr>
        <w:rFonts w:hint="default"/>
        <w:lang w:val="id" w:eastAsia="en-US" w:bidi="ar-SA"/>
      </w:rPr>
    </w:lvl>
    <w:lvl w:ilvl="8">
      <w:start w:val="0"/>
      <w:numFmt w:val="bullet"/>
      <w:lvlText w:val="•"/>
      <w:lvlJc w:val="left"/>
      <w:pPr>
        <w:ind w:left="1480" w:hanging="120"/>
      </w:pPr>
      <w:rPr>
        <w:rFonts w:hint="default"/>
        <w:lang w:val="id" w:eastAsia="en-US" w:bidi="ar-SA"/>
      </w:rPr>
    </w:lvl>
  </w:abstractNum>
  <w:abstractNum w:abstractNumId="23">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329" w:hanging="120"/>
      </w:pPr>
      <w:rPr>
        <w:rFonts w:hint="default"/>
        <w:lang w:val="id" w:eastAsia="en-US" w:bidi="ar-SA"/>
      </w:rPr>
    </w:lvl>
    <w:lvl w:ilvl="2">
      <w:start w:val="0"/>
      <w:numFmt w:val="bullet"/>
      <w:lvlText w:val="•"/>
      <w:lvlJc w:val="left"/>
      <w:pPr>
        <w:ind w:left="558" w:hanging="120"/>
      </w:pPr>
      <w:rPr>
        <w:rFonts w:hint="default"/>
        <w:lang w:val="id" w:eastAsia="en-US" w:bidi="ar-SA"/>
      </w:rPr>
    </w:lvl>
    <w:lvl w:ilvl="3">
      <w:start w:val="0"/>
      <w:numFmt w:val="bullet"/>
      <w:lvlText w:val="•"/>
      <w:lvlJc w:val="left"/>
      <w:pPr>
        <w:ind w:left="787" w:hanging="120"/>
      </w:pPr>
      <w:rPr>
        <w:rFonts w:hint="default"/>
        <w:lang w:val="id" w:eastAsia="en-US" w:bidi="ar-SA"/>
      </w:rPr>
    </w:lvl>
    <w:lvl w:ilvl="4">
      <w:start w:val="0"/>
      <w:numFmt w:val="bullet"/>
      <w:lvlText w:val="•"/>
      <w:lvlJc w:val="left"/>
      <w:pPr>
        <w:ind w:left="1016" w:hanging="120"/>
      </w:pPr>
      <w:rPr>
        <w:rFonts w:hint="default"/>
        <w:lang w:val="id" w:eastAsia="en-US" w:bidi="ar-SA"/>
      </w:rPr>
    </w:lvl>
    <w:lvl w:ilvl="5">
      <w:start w:val="0"/>
      <w:numFmt w:val="bullet"/>
      <w:lvlText w:val="•"/>
      <w:lvlJc w:val="left"/>
      <w:pPr>
        <w:ind w:left="1245" w:hanging="120"/>
      </w:pPr>
      <w:rPr>
        <w:rFonts w:hint="default"/>
        <w:lang w:val="id" w:eastAsia="en-US" w:bidi="ar-SA"/>
      </w:rPr>
    </w:lvl>
    <w:lvl w:ilvl="6">
      <w:start w:val="0"/>
      <w:numFmt w:val="bullet"/>
      <w:lvlText w:val="•"/>
      <w:lvlJc w:val="left"/>
      <w:pPr>
        <w:ind w:left="1474" w:hanging="120"/>
      </w:pPr>
      <w:rPr>
        <w:rFonts w:hint="default"/>
        <w:lang w:val="id" w:eastAsia="en-US" w:bidi="ar-SA"/>
      </w:rPr>
    </w:lvl>
    <w:lvl w:ilvl="7">
      <w:start w:val="0"/>
      <w:numFmt w:val="bullet"/>
      <w:lvlText w:val="•"/>
      <w:lvlJc w:val="left"/>
      <w:pPr>
        <w:ind w:left="1703" w:hanging="120"/>
      </w:pPr>
      <w:rPr>
        <w:rFonts w:hint="default"/>
        <w:lang w:val="id" w:eastAsia="en-US" w:bidi="ar-SA"/>
      </w:rPr>
    </w:lvl>
    <w:lvl w:ilvl="8">
      <w:start w:val="0"/>
      <w:numFmt w:val="bullet"/>
      <w:lvlText w:val="•"/>
      <w:lvlJc w:val="left"/>
      <w:pPr>
        <w:ind w:left="1932" w:hanging="120"/>
      </w:pPr>
      <w:rPr>
        <w:rFonts w:hint="default"/>
        <w:lang w:val="id" w:eastAsia="en-US" w:bidi="ar-SA"/>
      </w:rPr>
    </w:lvl>
  </w:abstractNum>
  <w:abstractNum w:abstractNumId="22">
    <w:multiLevelType w:val="hybridMultilevel"/>
    <w:lvl w:ilvl="0">
      <w:start w:val="0"/>
      <w:numFmt w:val="bullet"/>
      <w:lvlText w:val="-"/>
      <w:lvlJc w:val="left"/>
      <w:pPr>
        <w:ind w:left="108"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272" w:hanging="120"/>
      </w:pPr>
      <w:rPr>
        <w:rFonts w:hint="default"/>
        <w:lang w:val="id" w:eastAsia="en-US" w:bidi="ar-SA"/>
      </w:rPr>
    </w:lvl>
    <w:lvl w:ilvl="2">
      <w:start w:val="0"/>
      <w:numFmt w:val="bullet"/>
      <w:lvlText w:val="•"/>
      <w:lvlJc w:val="left"/>
      <w:pPr>
        <w:ind w:left="445" w:hanging="120"/>
      </w:pPr>
      <w:rPr>
        <w:rFonts w:hint="default"/>
        <w:lang w:val="id" w:eastAsia="en-US" w:bidi="ar-SA"/>
      </w:rPr>
    </w:lvl>
    <w:lvl w:ilvl="3">
      <w:start w:val="0"/>
      <w:numFmt w:val="bullet"/>
      <w:lvlText w:val="•"/>
      <w:lvlJc w:val="left"/>
      <w:pPr>
        <w:ind w:left="617" w:hanging="120"/>
      </w:pPr>
      <w:rPr>
        <w:rFonts w:hint="default"/>
        <w:lang w:val="id" w:eastAsia="en-US" w:bidi="ar-SA"/>
      </w:rPr>
    </w:lvl>
    <w:lvl w:ilvl="4">
      <w:start w:val="0"/>
      <w:numFmt w:val="bullet"/>
      <w:lvlText w:val="•"/>
      <w:lvlJc w:val="left"/>
      <w:pPr>
        <w:ind w:left="790" w:hanging="120"/>
      </w:pPr>
      <w:rPr>
        <w:rFonts w:hint="default"/>
        <w:lang w:val="id" w:eastAsia="en-US" w:bidi="ar-SA"/>
      </w:rPr>
    </w:lvl>
    <w:lvl w:ilvl="5">
      <w:start w:val="0"/>
      <w:numFmt w:val="bullet"/>
      <w:lvlText w:val="•"/>
      <w:lvlJc w:val="left"/>
      <w:pPr>
        <w:ind w:left="963" w:hanging="120"/>
      </w:pPr>
      <w:rPr>
        <w:rFonts w:hint="default"/>
        <w:lang w:val="id" w:eastAsia="en-US" w:bidi="ar-SA"/>
      </w:rPr>
    </w:lvl>
    <w:lvl w:ilvl="6">
      <w:start w:val="0"/>
      <w:numFmt w:val="bullet"/>
      <w:lvlText w:val="•"/>
      <w:lvlJc w:val="left"/>
      <w:pPr>
        <w:ind w:left="1135" w:hanging="120"/>
      </w:pPr>
      <w:rPr>
        <w:rFonts w:hint="default"/>
        <w:lang w:val="id" w:eastAsia="en-US" w:bidi="ar-SA"/>
      </w:rPr>
    </w:lvl>
    <w:lvl w:ilvl="7">
      <w:start w:val="0"/>
      <w:numFmt w:val="bullet"/>
      <w:lvlText w:val="•"/>
      <w:lvlJc w:val="left"/>
      <w:pPr>
        <w:ind w:left="1308" w:hanging="120"/>
      </w:pPr>
      <w:rPr>
        <w:rFonts w:hint="default"/>
        <w:lang w:val="id" w:eastAsia="en-US" w:bidi="ar-SA"/>
      </w:rPr>
    </w:lvl>
    <w:lvl w:ilvl="8">
      <w:start w:val="0"/>
      <w:numFmt w:val="bullet"/>
      <w:lvlText w:val="•"/>
      <w:lvlJc w:val="left"/>
      <w:pPr>
        <w:ind w:left="1480" w:hanging="120"/>
      </w:pPr>
      <w:rPr>
        <w:rFonts w:hint="default"/>
        <w:lang w:val="id" w:eastAsia="en-US" w:bidi="ar-SA"/>
      </w:rPr>
    </w:lvl>
  </w:abstractNum>
  <w:abstractNum w:abstractNumId="21">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329" w:hanging="120"/>
      </w:pPr>
      <w:rPr>
        <w:rFonts w:hint="default"/>
        <w:lang w:val="id" w:eastAsia="en-US" w:bidi="ar-SA"/>
      </w:rPr>
    </w:lvl>
    <w:lvl w:ilvl="2">
      <w:start w:val="0"/>
      <w:numFmt w:val="bullet"/>
      <w:lvlText w:val="•"/>
      <w:lvlJc w:val="left"/>
      <w:pPr>
        <w:ind w:left="558" w:hanging="120"/>
      </w:pPr>
      <w:rPr>
        <w:rFonts w:hint="default"/>
        <w:lang w:val="id" w:eastAsia="en-US" w:bidi="ar-SA"/>
      </w:rPr>
    </w:lvl>
    <w:lvl w:ilvl="3">
      <w:start w:val="0"/>
      <w:numFmt w:val="bullet"/>
      <w:lvlText w:val="•"/>
      <w:lvlJc w:val="left"/>
      <w:pPr>
        <w:ind w:left="787" w:hanging="120"/>
      </w:pPr>
      <w:rPr>
        <w:rFonts w:hint="default"/>
        <w:lang w:val="id" w:eastAsia="en-US" w:bidi="ar-SA"/>
      </w:rPr>
    </w:lvl>
    <w:lvl w:ilvl="4">
      <w:start w:val="0"/>
      <w:numFmt w:val="bullet"/>
      <w:lvlText w:val="•"/>
      <w:lvlJc w:val="left"/>
      <w:pPr>
        <w:ind w:left="1016" w:hanging="120"/>
      </w:pPr>
      <w:rPr>
        <w:rFonts w:hint="default"/>
        <w:lang w:val="id" w:eastAsia="en-US" w:bidi="ar-SA"/>
      </w:rPr>
    </w:lvl>
    <w:lvl w:ilvl="5">
      <w:start w:val="0"/>
      <w:numFmt w:val="bullet"/>
      <w:lvlText w:val="•"/>
      <w:lvlJc w:val="left"/>
      <w:pPr>
        <w:ind w:left="1245" w:hanging="120"/>
      </w:pPr>
      <w:rPr>
        <w:rFonts w:hint="default"/>
        <w:lang w:val="id" w:eastAsia="en-US" w:bidi="ar-SA"/>
      </w:rPr>
    </w:lvl>
    <w:lvl w:ilvl="6">
      <w:start w:val="0"/>
      <w:numFmt w:val="bullet"/>
      <w:lvlText w:val="•"/>
      <w:lvlJc w:val="left"/>
      <w:pPr>
        <w:ind w:left="1474" w:hanging="120"/>
      </w:pPr>
      <w:rPr>
        <w:rFonts w:hint="default"/>
        <w:lang w:val="id" w:eastAsia="en-US" w:bidi="ar-SA"/>
      </w:rPr>
    </w:lvl>
    <w:lvl w:ilvl="7">
      <w:start w:val="0"/>
      <w:numFmt w:val="bullet"/>
      <w:lvlText w:val="•"/>
      <w:lvlJc w:val="left"/>
      <w:pPr>
        <w:ind w:left="1703" w:hanging="120"/>
      </w:pPr>
      <w:rPr>
        <w:rFonts w:hint="default"/>
        <w:lang w:val="id" w:eastAsia="en-US" w:bidi="ar-SA"/>
      </w:rPr>
    </w:lvl>
    <w:lvl w:ilvl="8">
      <w:start w:val="0"/>
      <w:numFmt w:val="bullet"/>
      <w:lvlText w:val="•"/>
      <w:lvlJc w:val="left"/>
      <w:pPr>
        <w:ind w:left="1932" w:hanging="120"/>
      </w:pPr>
      <w:rPr>
        <w:rFonts w:hint="default"/>
        <w:lang w:val="id" w:eastAsia="en-US" w:bidi="ar-SA"/>
      </w:rPr>
    </w:lvl>
  </w:abstractNum>
  <w:abstractNum w:abstractNumId="20">
    <w:multiLevelType w:val="hybridMultilevel"/>
    <w:lvl w:ilvl="0">
      <w:start w:val="0"/>
      <w:numFmt w:val="bullet"/>
      <w:lvlText w:val="-"/>
      <w:lvlJc w:val="left"/>
      <w:pPr>
        <w:ind w:left="108" w:hanging="120"/>
      </w:pPr>
      <w:rPr>
        <w:rFonts w:hint="default" w:ascii="Times New Roman" w:hAnsi="Times New Roman" w:eastAsia="Times New Roman" w:cs="Times New Roman"/>
        <w:spacing w:val="0"/>
        <w:w w:val="100"/>
        <w:lang w:val="id" w:eastAsia="en-US" w:bidi="ar-SA"/>
      </w:rPr>
    </w:lvl>
    <w:lvl w:ilvl="1">
      <w:start w:val="0"/>
      <w:numFmt w:val="bullet"/>
      <w:lvlText w:val="•"/>
      <w:lvlJc w:val="left"/>
      <w:pPr>
        <w:ind w:left="272" w:hanging="120"/>
      </w:pPr>
      <w:rPr>
        <w:rFonts w:hint="default"/>
        <w:lang w:val="id" w:eastAsia="en-US" w:bidi="ar-SA"/>
      </w:rPr>
    </w:lvl>
    <w:lvl w:ilvl="2">
      <w:start w:val="0"/>
      <w:numFmt w:val="bullet"/>
      <w:lvlText w:val="•"/>
      <w:lvlJc w:val="left"/>
      <w:pPr>
        <w:ind w:left="445" w:hanging="120"/>
      </w:pPr>
      <w:rPr>
        <w:rFonts w:hint="default"/>
        <w:lang w:val="id" w:eastAsia="en-US" w:bidi="ar-SA"/>
      </w:rPr>
    </w:lvl>
    <w:lvl w:ilvl="3">
      <w:start w:val="0"/>
      <w:numFmt w:val="bullet"/>
      <w:lvlText w:val="•"/>
      <w:lvlJc w:val="left"/>
      <w:pPr>
        <w:ind w:left="617" w:hanging="120"/>
      </w:pPr>
      <w:rPr>
        <w:rFonts w:hint="default"/>
        <w:lang w:val="id" w:eastAsia="en-US" w:bidi="ar-SA"/>
      </w:rPr>
    </w:lvl>
    <w:lvl w:ilvl="4">
      <w:start w:val="0"/>
      <w:numFmt w:val="bullet"/>
      <w:lvlText w:val="•"/>
      <w:lvlJc w:val="left"/>
      <w:pPr>
        <w:ind w:left="790" w:hanging="120"/>
      </w:pPr>
      <w:rPr>
        <w:rFonts w:hint="default"/>
        <w:lang w:val="id" w:eastAsia="en-US" w:bidi="ar-SA"/>
      </w:rPr>
    </w:lvl>
    <w:lvl w:ilvl="5">
      <w:start w:val="0"/>
      <w:numFmt w:val="bullet"/>
      <w:lvlText w:val="•"/>
      <w:lvlJc w:val="left"/>
      <w:pPr>
        <w:ind w:left="963" w:hanging="120"/>
      </w:pPr>
      <w:rPr>
        <w:rFonts w:hint="default"/>
        <w:lang w:val="id" w:eastAsia="en-US" w:bidi="ar-SA"/>
      </w:rPr>
    </w:lvl>
    <w:lvl w:ilvl="6">
      <w:start w:val="0"/>
      <w:numFmt w:val="bullet"/>
      <w:lvlText w:val="•"/>
      <w:lvlJc w:val="left"/>
      <w:pPr>
        <w:ind w:left="1135" w:hanging="120"/>
      </w:pPr>
      <w:rPr>
        <w:rFonts w:hint="default"/>
        <w:lang w:val="id" w:eastAsia="en-US" w:bidi="ar-SA"/>
      </w:rPr>
    </w:lvl>
    <w:lvl w:ilvl="7">
      <w:start w:val="0"/>
      <w:numFmt w:val="bullet"/>
      <w:lvlText w:val="•"/>
      <w:lvlJc w:val="left"/>
      <w:pPr>
        <w:ind w:left="1308" w:hanging="120"/>
      </w:pPr>
      <w:rPr>
        <w:rFonts w:hint="default"/>
        <w:lang w:val="id" w:eastAsia="en-US" w:bidi="ar-SA"/>
      </w:rPr>
    </w:lvl>
    <w:lvl w:ilvl="8">
      <w:start w:val="0"/>
      <w:numFmt w:val="bullet"/>
      <w:lvlText w:val="•"/>
      <w:lvlJc w:val="left"/>
      <w:pPr>
        <w:ind w:left="1480" w:hanging="120"/>
      </w:pPr>
      <w:rPr>
        <w:rFonts w:hint="default"/>
        <w:lang w:val="id" w:eastAsia="en-US" w:bidi="ar-SA"/>
      </w:rPr>
    </w:lvl>
  </w:abstractNum>
  <w:abstractNum w:abstractNumId="19">
    <w:multiLevelType w:val="hybridMultilevel"/>
    <w:lvl w:ilvl="0">
      <w:start w:val="0"/>
      <w:numFmt w:val="bullet"/>
      <w:lvlText w:val="-"/>
      <w:lvlJc w:val="left"/>
      <w:pPr>
        <w:ind w:left="108"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272" w:hanging="120"/>
      </w:pPr>
      <w:rPr>
        <w:rFonts w:hint="default"/>
        <w:lang w:val="id" w:eastAsia="en-US" w:bidi="ar-SA"/>
      </w:rPr>
    </w:lvl>
    <w:lvl w:ilvl="2">
      <w:start w:val="0"/>
      <w:numFmt w:val="bullet"/>
      <w:lvlText w:val="•"/>
      <w:lvlJc w:val="left"/>
      <w:pPr>
        <w:ind w:left="445" w:hanging="120"/>
      </w:pPr>
      <w:rPr>
        <w:rFonts w:hint="default"/>
        <w:lang w:val="id" w:eastAsia="en-US" w:bidi="ar-SA"/>
      </w:rPr>
    </w:lvl>
    <w:lvl w:ilvl="3">
      <w:start w:val="0"/>
      <w:numFmt w:val="bullet"/>
      <w:lvlText w:val="•"/>
      <w:lvlJc w:val="left"/>
      <w:pPr>
        <w:ind w:left="617" w:hanging="120"/>
      </w:pPr>
      <w:rPr>
        <w:rFonts w:hint="default"/>
        <w:lang w:val="id" w:eastAsia="en-US" w:bidi="ar-SA"/>
      </w:rPr>
    </w:lvl>
    <w:lvl w:ilvl="4">
      <w:start w:val="0"/>
      <w:numFmt w:val="bullet"/>
      <w:lvlText w:val="•"/>
      <w:lvlJc w:val="left"/>
      <w:pPr>
        <w:ind w:left="790" w:hanging="120"/>
      </w:pPr>
      <w:rPr>
        <w:rFonts w:hint="default"/>
        <w:lang w:val="id" w:eastAsia="en-US" w:bidi="ar-SA"/>
      </w:rPr>
    </w:lvl>
    <w:lvl w:ilvl="5">
      <w:start w:val="0"/>
      <w:numFmt w:val="bullet"/>
      <w:lvlText w:val="•"/>
      <w:lvlJc w:val="left"/>
      <w:pPr>
        <w:ind w:left="963" w:hanging="120"/>
      </w:pPr>
      <w:rPr>
        <w:rFonts w:hint="default"/>
        <w:lang w:val="id" w:eastAsia="en-US" w:bidi="ar-SA"/>
      </w:rPr>
    </w:lvl>
    <w:lvl w:ilvl="6">
      <w:start w:val="0"/>
      <w:numFmt w:val="bullet"/>
      <w:lvlText w:val="•"/>
      <w:lvlJc w:val="left"/>
      <w:pPr>
        <w:ind w:left="1135" w:hanging="120"/>
      </w:pPr>
      <w:rPr>
        <w:rFonts w:hint="default"/>
        <w:lang w:val="id" w:eastAsia="en-US" w:bidi="ar-SA"/>
      </w:rPr>
    </w:lvl>
    <w:lvl w:ilvl="7">
      <w:start w:val="0"/>
      <w:numFmt w:val="bullet"/>
      <w:lvlText w:val="•"/>
      <w:lvlJc w:val="left"/>
      <w:pPr>
        <w:ind w:left="1308" w:hanging="120"/>
      </w:pPr>
      <w:rPr>
        <w:rFonts w:hint="default"/>
        <w:lang w:val="id" w:eastAsia="en-US" w:bidi="ar-SA"/>
      </w:rPr>
    </w:lvl>
    <w:lvl w:ilvl="8">
      <w:start w:val="0"/>
      <w:numFmt w:val="bullet"/>
      <w:lvlText w:val="•"/>
      <w:lvlJc w:val="left"/>
      <w:pPr>
        <w:ind w:left="1480" w:hanging="120"/>
      </w:pPr>
      <w:rPr>
        <w:rFonts w:hint="default"/>
        <w:lang w:val="id" w:eastAsia="en-US" w:bidi="ar-SA"/>
      </w:rPr>
    </w:lvl>
  </w:abstractNum>
  <w:abstractNum w:abstractNumId="18">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329" w:hanging="120"/>
      </w:pPr>
      <w:rPr>
        <w:rFonts w:hint="default"/>
        <w:lang w:val="id" w:eastAsia="en-US" w:bidi="ar-SA"/>
      </w:rPr>
    </w:lvl>
    <w:lvl w:ilvl="2">
      <w:start w:val="0"/>
      <w:numFmt w:val="bullet"/>
      <w:lvlText w:val="•"/>
      <w:lvlJc w:val="left"/>
      <w:pPr>
        <w:ind w:left="558" w:hanging="120"/>
      </w:pPr>
      <w:rPr>
        <w:rFonts w:hint="default"/>
        <w:lang w:val="id" w:eastAsia="en-US" w:bidi="ar-SA"/>
      </w:rPr>
    </w:lvl>
    <w:lvl w:ilvl="3">
      <w:start w:val="0"/>
      <w:numFmt w:val="bullet"/>
      <w:lvlText w:val="•"/>
      <w:lvlJc w:val="left"/>
      <w:pPr>
        <w:ind w:left="787" w:hanging="120"/>
      </w:pPr>
      <w:rPr>
        <w:rFonts w:hint="default"/>
        <w:lang w:val="id" w:eastAsia="en-US" w:bidi="ar-SA"/>
      </w:rPr>
    </w:lvl>
    <w:lvl w:ilvl="4">
      <w:start w:val="0"/>
      <w:numFmt w:val="bullet"/>
      <w:lvlText w:val="•"/>
      <w:lvlJc w:val="left"/>
      <w:pPr>
        <w:ind w:left="1016" w:hanging="120"/>
      </w:pPr>
      <w:rPr>
        <w:rFonts w:hint="default"/>
        <w:lang w:val="id" w:eastAsia="en-US" w:bidi="ar-SA"/>
      </w:rPr>
    </w:lvl>
    <w:lvl w:ilvl="5">
      <w:start w:val="0"/>
      <w:numFmt w:val="bullet"/>
      <w:lvlText w:val="•"/>
      <w:lvlJc w:val="left"/>
      <w:pPr>
        <w:ind w:left="1245" w:hanging="120"/>
      </w:pPr>
      <w:rPr>
        <w:rFonts w:hint="default"/>
        <w:lang w:val="id" w:eastAsia="en-US" w:bidi="ar-SA"/>
      </w:rPr>
    </w:lvl>
    <w:lvl w:ilvl="6">
      <w:start w:val="0"/>
      <w:numFmt w:val="bullet"/>
      <w:lvlText w:val="•"/>
      <w:lvlJc w:val="left"/>
      <w:pPr>
        <w:ind w:left="1474" w:hanging="120"/>
      </w:pPr>
      <w:rPr>
        <w:rFonts w:hint="default"/>
        <w:lang w:val="id" w:eastAsia="en-US" w:bidi="ar-SA"/>
      </w:rPr>
    </w:lvl>
    <w:lvl w:ilvl="7">
      <w:start w:val="0"/>
      <w:numFmt w:val="bullet"/>
      <w:lvlText w:val="•"/>
      <w:lvlJc w:val="left"/>
      <w:pPr>
        <w:ind w:left="1703" w:hanging="120"/>
      </w:pPr>
      <w:rPr>
        <w:rFonts w:hint="default"/>
        <w:lang w:val="id" w:eastAsia="en-US" w:bidi="ar-SA"/>
      </w:rPr>
    </w:lvl>
    <w:lvl w:ilvl="8">
      <w:start w:val="0"/>
      <w:numFmt w:val="bullet"/>
      <w:lvlText w:val="•"/>
      <w:lvlJc w:val="left"/>
      <w:pPr>
        <w:ind w:left="1932" w:hanging="120"/>
      </w:pPr>
      <w:rPr>
        <w:rFonts w:hint="default"/>
        <w:lang w:val="id" w:eastAsia="en-US" w:bidi="ar-SA"/>
      </w:rPr>
    </w:lvl>
  </w:abstractNum>
  <w:abstractNum w:abstractNumId="17">
    <w:multiLevelType w:val="hybridMultilevel"/>
    <w:lvl w:ilvl="0">
      <w:start w:val="0"/>
      <w:numFmt w:val="bullet"/>
      <w:lvlText w:val="-"/>
      <w:lvlJc w:val="left"/>
      <w:pPr>
        <w:ind w:left="108" w:hanging="120"/>
      </w:pPr>
      <w:rPr>
        <w:rFonts w:hint="default" w:ascii="Times New Roman" w:hAnsi="Times New Roman" w:eastAsia="Times New Roman" w:cs="Times New Roman"/>
        <w:spacing w:val="0"/>
        <w:w w:val="100"/>
        <w:lang w:val="id" w:eastAsia="en-US" w:bidi="ar-SA"/>
      </w:rPr>
    </w:lvl>
    <w:lvl w:ilvl="1">
      <w:start w:val="0"/>
      <w:numFmt w:val="bullet"/>
      <w:lvlText w:val="•"/>
      <w:lvlJc w:val="left"/>
      <w:pPr>
        <w:ind w:left="272" w:hanging="120"/>
      </w:pPr>
      <w:rPr>
        <w:rFonts w:hint="default"/>
        <w:lang w:val="id" w:eastAsia="en-US" w:bidi="ar-SA"/>
      </w:rPr>
    </w:lvl>
    <w:lvl w:ilvl="2">
      <w:start w:val="0"/>
      <w:numFmt w:val="bullet"/>
      <w:lvlText w:val="•"/>
      <w:lvlJc w:val="left"/>
      <w:pPr>
        <w:ind w:left="445" w:hanging="120"/>
      </w:pPr>
      <w:rPr>
        <w:rFonts w:hint="default"/>
        <w:lang w:val="id" w:eastAsia="en-US" w:bidi="ar-SA"/>
      </w:rPr>
    </w:lvl>
    <w:lvl w:ilvl="3">
      <w:start w:val="0"/>
      <w:numFmt w:val="bullet"/>
      <w:lvlText w:val="•"/>
      <w:lvlJc w:val="left"/>
      <w:pPr>
        <w:ind w:left="617" w:hanging="120"/>
      </w:pPr>
      <w:rPr>
        <w:rFonts w:hint="default"/>
        <w:lang w:val="id" w:eastAsia="en-US" w:bidi="ar-SA"/>
      </w:rPr>
    </w:lvl>
    <w:lvl w:ilvl="4">
      <w:start w:val="0"/>
      <w:numFmt w:val="bullet"/>
      <w:lvlText w:val="•"/>
      <w:lvlJc w:val="left"/>
      <w:pPr>
        <w:ind w:left="790" w:hanging="120"/>
      </w:pPr>
      <w:rPr>
        <w:rFonts w:hint="default"/>
        <w:lang w:val="id" w:eastAsia="en-US" w:bidi="ar-SA"/>
      </w:rPr>
    </w:lvl>
    <w:lvl w:ilvl="5">
      <w:start w:val="0"/>
      <w:numFmt w:val="bullet"/>
      <w:lvlText w:val="•"/>
      <w:lvlJc w:val="left"/>
      <w:pPr>
        <w:ind w:left="963" w:hanging="120"/>
      </w:pPr>
      <w:rPr>
        <w:rFonts w:hint="default"/>
        <w:lang w:val="id" w:eastAsia="en-US" w:bidi="ar-SA"/>
      </w:rPr>
    </w:lvl>
    <w:lvl w:ilvl="6">
      <w:start w:val="0"/>
      <w:numFmt w:val="bullet"/>
      <w:lvlText w:val="•"/>
      <w:lvlJc w:val="left"/>
      <w:pPr>
        <w:ind w:left="1135" w:hanging="120"/>
      </w:pPr>
      <w:rPr>
        <w:rFonts w:hint="default"/>
        <w:lang w:val="id" w:eastAsia="en-US" w:bidi="ar-SA"/>
      </w:rPr>
    </w:lvl>
    <w:lvl w:ilvl="7">
      <w:start w:val="0"/>
      <w:numFmt w:val="bullet"/>
      <w:lvlText w:val="•"/>
      <w:lvlJc w:val="left"/>
      <w:pPr>
        <w:ind w:left="1308" w:hanging="120"/>
      </w:pPr>
      <w:rPr>
        <w:rFonts w:hint="default"/>
        <w:lang w:val="id" w:eastAsia="en-US" w:bidi="ar-SA"/>
      </w:rPr>
    </w:lvl>
    <w:lvl w:ilvl="8">
      <w:start w:val="0"/>
      <w:numFmt w:val="bullet"/>
      <w:lvlText w:val="•"/>
      <w:lvlJc w:val="left"/>
      <w:pPr>
        <w:ind w:left="1480" w:hanging="120"/>
      </w:pPr>
      <w:rPr>
        <w:rFonts w:hint="default"/>
        <w:lang w:val="id" w:eastAsia="en-US" w:bidi="ar-SA"/>
      </w:rPr>
    </w:lvl>
  </w:abstractNum>
  <w:abstractNum w:abstractNumId="16">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329" w:hanging="120"/>
      </w:pPr>
      <w:rPr>
        <w:rFonts w:hint="default"/>
        <w:lang w:val="id" w:eastAsia="en-US" w:bidi="ar-SA"/>
      </w:rPr>
    </w:lvl>
    <w:lvl w:ilvl="2">
      <w:start w:val="0"/>
      <w:numFmt w:val="bullet"/>
      <w:lvlText w:val="•"/>
      <w:lvlJc w:val="left"/>
      <w:pPr>
        <w:ind w:left="558" w:hanging="120"/>
      </w:pPr>
      <w:rPr>
        <w:rFonts w:hint="default"/>
        <w:lang w:val="id" w:eastAsia="en-US" w:bidi="ar-SA"/>
      </w:rPr>
    </w:lvl>
    <w:lvl w:ilvl="3">
      <w:start w:val="0"/>
      <w:numFmt w:val="bullet"/>
      <w:lvlText w:val="•"/>
      <w:lvlJc w:val="left"/>
      <w:pPr>
        <w:ind w:left="787" w:hanging="120"/>
      </w:pPr>
      <w:rPr>
        <w:rFonts w:hint="default"/>
        <w:lang w:val="id" w:eastAsia="en-US" w:bidi="ar-SA"/>
      </w:rPr>
    </w:lvl>
    <w:lvl w:ilvl="4">
      <w:start w:val="0"/>
      <w:numFmt w:val="bullet"/>
      <w:lvlText w:val="•"/>
      <w:lvlJc w:val="left"/>
      <w:pPr>
        <w:ind w:left="1016" w:hanging="120"/>
      </w:pPr>
      <w:rPr>
        <w:rFonts w:hint="default"/>
        <w:lang w:val="id" w:eastAsia="en-US" w:bidi="ar-SA"/>
      </w:rPr>
    </w:lvl>
    <w:lvl w:ilvl="5">
      <w:start w:val="0"/>
      <w:numFmt w:val="bullet"/>
      <w:lvlText w:val="•"/>
      <w:lvlJc w:val="left"/>
      <w:pPr>
        <w:ind w:left="1245" w:hanging="120"/>
      </w:pPr>
      <w:rPr>
        <w:rFonts w:hint="default"/>
        <w:lang w:val="id" w:eastAsia="en-US" w:bidi="ar-SA"/>
      </w:rPr>
    </w:lvl>
    <w:lvl w:ilvl="6">
      <w:start w:val="0"/>
      <w:numFmt w:val="bullet"/>
      <w:lvlText w:val="•"/>
      <w:lvlJc w:val="left"/>
      <w:pPr>
        <w:ind w:left="1474" w:hanging="120"/>
      </w:pPr>
      <w:rPr>
        <w:rFonts w:hint="default"/>
        <w:lang w:val="id" w:eastAsia="en-US" w:bidi="ar-SA"/>
      </w:rPr>
    </w:lvl>
    <w:lvl w:ilvl="7">
      <w:start w:val="0"/>
      <w:numFmt w:val="bullet"/>
      <w:lvlText w:val="•"/>
      <w:lvlJc w:val="left"/>
      <w:pPr>
        <w:ind w:left="1703" w:hanging="120"/>
      </w:pPr>
      <w:rPr>
        <w:rFonts w:hint="default"/>
        <w:lang w:val="id" w:eastAsia="en-US" w:bidi="ar-SA"/>
      </w:rPr>
    </w:lvl>
    <w:lvl w:ilvl="8">
      <w:start w:val="0"/>
      <w:numFmt w:val="bullet"/>
      <w:lvlText w:val="•"/>
      <w:lvlJc w:val="left"/>
      <w:pPr>
        <w:ind w:left="1932" w:hanging="120"/>
      </w:pPr>
      <w:rPr>
        <w:rFonts w:hint="default"/>
        <w:lang w:val="id" w:eastAsia="en-US" w:bidi="ar-SA"/>
      </w:rPr>
    </w:lvl>
  </w:abstractNum>
  <w:abstractNum w:abstractNumId="15">
    <w:multiLevelType w:val="hybridMultilevel"/>
    <w:lvl w:ilvl="0">
      <w:start w:val="0"/>
      <w:numFmt w:val="bullet"/>
      <w:lvlText w:val="-"/>
      <w:lvlJc w:val="left"/>
      <w:pPr>
        <w:ind w:left="228"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380" w:hanging="120"/>
      </w:pPr>
      <w:rPr>
        <w:rFonts w:hint="default"/>
        <w:lang w:val="id" w:eastAsia="en-US" w:bidi="ar-SA"/>
      </w:rPr>
    </w:lvl>
    <w:lvl w:ilvl="2">
      <w:start w:val="0"/>
      <w:numFmt w:val="bullet"/>
      <w:lvlText w:val="•"/>
      <w:lvlJc w:val="left"/>
      <w:pPr>
        <w:ind w:left="541" w:hanging="120"/>
      </w:pPr>
      <w:rPr>
        <w:rFonts w:hint="default"/>
        <w:lang w:val="id" w:eastAsia="en-US" w:bidi="ar-SA"/>
      </w:rPr>
    </w:lvl>
    <w:lvl w:ilvl="3">
      <w:start w:val="0"/>
      <w:numFmt w:val="bullet"/>
      <w:lvlText w:val="•"/>
      <w:lvlJc w:val="left"/>
      <w:pPr>
        <w:ind w:left="701" w:hanging="120"/>
      </w:pPr>
      <w:rPr>
        <w:rFonts w:hint="default"/>
        <w:lang w:val="id" w:eastAsia="en-US" w:bidi="ar-SA"/>
      </w:rPr>
    </w:lvl>
    <w:lvl w:ilvl="4">
      <w:start w:val="0"/>
      <w:numFmt w:val="bullet"/>
      <w:lvlText w:val="•"/>
      <w:lvlJc w:val="left"/>
      <w:pPr>
        <w:ind w:left="862" w:hanging="120"/>
      </w:pPr>
      <w:rPr>
        <w:rFonts w:hint="default"/>
        <w:lang w:val="id" w:eastAsia="en-US" w:bidi="ar-SA"/>
      </w:rPr>
    </w:lvl>
    <w:lvl w:ilvl="5">
      <w:start w:val="0"/>
      <w:numFmt w:val="bullet"/>
      <w:lvlText w:val="•"/>
      <w:lvlJc w:val="left"/>
      <w:pPr>
        <w:ind w:left="1023" w:hanging="120"/>
      </w:pPr>
      <w:rPr>
        <w:rFonts w:hint="default"/>
        <w:lang w:val="id" w:eastAsia="en-US" w:bidi="ar-SA"/>
      </w:rPr>
    </w:lvl>
    <w:lvl w:ilvl="6">
      <w:start w:val="0"/>
      <w:numFmt w:val="bullet"/>
      <w:lvlText w:val="•"/>
      <w:lvlJc w:val="left"/>
      <w:pPr>
        <w:ind w:left="1183" w:hanging="120"/>
      </w:pPr>
      <w:rPr>
        <w:rFonts w:hint="default"/>
        <w:lang w:val="id" w:eastAsia="en-US" w:bidi="ar-SA"/>
      </w:rPr>
    </w:lvl>
    <w:lvl w:ilvl="7">
      <w:start w:val="0"/>
      <w:numFmt w:val="bullet"/>
      <w:lvlText w:val="•"/>
      <w:lvlJc w:val="left"/>
      <w:pPr>
        <w:ind w:left="1344" w:hanging="120"/>
      </w:pPr>
      <w:rPr>
        <w:rFonts w:hint="default"/>
        <w:lang w:val="id" w:eastAsia="en-US" w:bidi="ar-SA"/>
      </w:rPr>
    </w:lvl>
    <w:lvl w:ilvl="8">
      <w:start w:val="0"/>
      <w:numFmt w:val="bullet"/>
      <w:lvlText w:val="•"/>
      <w:lvlJc w:val="left"/>
      <w:pPr>
        <w:ind w:left="1504" w:hanging="120"/>
      </w:pPr>
      <w:rPr>
        <w:rFonts w:hint="default"/>
        <w:lang w:val="id" w:eastAsia="en-US" w:bidi="ar-SA"/>
      </w:rPr>
    </w:lvl>
  </w:abstractNum>
  <w:abstractNum w:abstractNumId="14">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0"/>
      <w:numFmt w:val="bullet"/>
      <w:lvlText w:val="•"/>
      <w:lvlJc w:val="left"/>
      <w:pPr>
        <w:ind w:left="329" w:hanging="120"/>
      </w:pPr>
      <w:rPr>
        <w:rFonts w:hint="default"/>
        <w:lang w:val="id" w:eastAsia="en-US" w:bidi="ar-SA"/>
      </w:rPr>
    </w:lvl>
    <w:lvl w:ilvl="2">
      <w:start w:val="0"/>
      <w:numFmt w:val="bullet"/>
      <w:lvlText w:val="•"/>
      <w:lvlJc w:val="left"/>
      <w:pPr>
        <w:ind w:left="558" w:hanging="120"/>
      </w:pPr>
      <w:rPr>
        <w:rFonts w:hint="default"/>
        <w:lang w:val="id" w:eastAsia="en-US" w:bidi="ar-SA"/>
      </w:rPr>
    </w:lvl>
    <w:lvl w:ilvl="3">
      <w:start w:val="0"/>
      <w:numFmt w:val="bullet"/>
      <w:lvlText w:val="•"/>
      <w:lvlJc w:val="left"/>
      <w:pPr>
        <w:ind w:left="787" w:hanging="120"/>
      </w:pPr>
      <w:rPr>
        <w:rFonts w:hint="default"/>
        <w:lang w:val="id" w:eastAsia="en-US" w:bidi="ar-SA"/>
      </w:rPr>
    </w:lvl>
    <w:lvl w:ilvl="4">
      <w:start w:val="0"/>
      <w:numFmt w:val="bullet"/>
      <w:lvlText w:val="•"/>
      <w:lvlJc w:val="left"/>
      <w:pPr>
        <w:ind w:left="1016" w:hanging="120"/>
      </w:pPr>
      <w:rPr>
        <w:rFonts w:hint="default"/>
        <w:lang w:val="id" w:eastAsia="en-US" w:bidi="ar-SA"/>
      </w:rPr>
    </w:lvl>
    <w:lvl w:ilvl="5">
      <w:start w:val="0"/>
      <w:numFmt w:val="bullet"/>
      <w:lvlText w:val="•"/>
      <w:lvlJc w:val="left"/>
      <w:pPr>
        <w:ind w:left="1245" w:hanging="120"/>
      </w:pPr>
      <w:rPr>
        <w:rFonts w:hint="default"/>
        <w:lang w:val="id" w:eastAsia="en-US" w:bidi="ar-SA"/>
      </w:rPr>
    </w:lvl>
    <w:lvl w:ilvl="6">
      <w:start w:val="0"/>
      <w:numFmt w:val="bullet"/>
      <w:lvlText w:val="•"/>
      <w:lvlJc w:val="left"/>
      <w:pPr>
        <w:ind w:left="1474" w:hanging="120"/>
      </w:pPr>
      <w:rPr>
        <w:rFonts w:hint="default"/>
        <w:lang w:val="id" w:eastAsia="en-US" w:bidi="ar-SA"/>
      </w:rPr>
    </w:lvl>
    <w:lvl w:ilvl="7">
      <w:start w:val="0"/>
      <w:numFmt w:val="bullet"/>
      <w:lvlText w:val="•"/>
      <w:lvlJc w:val="left"/>
      <w:pPr>
        <w:ind w:left="1703" w:hanging="120"/>
      </w:pPr>
      <w:rPr>
        <w:rFonts w:hint="default"/>
        <w:lang w:val="id" w:eastAsia="en-US" w:bidi="ar-SA"/>
      </w:rPr>
    </w:lvl>
    <w:lvl w:ilvl="8">
      <w:start w:val="0"/>
      <w:numFmt w:val="bullet"/>
      <w:lvlText w:val="•"/>
      <w:lvlJc w:val="left"/>
      <w:pPr>
        <w:ind w:left="1932" w:hanging="120"/>
      </w:pPr>
      <w:rPr>
        <w:rFonts w:hint="default"/>
        <w:lang w:val="id" w:eastAsia="en-US" w:bidi="ar-SA"/>
      </w:rPr>
    </w:lvl>
  </w:abstractNum>
  <w:abstractNum w:abstractNumId="13">
    <w:multiLevelType w:val="hybridMultilevel"/>
    <w:lvl w:ilvl="0">
      <w:start w:val="0"/>
      <w:numFmt w:val="bullet"/>
      <w:lvlText w:val="-"/>
      <w:lvlJc w:val="left"/>
      <w:pPr>
        <w:ind w:left="228" w:hanging="120"/>
      </w:pPr>
      <w:rPr>
        <w:rFonts w:hint="default" w:ascii="Times New Roman" w:hAnsi="Times New Roman" w:eastAsia="Times New Roman" w:cs="Times New Roman"/>
        <w:spacing w:val="0"/>
        <w:w w:val="100"/>
        <w:lang w:val="id" w:eastAsia="en-US" w:bidi="ar-SA"/>
      </w:rPr>
    </w:lvl>
    <w:lvl w:ilvl="1">
      <w:start w:val="0"/>
      <w:numFmt w:val="bullet"/>
      <w:lvlText w:val="•"/>
      <w:lvlJc w:val="left"/>
      <w:pPr>
        <w:ind w:left="380" w:hanging="120"/>
      </w:pPr>
      <w:rPr>
        <w:rFonts w:hint="default"/>
        <w:lang w:val="id" w:eastAsia="en-US" w:bidi="ar-SA"/>
      </w:rPr>
    </w:lvl>
    <w:lvl w:ilvl="2">
      <w:start w:val="0"/>
      <w:numFmt w:val="bullet"/>
      <w:lvlText w:val="•"/>
      <w:lvlJc w:val="left"/>
      <w:pPr>
        <w:ind w:left="541" w:hanging="120"/>
      </w:pPr>
      <w:rPr>
        <w:rFonts w:hint="default"/>
        <w:lang w:val="id" w:eastAsia="en-US" w:bidi="ar-SA"/>
      </w:rPr>
    </w:lvl>
    <w:lvl w:ilvl="3">
      <w:start w:val="0"/>
      <w:numFmt w:val="bullet"/>
      <w:lvlText w:val="•"/>
      <w:lvlJc w:val="left"/>
      <w:pPr>
        <w:ind w:left="701" w:hanging="120"/>
      </w:pPr>
      <w:rPr>
        <w:rFonts w:hint="default"/>
        <w:lang w:val="id" w:eastAsia="en-US" w:bidi="ar-SA"/>
      </w:rPr>
    </w:lvl>
    <w:lvl w:ilvl="4">
      <w:start w:val="0"/>
      <w:numFmt w:val="bullet"/>
      <w:lvlText w:val="•"/>
      <w:lvlJc w:val="left"/>
      <w:pPr>
        <w:ind w:left="862" w:hanging="120"/>
      </w:pPr>
      <w:rPr>
        <w:rFonts w:hint="default"/>
        <w:lang w:val="id" w:eastAsia="en-US" w:bidi="ar-SA"/>
      </w:rPr>
    </w:lvl>
    <w:lvl w:ilvl="5">
      <w:start w:val="0"/>
      <w:numFmt w:val="bullet"/>
      <w:lvlText w:val="•"/>
      <w:lvlJc w:val="left"/>
      <w:pPr>
        <w:ind w:left="1023" w:hanging="120"/>
      </w:pPr>
      <w:rPr>
        <w:rFonts w:hint="default"/>
        <w:lang w:val="id" w:eastAsia="en-US" w:bidi="ar-SA"/>
      </w:rPr>
    </w:lvl>
    <w:lvl w:ilvl="6">
      <w:start w:val="0"/>
      <w:numFmt w:val="bullet"/>
      <w:lvlText w:val="•"/>
      <w:lvlJc w:val="left"/>
      <w:pPr>
        <w:ind w:left="1183" w:hanging="120"/>
      </w:pPr>
      <w:rPr>
        <w:rFonts w:hint="default"/>
        <w:lang w:val="id" w:eastAsia="en-US" w:bidi="ar-SA"/>
      </w:rPr>
    </w:lvl>
    <w:lvl w:ilvl="7">
      <w:start w:val="0"/>
      <w:numFmt w:val="bullet"/>
      <w:lvlText w:val="•"/>
      <w:lvlJc w:val="left"/>
      <w:pPr>
        <w:ind w:left="1344" w:hanging="120"/>
      </w:pPr>
      <w:rPr>
        <w:rFonts w:hint="default"/>
        <w:lang w:val="id" w:eastAsia="en-US" w:bidi="ar-SA"/>
      </w:rPr>
    </w:lvl>
    <w:lvl w:ilvl="8">
      <w:start w:val="0"/>
      <w:numFmt w:val="bullet"/>
      <w:lvlText w:val="•"/>
      <w:lvlJc w:val="left"/>
      <w:pPr>
        <w:ind w:left="1504" w:hanging="120"/>
      </w:pPr>
      <w:rPr>
        <w:rFonts w:hint="default"/>
        <w:lang w:val="id" w:eastAsia="en-US" w:bidi="ar-SA"/>
      </w:rPr>
    </w:lvl>
  </w:abstractNum>
  <w:abstractNum w:abstractNumId="12">
    <w:multiLevelType w:val="hybridMultilevel"/>
    <w:lvl w:ilvl="0">
      <w:start w:val="1"/>
      <w:numFmt w:val="decimal"/>
      <w:lvlText w:val="%1."/>
      <w:lvlJc w:val="left"/>
      <w:pPr>
        <w:ind w:left="2271"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2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545" w:hanging="360"/>
      </w:pPr>
      <w:rPr>
        <w:rFonts w:hint="default"/>
        <w:lang w:val="id" w:eastAsia="en-US" w:bidi="ar-SA"/>
      </w:rPr>
    </w:lvl>
    <w:lvl w:ilvl="5">
      <w:start w:val="0"/>
      <w:numFmt w:val="bullet"/>
      <w:lvlText w:val="•"/>
      <w:lvlJc w:val="left"/>
      <w:pPr>
        <w:ind w:left="5300" w:hanging="360"/>
      </w:pPr>
      <w:rPr>
        <w:rFonts w:hint="default"/>
        <w:lang w:val="id" w:eastAsia="en-US" w:bidi="ar-SA"/>
      </w:rPr>
    </w:lvl>
    <w:lvl w:ilvl="6">
      <w:start w:val="0"/>
      <w:numFmt w:val="bullet"/>
      <w:lvlText w:val="•"/>
      <w:lvlJc w:val="left"/>
      <w:pPr>
        <w:ind w:left="6055" w:hanging="360"/>
      </w:pPr>
      <w:rPr>
        <w:rFonts w:hint="default"/>
        <w:lang w:val="id" w:eastAsia="en-US" w:bidi="ar-SA"/>
      </w:rPr>
    </w:lvl>
    <w:lvl w:ilvl="7">
      <w:start w:val="0"/>
      <w:numFmt w:val="bullet"/>
      <w:lvlText w:val="•"/>
      <w:lvlJc w:val="left"/>
      <w:pPr>
        <w:ind w:left="6810" w:hanging="360"/>
      </w:pPr>
      <w:rPr>
        <w:rFonts w:hint="default"/>
        <w:lang w:val="id" w:eastAsia="en-US" w:bidi="ar-SA"/>
      </w:rPr>
    </w:lvl>
    <w:lvl w:ilvl="8">
      <w:start w:val="0"/>
      <w:numFmt w:val="bullet"/>
      <w:lvlText w:val="•"/>
      <w:lvlJc w:val="left"/>
      <w:pPr>
        <w:ind w:left="7565" w:hanging="360"/>
      </w:pPr>
      <w:rPr>
        <w:rFonts w:hint="default"/>
        <w:lang w:val="id" w:eastAsia="en-US" w:bidi="ar-SA"/>
      </w:rPr>
    </w:lvl>
  </w:abstractNum>
  <w:abstractNum w:abstractNumId="11">
    <w:multiLevelType w:val="hybridMultilevel"/>
    <w:lvl w:ilvl="0">
      <w:start w:val="1"/>
      <w:numFmt w:val="decimal"/>
      <w:lvlText w:val="%1."/>
      <w:lvlJc w:val="left"/>
      <w:pPr>
        <w:ind w:left="2271"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143" w:hanging="569"/>
      </w:pPr>
      <w:rPr>
        <w:rFonts w:hint="default"/>
        <w:lang w:val="id" w:eastAsia="en-US" w:bidi="ar-SA"/>
      </w:rPr>
    </w:lvl>
    <w:lvl w:ilvl="2">
      <w:start w:val="0"/>
      <w:numFmt w:val="bullet"/>
      <w:lvlText w:val="•"/>
      <w:lvlJc w:val="left"/>
      <w:pPr>
        <w:ind w:left="4007" w:hanging="569"/>
      </w:pPr>
      <w:rPr>
        <w:rFonts w:hint="default"/>
        <w:lang w:val="id" w:eastAsia="en-US" w:bidi="ar-SA"/>
      </w:rPr>
    </w:lvl>
    <w:lvl w:ilvl="3">
      <w:start w:val="0"/>
      <w:numFmt w:val="bullet"/>
      <w:lvlText w:val="•"/>
      <w:lvlJc w:val="left"/>
      <w:pPr>
        <w:ind w:left="4871" w:hanging="569"/>
      </w:pPr>
      <w:rPr>
        <w:rFonts w:hint="default"/>
        <w:lang w:val="id" w:eastAsia="en-US" w:bidi="ar-SA"/>
      </w:rPr>
    </w:lvl>
    <w:lvl w:ilvl="4">
      <w:start w:val="0"/>
      <w:numFmt w:val="bullet"/>
      <w:lvlText w:val="•"/>
      <w:lvlJc w:val="left"/>
      <w:pPr>
        <w:ind w:left="5734" w:hanging="569"/>
      </w:pPr>
      <w:rPr>
        <w:rFonts w:hint="default"/>
        <w:lang w:val="id" w:eastAsia="en-US" w:bidi="ar-SA"/>
      </w:rPr>
    </w:lvl>
    <w:lvl w:ilvl="5">
      <w:start w:val="0"/>
      <w:numFmt w:val="bullet"/>
      <w:lvlText w:val="•"/>
      <w:lvlJc w:val="left"/>
      <w:pPr>
        <w:ind w:left="6598" w:hanging="569"/>
      </w:pPr>
      <w:rPr>
        <w:rFonts w:hint="default"/>
        <w:lang w:val="id" w:eastAsia="en-US" w:bidi="ar-SA"/>
      </w:rPr>
    </w:lvl>
    <w:lvl w:ilvl="6">
      <w:start w:val="0"/>
      <w:numFmt w:val="bullet"/>
      <w:lvlText w:val="•"/>
      <w:lvlJc w:val="left"/>
      <w:pPr>
        <w:ind w:left="7462" w:hanging="569"/>
      </w:pPr>
      <w:rPr>
        <w:rFonts w:hint="default"/>
        <w:lang w:val="id" w:eastAsia="en-US" w:bidi="ar-SA"/>
      </w:rPr>
    </w:lvl>
    <w:lvl w:ilvl="7">
      <w:start w:val="0"/>
      <w:numFmt w:val="bullet"/>
      <w:lvlText w:val="•"/>
      <w:lvlJc w:val="left"/>
      <w:pPr>
        <w:ind w:left="8325" w:hanging="569"/>
      </w:pPr>
      <w:rPr>
        <w:rFonts w:hint="default"/>
        <w:lang w:val="id" w:eastAsia="en-US" w:bidi="ar-SA"/>
      </w:rPr>
    </w:lvl>
    <w:lvl w:ilvl="8">
      <w:start w:val="0"/>
      <w:numFmt w:val="bullet"/>
      <w:lvlText w:val="•"/>
      <w:lvlJc w:val="left"/>
      <w:pPr>
        <w:ind w:left="9189" w:hanging="569"/>
      </w:pPr>
      <w:rPr>
        <w:rFonts w:hint="default"/>
        <w:lang w:val="id" w:eastAsia="en-US" w:bidi="ar-SA"/>
      </w:rPr>
    </w:lvl>
  </w:abstractNum>
  <w:abstractNum w:abstractNumId="8">
    <w:multiLevelType w:val="hybridMultilevel"/>
    <w:lvl w:ilvl="0">
      <w:start w:val="1"/>
      <w:numFmt w:val="decimal"/>
      <w:lvlText w:val="%1."/>
      <w:lvlJc w:val="left"/>
      <w:pPr>
        <w:ind w:left="242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269" w:hanging="360"/>
      </w:pPr>
      <w:rPr>
        <w:rFonts w:hint="default"/>
        <w:lang w:val="id" w:eastAsia="en-US" w:bidi="ar-SA"/>
      </w:rPr>
    </w:lvl>
    <w:lvl w:ilvl="2">
      <w:start w:val="0"/>
      <w:numFmt w:val="bullet"/>
      <w:lvlText w:val="•"/>
      <w:lvlJc w:val="left"/>
      <w:pPr>
        <w:ind w:left="4119" w:hanging="360"/>
      </w:pPr>
      <w:rPr>
        <w:rFonts w:hint="default"/>
        <w:lang w:val="id" w:eastAsia="en-US" w:bidi="ar-SA"/>
      </w:rPr>
    </w:lvl>
    <w:lvl w:ilvl="3">
      <w:start w:val="0"/>
      <w:numFmt w:val="bullet"/>
      <w:lvlText w:val="•"/>
      <w:lvlJc w:val="left"/>
      <w:pPr>
        <w:ind w:left="4969" w:hanging="360"/>
      </w:pPr>
      <w:rPr>
        <w:rFonts w:hint="default"/>
        <w:lang w:val="id" w:eastAsia="en-US" w:bidi="ar-SA"/>
      </w:rPr>
    </w:lvl>
    <w:lvl w:ilvl="4">
      <w:start w:val="0"/>
      <w:numFmt w:val="bullet"/>
      <w:lvlText w:val="•"/>
      <w:lvlJc w:val="left"/>
      <w:pPr>
        <w:ind w:left="5818" w:hanging="360"/>
      </w:pPr>
      <w:rPr>
        <w:rFonts w:hint="default"/>
        <w:lang w:val="id" w:eastAsia="en-US" w:bidi="ar-SA"/>
      </w:rPr>
    </w:lvl>
    <w:lvl w:ilvl="5">
      <w:start w:val="0"/>
      <w:numFmt w:val="bullet"/>
      <w:lvlText w:val="•"/>
      <w:lvlJc w:val="left"/>
      <w:pPr>
        <w:ind w:left="6668" w:hanging="360"/>
      </w:pPr>
      <w:rPr>
        <w:rFonts w:hint="default"/>
        <w:lang w:val="id" w:eastAsia="en-US" w:bidi="ar-SA"/>
      </w:rPr>
    </w:lvl>
    <w:lvl w:ilvl="6">
      <w:start w:val="0"/>
      <w:numFmt w:val="bullet"/>
      <w:lvlText w:val="•"/>
      <w:lvlJc w:val="left"/>
      <w:pPr>
        <w:ind w:left="7518" w:hanging="360"/>
      </w:pPr>
      <w:rPr>
        <w:rFonts w:hint="default"/>
        <w:lang w:val="id" w:eastAsia="en-US" w:bidi="ar-SA"/>
      </w:rPr>
    </w:lvl>
    <w:lvl w:ilvl="7">
      <w:start w:val="0"/>
      <w:numFmt w:val="bullet"/>
      <w:lvlText w:val="•"/>
      <w:lvlJc w:val="left"/>
      <w:pPr>
        <w:ind w:left="8367" w:hanging="360"/>
      </w:pPr>
      <w:rPr>
        <w:rFonts w:hint="default"/>
        <w:lang w:val="id" w:eastAsia="en-US" w:bidi="ar-SA"/>
      </w:rPr>
    </w:lvl>
    <w:lvl w:ilvl="8">
      <w:start w:val="0"/>
      <w:numFmt w:val="bullet"/>
      <w:lvlText w:val="•"/>
      <w:lvlJc w:val="left"/>
      <w:pPr>
        <w:ind w:left="9217" w:hanging="360"/>
      </w:pPr>
      <w:rPr>
        <w:rFonts w:hint="default"/>
        <w:lang w:val="id" w:eastAsia="en-US" w:bidi="ar-SA"/>
      </w:rPr>
    </w:lvl>
  </w:abstractNum>
  <w:abstractNum w:abstractNumId="10">
    <w:multiLevelType w:val="hybridMultilevel"/>
    <w:lvl w:ilvl="0">
      <w:start w:val="1"/>
      <w:numFmt w:val="decimal"/>
      <w:lvlText w:val="%1."/>
      <w:lvlJc w:val="left"/>
      <w:pPr>
        <w:ind w:left="2271"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143" w:hanging="569"/>
      </w:pPr>
      <w:rPr>
        <w:rFonts w:hint="default"/>
        <w:lang w:val="id" w:eastAsia="en-US" w:bidi="ar-SA"/>
      </w:rPr>
    </w:lvl>
    <w:lvl w:ilvl="2">
      <w:start w:val="0"/>
      <w:numFmt w:val="bullet"/>
      <w:lvlText w:val="•"/>
      <w:lvlJc w:val="left"/>
      <w:pPr>
        <w:ind w:left="4007" w:hanging="569"/>
      </w:pPr>
      <w:rPr>
        <w:rFonts w:hint="default"/>
        <w:lang w:val="id" w:eastAsia="en-US" w:bidi="ar-SA"/>
      </w:rPr>
    </w:lvl>
    <w:lvl w:ilvl="3">
      <w:start w:val="0"/>
      <w:numFmt w:val="bullet"/>
      <w:lvlText w:val="•"/>
      <w:lvlJc w:val="left"/>
      <w:pPr>
        <w:ind w:left="4871" w:hanging="569"/>
      </w:pPr>
      <w:rPr>
        <w:rFonts w:hint="default"/>
        <w:lang w:val="id" w:eastAsia="en-US" w:bidi="ar-SA"/>
      </w:rPr>
    </w:lvl>
    <w:lvl w:ilvl="4">
      <w:start w:val="0"/>
      <w:numFmt w:val="bullet"/>
      <w:lvlText w:val="•"/>
      <w:lvlJc w:val="left"/>
      <w:pPr>
        <w:ind w:left="5734" w:hanging="569"/>
      </w:pPr>
      <w:rPr>
        <w:rFonts w:hint="default"/>
        <w:lang w:val="id" w:eastAsia="en-US" w:bidi="ar-SA"/>
      </w:rPr>
    </w:lvl>
    <w:lvl w:ilvl="5">
      <w:start w:val="0"/>
      <w:numFmt w:val="bullet"/>
      <w:lvlText w:val="•"/>
      <w:lvlJc w:val="left"/>
      <w:pPr>
        <w:ind w:left="6598" w:hanging="569"/>
      </w:pPr>
      <w:rPr>
        <w:rFonts w:hint="default"/>
        <w:lang w:val="id" w:eastAsia="en-US" w:bidi="ar-SA"/>
      </w:rPr>
    </w:lvl>
    <w:lvl w:ilvl="6">
      <w:start w:val="0"/>
      <w:numFmt w:val="bullet"/>
      <w:lvlText w:val="•"/>
      <w:lvlJc w:val="left"/>
      <w:pPr>
        <w:ind w:left="7462" w:hanging="569"/>
      </w:pPr>
      <w:rPr>
        <w:rFonts w:hint="default"/>
        <w:lang w:val="id" w:eastAsia="en-US" w:bidi="ar-SA"/>
      </w:rPr>
    </w:lvl>
    <w:lvl w:ilvl="7">
      <w:start w:val="0"/>
      <w:numFmt w:val="bullet"/>
      <w:lvlText w:val="•"/>
      <w:lvlJc w:val="left"/>
      <w:pPr>
        <w:ind w:left="8325" w:hanging="569"/>
      </w:pPr>
      <w:rPr>
        <w:rFonts w:hint="default"/>
        <w:lang w:val="id" w:eastAsia="en-US" w:bidi="ar-SA"/>
      </w:rPr>
    </w:lvl>
    <w:lvl w:ilvl="8">
      <w:start w:val="0"/>
      <w:numFmt w:val="bullet"/>
      <w:lvlText w:val="•"/>
      <w:lvlJc w:val="left"/>
      <w:pPr>
        <w:ind w:left="9189" w:hanging="569"/>
      </w:pPr>
      <w:rPr>
        <w:rFonts w:hint="default"/>
        <w:lang w:val="id" w:eastAsia="en-US" w:bidi="ar-SA"/>
      </w:rPr>
    </w:lvl>
  </w:abstractNum>
  <w:abstractNum w:abstractNumId="9">
    <w:multiLevelType w:val="hybridMultilevel"/>
    <w:lvl w:ilvl="0">
      <w:start w:val="1"/>
      <w:numFmt w:val="decimal"/>
      <w:lvlText w:val="%1."/>
      <w:lvlJc w:val="left"/>
      <w:pPr>
        <w:ind w:left="2271" w:hanging="5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3143" w:hanging="569"/>
      </w:pPr>
      <w:rPr>
        <w:rFonts w:hint="default"/>
        <w:lang w:val="id" w:eastAsia="en-US" w:bidi="ar-SA"/>
      </w:rPr>
    </w:lvl>
    <w:lvl w:ilvl="2">
      <w:start w:val="0"/>
      <w:numFmt w:val="bullet"/>
      <w:lvlText w:val="•"/>
      <w:lvlJc w:val="left"/>
      <w:pPr>
        <w:ind w:left="4007" w:hanging="569"/>
      </w:pPr>
      <w:rPr>
        <w:rFonts w:hint="default"/>
        <w:lang w:val="id" w:eastAsia="en-US" w:bidi="ar-SA"/>
      </w:rPr>
    </w:lvl>
    <w:lvl w:ilvl="3">
      <w:start w:val="0"/>
      <w:numFmt w:val="bullet"/>
      <w:lvlText w:val="•"/>
      <w:lvlJc w:val="left"/>
      <w:pPr>
        <w:ind w:left="4871" w:hanging="569"/>
      </w:pPr>
      <w:rPr>
        <w:rFonts w:hint="default"/>
        <w:lang w:val="id" w:eastAsia="en-US" w:bidi="ar-SA"/>
      </w:rPr>
    </w:lvl>
    <w:lvl w:ilvl="4">
      <w:start w:val="0"/>
      <w:numFmt w:val="bullet"/>
      <w:lvlText w:val="•"/>
      <w:lvlJc w:val="left"/>
      <w:pPr>
        <w:ind w:left="5734" w:hanging="569"/>
      </w:pPr>
      <w:rPr>
        <w:rFonts w:hint="default"/>
        <w:lang w:val="id" w:eastAsia="en-US" w:bidi="ar-SA"/>
      </w:rPr>
    </w:lvl>
    <w:lvl w:ilvl="5">
      <w:start w:val="0"/>
      <w:numFmt w:val="bullet"/>
      <w:lvlText w:val="•"/>
      <w:lvlJc w:val="left"/>
      <w:pPr>
        <w:ind w:left="6598" w:hanging="569"/>
      </w:pPr>
      <w:rPr>
        <w:rFonts w:hint="default"/>
        <w:lang w:val="id" w:eastAsia="en-US" w:bidi="ar-SA"/>
      </w:rPr>
    </w:lvl>
    <w:lvl w:ilvl="6">
      <w:start w:val="0"/>
      <w:numFmt w:val="bullet"/>
      <w:lvlText w:val="•"/>
      <w:lvlJc w:val="left"/>
      <w:pPr>
        <w:ind w:left="7462" w:hanging="569"/>
      </w:pPr>
      <w:rPr>
        <w:rFonts w:hint="default"/>
        <w:lang w:val="id" w:eastAsia="en-US" w:bidi="ar-SA"/>
      </w:rPr>
    </w:lvl>
    <w:lvl w:ilvl="7">
      <w:start w:val="0"/>
      <w:numFmt w:val="bullet"/>
      <w:lvlText w:val="•"/>
      <w:lvlJc w:val="left"/>
      <w:pPr>
        <w:ind w:left="8325" w:hanging="569"/>
      </w:pPr>
      <w:rPr>
        <w:rFonts w:hint="default"/>
        <w:lang w:val="id" w:eastAsia="en-US" w:bidi="ar-SA"/>
      </w:rPr>
    </w:lvl>
    <w:lvl w:ilvl="8">
      <w:start w:val="0"/>
      <w:numFmt w:val="bullet"/>
      <w:lvlText w:val="•"/>
      <w:lvlJc w:val="left"/>
      <w:pPr>
        <w:ind w:left="9189" w:hanging="569"/>
      </w:pPr>
      <w:rPr>
        <w:rFonts w:hint="default"/>
        <w:lang w:val="id" w:eastAsia="en-US" w:bidi="ar-SA"/>
      </w:rPr>
    </w:lvl>
  </w:abstractNum>
  <w:abstractNum w:abstractNumId="7">
    <w:multiLevelType w:val="hybridMultilevel"/>
    <w:lvl w:ilvl="0">
      <w:start w:val="1"/>
      <w:numFmt w:val="decimal"/>
      <w:lvlText w:val="%1"/>
      <w:lvlJc w:val="left"/>
      <w:pPr>
        <w:ind w:left="2411" w:hanging="709"/>
        <w:jc w:val="left"/>
      </w:pPr>
      <w:rPr>
        <w:rFonts w:hint="default"/>
        <w:lang w:val="id" w:eastAsia="en-US" w:bidi="ar-SA"/>
      </w:rPr>
    </w:lvl>
    <w:lvl w:ilvl="1">
      <w:start w:val="1"/>
      <w:numFmt w:val="decimal"/>
      <w:lvlText w:val="%1.%2"/>
      <w:lvlJc w:val="left"/>
      <w:pPr>
        <w:ind w:left="2411" w:hanging="70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2271" w:hanging="56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4308" w:hanging="569"/>
      </w:pPr>
      <w:rPr>
        <w:rFonts w:hint="default"/>
        <w:lang w:val="id" w:eastAsia="en-US" w:bidi="ar-SA"/>
      </w:rPr>
    </w:lvl>
    <w:lvl w:ilvl="4">
      <w:start w:val="0"/>
      <w:numFmt w:val="bullet"/>
      <w:lvlText w:val="•"/>
      <w:lvlJc w:val="left"/>
      <w:pPr>
        <w:ind w:left="5252" w:hanging="569"/>
      </w:pPr>
      <w:rPr>
        <w:rFonts w:hint="default"/>
        <w:lang w:val="id" w:eastAsia="en-US" w:bidi="ar-SA"/>
      </w:rPr>
    </w:lvl>
    <w:lvl w:ilvl="5">
      <w:start w:val="0"/>
      <w:numFmt w:val="bullet"/>
      <w:lvlText w:val="•"/>
      <w:lvlJc w:val="left"/>
      <w:pPr>
        <w:ind w:left="6196" w:hanging="569"/>
      </w:pPr>
      <w:rPr>
        <w:rFonts w:hint="default"/>
        <w:lang w:val="id" w:eastAsia="en-US" w:bidi="ar-SA"/>
      </w:rPr>
    </w:lvl>
    <w:lvl w:ilvl="6">
      <w:start w:val="0"/>
      <w:numFmt w:val="bullet"/>
      <w:lvlText w:val="•"/>
      <w:lvlJc w:val="left"/>
      <w:pPr>
        <w:ind w:left="7140" w:hanging="569"/>
      </w:pPr>
      <w:rPr>
        <w:rFonts w:hint="default"/>
        <w:lang w:val="id" w:eastAsia="en-US" w:bidi="ar-SA"/>
      </w:rPr>
    </w:lvl>
    <w:lvl w:ilvl="7">
      <w:start w:val="0"/>
      <w:numFmt w:val="bullet"/>
      <w:lvlText w:val="•"/>
      <w:lvlJc w:val="left"/>
      <w:pPr>
        <w:ind w:left="8084" w:hanging="569"/>
      </w:pPr>
      <w:rPr>
        <w:rFonts w:hint="default"/>
        <w:lang w:val="id" w:eastAsia="en-US" w:bidi="ar-SA"/>
      </w:rPr>
    </w:lvl>
    <w:lvl w:ilvl="8">
      <w:start w:val="0"/>
      <w:numFmt w:val="bullet"/>
      <w:lvlText w:val="•"/>
      <w:lvlJc w:val="left"/>
      <w:pPr>
        <w:ind w:left="9028" w:hanging="569"/>
      </w:pPr>
      <w:rPr>
        <w:rFonts w:hint="default"/>
        <w:lang w:val="id" w:eastAsia="en-US" w:bidi="ar-SA"/>
      </w:rPr>
    </w:lvl>
  </w:abstractNum>
  <w:abstractNum w:abstractNumId="6">
    <w:multiLevelType w:val="hybridMultilevel"/>
    <w:lvl w:ilvl="0">
      <w:start w:val="5"/>
      <w:numFmt w:val="decimal"/>
      <w:lvlText w:val="%1"/>
      <w:lvlJc w:val="left"/>
      <w:pPr>
        <w:ind w:left="2803" w:hanging="860"/>
        <w:jc w:val="left"/>
      </w:pPr>
      <w:rPr>
        <w:rFonts w:hint="default"/>
        <w:lang w:val="id" w:eastAsia="en-US" w:bidi="ar-SA"/>
      </w:rPr>
    </w:lvl>
    <w:lvl w:ilvl="1">
      <w:start w:val="1"/>
      <w:numFmt w:val="decimal"/>
      <w:lvlText w:val="%1.%2"/>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5235" w:hanging="860"/>
      </w:pPr>
      <w:rPr>
        <w:rFonts w:hint="default"/>
        <w:lang w:val="id" w:eastAsia="en-US" w:bidi="ar-SA"/>
      </w:rPr>
    </w:lvl>
    <w:lvl w:ilvl="4">
      <w:start w:val="0"/>
      <w:numFmt w:val="bullet"/>
      <w:lvlText w:val="•"/>
      <w:lvlJc w:val="left"/>
      <w:pPr>
        <w:ind w:left="6046" w:hanging="860"/>
      </w:pPr>
      <w:rPr>
        <w:rFonts w:hint="default"/>
        <w:lang w:val="id" w:eastAsia="en-US" w:bidi="ar-SA"/>
      </w:rPr>
    </w:lvl>
    <w:lvl w:ilvl="5">
      <w:start w:val="0"/>
      <w:numFmt w:val="bullet"/>
      <w:lvlText w:val="•"/>
      <w:lvlJc w:val="left"/>
      <w:pPr>
        <w:ind w:left="6858" w:hanging="860"/>
      </w:pPr>
      <w:rPr>
        <w:rFonts w:hint="default"/>
        <w:lang w:val="id" w:eastAsia="en-US" w:bidi="ar-SA"/>
      </w:rPr>
    </w:lvl>
    <w:lvl w:ilvl="6">
      <w:start w:val="0"/>
      <w:numFmt w:val="bullet"/>
      <w:lvlText w:val="•"/>
      <w:lvlJc w:val="left"/>
      <w:pPr>
        <w:ind w:left="7670" w:hanging="860"/>
      </w:pPr>
      <w:rPr>
        <w:rFonts w:hint="default"/>
        <w:lang w:val="id" w:eastAsia="en-US" w:bidi="ar-SA"/>
      </w:rPr>
    </w:lvl>
    <w:lvl w:ilvl="7">
      <w:start w:val="0"/>
      <w:numFmt w:val="bullet"/>
      <w:lvlText w:val="•"/>
      <w:lvlJc w:val="left"/>
      <w:pPr>
        <w:ind w:left="8481" w:hanging="860"/>
      </w:pPr>
      <w:rPr>
        <w:rFonts w:hint="default"/>
        <w:lang w:val="id" w:eastAsia="en-US" w:bidi="ar-SA"/>
      </w:rPr>
    </w:lvl>
    <w:lvl w:ilvl="8">
      <w:start w:val="0"/>
      <w:numFmt w:val="bullet"/>
      <w:lvlText w:val="•"/>
      <w:lvlJc w:val="left"/>
      <w:pPr>
        <w:ind w:left="9293" w:hanging="860"/>
      </w:pPr>
      <w:rPr>
        <w:rFonts w:hint="default"/>
        <w:lang w:val="id" w:eastAsia="en-US" w:bidi="ar-SA"/>
      </w:rPr>
    </w:lvl>
  </w:abstractNum>
  <w:abstractNum w:abstractNumId="5">
    <w:multiLevelType w:val="hybridMultilevel"/>
    <w:lvl w:ilvl="0">
      <w:start w:val="4"/>
      <w:numFmt w:val="decimal"/>
      <w:lvlText w:val="%1"/>
      <w:lvlJc w:val="left"/>
      <w:pPr>
        <w:ind w:left="2803" w:hanging="860"/>
        <w:jc w:val="left"/>
      </w:pPr>
      <w:rPr>
        <w:rFonts w:hint="default"/>
        <w:lang w:val="id" w:eastAsia="en-US" w:bidi="ar-SA"/>
      </w:rPr>
    </w:lvl>
    <w:lvl w:ilvl="1">
      <w:start w:val="1"/>
      <w:numFmt w:val="decimal"/>
      <w:lvlText w:val="%1.%2"/>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1.%2.%3.%4"/>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6046" w:hanging="860"/>
      </w:pPr>
      <w:rPr>
        <w:rFonts w:hint="default"/>
        <w:lang w:val="id" w:eastAsia="en-US" w:bidi="ar-SA"/>
      </w:rPr>
    </w:lvl>
    <w:lvl w:ilvl="5">
      <w:start w:val="0"/>
      <w:numFmt w:val="bullet"/>
      <w:lvlText w:val="•"/>
      <w:lvlJc w:val="left"/>
      <w:pPr>
        <w:ind w:left="6858" w:hanging="860"/>
      </w:pPr>
      <w:rPr>
        <w:rFonts w:hint="default"/>
        <w:lang w:val="id" w:eastAsia="en-US" w:bidi="ar-SA"/>
      </w:rPr>
    </w:lvl>
    <w:lvl w:ilvl="6">
      <w:start w:val="0"/>
      <w:numFmt w:val="bullet"/>
      <w:lvlText w:val="•"/>
      <w:lvlJc w:val="left"/>
      <w:pPr>
        <w:ind w:left="7670" w:hanging="860"/>
      </w:pPr>
      <w:rPr>
        <w:rFonts w:hint="default"/>
        <w:lang w:val="id" w:eastAsia="en-US" w:bidi="ar-SA"/>
      </w:rPr>
    </w:lvl>
    <w:lvl w:ilvl="7">
      <w:start w:val="0"/>
      <w:numFmt w:val="bullet"/>
      <w:lvlText w:val="•"/>
      <w:lvlJc w:val="left"/>
      <w:pPr>
        <w:ind w:left="8481" w:hanging="860"/>
      </w:pPr>
      <w:rPr>
        <w:rFonts w:hint="default"/>
        <w:lang w:val="id" w:eastAsia="en-US" w:bidi="ar-SA"/>
      </w:rPr>
    </w:lvl>
    <w:lvl w:ilvl="8">
      <w:start w:val="0"/>
      <w:numFmt w:val="bullet"/>
      <w:lvlText w:val="•"/>
      <w:lvlJc w:val="left"/>
      <w:pPr>
        <w:ind w:left="9293" w:hanging="860"/>
      </w:pPr>
      <w:rPr>
        <w:rFonts w:hint="default"/>
        <w:lang w:val="id" w:eastAsia="en-US" w:bidi="ar-SA"/>
      </w:rPr>
    </w:lvl>
  </w:abstractNum>
  <w:abstractNum w:abstractNumId="4">
    <w:multiLevelType w:val="hybridMultilevel"/>
    <w:lvl w:ilvl="0">
      <w:start w:val="3"/>
      <w:numFmt w:val="decimal"/>
      <w:lvlText w:val="%1"/>
      <w:lvlJc w:val="left"/>
      <w:pPr>
        <w:ind w:left="2803" w:hanging="860"/>
        <w:jc w:val="left"/>
      </w:pPr>
      <w:rPr>
        <w:rFonts w:hint="default"/>
        <w:lang w:val="id" w:eastAsia="en-US" w:bidi="ar-SA"/>
      </w:rPr>
    </w:lvl>
    <w:lvl w:ilvl="1">
      <w:start w:val="6"/>
      <w:numFmt w:val="decimal"/>
      <w:lvlText w:val="%1.%2"/>
      <w:lvlJc w:val="left"/>
      <w:pPr>
        <w:ind w:left="2803" w:hanging="860"/>
        <w:jc w:val="left"/>
      </w:pPr>
      <w:rPr>
        <w:rFonts w:hint="default"/>
        <w:lang w:val="id" w:eastAsia="en-US" w:bidi="ar-SA"/>
      </w:rPr>
    </w:lvl>
    <w:lvl w:ilvl="2">
      <w:start w:val="2"/>
      <w:numFmt w:val="decimal"/>
      <w:lvlText w:val="%1.%2.%3"/>
      <w:lvlJc w:val="left"/>
      <w:pPr>
        <w:ind w:left="2803" w:hanging="860"/>
        <w:jc w:val="left"/>
      </w:pPr>
      <w:rPr>
        <w:rFonts w:hint="default"/>
        <w:lang w:val="id" w:eastAsia="en-US" w:bidi="ar-SA"/>
      </w:rPr>
    </w:lvl>
    <w:lvl w:ilvl="3">
      <w:start w:val="1"/>
      <w:numFmt w:val="decimal"/>
      <w:lvlText w:val="%1.%2.%3.%4"/>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6046" w:hanging="860"/>
      </w:pPr>
      <w:rPr>
        <w:rFonts w:hint="default"/>
        <w:lang w:val="id" w:eastAsia="en-US" w:bidi="ar-SA"/>
      </w:rPr>
    </w:lvl>
    <w:lvl w:ilvl="5">
      <w:start w:val="0"/>
      <w:numFmt w:val="bullet"/>
      <w:lvlText w:val="•"/>
      <w:lvlJc w:val="left"/>
      <w:pPr>
        <w:ind w:left="6858" w:hanging="860"/>
      </w:pPr>
      <w:rPr>
        <w:rFonts w:hint="default"/>
        <w:lang w:val="id" w:eastAsia="en-US" w:bidi="ar-SA"/>
      </w:rPr>
    </w:lvl>
    <w:lvl w:ilvl="6">
      <w:start w:val="0"/>
      <w:numFmt w:val="bullet"/>
      <w:lvlText w:val="•"/>
      <w:lvlJc w:val="left"/>
      <w:pPr>
        <w:ind w:left="7670" w:hanging="860"/>
      </w:pPr>
      <w:rPr>
        <w:rFonts w:hint="default"/>
        <w:lang w:val="id" w:eastAsia="en-US" w:bidi="ar-SA"/>
      </w:rPr>
    </w:lvl>
    <w:lvl w:ilvl="7">
      <w:start w:val="0"/>
      <w:numFmt w:val="bullet"/>
      <w:lvlText w:val="•"/>
      <w:lvlJc w:val="left"/>
      <w:pPr>
        <w:ind w:left="8481" w:hanging="860"/>
      </w:pPr>
      <w:rPr>
        <w:rFonts w:hint="default"/>
        <w:lang w:val="id" w:eastAsia="en-US" w:bidi="ar-SA"/>
      </w:rPr>
    </w:lvl>
    <w:lvl w:ilvl="8">
      <w:start w:val="0"/>
      <w:numFmt w:val="bullet"/>
      <w:lvlText w:val="•"/>
      <w:lvlJc w:val="left"/>
      <w:pPr>
        <w:ind w:left="9293" w:hanging="860"/>
      </w:pPr>
      <w:rPr>
        <w:rFonts w:hint="default"/>
        <w:lang w:val="id" w:eastAsia="en-US" w:bidi="ar-SA"/>
      </w:rPr>
    </w:lvl>
  </w:abstractNum>
  <w:abstractNum w:abstractNumId="3">
    <w:multiLevelType w:val="hybridMultilevel"/>
    <w:lvl w:ilvl="0">
      <w:start w:val="3"/>
      <w:numFmt w:val="decimal"/>
      <w:lvlText w:val="%1"/>
      <w:lvlJc w:val="left"/>
      <w:pPr>
        <w:ind w:left="2803" w:hanging="860"/>
        <w:jc w:val="left"/>
      </w:pPr>
      <w:rPr>
        <w:rFonts w:hint="default"/>
        <w:lang w:val="id" w:eastAsia="en-US" w:bidi="ar-SA"/>
      </w:rPr>
    </w:lvl>
    <w:lvl w:ilvl="1">
      <w:start w:val="1"/>
      <w:numFmt w:val="decimal"/>
      <w:lvlText w:val="%1.%2"/>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1"/>
      <w:numFmt w:val="decimal"/>
      <w:lvlText w:val="%1.%2.%3.%4"/>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6046" w:hanging="860"/>
      </w:pPr>
      <w:rPr>
        <w:rFonts w:hint="default"/>
        <w:lang w:val="id" w:eastAsia="en-US" w:bidi="ar-SA"/>
      </w:rPr>
    </w:lvl>
    <w:lvl w:ilvl="5">
      <w:start w:val="0"/>
      <w:numFmt w:val="bullet"/>
      <w:lvlText w:val="•"/>
      <w:lvlJc w:val="left"/>
      <w:pPr>
        <w:ind w:left="6858" w:hanging="860"/>
      </w:pPr>
      <w:rPr>
        <w:rFonts w:hint="default"/>
        <w:lang w:val="id" w:eastAsia="en-US" w:bidi="ar-SA"/>
      </w:rPr>
    </w:lvl>
    <w:lvl w:ilvl="6">
      <w:start w:val="0"/>
      <w:numFmt w:val="bullet"/>
      <w:lvlText w:val="•"/>
      <w:lvlJc w:val="left"/>
      <w:pPr>
        <w:ind w:left="7670" w:hanging="860"/>
      </w:pPr>
      <w:rPr>
        <w:rFonts w:hint="default"/>
        <w:lang w:val="id" w:eastAsia="en-US" w:bidi="ar-SA"/>
      </w:rPr>
    </w:lvl>
    <w:lvl w:ilvl="7">
      <w:start w:val="0"/>
      <w:numFmt w:val="bullet"/>
      <w:lvlText w:val="•"/>
      <w:lvlJc w:val="left"/>
      <w:pPr>
        <w:ind w:left="8481" w:hanging="860"/>
      </w:pPr>
      <w:rPr>
        <w:rFonts w:hint="default"/>
        <w:lang w:val="id" w:eastAsia="en-US" w:bidi="ar-SA"/>
      </w:rPr>
    </w:lvl>
    <w:lvl w:ilvl="8">
      <w:start w:val="0"/>
      <w:numFmt w:val="bullet"/>
      <w:lvlText w:val="•"/>
      <w:lvlJc w:val="left"/>
      <w:pPr>
        <w:ind w:left="9293" w:hanging="860"/>
      </w:pPr>
      <w:rPr>
        <w:rFonts w:hint="default"/>
        <w:lang w:val="id" w:eastAsia="en-US" w:bidi="ar-SA"/>
      </w:rPr>
    </w:lvl>
  </w:abstractNum>
  <w:abstractNum w:abstractNumId="2">
    <w:multiLevelType w:val="hybridMultilevel"/>
    <w:lvl w:ilvl="0">
      <w:start w:val="2"/>
      <w:numFmt w:val="decimal"/>
      <w:lvlText w:val="%1"/>
      <w:lvlJc w:val="left"/>
      <w:pPr>
        <w:ind w:left="2803" w:hanging="860"/>
        <w:jc w:val="left"/>
      </w:pPr>
      <w:rPr>
        <w:rFonts w:hint="default"/>
        <w:lang w:val="id" w:eastAsia="en-US" w:bidi="ar-SA"/>
      </w:rPr>
    </w:lvl>
    <w:lvl w:ilvl="1">
      <w:start w:val="3"/>
      <w:numFmt w:val="decimal"/>
      <w:lvlText w:val="%1.%2."/>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5235" w:hanging="860"/>
      </w:pPr>
      <w:rPr>
        <w:rFonts w:hint="default"/>
        <w:lang w:val="id" w:eastAsia="en-US" w:bidi="ar-SA"/>
      </w:rPr>
    </w:lvl>
    <w:lvl w:ilvl="4">
      <w:start w:val="0"/>
      <w:numFmt w:val="bullet"/>
      <w:lvlText w:val="•"/>
      <w:lvlJc w:val="left"/>
      <w:pPr>
        <w:ind w:left="6046" w:hanging="860"/>
      </w:pPr>
      <w:rPr>
        <w:rFonts w:hint="default"/>
        <w:lang w:val="id" w:eastAsia="en-US" w:bidi="ar-SA"/>
      </w:rPr>
    </w:lvl>
    <w:lvl w:ilvl="5">
      <w:start w:val="0"/>
      <w:numFmt w:val="bullet"/>
      <w:lvlText w:val="•"/>
      <w:lvlJc w:val="left"/>
      <w:pPr>
        <w:ind w:left="6858" w:hanging="860"/>
      </w:pPr>
      <w:rPr>
        <w:rFonts w:hint="default"/>
        <w:lang w:val="id" w:eastAsia="en-US" w:bidi="ar-SA"/>
      </w:rPr>
    </w:lvl>
    <w:lvl w:ilvl="6">
      <w:start w:val="0"/>
      <w:numFmt w:val="bullet"/>
      <w:lvlText w:val="•"/>
      <w:lvlJc w:val="left"/>
      <w:pPr>
        <w:ind w:left="7670" w:hanging="860"/>
      </w:pPr>
      <w:rPr>
        <w:rFonts w:hint="default"/>
        <w:lang w:val="id" w:eastAsia="en-US" w:bidi="ar-SA"/>
      </w:rPr>
    </w:lvl>
    <w:lvl w:ilvl="7">
      <w:start w:val="0"/>
      <w:numFmt w:val="bullet"/>
      <w:lvlText w:val="•"/>
      <w:lvlJc w:val="left"/>
      <w:pPr>
        <w:ind w:left="8481" w:hanging="860"/>
      </w:pPr>
      <w:rPr>
        <w:rFonts w:hint="default"/>
        <w:lang w:val="id" w:eastAsia="en-US" w:bidi="ar-SA"/>
      </w:rPr>
    </w:lvl>
    <w:lvl w:ilvl="8">
      <w:start w:val="0"/>
      <w:numFmt w:val="bullet"/>
      <w:lvlText w:val="•"/>
      <w:lvlJc w:val="left"/>
      <w:pPr>
        <w:ind w:left="9293" w:hanging="860"/>
      </w:pPr>
      <w:rPr>
        <w:rFonts w:hint="default"/>
        <w:lang w:val="id" w:eastAsia="en-US" w:bidi="ar-SA"/>
      </w:rPr>
    </w:lvl>
  </w:abstractNum>
  <w:abstractNum w:abstractNumId="1">
    <w:multiLevelType w:val="hybridMultilevel"/>
    <w:lvl w:ilvl="0">
      <w:start w:val="2"/>
      <w:numFmt w:val="decimal"/>
      <w:lvlText w:val="%1"/>
      <w:lvlJc w:val="left"/>
      <w:pPr>
        <w:ind w:left="2803" w:hanging="860"/>
        <w:jc w:val="left"/>
      </w:pPr>
      <w:rPr>
        <w:rFonts w:hint="default"/>
        <w:lang w:val="id" w:eastAsia="en-US" w:bidi="ar-SA"/>
      </w:rPr>
    </w:lvl>
    <w:lvl w:ilvl="1">
      <w:start w:val="1"/>
      <w:numFmt w:val="decimal"/>
      <w:lvlText w:val="%1.%2"/>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5235" w:hanging="860"/>
      </w:pPr>
      <w:rPr>
        <w:rFonts w:hint="default"/>
        <w:lang w:val="id" w:eastAsia="en-US" w:bidi="ar-SA"/>
      </w:rPr>
    </w:lvl>
    <w:lvl w:ilvl="4">
      <w:start w:val="0"/>
      <w:numFmt w:val="bullet"/>
      <w:lvlText w:val="•"/>
      <w:lvlJc w:val="left"/>
      <w:pPr>
        <w:ind w:left="6046" w:hanging="860"/>
      </w:pPr>
      <w:rPr>
        <w:rFonts w:hint="default"/>
        <w:lang w:val="id" w:eastAsia="en-US" w:bidi="ar-SA"/>
      </w:rPr>
    </w:lvl>
    <w:lvl w:ilvl="5">
      <w:start w:val="0"/>
      <w:numFmt w:val="bullet"/>
      <w:lvlText w:val="•"/>
      <w:lvlJc w:val="left"/>
      <w:pPr>
        <w:ind w:left="6858" w:hanging="860"/>
      </w:pPr>
      <w:rPr>
        <w:rFonts w:hint="default"/>
        <w:lang w:val="id" w:eastAsia="en-US" w:bidi="ar-SA"/>
      </w:rPr>
    </w:lvl>
    <w:lvl w:ilvl="6">
      <w:start w:val="0"/>
      <w:numFmt w:val="bullet"/>
      <w:lvlText w:val="•"/>
      <w:lvlJc w:val="left"/>
      <w:pPr>
        <w:ind w:left="7670" w:hanging="860"/>
      </w:pPr>
      <w:rPr>
        <w:rFonts w:hint="default"/>
        <w:lang w:val="id" w:eastAsia="en-US" w:bidi="ar-SA"/>
      </w:rPr>
    </w:lvl>
    <w:lvl w:ilvl="7">
      <w:start w:val="0"/>
      <w:numFmt w:val="bullet"/>
      <w:lvlText w:val="•"/>
      <w:lvlJc w:val="left"/>
      <w:pPr>
        <w:ind w:left="8481" w:hanging="860"/>
      </w:pPr>
      <w:rPr>
        <w:rFonts w:hint="default"/>
        <w:lang w:val="id" w:eastAsia="en-US" w:bidi="ar-SA"/>
      </w:rPr>
    </w:lvl>
    <w:lvl w:ilvl="8">
      <w:start w:val="0"/>
      <w:numFmt w:val="bullet"/>
      <w:lvlText w:val="•"/>
      <w:lvlJc w:val="left"/>
      <w:pPr>
        <w:ind w:left="9293" w:hanging="860"/>
      </w:pPr>
      <w:rPr>
        <w:rFonts w:hint="default"/>
        <w:lang w:val="id" w:eastAsia="en-US" w:bidi="ar-SA"/>
      </w:rPr>
    </w:lvl>
  </w:abstractNum>
  <w:abstractNum w:abstractNumId="0">
    <w:multiLevelType w:val="hybridMultilevel"/>
    <w:lvl w:ilvl="0">
      <w:start w:val="1"/>
      <w:numFmt w:val="decimal"/>
      <w:lvlText w:val="%1"/>
      <w:lvlJc w:val="left"/>
      <w:pPr>
        <w:ind w:left="2803" w:hanging="860"/>
        <w:jc w:val="left"/>
      </w:pPr>
      <w:rPr>
        <w:rFonts w:hint="default"/>
        <w:lang w:val="id" w:eastAsia="en-US" w:bidi="ar-SA"/>
      </w:rPr>
    </w:lvl>
    <w:lvl w:ilvl="1">
      <w:start w:val="1"/>
      <w:numFmt w:val="decimal"/>
      <w:lvlText w:val="%1.%2"/>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803" w:hanging="8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5235" w:hanging="860"/>
      </w:pPr>
      <w:rPr>
        <w:rFonts w:hint="default"/>
        <w:lang w:val="id" w:eastAsia="en-US" w:bidi="ar-SA"/>
      </w:rPr>
    </w:lvl>
    <w:lvl w:ilvl="4">
      <w:start w:val="0"/>
      <w:numFmt w:val="bullet"/>
      <w:lvlText w:val="•"/>
      <w:lvlJc w:val="left"/>
      <w:pPr>
        <w:ind w:left="6046" w:hanging="860"/>
      </w:pPr>
      <w:rPr>
        <w:rFonts w:hint="default"/>
        <w:lang w:val="id" w:eastAsia="en-US" w:bidi="ar-SA"/>
      </w:rPr>
    </w:lvl>
    <w:lvl w:ilvl="5">
      <w:start w:val="0"/>
      <w:numFmt w:val="bullet"/>
      <w:lvlText w:val="•"/>
      <w:lvlJc w:val="left"/>
      <w:pPr>
        <w:ind w:left="6858" w:hanging="860"/>
      </w:pPr>
      <w:rPr>
        <w:rFonts w:hint="default"/>
        <w:lang w:val="id" w:eastAsia="en-US" w:bidi="ar-SA"/>
      </w:rPr>
    </w:lvl>
    <w:lvl w:ilvl="6">
      <w:start w:val="0"/>
      <w:numFmt w:val="bullet"/>
      <w:lvlText w:val="•"/>
      <w:lvlJc w:val="left"/>
      <w:pPr>
        <w:ind w:left="7670" w:hanging="860"/>
      </w:pPr>
      <w:rPr>
        <w:rFonts w:hint="default"/>
        <w:lang w:val="id" w:eastAsia="en-US" w:bidi="ar-SA"/>
      </w:rPr>
    </w:lvl>
    <w:lvl w:ilvl="7">
      <w:start w:val="0"/>
      <w:numFmt w:val="bullet"/>
      <w:lvlText w:val="•"/>
      <w:lvlJc w:val="left"/>
      <w:pPr>
        <w:ind w:left="8481" w:hanging="860"/>
      </w:pPr>
      <w:rPr>
        <w:rFonts w:hint="default"/>
        <w:lang w:val="id" w:eastAsia="en-US" w:bidi="ar-SA"/>
      </w:rPr>
    </w:lvl>
    <w:lvl w:ilvl="8">
      <w:start w:val="0"/>
      <w:numFmt w:val="bullet"/>
      <w:lvlText w:val="•"/>
      <w:lvlJc w:val="left"/>
      <w:pPr>
        <w:ind w:left="9293" w:hanging="860"/>
      </w:pPr>
      <w:rPr>
        <w:rFonts w:hint="default"/>
        <w:lang w:val="id" w:eastAsia="en-US" w:bidi="ar-SA"/>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9">
    <w:abstractNumId w:val="8"/>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24"/>
      <w:ind w:left="1702"/>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20"/>
      <w:ind w:left="2802" w:hanging="859"/>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120"/>
      <w:ind w:left="2798" w:hanging="855"/>
    </w:pPr>
    <w:rPr>
      <w:rFonts w:ascii="Times New Roman" w:hAnsi="Times New Roman" w:eastAsia="Times New Roman" w:cs="Times New Roman"/>
      <w:b/>
      <w:bCs/>
      <w:i/>
      <w:iCs/>
      <w:lang w:val="id" w:eastAsia="en-US" w:bidi="ar-SA"/>
    </w:rPr>
  </w:style>
  <w:style w:styleId="TOC4" w:type="paragraph">
    <w:name w:val="TOC 4"/>
    <w:basedOn w:val="Normal"/>
    <w:uiPriority w:val="1"/>
    <w:qFormat/>
    <w:pPr>
      <w:spacing w:before="688" w:after="20"/>
      <w:ind w:left="2648" w:right="2216"/>
      <w:jc w:val="center"/>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24"/>
      <w:ind w:left="2799"/>
    </w:pPr>
    <w:rPr>
      <w:rFonts w:ascii="Times New Roman" w:hAnsi="Times New Roman" w:eastAsia="Times New Roman" w:cs="Times New Roman"/>
      <w:i/>
      <w:iCs/>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358" w:right="359"/>
      <w:jc w:val="center"/>
      <w:outlineLvl w:val="1"/>
    </w:pPr>
    <w:rPr>
      <w:rFonts w:ascii="Times New Roman" w:hAnsi="Times New Roman" w:eastAsia="Times New Roman" w:cs="Times New Roman"/>
      <w:b/>
      <w:bCs/>
      <w:sz w:val="80"/>
      <w:szCs w:val="80"/>
      <w:lang w:val="id" w:eastAsia="en-US" w:bidi="ar-SA"/>
    </w:rPr>
  </w:style>
  <w:style w:styleId="Heading2" w:type="paragraph">
    <w:name w:val="Heading 2"/>
    <w:basedOn w:val="Normal"/>
    <w:uiPriority w:val="1"/>
    <w:qFormat/>
    <w:pPr>
      <w:ind w:left="1747" w:right="1321"/>
      <w:jc w:val="center"/>
      <w:outlineLvl w:val="2"/>
    </w:pPr>
    <w:rPr>
      <w:rFonts w:ascii="Times New Roman" w:hAnsi="Times New Roman" w:eastAsia="Times New Roman" w:cs="Times New Roman"/>
      <w:b/>
      <w:bCs/>
      <w:sz w:val="28"/>
      <w:szCs w:val="28"/>
      <w:lang w:val="id" w:eastAsia="en-US" w:bidi="ar-SA"/>
    </w:rPr>
  </w:style>
  <w:style w:styleId="Heading3" w:type="paragraph">
    <w:name w:val="Heading 3"/>
    <w:basedOn w:val="Normal"/>
    <w:uiPriority w:val="1"/>
    <w:qFormat/>
    <w:pPr>
      <w:ind w:left="1288" w:hanging="720"/>
      <w:jc w:val="both"/>
      <w:outlineLvl w:val="3"/>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288" w:hanging="72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file://localhost/C:/Users/Windows%208.1/Documents/2201036060_Muhammad%20Zenral%20Alif%20Rezki_Proposal%20Skripsi.docx%23_Toc210319482"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yperlink" Target="http://www.idx.co.id/" TargetMode="Externa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hyperlink" Target="https://doi.org/10.3390/su15097052" TargetMode="External"/><Relationship Id="rId19" Type="http://schemas.openxmlformats.org/officeDocument/2006/relationships/hyperlink" Target="https://doi.org/10.37366/akubis.v5i01.105" TargetMode="External"/><Relationship Id="rId20" Type="http://schemas.openxmlformats.org/officeDocument/2006/relationships/hyperlink" Target="https://doi.org/10.1016/j.jaccpubpol.2018.02.001" TargetMode="External"/><Relationship Id="rId21" Type="http://schemas.openxmlformats.org/officeDocument/2006/relationships/hyperlink" Target="https://doi.org/10.1016/j.ibusrev.2017.04.009" TargetMode="External"/><Relationship Id="rId22" Type="http://schemas.openxmlformats.org/officeDocument/2006/relationships/hyperlink" Target="https://doi.org/10.1108/eb025539" TargetMode="External"/><Relationship Id="rId23" Type="http://schemas.openxmlformats.org/officeDocument/2006/relationships/hyperlink" Target="http://www.globalreporting.org/" TargetMode="External"/><Relationship Id="rId24" Type="http://schemas.openxmlformats.org/officeDocument/2006/relationships/hyperlink" Target="https://doi.org/10.25105/jat.v2i1.4828" TargetMode="External"/><Relationship Id="rId25" Type="http://schemas.openxmlformats.org/officeDocument/2006/relationships/hyperlink" Target="https://doi.org/10.1111/acfi.12832" TargetMode="External"/><Relationship Id="rId26" Type="http://schemas.openxmlformats.org/officeDocument/2006/relationships/hyperlink" Target="https://doi.org/10.48047/rigeo.11.04.48" TargetMode="External"/><Relationship Id="rId27" Type="http://schemas.openxmlformats.org/officeDocument/2006/relationships/hyperlink" Target="https://doi.org/10.1111/j.1475&#8208;679X.2007.00266.x" TargetMode="External"/><Relationship Id="rId28" Type="http://schemas.openxmlformats.org/officeDocument/2006/relationships/hyperlink" Target="https://ojs.stiami.ac.id/index.php/PS/article/view/954" TargetMode="External"/><Relationship Id="rId29" Type="http://schemas.openxmlformats.org/officeDocument/2006/relationships/hyperlink" Target="https://doi.org/10.1002/bse.2061" TargetMode="External"/><Relationship Id="rId30" Type="http://schemas.openxmlformats.org/officeDocument/2006/relationships/hyperlink" Target="https://doi.org/10.1111/beer.12355" TargetMode="External"/><Relationship Id="rId31" Type="http://schemas.openxmlformats.org/officeDocument/2006/relationships/hyperlink" Target="https://doi.org/10.1108/MEDAR-01-2022-1580" TargetMode="External"/><Relationship Id="rId32" Type="http://schemas.openxmlformats.org/officeDocument/2006/relationships/hyperlink" Target="https://doi.org/10.2308/accr.2009.84.3.937" TargetMode="External"/><Relationship Id="rId33" Type="http://schemas.openxmlformats.org/officeDocument/2006/relationships/hyperlink" Target="https://doi.org/10.1108/JAEE-08-2016-0069" TargetMode="External"/><Relationship Id="rId34" Type="http://schemas.openxmlformats.org/officeDocument/2006/relationships/hyperlink" Target="https://doi.org/10.31334/bijak.v20i2.3427" TargetMode="External"/><Relationship Id="rId35" Type="http://schemas.openxmlformats.org/officeDocument/2006/relationships/hyperlink" Target="https://doi.org/10.1002/bse.2777" TargetMode="External"/><Relationship Id="rId36" Type="http://schemas.openxmlformats.org/officeDocument/2006/relationships/header" Target="header8.xml"/><Relationship Id="rId37" Type="http://schemas.openxmlformats.org/officeDocument/2006/relationships/header" Target="header9.xm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dcterms:created xsi:type="dcterms:W3CDTF">2026-03-06T02:25:47Z</dcterms:created>
  <dcterms:modified xsi:type="dcterms:W3CDTF">2026-03-06T02:25:47Z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Microsoft® Word 2013</vt:lpwstr>
  </property>
  <property fmtid="{D5CDD505-2E9C-101B-9397-08002B2CF9AE}" pid="4" name="LastSaved">
    <vt:filetime>2026-03-06T00:00:00Z</vt:filetime>
  </property>
  <property fmtid="{D5CDD505-2E9C-101B-9397-08002B2CF9AE}" pid="5" name="Producer">
    <vt:lpwstr>Microsoft® Word 2013</vt:lpwstr>
  </property>
</Properties>
</file>