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cs="Times New Roman" w:eastAsia="Times New Roman"/>
          <w:b/>
          <w:bCs/>
          <w:iCs/>
          <w:sz w:val="32"/>
          <w:szCs w:val="32"/>
        </w:rPr>
      </w:pPr>
      <w:r>
        <w:rPr>
          <w:rFonts w:cs="Times New Roman" w:eastAsia="Times New Roman"/>
          <w:b/>
          <w:bCs/>
          <w:iCs/>
          <w:sz w:val="32"/>
          <w:szCs w:val="32"/>
        </w:rPr>
        <w:t xml:space="preserve">PENGARUH </w:t>
      </w:r>
      <w:r>
        <w:rPr>
          <w:rFonts w:cs="Times New Roman" w:eastAsia="Times New Roman"/>
          <w:b/>
          <w:bCs/>
          <w:i/>
          <w:sz w:val="32"/>
          <w:szCs w:val="32"/>
        </w:rPr>
        <w:t xml:space="preserve">ENTERPRISE RISK MANAGEMENT, MANAGERIAL OWNERSHIP, </w:t>
      </w:r>
      <w:r>
        <w:rPr>
          <w:rFonts w:cs="Times New Roman" w:eastAsia="Times New Roman"/>
          <w:b/>
          <w:bCs/>
          <w:iCs/>
          <w:sz w:val="32"/>
          <w:szCs w:val="32"/>
        </w:rPr>
        <w:t>DAN</w:t>
      </w:r>
      <w:r>
        <w:rPr>
          <w:rFonts w:cs="Times New Roman" w:eastAsia="Times New Roman"/>
          <w:b/>
          <w:bCs/>
          <w:i/>
          <w:sz w:val="32"/>
          <w:szCs w:val="32"/>
        </w:rPr>
        <w:t xml:space="preserve"> </w:t>
      </w:r>
      <w:r>
        <w:rPr>
          <w:rFonts w:cs="Times New Roman" w:eastAsia="Times New Roman"/>
          <w:b/>
          <w:bCs/>
          <w:i/>
          <w:sz w:val="32"/>
          <w:szCs w:val="32"/>
        </w:rPr>
        <w:t>INSTITUTIONAL OWNERSHIP</w:t>
      </w:r>
      <w:r>
        <w:rPr>
          <w:rFonts w:cs="Times New Roman" w:eastAsia="Times New Roman"/>
          <w:b/>
          <w:bCs/>
          <w:i/>
          <w:sz w:val="32"/>
          <w:szCs w:val="32"/>
        </w:rPr>
        <w:t xml:space="preserve"> </w:t>
      </w:r>
      <w:r>
        <w:rPr>
          <w:rFonts w:cs="Times New Roman" w:eastAsia="Times New Roman"/>
          <w:b/>
          <w:bCs/>
          <w:iCs/>
          <w:sz w:val="32"/>
          <w:szCs w:val="32"/>
        </w:rPr>
        <w:t xml:space="preserve">TERHADAP </w:t>
      </w:r>
      <w:r>
        <w:rPr>
          <w:rFonts w:cs="Times New Roman" w:eastAsia="Times New Roman"/>
          <w:b/>
          <w:bCs/>
          <w:i/>
          <w:sz w:val="32"/>
          <w:szCs w:val="32"/>
        </w:rPr>
        <w:t>FIRM VALUE</w:t>
      </w:r>
      <w:r>
        <w:rPr>
          <w:rFonts w:cs="Times New Roman" w:eastAsia="Times New Roman"/>
          <w:b/>
          <w:bCs/>
          <w:i/>
          <w:sz w:val="32"/>
          <w:szCs w:val="32"/>
        </w:rPr>
        <w:t xml:space="preserve"> </w:t>
      </w:r>
      <w:r>
        <w:rPr>
          <w:rFonts w:cs="Times New Roman" w:eastAsia="Times New Roman"/>
          <w:b/>
          <w:bCs/>
          <w:iCs/>
          <w:sz w:val="32"/>
          <w:szCs w:val="32"/>
        </w:rPr>
        <w:t xml:space="preserve">PADA </w:t>
      </w:r>
      <w:r>
        <w:rPr>
          <w:rFonts w:cs="Times New Roman" w:eastAsia="Times New Roman"/>
          <w:b/>
          <w:bCs/>
          <w:iCs/>
          <w:sz w:val="32"/>
          <w:szCs w:val="32"/>
        </w:rPr>
        <w:t xml:space="preserve">PERUSAHAAN MANUFAKTUR </w:t>
      </w:r>
      <w:r>
        <w:rPr>
          <w:rFonts w:cs="Times New Roman" w:eastAsia="Times New Roman"/>
          <w:b/>
          <w:bCs/>
          <w:iCs/>
          <w:sz w:val="32"/>
          <w:szCs w:val="32"/>
        </w:rPr>
        <w:t xml:space="preserve">YANG </w:t>
      </w:r>
      <w:r>
        <w:rPr>
          <w:rFonts w:cs="Times New Roman" w:eastAsia="Times New Roman"/>
          <w:b/>
          <w:bCs/>
          <w:iCs/>
          <w:sz w:val="32"/>
          <w:szCs w:val="32"/>
        </w:rPr>
        <w:t>TERDAFTAR DI BURSA EFEK INDONESIA</w:t>
      </w:r>
    </w:p>
    <w:p>
      <w:pPr>
        <w:pStyle w:val="style0"/>
        <w:jc w:val="center"/>
        <w:rPr>
          <w:rFonts w:cs="Times New Roman" w:eastAsia="Times New Roman"/>
          <w:b/>
          <w:bCs/>
          <w:iCs/>
          <w:sz w:val="28"/>
          <w:szCs w:val="28"/>
        </w:rPr>
      </w:pPr>
    </w:p>
    <w:p>
      <w:pPr>
        <w:pStyle w:val="style0"/>
        <w:spacing w:lineRule="auto" w:line="240"/>
        <w:jc w:val="center"/>
        <w:rPr>
          <w:rFonts w:cs="Times New Roman" w:eastAsia="Times New Roman"/>
          <w:b/>
          <w:bCs/>
          <w:iCs/>
          <w:sz w:val="28"/>
          <w:szCs w:val="28"/>
        </w:rPr>
      </w:pPr>
      <w:r>
        <w:rPr>
          <w:rFonts w:cs="Times New Roman" w:eastAsia="Times New Roman"/>
          <w:b/>
          <w:bCs/>
          <w:iCs/>
          <w:sz w:val="28"/>
          <w:szCs w:val="28"/>
        </w:rPr>
        <w:t>SKRIPSI</w:t>
      </w:r>
      <w:r>
        <w:rPr>
          <w:rFonts w:cs="Times New Roman" w:eastAsia="Times New Roman"/>
          <w:b/>
          <w:bCs/>
          <w:iCs/>
          <w:sz w:val="28"/>
          <w:szCs w:val="28"/>
        </w:rPr>
        <w:t xml:space="preserve"> </w:t>
      </w:r>
    </w:p>
    <w:p>
      <w:pPr>
        <w:pStyle w:val="style0"/>
        <w:spacing w:lineRule="auto" w:line="240"/>
        <w:jc w:val="center"/>
        <w:rPr>
          <w:rFonts w:cs="Times New Roman"/>
          <w:iCs/>
          <w:szCs w:val="24"/>
        </w:rPr>
      </w:pPr>
      <w:r>
        <w:rPr>
          <w:rFonts w:cs="Times New Roman"/>
          <w:iCs/>
          <w:szCs w:val="24"/>
        </w:rPr>
        <w:t xml:space="preserve">UNTUK </w:t>
      </w:r>
      <w:r>
        <w:rPr>
          <w:rFonts w:cs="Times New Roman"/>
          <w:iCs/>
          <w:szCs w:val="24"/>
        </w:rPr>
        <w:t>PENDADARAN</w:t>
      </w:r>
    </w:p>
    <w:p>
      <w:pPr>
        <w:pStyle w:val="style0"/>
        <w:rPr>
          <w:rFonts w:cs="Times New Roman"/>
          <w:iCs/>
          <w:sz w:val="28"/>
          <w:szCs w:val="28"/>
        </w:rPr>
      </w:pPr>
    </w:p>
    <w:p>
      <w:pPr>
        <w:pStyle w:val="style0"/>
        <w:rPr>
          <w:rFonts w:cs="Times New Roman"/>
          <w:iCs/>
          <w:sz w:val="28"/>
          <w:szCs w:val="28"/>
        </w:rPr>
      </w:pPr>
    </w:p>
    <w:p>
      <w:pPr>
        <w:pStyle w:val="style0"/>
        <w:jc w:val="center"/>
        <w:rPr>
          <w:rFonts w:cs="Times New Roman"/>
          <w:iCs/>
          <w:sz w:val="28"/>
          <w:szCs w:val="28"/>
        </w:rPr>
      </w:pPr>
      <w:r>
        <w:rPr>
          <w:rFonts w:cs="Times New Roman"/>
          <w:noProof/>
        </w:rPr>
        <w:drawing>
          <wp:inline distL="0" distT="0" distB="0" distR="0">
            <wp:extent cx="1800000" cy="1380744"/>
            <wp:effectExtent l="0" t="0" r="0" b="0"/>
            <wp:docPr id="1026" name="Picture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 cstate="print"/>
                    <a:srcRect l="0" t="0" r="0" b="0"/>
                    <a:stretch/>
                  </pic:blipFill>
                  <pic:spPr>
                    <a:xfrm rot="0">
                      <a:off x="0" y="0"/>
                      <a:ext cx="1800000" cy="1380744"/>
                    </a:xfrm>
                    <a:prstGeom prst="rect"/>
                  </pic:spPr>
                </pic:pic>
              </a:graphicData>
            </a:graphic>
          </wp:inline>
        </w:drawing>
      </w:r>
    </w:p>
    <w:p>
      <w:pPr>
        <w:pStyle w:val="style0"/>
        <w:jc w:val="center"/>
        <w:rPr>
          <w:rFonts w:cs="Times New Roman"/>
          <w:iCs/>
          <w:sz w:val="28"/>
          <w:szCs w:val="28"/>
        </w:rPr>
      </w:pPr>
    </w:p>
    <w:p>
      <w:pPr>
        <w:pStyle w:val="style0"/>
        <w:spacing w:lineRule="auto" w:line="240"/>
        <w:jc w:val="center"/>
        <w:rPr>
          <w:rFonts w:cs="Times New Roman"/>
          <w:iCs/>
          <w:sz w:val="28"/>
          <w:szCs w:val="28"/>
        </w:rPr>
      </w:pPr>
      <w:r>
        <w:rPr>
          <w:rFonts w:cs="Times New Roman"/>
          <w:iCs/>
          <w:sz w:val="28"/>
          <w:szCs w:val="28"/>
        </w:rPr>
        <w:t>Oleh:</w:t>
      </w:r>
    </w:p>
    <w:p>
      <w:pPr>
        <w:pStyle w:val="style0"/>
        <w:spacing w:lineRule="auto" w:line="240"/>
        <w:jc w:val="center"/>
        <w:rPr>
          <w:rFonts w:cs="Times New Roman"/>
          <w:b/>
          <w:bCs/>
          <w:iCs/>
          <w:sz w:val="28"/>
          <w:szCs w:val="28"/>
        </w:rPr>
      </w:pPr>
      <w:r>
        <w:rPr>
          <w:rFonts w:cs="Times New Roman"/>
          <w:b/>
          <w:bCs/>
          <w:iCs/>
          <w:sz w:val="28"/>
          <w:szCs w:val="28"/>
        </w:rPr>
        <w:t>NUR FADHILAH SYAFA</w:t>
      </w:r>
    </w:p>
    <w:p>
      <w:pPr>
        <w:pStyle w:val="style0"/>
        <w:spacing w:lineRule="auto" w:line="240"/>
        <w:jc w:val="center"/>
        <w:rPr>
          <w:rFonts w:cs="Times New Roman"/>
          <w:b/>
          <w:bCs/>
          <w:iCs/>
          <w:sz w:val="28"/>
          <w:szCs w:val="28"/>
        </w:rPr>
      </w:pPr>
      <w:r>
        <w:rPr>
          <w:rFonts w:cs="Times New Roman"/>
          <w:b/>
          <w:bCs/>
          <w:iCs/>
          <w:sz w:val="28"/>
          <w:szCs w:val="28"/>
        </w:rPr>
        <w:t>2</w:t>
      </w:r>
      <w:r>
        <w:rPr>
          <w:rFonts w:cs="Times New Roman"/>
          <w:b/>
          <w:bCs/>
          <w:sz w:val="28"/>
          <w:szCs w:val="28"/>
        </w:rPr>
        <w:t>1</w:t>
      </w:r>
      <w:r>
        <w:rPr>
          <w:rFonts w:cs="Times New Roman"/>
          <w:b/>
          <w:bCs/>
          <w:sz w:val="28"/>
          <w:szCs w:val="28"/>
        </w:rPr>
        <w:t>01</w:t>
      </w:r>
      <w:r>
        <w:rPr>
          <w:rFonts w:cs="Times New Roman"/>
          <w:b/>
          <w:bCs/>
          <w:sz w:val="28"/>
          <w:szCs w:val="28"/>
        </w:rPr>
        <w:t>0</w:t>
      </w:r>
      <w:r>
        <w:rPr>
          <w:rFonts w:cs="Times New Roman"/>
          <w:b/>
          <w:bCs/>
          <w:iCs/>
          <w:sz w:val="28"/>
          <w:szCs w:val="28"/>
        </w:rPr>
        <w:t>36199</w:t>
      </w:r>
    </w:p>
    <w:p>
      <w:pPr>
        <w:pStyle w:val="style0"/>
        <w:spacing w:lineRule="auto" w:line="240"/>
        <w:jc w:val="center"/>
        <w:rPr>
          <w:rFonts w:cs="Times New Roman"/>
          <w:b/>
          <w:bCs/>
          <w:iCs/>
          <w:sz w:val="28"/>
          <w:szCs w:val="28"/>
        </w:rPr>
      </w:pPr>
      <w:r>
        <w:rPr>
          <w:rFonts w:cs="Times New Roman"/>
          <w:b/>
          <w:bCs/>
          <w:iCs/>
          <w:sz w:val="28"/>
          <w:szCs w:val="28"/>
        </w:rPr>
        <w:t>S1</w:t>
      </w:r>
      <w:r>
        <w:rPr>
          <w:rFonts w:cs="Times New Roman"/>
          <w:b/>
          <w:bCs/>
          <w:iCs/>
          <w:sz w:val="28"/>
          <w:szCs w:val="28"/>
        </w:rPr>
        <w:t xml:space="preserve"> </w:t>
      </w:r>
      <w:r>
        <w:rPr>
          <w:rFonts w:cs="Times New Roman"/>
          <w:b/>
          <w:bCs/>
          <w:iCs/>
          <w:sz w:val="28"/>
          <w:szCs w:val="28"/>
        </w:rPr>
        <w:t>AKUNTANSI</w:t>
      </w:r>
    </w:p>
    <w:p>
      <w:pPr>
        <w:pStyle w:val="style0"/>
        <w:spacing w:lineRule="auto" w:line="240"/>
        <w:jc w:val="center"/>
        <w:rPr>
          <w:rFonts w:cs="Times New Roman"/>
          <w:b/>
          <w:bCs/>
          <w:iCs/>
          <w:sz w:val="28"/>
          <w:szCs w:val="28"/>
        </w:rPr>
      </w:pPr>
    </w:p>
    <w:p>
      <w:pPr>
        <w:pStyle w:val="style0"/>
        <w:spacing w:lineRule="auto" w:line="240"/>
        <w:jc w:val="center"/>
        <w:rPr>
          <w:rFonts w:cs="Times New Roman"/>
          <w:b/>
          <w:bCs/>
          <w:iCs/>
          <w:sz w:val="28"/>
          <w:szCs w:val="28"/>
        </w:rPr>
      </w:pPr>
    </w:p>
    <w:p>
      <w:pPr>
        <w:pStyle w:val="style0"/>
        <w:spacing w:lineRule="auto" w:line="240"/>
        <w:jc w:val="center"/>
        <w:rPr>
          <w:rFonts w:cs="Times New Roman"/>
          <w:b/>
          <w:bCs/>
          <w:iCs/>
          <w:sz w:val="28"/>
          <w:szCs w:val="28"/>
        </w:rPr>
      </w:pPr>
    </w:p>
    <w:p>
      <w:pPr>
        <w:pStyle w:val="style0"/>
        <w:spacing w:after="0" w:lineRule="auto" w:line="276"/>
        <w:jc w:val="center"/>
        <w:rPr>
          <w:rFonts w:cs="Times New Roman"/>
          <w:b/>
          <w:bCs/>
          <w:iCs/>
          <w:sz w:val="32"/>
          <w:szCs w:val="32"/>
        </w:rPr>
      </w:pPr>
      <w:r>
        <w:rPr>
          <w:rFonts w:cs="Times New Roman"/>
          <w:b/>
          <w:bCs/>
          <w:iCs/>
          <w:sz w:val="32"/>
          <w:szCs w:val="32"/>
        </w:rPr>
        <w:t xml:space="preserve">FAKULTAS EKONOMI DAN BISNIS </w:t>
      </w:r>
    </w:p>
    <w:p>
      <w:pPr>
        <w:pStyle w:val="style0"/>
        <w:spacing w:after="0" w:lineRule="auto" w:line="276"/>
        <w:jc w:val="center"/>
        <w:rPr>
          <w:rFonts w:cs="Times New Roman"/>
          <w:b/>
          <w:bCs/>
          <w:iCs/>
          <w:sz w:val="32"/>
          <w:szCs w:val="32"/>
        </w:rPr>
      </w:pPr>
      <w:r>
        <w:rPr>
          <w:rFonts w:cs="Times New Roman"/>
          <w:b/>
          <w:bCs/>
          <w:iCs/>
          <w:sz w:val="32"/>
          <w:szCs w:val="32"/>
        </w:rPr>
        <w:t>UNIVERSITAS MULAWARMAN</w:t>
      </w:r>
    </w:p>
    <w:p>
      <w:pPr>
        <w:pStyle w:val="style0"/>
        <w:spacing w:after="0" w:lineRule="auto" w:line="276"/>
        <w:jc w:val="center"/>
        <w:rPr>
          <w:rFonts w:cs="Times New Roman"/>
          <w:b/>
          <w:bCs/>
          <w:iCs/>
          <w:sz w:val="32"/>
          <w:szCs w:val="32"/>
        </w:rPr>
      </w:pPr>
      <w:r>
        <w:rPr>
          <w:rFonts w:cs="Times New Roman"/>
          <w:b/>
          <w:bCs/>
          <w:iCs/>
          <w:sz w:val="32"/>
          <w:szCs w:val="32"/>
        </w:rPr>
        <w:t xml:space="preserve">SAMARINDA </w:t>
      </w:r>
    </w:p>
    <w:p>
      <w:pPr>
        <w:pStyle w:val="style0"/>
        <w:spacing w:after="0" w:lineRule="auto" w:line="276"/>
        <w:ind w:left="1440"/>
        <w:jc w:val="center"/>
        <w:rPr>
          <w:rFonts w:cs="Times New Roman"/>
          <w:b/>
          <w:bCs/>
          <w:iCs/>
          <w:sz w:val="32"/>
          <w:szCs w:val="32"/>
        </w:rPr>
      </w:pPr>
      <w:r>
        <w:rPr>
          <w:rFonts w:cs="Times New Roman"/>
          <w:b/>
          <w:bCs/>
          <w:iCs/>
          <w:sz w:val="32"/>
          <w:szCs w:val="32"/>
        </w:rPr>
        <w:t>202</w:t>
      </w:r>
      <w:bookmarkStart w:id="0" w:name="_Toc196240987"/>
      <w:r>
        <w:rPr>
          <w:rFonts w:cs="Times New Roman"/>
          <w:b/>
          <w:bCs/>
          <w:iCs/>
          <w:sz w:val="32"/>
          <w:szCs w:val="32"/>
        </w:rPr>
        <w:t>6</w:t>
      </w:r>
      <w:r>
        <w:rPr>
          <w:color w:val="ffffff"/>
        </w:rPr>
        <w:t>MAN JUDUL</w:t>
      </w:r>
    </w:p>
    <w:p>
      <w:pPr>
        <w:pStyle w:val="style0"/>
        <w:rPr/>
        <w:sectPr>
          <w:headerReference w:type="even" r:id="rId3"/>
          <w:headerReference w:type="default" r:id="rId4"/>
          <w:footerReference w:type="even" r:id="rId5"/>
          <w:footerReference w:type="default" r:id="rId6"/>
          <w:headerReference w:type="first" r:id="rId7"/>
          <w:footerReference w:type="first" r:id="rId8"/>
          <w:pgSz w:w="11906" w:h="16838" w:orient="portrait" w:code="9"/>
          <w:pgMar w:top="2268" w:right="1701" w:bottom="1701" w:left="2268" w:header="720" w:footer="720" w:gutter="0"/>
          <w:pgNumType w:fmt="lowerRoman"/>
          <w:cols w:space="720"/>
          <w:titlePg/>
          <w:docGrid w:linePitch="360"/>
        </w:sectPr>
      </w:pPr>
    </w:p>
    <w:bookmarkStart w:id="1" w:name="_Toc197116377"/>
    <w:bookmarkStart w:id="2" w:name="_Toc218854582"/>
    <w:bookmarkEnd w:id="0"/>
    <w:p>
      <w:pPr>
        <w:pStyle w:val="style1"/>
        <w:spacing w:before="0" w:lineRule="auto" w:line="480"/>
        <w:rPr/>
      </w:pPr>
      <w:r>
        <w:t>HALAMAN PENGESAHAN</w:t>
      </w:r>
      <w:bookmarkEnd w:id="1"/>
      <w:bookmarkEnd w:id="2"/>
    </w:p>
    <w:p>
      <w:pPr>
        <w:pStyle w:val="style0"/>
        <w:tabs>
          <w:tab w:val="left" w:leader="none" w:pos="2160"/>
        </w:tabs>
        <w:spacing w:lineRule="auto" w:line="240"/>
        <w:ind w:left="2250" w:hanging="2250"/>
        <w:jc w:val="both"/>
        <w:rPr>
          <w:b/>
          <w:bCs/>
          <w:szCs w:val="24"/>
        </w:rPr>
      </w:pPr>
      <w:r>
        <w:rPr>
          <w:szCs w:val="24"/>
          <w:lang w:val="id-ID"/>
        </w:rPr>
        <w:t>Judul</w:t>
      </w:r>
      <w:r>
        <w:rPr>
          <w:szCs w:val="24"/>
        </w:rPr>
        <w:t xml:space="preserve"> Penelitian</w:t>
      </w:r>
      <w:r>
        <w:rPr>
          <w:szCs w:val="24"/>
        </w:rPr>
        <w:tab/>
      </w:r>
      <w:r>
        <w:rPr>
          <w:szCs w:val="24"/>
        </w:rPr>
        <w:t xml:space="preserve">:Pengaruh </w:t>
      </w:r>
      <w:r>
        <w:rPr>
          <w:i/>
          <w:iCs/>
          <w:szCs w:val="24"/>
        </w:rPr>
        <w:t xml:space="preserve">Enterprise Risk Management, Managerial Ownership, </w:t>
      </w:r>
      <w:r>
        <w:rPr>
          <w:szCs w:val="24"/>
        </w:rPr>
        <w:t xml:space="preserve">dan </w:t>
      </w:r>
      <w:r>
        <w:rPr>
          <w:i/>
          <w:iCs/>
          <w:szCs w:val="24"/>
        </w:rPr>
        <w:t>Institutional Ownership</w:t>
      </w:r>
      <w:r>
        <w:rPr>
          <w:i/>
          <w:iCs/>
          <w:szCs w:val="24"/>
        </w:rPr>
        <w:t xml:space="preserve"> </w:t>
      </w:r>
      <w:r>
        <w:rPr>
          <w:szCs w:val="24"/>
        </w:rPr>
        <w:t>terhadap</w:t>
      </w:r>
      <w:r>
        <w:rPr>
          <w:i/>
          <w:iCs/>
          <w:szCs w:val="24"/>
        </w:rPr>
        <w:t xml:space="preserve"> </w:t>
      </w:r>
      <w:r>
        <w:rPr>
          <w:i/>
          <w:iCs/>
          <w:szCs w:val="24"/>
        </w:rPr>
        <w:t xml:space="preserve">Firm Value </w:t>
      </w:r>
      <w:r>
        <w:rPr>
          <w:szCs w:val="24"/>
        </w:rPr>
        <w:t>pada Perusahaan Manufaktur yang terdaftar di Bursa Efek Indonesia</w:t>
      </w:r>
    </w:p>
    <w:p>
      <w:pPr>
        <w:pStyle w:val="style0"/>
        <w:spacing w:lineRule="auto" w:line="360"/>
        <w:rPr>
          <w:szCs w:val="24"/>
        </w:rPr>
      </w:pPr>
      <w:r>
        <w:rPr>
          <w:szCs w:val="24"/>
        </w:rPr>
        <w:t>Nama Mahasiswa</w:t>
      </w:r>
      <w:r>
        <w:rPr>
          <w:szCs w:val="24"/>
        </w:rPr>
        <w:tab/>
      </w:r>
      <w:r>
        <w:rPr>
          <w:szCs w:val="24"/>
        </w:rPr>
        <w:t xml:space="preserve">: </w:t>
      </w:r>
      <w:r>
        <w:rPr>
          <w:szCs w:val="24"/>
        </w:rPr>
        <w:t>Nur Fadhilah Syafa</w:t>
      </w:r>
    </w:p>
    <w:p>
      <w:pPr>
        <w:pStyle w:val="style0"/>
        <w:spacing w:lineRule="auto" w:line="360"/>
        <w:rPr>
          <w:szCs w:val="24"/>
        </w:rPr>
      </w:pPr>
      <w:r>
        <w:rPr>
          <w:szCs w:val="24"/>
        </w:rPr>
        <w:t>NIM</w:t>
      </w:r>
      <w:r>
        <w:rPr>
          <w:szCs w:val="24"/>
        </w:rPr>
        <w:tab/>
      </w:r>
      <w:r>
        <w:rPr>
          <w:szCs w:val="24"/>
        </w:rPr>
        <w:tab/>
      </w:r>
      <w:r>
        <w:rPr>
          <w:szCs w:val="24"/>
        </w:rPr>
        <w:tab/>
      </w:r>
      <w:r>
        <w:rPr>
          <w:szCs w:val="24"/>
        </w:rPr>
        <w:t>: 2</w:t>
      </w:r>
      <w:r>
        <w:rPr>
          <w:szCs w:val="24"/>
        </w:rPr>
        <w:t>10</w:t>
      </w:r>
      <w:r>
        <w:rPr>
          <w:szCs w:val="24"/>
        </w:rPr>
        <w:t>10</w:t>
      </w:r>
      <w:r>
        <w:rPr>
          <w:szCs w:val="24"/>
        </w:rPr>
        <w:t>3619</w:t>
      </w:r>
      <w:r>
        <w:rPr>
          <w:szCs w:val="24"/>
        </w:rPr>
        <w:t>9</w:t>
      </w:r>
    </w:p>
    <w:p>
      <w:pPr>
        <w:pStyle w:val="style0"/>
        <w:spacing w:lineRule="auto" w:line="360"/>
        <w:rPr>
          <w:szCs w:val="24"/>
        </w:rPr>
      </w:pPr>
      <w:r>
        <w:rPr>
          <w:szCs w:val="24"/>
        </w:rPr>
        <w:t>Fakultas</w:t>
      </w:r>
      <w:r>
        <w:rPr>
          <w:szCs w:val="24"/>
        </w:rPr>
        <w:tab/>
      </w:r>
      <w:r>
        <w:rPr>
          <w:szCs w:val="24"/>
        </w:rPr>
        <w:tab/>
      </w:r>
      <w:r>
        <w:rPr>
          <w:szCs w:val="24"/>
        </w:rPr>
        <w:t>: Ekonomi dan Bisnis</w:t>
      </w:r>
    </w:p>
    <w:p>
      <w:pPr>
        <w:pStyle w:val="style0"/>
        <w:spacing w:lineRule="auto" w:line="360"/>
        <w:rPr>
          <w:szCs w:val="24"/>
        </w:rPr>
      </w:pPr>
      <w:r>
        <w:rPr>
          <w:szCs w:val="24"/>
        </w:rPr>
        <w:t>Program Studi</w:t>
      </w:r>
      <w:r>
        <w:rPr>
          <w:szCs w:val="24"/>
        </w:rPr>
        <w:tab/>
      </w:r>
      <w:r>
        <w:rPr>
          <w:szCs w:val="24"/>
        </w:rPr>
        <w:tab/>
      </w:r>
      <w:r>
        <w:rPr>
          <w:szCs w:val="24"/>
        </w:rPr>
        <w:t>: S1 Akuntansi</w:t>
      </w:r>
    </w:p>
    <w:p>
      <w:pPr>
        <w:pStyle w:val="style0"/>
        <w:spacing w:before="240" w:lineRule="auto" w:line="360"/>
        <w:jc w:val="center"/>
        <w:rPr>
          <w:szCs w:val="24"/>
        </w:rPr>
      </w:pPr>
      <w:r>
        <w:rPr>
          <w:szCs w:val="24"/>
        </w:rPr>
        <w:t xml:space="preserve">Diajukan untuk </w:t>
      </w:r>
      <w:r>
        <w:rPr>
          <w:szCs w:val="24"/>
        </w:rPr>
        <w:t>Pendadaran</w:t>
      </w:r>
    </w:p>
    <w:p>
      <w:pPr>
        <w:pStyle w:val="style0"/>
        <w:spacing w:before="240" w:lineRule="auto" w:line="360"/>
        <w:jc w:val="center"/>
        <w:rPr>
          <w:szCs w:val="24"/>
        </w:rPr>
      </w:pPr>
      <w:r>
        <w:rPr>
          <w:szCs w:val="24"/>
        </w:rPr>
        <w:t>Menyetujui,</w:t>
      </w:r>
    </w:p>
    <w:p>
      <w:pPr>
        <w:pStyle w:val="style0"/>
        <w:spacing w:after="0" w:lineRule="auto" w:line="276"/>
        <w:jc w:val="center"/>
        <w:rPr>
          <w:szCs w:val="24"/>
        </w:rPr>
      </w:pPr>
      <w:r>
        <w:rPr>
          <w:szCs w:val="24"/>
        </w:rPr>
        <w:t xml:space="preserve">Samarinda, </w:t>
      </w:r>
      <w:r>
        <w:rPr>
          <w:szCs w:val="24"/>
        </w:rPr>
        <w:t>11 Maret</w:t>
      </w:r>
      <w:r>
        <w:rPr>
          <w:szCs w:val="24"/>
        </w:rPr>
        <w:t xml:space="preserve"> 202</w:t>
      </w:r>
      <w:r>
        <w:rPr>
          <w:szCs w:val="24"/>
        </w:rPr>
        <w:t>6</w:t>
      </w:r>
    </w:p>
    <w:p>
      <w:pPr>
        <w:pStyle w:val="style0"/>
        <w:spacing w:lineRule="auto" w:line="276"/>
        <w:jc w:val="center"/>
        <w:rPr>
          <w:szCs w:val="24"/>
        </w:rPr>
      </w:pPr>
      <w:r>
        <w:rPr>
          <w:szCs w:val="24"/>
        </w:rPr>
        <w:t>Dosen Pembimbing</w:t>
      </w:r>
    </w:p>
    <w:p>
      <w:pPr>
        <w:pStyle w:val="style0"/>
        <w:spacing w:lineRule="auto" w:line="240"/>
        <w:rPr>
          <w:szCs w:val="24"/>
        </w:rPr>
      </w:pPr>
    </w:p>
    <w:p>
      <w:pPr>
        <w:pStyle w:val="style0"/>
        <w:spacing w:lineRule="auto" w:line="240"/>
        <w:rPr>
          <w:szCs w:val="24"/>
        </w:rPr>
      </w:pPr>
    </w:p>
    <w:p>
      <w:pPr>
        <w:pStyle w:val="style0"/>
        <w:spacing w:after="0" w:lineRule="auto" w:line="240"/>
        <w:jc w:val="center"/>
        <w:rPr>
          <w:szCs w:val="24"/>
          <w:u w:val="single"/>
        </w:rPr>
      </w:pPr>
      <w:r>
        <w:rPr>
          <w:szCs w:val="24"/>
          <w:u w:val="single"/>
        </w:rPr>
        <w:t>Ferry Diyanti, S.E.,M.S.A.,Ak.,CA.,CSRS.,CSRA</w:t>
      </w:r>
    </w:p>
    <w:p>
      <w:pPr>
        <w:pStyle w:val="style0"/>
        <w:spacing w:lineRule="auto" w:line="240"/>
        <w:ind w:left="1530"/>
        <w:rPr>
          <w:szCs w:val="24"/>
        </w:rPr>
      </w:pPr>
      <w:r>
        <w:rPr>
          <w:szCs w:val="24"/>
        </w:rPr>
        <w:t xml:space="preserve"> NIP. 19</w:t>
      </w:r>
      <w:r>
        <w:rPr>
          <w:szCs w:val="24"/>
        </w:rPr>
        <w:t>830228</w:t>
      </w:r>
      <w:r>
        <w:rPr>
          <w:szCs w:val="24"/>
        </w:rPr>
        <w:t xml:space="preserve"> 20</w:t>
      </w:r>
      <w:r>
        <w:rPr>
          <w:szCs w:val="24"/>
        </w:rPr>
        <w:t>06</w:t>
      </w:r>
      <w:r>
        <w:rPr>
          <w:szCs w:val="24"/>
        </w:rPr>
        <w:t>0</w:t>
      </w:r>
      <w:r>
        <w:rPr>
          <w:szCs w:val="24"/>
        </w:rPr>
        <w:t>4</w:t>
      </w:r>
      <w:r>
        <w:rPr>
          <w:szCs w:val="24"/>
        </w:rPr>
        <w:t xml:space="preserve"> 2 00</w:t>
      </w:r>
      <w:r>
        <w:rPr>
          <w:szCs w:val="24"/>
        </w:rPr>
        <w:t>2</w:t>
      </w:r>
    </w:p>
    <w:p>
      <w:pPr>
        <w:pStyle w:val="style0"/>
        <w:spacing w:lineRule="auto" w:line="240"/>
        <w:rPr>
          <w:szCs w:val="24"/>
        </w:rPr>
      </w:pPr>
    </w:p>
    <w:p>
      <w:pPr>
        <w:pStyle w:val="style0"/>
        <w:spacing w:before="240" w:lineRule="auto" w:line="240"/>
        <w:jc w:val="center"/>
        <w:rPr>
          <w:szCs w:val="24"/>
        </w:rPr>
      </w:pPr>
      <w:r>
        <w:rPr>
          <w:szCs w:val="24"/>
        </w:rPr>
        <w:t>Mengetahui,</w:t>
      </w:r>
    </w:p>
    <w:p>
      <w:pPr>
        <w:pStyle w:val="style0"/>
        <w:spacing w:before="240" w:after="0" w:lineRule="auto" w:line="276"/>
        <w:jc w:val="center"/>
        <w:rPr>
          <w:szCs w:val="24"/>
        </w:rPr>
      </w:pPr>
      <w:r>
        <w:rPr>
          <w:szCs w:val="24"/>
        </w:rPr>
        <w:t>Koordinator Program Studi S1</w:t>
      </w:r>
      <w:r>
        <w:rPr>
          <w:szCs w:val="24"/>
        </w:rPr>
        <w:t xml:space="preserve"> </w:t>
      </w:r>
      <w:r>
        <w:rPr>
          <w:szCs w:val="24"/>
        </w:rPr>
        <w:t>Akuntansi</w:t>
      </w:r>
    </w:p>
    <w:p>
      <w:pPr>
        <w:pStyle w:val="style0"/>
        <w:spacing w:after="0" w:lineRule="auto" w:line="276"/>
        <w:jc w:val="center"/>
        <w:rPr>
          <w:szCs w:val="24"/>
        </w:rPr>
      </w:pPr>
      <w:r>
        <w:rPr>
          <w:szCs w:val="24"/>
        </w:rPr>
        <w:t>Fakultas Ekonomi dan Bisnis</w:t>
      </w:r>
    </w:p>
    <w:p>
      <w:pPr>
        <w:pStyle w:val="style0"/>
        <w:spacing w:after="0" w:lineRule="auto" w:line="276"/>
        <w:jc w:val="center"/>
        <w:rPr>
          <w:szCs w:val="24"/>
        </w:rPr>
      </w:pPr>
      <w:r>
        <w:rPr>
          <w:szCs w:val="24"/>
        </w:rPr>
        <w:t>Universitas Mulawarman</w:t>
      </w:r>
    </w:p>
    <w:p>
      <w:pPr>
        <w:pStyle w:val="style0"/>
        <w:spacing w:lineRule="auto" w:line="240"/>
        <w:jc w:val="center"/>
        <w:rPr>
          <w:szCs w:val="24"/>
        </w:rPr>
      </w:pPr>
    </w:p>
    <w:p>
      <w:pPr>
        <w:pStyle w:val="style0"/>
        <w:spacing w:lineRule="auto" w:line="240"/>
        <w:jc w:val="center"/>
        <w:rPr>
          <w:szCs w:val="24"/>
        </w:rPr>
      </w:pPr>
    </w:p>
    <w:p>
      <w:pPr>
        <w:pStyle w:val="style0"/>
        <w:spacing w:lineRule="auto" w:line="240"/>
        <w:rPr>
          <w:b/>
          <w:bCs/>
          <w:szCs w:val="24"/>
        </w:rPr>
      </w:pPr>
    </w:p>
    <w:p>
      <w:pPr>
        <w:pStyle w:val="style0"/>
        <w:spacing w:after="0" w:lineRule="auto" w:line="240"/>
        <w:jc w:val="center"/>
        <w:rPr>
          <w:szCs w:val="24"/>
          <w:u w:val="single"/>
        </w:rPr>
      </w:pPr>
      <w:r>
        <w:rPr>
          <w:szCs w:val="24"/>
          <w:u w:val="single"/>
        </w:rPr>
        <w:t>Dr. Fibriyani Nur Khairin, S</w:t>
      </w:r>
      <w:r>
        <w:rPr>
          <w:szCs w:val="24"/>
          <w:u w:val="single"/>
        </w:rPr>
        <w:t>.</w:t>
      </w:r>
      <w:r>
        <w:rPr>
          <w:szCs w:val="24"/>
          <w:u w:val="single"/>
        </w:rPr>
        <w:t>E.,M.SA.,Ak.,CA.,CSP</w:t>
      </w:r>
      <w:r>
        <w:rPr>
          <w:szCs w:val="24"/>
          <w:u w:val="single"/>
        </w:rPr>
        <w:t>.,</w:t>
      </w:r>
      <w:r>
        <w:rPr>
          <w:szCs w:val="24"/>
          <w:u w:val="single"/>
        </w:rPr>
        <w:t>CIQaR</w:t>
      </w:r>
    </w:p>
    <w:p>
      <w:pPr>
        <w:pStyle w:val="style0"/>
        <w:tabs>
          <w:tab w:val="left" w:leader="none" w:pos="360"/>
        </w:tabs>
        <w:spacing w:lineRule="auto" w:line="240"/>
        <w:ind w:left="990"/>
        <w:rPr>
          <w:szCs w:val="24"/>
        </w:rPr>
      </w:pPr>
      <w:r>
        <w:rPr>
          <w:szCs w:val="24"/>
        </w:rPr>
        <w:t xml:space="preserve"> NIP. 19850204 200912 2 007</w:t>
      </w:r>
    </w:p>
    <w:p>
      <w:pPr>
        <w:pStyle w:val="style0"/>
        <w:tabs>
          <w:tab w:val="left" w:leader="none" w:pos="360"/>
        </w:tabs>
        <w:spacing w:lineRule="auto" w:line="240"/>
        <w:ind w:left="990"/>
        <w:rPr>
          <w:szCs w:val="24"/>
        </w:rPr>
      </w:pPr>
    </w:p>
    <w:bookmarkStart w:id="3" w:name="_Toc218854583"/>
    <w:p>
      <w:pPr>
        <w:pStyle w:val="style1"/>
        <w:spacing w:after="240"/>
        <w:rPr/>
      </w:pPr>
      <w:r>
        <w:t>ABSTRAK</w:t>
      </w:r>
      <w:bookmarkEnd w:id="3"/>
      <w:r>
        <w:t xml:space="preserve"> </w:t>
      </w:r>
    </w:p>
    <w:p>
      <w:pPr>
        <w:pStyle w:val="style0"/>
        <w:spacing w:lineRule="auto" w:line="240"/>
        <w:jc w:val="both"/>
        <w:rPr>
          <w:sz w:val="22"/>
        </w:rPr>
      </w:pPr>
      <w:r>
        <w:tab/>
      </w:r>
      <w:r>
        <w:rPr>
          <w:sz w:val="22"/>
        </w:rPr>
        <w:t xml:space="preserve">Nur Fadhilah Syafa. </w:t>
      </w:r>
      <w:r>
        <w:rPr>
          <w:b/>
          <w:bCs/>
          <w:sz w:val="22"/>
        </w:rPr>
        <w:t xml:space="preserve">Pengaruh </w:t>
      </w:r>
      <w:r>
        <w:rPr>
          <w:b/>
          <w:bCs/>
          <w:i/>
          <w:iCs/>
          <w:sz w:val="22"/>
        </w:rPr>
        <w:t>Enterprise Risk Management</w:t>
      </w:r>
      <w:r>
        <w:rPr>
          <w:b/>
          <w:bCs/>
          <w:sz w:val="22"/>
        </w:rPr>
        <w:t xml:space="preserve">, </w:t>
      </w:r>
      <w:r>
        <w:rPr>
          <w:b/>
          <w:bCs/>
          <w:i/>
          <w:iCs/>
          <w:sz w:val="22"/>
        </w:rPr>
        <w:t>Managerial Ownership</w:t>
      </w:r>
      <w:r>
        <w:rPr>
          <w:b/>
          <w:bCs/>
          <w:sz w:val="22"/>
        </w:rPr>
        <w:t xml:space="preserve">, dan </w:t>
      </w:r>
      <w:r>
        <w:rPr>
          <w:b/>
          <w:bCs/>
          <w:i/>
          <w:iCs/>
          <w:sz w:val="22"/>
        </w:rPr>
        <w:t>Institutional Ownership</w:t>
      </w:r>
      <w:r>
        <w:rPr>
          <w:b/>
          <w:bCs/>
          <w:sz w:val="22"/>
        </w:rPr>
        <w:t xml:space="preserve"> terhadap </w:t>
      </w:r>
      <w:r>
        <w:rPr>
          <w:b/>
          <w:bCs/>
          <w:i/>
          <w:iCs/>
          <w:sz w:val="22"/>
        </w:rPr>
        <w:t>Firm Value</w:t>
      </w:r>
      <w:r>
        <w:rPr>
          <w:b/>
          <w:bCs/>
          <w:sz w:val="22"/>
        </w:rPr>
        <w:t xml:space="preserve"> pada Perusahaan Manufaktur yang terdaftar </w:t>
      </w:r>
      <w:r>
        <w:rPr>
          <w:b/>
          <w:bCs/>
          <w:sz w:val="22"/>
        </w:rPr>
        <w:t>d</w:t>
      </w:r>
      <w:r>
        <w:rPr>
          <w:b/>
          <w:bCs/>
          <w:sz w:val="22"/>
        </w:rPr>
        <w:t xml:space="preserve">i </w:t>
      </w:r>
      <w:r>
        <w:rPr>
          <w:b/>
          <w:bCs/>
          <w:sz w:val="22"/>
        </w:rPr>
        <w:t>Bursa Efek Indonesia</w:t>
      </w:r>
      <w:r>
        <w:rPr>
          <w:sz w:val="22"/>
        </w:rPr>
        <w:t xml:space="preserve">. </w:t>
      </w:r>
      <w:r>
        <w:rPr>
          <w:sz w:val="22"/>
        </w:rPr>
        <w:t xml:space="preserve">Dibawah </w:t>
      </w:r>
      <w:r>
        <w:rPr>
          <w:sz w:val="22"/>
        </w:rPr>
        <w:t>b</w:t>
      </w:r>
      <w:r>
        <w:rPr>
          <w:sz w:val="22"/>
        </w:rPr>
        <w:t>imbingan ibu Ferry Diyanti. P</w:t>
      </w:r>
      <w:r>
        <w:rPr>
          <w:sz w:val="22"/>
        </w:rPr>
        <w:t xml:space="preserve">enelitian ini </w:t>
      </w:r>
      <w:r>
        <w:rPr>
          <w:sz w:val="22"/>
        </w:rPr>
        <w:t xml:space="preserve">bertujuan </w:t>
      </w:r>
      <w:r>
        <w:rPr>
          <w:sz w:val="22"/>
        </w:rPr>
        <w:t xml:space="preserve">untuk menguji secara empiris pengaruh </w:t>
      </w:r>
      <w:r>
        <w:rPr>
          <w:i/>
          <w:iCs/>
          <w:sz w:val="22"/>
        </w:rPr>
        <w:t>enterprise risk management</w:t>
      </w:r>
      <w:r>
        <w:rPr>
          <w:sz w:val="22"/>
        </w:rPr>
        <w:t xml:space="preserve">, </w:t>
      </w:r>
      <w:r>
        <w:rPr>
          <w:i/>
          <w:iCs/>
          <w:sz w:val="22"/>
        </w:rPr>
        <w:t>managerial ownership</w:t>
      </w:r>
      <w:r>
        <w:rPr>
          <w:sz w:val="22"/>
        </w:rPr>
        <w:t xml:space="preserve">, dan </w:t>
      </w:r>
      <w:r>
        <w:rPr>
          <w:i/>
          <w:iCs/>
          <w:sz w:val="22"/>
        </w:rPr>
        <w:t>institutional ownership</w:t>
      </w:r>
      <w:r>
        <w:rPr>
          <w:sz w:val="22"/>
        </w:rPr>
        <w:t xml:space="preserve"> terhadap </w:t>
      </w:r>
      <w:r>
        <w:rPr>
          <w:i/>
          <w:iCs/>
          <w:sz w:val="22"/>
        </w:rPr>
        <w:t>firm value</w:t>
      </w:r>
      <w:r>
        <w:rPr>
          <w:i/>
          <w:iCs/>
          <w:sz w:val="22"/>
        </w:rPr>
        <w:t xml:space="preserve"> </w:t>
      </w:r>
      <w:r>
        <w:rPr>
          <w:sz w:val="22"/>
        </w:rPr>
        <w:t>pada perusahaan manufaktur yang terdaftar di Bursa Efek Indonesia pada tahun 2020-2023</w:t>
      </w:r>
      <w:r>
        <w:rPr>
          <w:sz w:val="22"/>
        </w:rPr>
        <w:t xml:space="preserve">. </w:t>
      </w:r>
      <w:r>
        <w:rPr>
          <w:sz w:val="22"/>
        </w:rPr>
        <w:t>P</w:t>
      </w:r>
      <w:r>
        <w:rPr>
          <w:sz w:val="22"/>
        </w:rPr>
        <w:t xml:space="preserve">enelitian </w:t>
      </w:r>
      <w:r>
        <w:rPr>
          <w:sz w:val="22"/>
        </w:rPr>
        <w:t xml:space="preserve">ini menggunakan pendekatan </w:t>
      </w:r>
      <w:r>
        <w:rPr>
          <w:sz w:val="22"/>
        </w:rPr>
        <w:t>kuantitatif dengan</w:t>
      </w:r>
      <w:r>
        <w:rPr>
          <w:sz w:val="22"/>
        </w:rPr>
        <w:t xml:space="preserve"> analisis</w:t>
      </w:r>
      <w:r>
        <w:rPr>
          <w:sz w:val="22"/>
        </w:rPr>
        <w:t xml:space="preserve"> regresi linear berganda menggunakan SPSS </w:t>
      </w:r>
      <w:r>
        <w:rPr>
          <w:sz w:val="22"/>
        </w:rPr>
        <w:t>30</w:t>
      </w:r>
      <w:r>
        <w:rPr>
          <w:sz w:val="22"/>
        </w:rPr>
        <w:t xml:space="preserve"> </w:t>
      </w:r>
      <w:r>
        <w:rPr>
          <w:sz w:val="22"/>
        </w:rPr>
        <w:t xml:space="preserve">dengan sampel </w:t>
      </w:r>
      <w:r>
        <w:rPr>
          <w:sz w:val="22"/>
        </w:rPr>
        <w:t xml:space="preserve">58 perusahaan </w:t>
      </w:r>
      <w:r>
        <w:rPr>
          <w:sz w:val="22"/>
        </w:rPr>
        <w:t>atau</w:t>
      </w:r>
      <w:r>
        <w:rPr>
          <w:sz w:val="22"/>
        </w:rPr>
        <w:t xml:space="preserve"> 232</w:t>
      </w:r>
      <w:r>
        <w:rPr>
          <w:sz w:val="22"/>
        </w:rPr>
        <w:t xml:space="preserve"> </w:t>
      </w:r>
      <w:r>
        <w:rPr>
          <w:sz w:val="22"/>
        </w:rPr>
        <w:t>data</w:t>
      </w:r>
      <w:r>
        <w:rPr>
          <w:sz w:val="22"/>
        </w:rPr>
        <w:t xml:space="preserve"> </w:t>
      </w:r>
      <w:r>
        <w:rPr>
          <w:sz w:val="22"/>
        </w:rPr>
        <w:t xml:space="preserve">yang telah memenuhi kriteria </w:t>
      </w:r>
      <w:r>
        <w:rPr>
          <w:i/>
          <w:iCs/>
          <w:sz w:val="22"/>
        </w:rPr>
        <w:t>purposive sampling</w:t>
      </w:r>
      <w:r>
        <w:rPr>
          <w:sz w:val="22"/>
        </w:rPr>
        <w:t xml:space="preserve">. Hasil </w:t>
      </w:r>
      <w:r>
        <w:rPr>
          <w:sz w:val="22"/>
        </w:rPr>
        <w:t>penelitian ini</w:t>
      </w:r>
      <w:r>
        <w:rPr>
          <w:sz w:val="22"/>
        </w:rPr>
        <w:t xml:space="preserve"> menunjukkan bahwa </w:t>
      </w:r>
      <w:r>
        <w:rPr>
          <w:i/>
          <w:iCs/>
          <w:sz w:val="22"/>
        </w:rPr>
        <w:t>institutional ownership</w:t>
      </w:r>
      <w:r>
        <w:rPr>
          <w:sz w:val="22"/>
        </w:rPr>
        <w:t xml:space="preserve"> berpengaruh signifikan</w:t>
      </w:r>
      <w:r>
        <w:rPr>
          <w:sz w:val="22"/>
        </w:rPr>
        <w:t xml:space="preserve"> positif</w:t>
      </w:r>
      <w:r>
        <w:rPr>
          <w:sz w:val="22"/>
        </w:rPr>
        <w:t xml:space="preserve"> terhadap </w:t>
      </w:r>
      <w:r>
        <w:rPr>
          <w:i/>
          <w:iCs/>
          <w:sz w:val="22"/>
        </w:rPr>
        <w:t>firm value</w:t>
      </w:r>
      <w:r>
        <w:rPr>
          <w:sz w:val="22"/>
        </w:rPr>
        <w:t>.</w:t>
      </w:r>
      <w:r>
        <w:rPr>
          <w:sz w:val="22"/>
        </w:rPr>
        <w:t xml:space="preserve"> </w:t>
      </w:r>
      <w:r>
        <w:rPr>
          <w:sz w:val="22"/>
        </w:rPr>
        <w:t>Sedangkan</w:t>
      </w:r>
      <w:r>
        <w:rPr>
          <w:sz w:val="22"/>
        </w:rPr>
        <w:t>,</w:t>
      </w:r>
      <w:r>
        <w:rPr>
          <w:i/>
          <w:iCs/>
          <w:sz w:val="22"/>
        </w:rPr>
        <w:t xml:space="preserve"> </w:t>
      </w:r>
      <w:r>
        <w:rPr>
          <w:i/>
          <w:iCs/>
          <w:sz w:val="22"/>
        </w:rPr>
        <w:t>enterprise risk management</w:t>
      </w:r>
      <w:r>
        <w:rPr>
          <w:sz w:val="22"/>
        </w:rPr>
        <w:t xml:space="preserve"> dan </w:t>
      </w:r>
      <w:r>
        <w:rPr>
          <w:i/>
          <w:iCs/>
          <w:sz w:val="22"/>
        </w:rPr>
        <w:t>managerial ownership</w:t>
      </w:r>
      <w:r>
        <w:rPr>
          <w:sz w:val="22"/>
        </w:rPr>
        <w:t xml:space="preserve"> </w:t>
      </w:r>
      <w:r>
        <w:rPr>
          <w:sz w:val="22"/>
        </w:rPr>
        <w:t>tidak berpengaruh signifikan</w:t>
      </w:r>
      <w:r>
        <w:rPr>
          <w:sz w:val="22"/>
        </w:rPr>
        <w:t xml:space="preserve"> terhadap </w:t>
      </w:r>
      <w:r>
        <w:rPr>
          <w:i/>
          <w:iCs/>
          <w:sz w:val="22"/>
        </w:rPr>
        <w:t>firm value</w:t>
      </w:r>
      <w:r>
        <w:rPr>
          <w:sz w:val="22"/>
        </w:rPr>
        <w:t>.</w:t>
      </w:r>
      <w:r>
        <w:rPr>
          <w:i/>
          <w:iCs/>
          <w:sz w:val="22"/>
        </w:rPr>
        <w:t xml:space="preserve"> </w:t>
      </w:r>
    </w:p>
    <w:p>
      <w:pPr>
        <w:pStyle w:val="style0"/>
        <w:spacing w:lineRule="auto" w:line="240"/>
        <w:jc w:val="both"/>
        <w:rPr>
          <w:i/>
          <w:iCs/>
          <w:sz w:val="22"/>
        </w:rPr>
      </w:pPr>
      <w:r>
        <w:rPr>
          <w:b/>
          <w:bCs/>
          <w:sz w:val="22"/>
        </w:rPr>
        <w:t>Kata Kunci:</w:t>
      </w:r>
      <w:r>
        <w:rPr>
          <w:sz w:val="22"/>
        </w:rPr>
        <w:t> </w:t>
      </w:r>
      <w:r>
        <w:rPr>
          <w:i/>
          <w:iCs/>
          <w:sz w:val="22"/>
        </w:rPr>
        <w:t>Firm Value</w:t>
      </w:r>
      <w:r>
        <w:rPr>
          <w:sz w:val="22"/>
        </w:rPr>
        <w:t>,</w:t>
      </w:r>
      <w:r>
        <w:rPr>
          <w:i/>
          <w:iCs/>
          <w:sz w:val="22"/>
        </w:rPr>
        <w:t xml:space="preserve"> Enterprise Risk Management</w:t>
      </w:r>
      <w:r>
        <w:rPr>
          <w:sz w:val="22"/>
        </w:rPr>
        <w:t>,</w:t>
      </w:r>
      <w:r>
        <w:rPr>
          <w:i/>
          <w:iCs/>
          <w:sz w:val="22"/>
        </w:rPr>
        <w:t xml:space="preserve"> Managerial Ownership</w:t>
      </w:r>
      <w:r>
        <w:rPr>
          <w:sz w:val="22"/>
        </w:rPr>
        <w:t>,</w:t>
      </w:r>
      <w:r>
        <w:rPr>
          <w:i/>
          <w:iCs/>
          <w:sz w:val="22"/>
        </w:rPr>
        <w:t xml:space="preserve"> Institutional Ownership</w:t>
      </w:r>
    </w:p>
    <w:p>
      <w:pPr>
        <w:pStyle w:val="style0"/>
        <w:jc w:val="both"/>
        <w:rPr/>
      </w:pPr>
      <w:r>
        <w:br w:type="page"/>
      </w:r>
    </w:p>
    <w:bookmarkStart w:id="4" w:name="_Toc218854584"/>
    <w:p>
      <w:pPr>
        <w:pStyle w:val="style1"/>
        <w:spacing w:before="0" w:lineRule="auto" w:line="480"/>
        <w:rPr>
          <w:i/>
          <w:iCs/>
        </w:rPr>
      </w:pPr>
      <w:r>
        <w:rPr>
          <w:i/>
          <w:iCs/>
        </w:rPr>
        <w:t>ABSTRACT</w:t>
      </w:r>
      <w:bookmarkEnd w:id="4"/>
    </w:p>
    <w:p>
      <w:pPr>
        <w:pStyle w:val="style0"/>
        <w:spacing w:lineRule="auto" w:line="240"/>
        <w:jc w:val="both"/>
        <w:rPr>
          <w:i/>
          <w:iCs/>
          <w:sz w:val="22"/>
        </w:rPr>
      </w:pPr>
      <w:r>
        <w:rPr>
          <w:b/>
          <w:bCs/>
          <w:i/>
          <w:iCs/>
        </w:rPr>
        <w:tab/>
      </w:r>
      <w:r>
        <w:rPr>
          <w:sz w:val="22"/>
        </w:rPr>
        <w:t>Nur Fadhilah Syafa</w:t>
      </w:r>
      <w:r>
        <w:rPr>
          <w:i/>
          <w:iCs/>
          <w:sz w:val="22"/>
        </w:rPr>
        <w:t xml:space="preserve">. </w:t>
      </w:r>
      <w:r>
        <w:rPr>
          <w:b/>
          <w:bCs/>
          <w:i/>
          <w:iCs/>
          <w:sz w:val="22"/>
        </w:rPr>
        <w:t xml:space="preserve">The Effect of Enterprise Risk Management, Managerial Ownership, and Institutional Ownership on Firm Value in Manufacturing Companies Listed on the Indonesia Stock Exchange. </w:t>
      </w:r>
      <w:r>
        <w:rPr>
          <w:i/>
          <w:iCs/>
          <w:sz w:val="22"/>
        </w:rPr>
        <w:t xml:space="preserve">Supervised by Mrs. Ferry Diyanti.This study aims to empirically examine the effect of enterprise risk management, managerial ownership, and institutional ownership on firm value in manufacturing companies listed on the Indonesia Stock Exchange during the period 2020–2023. The research employs a quantitative approach using multiple linear regression analysis with SPSS 30, based on a sample of 58 companies or 232 observations selected through purposive sampling. The results indicate that </w:t>
      </w:r>
      <w:r>
        <w:rPr>
          <w:i/>
          <w:iCs/>
          <w:sz w:val="22"/>
        </w:rPr>
        <w:t>institutional ownership has a positive significant effect on firm value</w:t>
      </w:r>
      <w:r>
        <w:rPr>
          <w:i/>
          <w:iCs/>
          <w:sz w:val="22"/>
        </w:rPr>
        <w:t xml:space="preserve">. </w:t>
      </w:r>
      <w:r>
        <w:rPr>
          <w:i/>
          <w:iCs/>
          <w:sz w:val="22"/>
        </w:rPr>
        <w:t xml:space="preserve"> </w:t>
      </w:r>
      <w:r>
        <w:rPr>
          <w:i/>
          <w:iCs/>
          <w:sz w:val="22"/>
        </w:rPr>
        <w:t>Meanwhile</w:t>
      </w:r>
      <w:r>
        <w:rPr>
          <w:i/>
          <w:iCs/>
          <w:sz w:val="22"/>
        </w:rPr>
        <w:t>,</w:t>
      </w:r>
      <w:r>
        <w:rPr>
          <w:i/>
          <w:iCs/>
          <w:sz w:val="22"/>
        </w:rPr>
        <w:t xml:space="preserve"> </w:t>
      </w:r>
      <w:r>
        <w:rPr>
          <w:i/>
          <w:iCs/>
          <w:sz w:val="22"/>
        </w:rPr>
        <w:t>enterprise risk management and managerial ownership do not have a significant effect on firm value.</w:t>
      </w:r>
    </w:p>
    <w:p>
      <w:pPr>
        <w:pStyle w:val="style0"/>
        <w:spacing w:lineRule="auto" w:line="240"/>
        <w:jc w:val="both"/>
        <w:rPr>
          <w:i/>
          <w:iCs/>
          <w:sz w:val="22"/>
        </w:rPr>
      </w:pPr>
      <w:r>
        <w:rPr>
          <w:b/>
          <w:bCs/>
          <w:i/>
          <w:iCs/>
          <w:sz w:val="22"/>
        </w:rPr>
        <w:t>Keyword</w:t>
      </w:r>
      <w:r>
        <w:rPr>
          <w:b/>
          <w:bCs/>
          <w:sz w:val="22"/>
        </w:rPr>
        <w:t>:</w:t>
      </w:r>
      <w:r>
        <w:rPr>
          <w:sz w:val="22"/>
        </w:rPr>
        <w:t> </w:t>
      </w:r>
      <w:r>
        <w:rPr>
          <w:i/>
          <w:iCs/>
          <w:sz w:val="22"/>
        </w:rPr>
        <w:t>Firm Value</w:t>
      </w:r>
      <w:r>
        <w:rPr>
          <w:sz w:val="22"/>
        </w:rPr>
        <w:t>,</w:t>
      </w:r>
      <w:r>
        <w:rPr>
          <w:i/>
          <w:iCs/>
          <w:sz w:val="22"/>
        </w:rPr>
        <w:t xml:space="preserve"> Enterprise Risk Management</w:t>
      </w:r>
      <w:r>
        <w:rPr>
          <w:sz w:val="22"/>
        </w:rPr>
        <w:t>,</w:t>
      </w:r>
      <w:r>
        <w:rPr>
          <w:i/>
          <w:iCs/>
          <w:sz w:val="22"/>
        </w:rPr>
        <w:t xml:space="preserve"> Managerial Ownership</w:t>
      </w:r>
      <w:r>
        <w:rPr>
          <w:sz w:val="22"/>
        </w:rPr>
        <w:t>,</w:t>
      </w:r>
      <w:r>
        <w:rPr>
          <w:i/>
          <w:iCs/>
          <w:sz w:val="22"/>
        </w:rPr>
        <w:t xml:space="preserve"> Institutional Ownership</w:t>
      </w:r>
    </w:p>
    <w:p>
      <w:pPr>
        <w:pStyle w:val="style0"/>
        <w:spacing w:before="240" w:lineRule="auto" w:line="240"/>
        <w:jc w:val="both"/>
        <w:rPr>
          <w:i/>
          <w:iCs/>
          <w:sz w:val="22"/>
        </w:rPr>
      </w:pPr>
    </w:p>
    <w:p>
      <w:pPr>
        <w:pStyle w:val="style0"/>
        <w:rPr/>
      </w:pPr>
      <w:r>
        <w:br w:type="page"/>
      </w:r>
    </w:p>
    <w:bookmarkStart w:id="5" w:name="_Toc218854585"/>
    <w:p>
      <w:pPr>
        <w:pStyle w:val="style1"/>
        <w:spacing w:before="0" w:lineRule="auto" w:line="480"/>
        <w:rPr/>
      </w:pPr>
      <w:r>
        <w:t>KATA PENGANTAR</w:t>
      </w:r>
      <w:bookmarkEnd w:id="5"/>
    </w:p>
    <w:p>
      <w:pPr>
        <w:pStyle w:val="style0"/>
        <w:spacing w:after="0" w:lineRule="auto" w:line="480"/>
        <w:jc w:val="both"/>
        <w:rPr>
          <w:sz w:val="22"/>
        </w:rPr>
      </w:pPr>
      <w:r>
        <w:tab/>
      </w:r>
      <w:r>
        <w:rPr>
          <w:rFonts w:cs="宋体" w:eastAsia="宋体"/>
          <w:sz w:val="22"/>
        </w:rPr>
        <w:t xml:space="preserve">Berkat </w:t>
      </w:r>
      <w:r>
        <w:rPr>
          <w:sz w:val="22"/>
        </w:rPr>
        <w:t>k</w:t>
      </w:r>
      <w:r>
        <w:rPr>
          <w:rFonts w:cs="宋体" w:eastAsia="宋体"/>
          <w:sz w:val="22"/>
        </w:rPr>
        <w:t xml:space="preserve">ehadirat </w:t>
      </w:r>
      <w:r>
        <w:rPr>
          <w:sz w:val="22"/>
        </w:rPr>
        <w:t xml:space="preserve">Allah SWT, </w:t>
      </w:r>
      <w:r>
        <w:rPr>
          <w:rFonts w:cs="宋体" w:eastAsia="宋体"/>
          <w:sz w:val="22"/>
        </w:rPr>
        <w:t>Tuhan Yang Esa</w:t>
      </w:r>
      <w:r>
        <w:rPr>
          <w:sz w:val="22"/>
        </w:rPr>
        <w:t>, yang telah</w:t>
      </w:r>
      <w:r>
        <w:rPr>
          <w:rFonts w:cs="宋体" w:eastAsia="宋体"/>
          <w:sz w:val="22"/>
        </w:rPr>
        <w:t xml:space="preserve"> memberikan</w:t>
      </w:r>
      <w:r>
        <w:rPr>
          <w:sz w:val="22"/>
        </w:rPr>
        <w:t xml:space="preserve"> karunia,</w:t>
      </w:r>
      <w:r>
        <w:rPr>
          <w:sz w:val="22"/>
        </w:rPr>
        <w:t xml:space="preserve"> </w:t>
      </w:r>
      <w:r>
        <w:rPr>
          <w:sz w:val="22"/>
        </w:rPr>
        <w:t>rahmat</w:t>
      </w:r>
      <w:r>
        <w:rPr>
          <w:sz w:val="22"/>
        </w:rPr>
        <w:t>,</w:t>
      </w:r>
      <w:r>
        <w:rPr>
          <w:sz w:val="22"/>
        </w:rPr>
        <w:t xml:space="preserve"> dan hidayah-Nya sehingga </w:t>
      </w:r>
      <w:r>
        <w:rPr>
          <w:sz w:val="22"/>
        </w:rPr>
        <w:t xml:space="preserve">penulis dapat menyelesaikan </w:t>
      </w:r>
      <w:r>
        <w:rPr>
          <w:sz w:val="22"/>
        </w:rPr>
        <w:t>skripsi</w:t>
      </w:r>
      <w:r>
        <w:rPr>
          <w:rFonts w:cs="宋体" w:eastAsia="宋体"/>
          <w:sz w:val="22"/>
        </w:rPr>
        <w:t xml:space="preserve"> yang berjudul</w:t>
      </w:r>
      <w:r>
        <w:rPr>
          <w:sz w:val="22"/>
        </w:rPr>
        <w:t xml:space="preserve"> “Pengaruh </w:t>
      </w:r>
      <w:r>
        <w:rPr>
          <w:i/>
          <w:iCs/>
          <w:sz w:val="22"/>
        </w:rPr>
        <w:t xml:space="preserve">Enterprise Risk Management, Managerial Ownership, </w:t>
      </w:r>
      <w:r>
        <w:rPr>
          <w:sz w:val="22"/>
        </w:rPr>
        <w:t xml:space="preserve">dan </w:t>
      </w:r>
      <w:r>
        <w:rPr>
          <w:i/>
          <w:iCs/>
          <w:sz w:val="22"/>
        </w:rPr>
        <w:t xml:space="preserve">Institutional Ownership </w:t>
      </w:r>
      <w:r>
        <w:rPr>
          <w:sz w:val="22"/>
        </w:rPr>
        <w:t xml:space="preserve">terhadap </w:t>
      </w:r>
      <w:r>
        <w:rPr>
          <w:i/>
          <w:iCs/>
          <w:sz w:val="22"/>
        </w:rPr>
        <w:t xml:space="preserve">Firm Value </w:t>
      </w:r>
      <w:r>
        <w:rPr>
          <w:sz w:val="22"/>
        </w:rPr>
        <w:t>pada Perusahaan Manufaktur yang terdaftar di Bursa Efek Indonesia”</w:t>
      </w:r>
      <w:r>
        <w:rPr>
          <w:sz w:val="22"/>
        </w:rPr>
        <w:t xml:space="preserve"> </w:t>
      </w:r>
      <w:r>
        <w:rPr>
          <w:sz w:val="22"/>
        </w:rPr>
        <w:t>dengan baik</w:t>
      </w:r>
      <w:r>
        <w:rPr>
          <w:rFonts w:cs="宋体" w:eastAsia="宋体"/>
          <w:sz w:val="22"/>
        </w:rPr>
        <w:t>.</w:t>
      </w:r>
      <w:r>
        <w:rPr>
          <w:sz w:val="22"/>
        </w:rPr>
        <w:t xml:space="preserve"> </w:t>
      </w:r>
      <w:r>
        <w:rPr>
          <w:sz w:val="22"/>
        </w:rPr>
        <w:t xml:space="preserve">Penulis juga menyadari bahwa penyusunan skripsi ini tidak terlepas dari berbagai kendala sehingga memerlukan bantuan, bimbingan, </w:t>
      </w:r>
      <w:r>
        <w:rPr>
          <w:sz w:val="22"/>
        </w:rPr>
        <w:t xml:space="preserve">serta </w:t>
      </w:r>
      <w:r>
        <w:rPr>
          <w:sz w:val="22"/>
        </w:rPr>
        <w:t>dukungan dari berbagai pihak. Oleh karena itu, r</w:t>
      </w:r>
      <w:r>
        <w:rPr>
          <w:rFonts w:cs="宋体" w:eastAsia="宋体"/>
          <w:sz w:val="22"/>
        </w:rPr>
        <w:t>asa syukur dan terima kasih</w:t>
      </w:r>
      <w:r>
        <w:rPr>
          <w:sz w:val="22"/>
        </w:rPr>
        <w:t xml:space="preserve"> penulis</w:t>
      </w:r>
      <w:r>
        <w:rPr>
          <w:rFonts w:cs="宋体" w:eastAsia="宋体"/>
          <w:sz w:val="22"/>
        </w:rPr>
        <w:t xml:space="preserve"> ucapkan kepada</w:t>
      </w:r>
      <w:r>
        <w:rPr>
          <w:sz w:val="22"/>
        </w:rPr>
        <w:t>:</w:t>
      </w:r>
    </w:p>
    <w:p>
      <w:pPr>
        <w:pStyle w:val="style179"/>
        <w:numPr>
          <w:ilvl w:val="0"/>
          <w:numId w:val="1"/>
        </w:numPr>
        <w:spacing w:lineRule="auto" w:line="480"/>
        <w:ind w:left="360"/>
        <w:jc w:val="both"/>
        <w:rPr>
          <w:sz w:val="22"/>
        </w:rPr>
      </w:pPr>
      <w:r>
        <w:rPr>
          <w:sz w:val="22"/>
        </w:rPr>
        <w:t>Prof. Dr. Ir. H. Abdunnur, M.Si</w:t>
      </w:r>
      <w:r>
        <w:rPr>
          <w:sz w:val="22"/>
        </w:rPr>
        <w:t>.,IPU.,ASEAN</w:t>
      </w:r>
      <w:r>
        <w:rPr>
          <w:sz w:val="22"/>
        </w:rPr>
        <w:t xml:space="preserve"> Eng</w:t>
      </w:r>
      <w:r>
        <w:rPr>
          <w:sz w:val="22"/>
        </w:rPr>
        <w:t xml:space="preserve"> </w:t>
      </w:r>
      <w:r>
        <w:rPr>
          <w:sz w:val="22"/>
        </w:rPr>
        <w:t>selaku Rektor Universitas Mulawarman.</w:t>
      </w:r>
    </w:p>
    <w:p>
      <w:pPr>
        <w:pStyle w:val="style179"/>
        <w:numPr>
          <w:ilvl w:val="0"/>
          <w:numId w:val="1"/>
        </w:numPr>
        <w:spacing w:lineRule="auto" w:line="480"/>
        <w:ind w:left="360"/>
        <w:jc w:val="both"/>
        <w:rPr>
          <w:sz w:val="22"/>
        </w:rPr>
      </w:pPr>
      <w:r>
        <w:rPr>
          <w:sz w:val="22"/>
        </w:rPr>
        <w:t>Dr. Zainal Abidin, SE.,MM selaku Dekan Fakultas Ekonomi dan Bisnis Universitas Mulawarman.</w:t>
      </w:r>
    </w:p>
    <w:p>
      <w:pPr>
        <w:pStyle w:val="style179"/>
        <w:numPr>
          <w:ilvl w:val="0"/>
          <w:numId w:val="1"/>
        </w:numPr>
        <w:spacing w:lineRule="auto" w:line="480"/>
        <w:ind w:left="360"/>
        <w:jc w:val="both"/>
        <w:rPr>
          <w:sz w:val="22"/>
        </w:rPr>
      </w:pPr>
      <w:r>
        <w:rPr>
          <w:sz w:val="22"/>
        </w:rPr>
        <w:t>Dr. Wulan Iyhig Ratna Sari, S.E.,M.Si.,CSP.,CMA.,CPS.,CIBA selaku Ketua Jurusan Akuntansi Fakultas Ekonomi dan Bisnis Universitas Mulawarman.</w:t>
      </w:r>
    </w:p>
    <w:p>
      <w:pPr>
        <w:pStyle w:val="style179"/>
        <w:numPr>
          <w:ilvl w:val="0"/>
          <w:numId w:val="1"/>
        </w:numPr>
        <w:spacing w:lineRule="auto" w:line="480"/>
        <w:ind w:left="360"/>
        <w:jc w:val="both"/>
        <w:rPr>
          <w:sz w:val="22"/>
        </w:rPr>
      </w:pPr>
      <w:r>
        <w:rPr>
          <w:sz w:val="22"/>
        </w:rPr>
        <w:t>Dr. Fibriyani Nur Khairin, SE.,M.S.A.,k.,CA.,CSP.,CIQaR selaku Ketua Program Studi Sarjana Akuntansi Fakultas Ekonomi dan Bisnis Universitas Mulawarman.</w:t>
      </w:r>
    </w:p>
    <w:p>
      <w:pPr>
        <w:pStyle w:val="style179"/>
        <w:numPr>
          <w:ilvl w:val="0"/>
          <w:numId w:val="1"/>
        </w:numPr>
        <w:spacing w:lineRule="auto" w:line="480"/>
        <w:ind w:left="360"/>
        <w:jc w:val="both"/>
        <w:rPr>
          <w:sz w:val="22"/>
        </w:rPr>
      </w:pPr>
      <w:r>
        <w:rPr>
          <w:sz w:val="22"/>
        </w:rPr>
        <w:t xml:space="preserve">Ibu Ferry Diyanti, S.E.,M.S.A.,Ak.,CA.,CSRS.,CSRA selaku dosen pembimbing yang telah </w:t>
      </w:r>
      <w:r>
        <w:rPr>
          <w:sz w:val="22"/>
        </w:rPr>
        <w:t xml:space="preserve">sabar </w:t>
      </w:r>
      <w:r>
        <w:rPr>
          <w:sz w:val="22"/>
        </w:rPr>
        <w:t xml:space="preserve">meluangkan waktu untuk </w:t>
      </w:r>
      <w:r>
        <w:rPr>
          <w:sz w:val="22"/>
        </w:rPr>
        <w:t xml:space="preserve">memberikan bimbingan, masukan, arahan, nasehat, kritik, dan saran </w:t>
      </w:r>
      <w:r>
        <w:rPr>
          <w:sz w:val="22"/>
        </w:rPr>
        <w:t>yang bermanfaat dalam menambah ilmu pengetahuan</w:t>
      </w:r>
      <w:r>
        <w:rPr>
          <w:sz w:val="22"/>
        </w:rPr>
        <w:t xml:space="preserve"> dan</w:t>
      </w:r>
      <w:r>
        <w:rPr>
          <w:sz w:val="22"/>
        </w:rPr>
        <w:t xml:space="preserve"> penyusunan </w:t>
      </w:r>
      <w:r>
        <w:rPr>
          <w:sz w:val="22"/>
        </w:rPr>
        <w:t xml:space="preserve">maupun penyempurnaan </w:t>
      </w:r>
      <w:r>
        <w:rPr>
          <w:sz w:val="22"/>
        </w:rPr>
        <w:t>skripsi ini</w:t>
      </w:r>
      <w:r>
        <w:rPr>
          <w:sz w:val="22"/>
        </w:rPr>
        <w:t>.</w:t>
      </w:r>
    </w:p>
    <w:p>
      <w:pPr>
        <w:pStyle w:val="style179"/>
        <w:numPr>
          <w:ilvl w:val="0"/>
          <w:numId w:val="1"/>
        </w:numPr>
        <w:spacing w:lineRule="auto" w:line="480"/>
        <w:ind w:left="360"/>
        <w:jc w:val="both"/>
        <w:rPr>
          <w:sz w:val="22"/>
        </w:rPr>
      </w:pPr>
      <w:r>
        <w:rPr>
          <w:sz w:val="22"/>
        </w:rPr>
        <w:t xml:space="preserve">Ibu Dr. Hj. Yana Ulfah, S.E.,M.Si.,Ak. </w:t>
      </w:r>
      <w:r>
        <w:rPr>
          <w:sz w:val="22"/>
        </w:rPr>
        <w:t>s</w:t>
      </w:r>
      <w:r>
        <w:rPr>
          <w:sz w:val="22"/>
        </w:rPr>
        <w:t xml:space="preserve">elaku dosen wali </w:t>
      </w:r>
      <w:r>
        <w:rPr>
          <w:sz w:val="22"/>
        </w:rPr>
        <w:t xml:space="preserve">yang telah </w:t>
      </w:r>
      <w:r>
        <w:rPr>
          <w:sz w:val="22"/>
        </w:rPr>
        <w:t xml:space="preserve">perhatian </w:t>
      </w:r>
      <w:r>
        <w:rPr>
          <w:sz w:val="22"/>
        </w:rPr>
        <w:t>memberikan arahan dan nasihatnya selama perkuliahan di Universitas Mulawarman.</w:t>
      </w:r>
    </w:p>
    <w:p>
      <w:pPr>
        <w:pStyle w:val="style179"/>
        <w:numPr>
          <w:ilvl w:val="0"/>
          <w:numId w:val="1"/>
        </w:numPr>
        <w:spacing w:lineRule="auto" w:line="480"/>
        <w:ind w:left="360"/>
        <w:jc w:val="both"/>
        <w:rPr>
          <w:sz w:val="22"/>
        </w:rPr>
      </w:pPr>
      <w:r>
        <w:rPr>
          <w:sz w:val="22"/>
        </w:rPr>
        <w:t>Seluruh Bapak dan Ibu dosen serta Staf dan Tata Usaha Fakultas Ekonomi dan Bisnis Universitas Mulawarman yang telah memberikan ilmu pengetahuan</w:t>
      </w:r>
      <w:r>
        <w:rPr>
          <w:sz w:val="22"/>
        </w:rPr>
        <w:t xml:space="preserve"> dan wawasan </w:t>
      </w:r>
      <w:r>
        <w:rPr>
          <w:sz w:val="22"/>
        </w:rPr>
        <w:t xml:space="preserve">yang </w:t>
      </w:r>
      <w:r>
        <w:rPr>
          <w:sz w:val="22"/>
        </w:rPr>
        <w:t xml:space="preserve">bermanfaat dan </w:t>
      </w:r>
      <w:r>
        <w:rPr>
          <w:sz w:val="22"/>
        </w:rPr>
        <w:t>bantuan</w:t>
      </w:r>
      <w:r>
        <w:rPr>
          <w:sz w:val="22"/>
        </w:rPr>
        <w:t xml:space="preserve"> pelayanan</w:t>
      </w:r>
      <w:r>
        <w:rPr>
          <w:sz w:val="22"/>
        </w:rPr>
        <w:t xml:space="preserve"> administratif</w:t>
      </w:r>
      <w:r>
        <w:rPr>
          <w:sz w:val="22"/>
        </w:rPr>
        <w:t xml:space="preserve"> </w:t>
      </w:r>
      <w:r>
        <w:rPr>
          <w:sz w:val="22"/>
        </w:rPr>
        <w:t xml:space="preserve">sehingga urusan </w:t>
      </w:r>
      <w:r>
        <w:rPr>
          <w:sz w:val="22"/>
        </w:rPr>
        <w:t>terkait perkuliahan di Universitas Mulawarman</w:t>
      </w:r>
      <w:r>
        <w:rPr>
          <w:sz w:val="22"/>
        </w:rPr>
        <w:t xml:space="preserve"> dapat berjalan lancar</w:t>
      </w:r>
      <w:r>
        <w:rPr>
          <w:sz w:val="22"/>
        </w:rPr>
        <w:t>.</w:t>
      </w:r>
    </w:p>
    <w:p>
      <w:pPr>
        <w:pStyle w:val="style179"/>
        <w:numPr>
          <w:ilvl w:val="0"/>
          <w:numId w:val="1"/>
        </w:numPr>
        <w:spacing w:lineRule="auto" w:line="480"/>
        <w:ind w:left="360"/>
        <w:jc w:val="both"/>
        <w:rPr>
          <w:sz w:val="22"/>
        </w:rPr>
      </w:pPr>
      <w:r>
        <w:rPr>
          <w:sz w:val="22"/>
        </w:rPr>
        <w:t xml:space="preserve">Kedua orang tua tercinta yaitu Bapak Pahmi dan Ibu Maimunah Iman serta seluruh keluarga yang </w:t>
      </w:r>
      <w:r>
        <w:rPr>
          <w:sz w:val="22"/>
        </w:rPr>
        <w:t>senantiasa</w:t>
      </w:r>
      <w:r>
        <w:rPr>
          <w:sz w:val="22"/>
        </w:rPr>
        <w:t xml:space="preserve"> </w:t>
      </w:r>
      <w:r>
        <w:rPr>
          <w:sz w:val="22"/>
        </w:rPr>
        <w:t>memberikan dukungan</w:t>
      </w:r>
      <w:r>
        <w:rPr>
          <w:sz w:val="22"/>
        </w:rPr>
        <w:t xml:space="preserve"> secara materi maupun nonmateri beserta</w:t>
      </w:r>
      <w:r>
        <w:rPr>
          <w:sz w:val="22"/>
        </w:rPr>
        <w:t xml:space="preserve"> perhatian,</w:t>
      </w:r>
      <w:r>
        <w:rPr>
          <w:sz w:val="22"/>
        </w:rPr>
        <w:t xml:space="preserve"> semangat</w:t>
      </w:r>
      <w:r>
        <w:rPr>
          <w:sz w:val="22"/>
        </w:rPr>
        <w:t xml:space="preserve">, motivasi, </w:t>
      </w:r>
      <w:r>
        <w:rPr>
          <w:sz w:val="22"/>
        </w:rPr>
        <w:t xml:space="preserve">dan doa </w:t>
      </w:r>
      <w:r>
        <w:rPr>
          <w:sz w:val="22"/>
        </w:rPr>
        <w:t xml:space="preserve">sehingga dapat </w:t>
      </w:r>
      <w:r>
        <w:rPr>
          <w:sz w:val="22"/>
        </w:rPr>
        <w:t>terselesaikannya</w:t>
      </w:r>
      <w:r>
        <w:rPr>
          <w:sz w:val="22"/>
        </w:rPr>
        <w:t xml:space="preserve"> skripsi ini</w:t>
      </w:r>
      <w:r>
        <w:rPr>
          <w:sz w:val="22"/>
        </w:rPr>
        <w:t>.</w:t>
      </w:r>
    </w:p>
    <w:p>
      <w:pPr>
        <w:pStyle w:val="style179"/>
        <w:numPr>
          <w:ilvl w:val="0"/>
          <w:numId w:val="1"/>
        </w:numPr>
        <w:spacing w:lineRule="auto" w:line="480"/>
        <w:ind w:left="360"/>
        <w:jc w:val="both"/>
        <w:rPr>
          <w:sz w:val="22"/>
        </w:rPr>
      </w:pPr>
      <w:r>
        <w:rPr>
          <w:sz w:val="22"/>
        </w:rPr>
        <w:t>Kepada teman-teman yang senantiasa mengingatkan, memberikan dukungan, dan berjuang bersama selama</w:t>
      </w:r>
      <w:r>
        <w:rPr>
          <w:sz w:val="22"/>
        </w:rPr>
        <w:t xml:space="preserve"> perkuliahan dan</w:t>
      </w:r>
      <w:r>
        <w:rPr>
          <w:sz w:val="22"/>
        </w:rPr>
        <w:t xml:space="preserve"> penyusunan skripsi ini, yaitu </w:t>
      </w:r>
      <w:r>
        <w:rPr>
          <w:sz w:val="22"/>
        </w:rPr>
        <w:t xml:space="preserve">Ananda Bonanza Ayu Safitri; </w:t>
      </w:r>
      <w:r>
        <w:rPr>
          <w:sz w:val="22"/>
        </w:rPr>
        <w:t>Samsiah</w:t>
      </w:r>
      <w:r>
        <w:rPr>
          <w:sz w:val="22"/>
        </w:rPr>
        <w:t xml:space="preserve"> Lailil Muharrama</w:t>
      </w:r>
      <w:r>
        <w:rPr>
          <w:sz w:val="22"/>
        </w:rPr>
        <w:t>;</w:t>
      </w:r>
      <w:r>
        <w:rPr>
          <w:sz w:val="22"/>
        </w:rPr>
        <w:t xml:space="preserve"> Zahra</w:t>
      </w:r>
      <w:r>
        <w:rPr>
          <w:sz w:val="22"/>
        </w:rPr>
        <w:t xml:space="preserve"> Alifya Rahmah</w:t>
      </w:r>
      <w:r>
        <w:rPr>
          <w:sz w:val="22"/>
        </w:rPr>
        <w:t>;</w:t>
      </w:r>
      <w:r>
        <w:rPr>
          <w:sz w:val="22"/>
        </w:rPr>
        <w:t xml:space="preserve"> </w:t>
      </w:r>
      <w:r>
        <w:rPr>
          <w:sz w:val="22"/>
        </w:rPr>
        <w:t>Ahmad Fauzi</w:t>
      </w:r>
      <w:r>
        <w:rPr>
          <w:sz w:val="22"/>
        </w:rPr>
        <w:t>;</w:t>
      </w:r>
      <w:r>
        <w:rPr>
          <w:sz w:val="22"/>
        </w:rPr>
        <w:t xml:space="preserve"> Adel</w:t>
      </w:r>
      <w:r>
        <w:rPr>
          <w:sz w:val="22"/>
        </w:rPr>
        <w:t>ia Salma</w:t>
      </w:r>
      <w:r>
        <w:rPr>
          <w:sz w:val="22"/>
        </w:rPr>
        <w:t>;</w:t>
      </w:r>
      <w:r>
        <w:rPr>
          <w:sz w:val="22"/>
        </w:rPr>
        <w:t xml:space="preserve"> dan </w:t>
      </w:r>
      <w:r>
        <w:rPr>
          <w:sz w:val="22"/>
        </w:rPr>
        <w:t>Fitri Khoirunnisa</w:t>
      </w:r>
      <w:r>
        <w:rPr>
          <w:sz w:val="22"/>
        </w:rPr>
        <w:t>. Penulis mengucapkan terimakasih atas kebersamaan, bantuan, semangat, dan motivasi yang diberikan</w:t>
      </w:r>
      <w:r>
        <w:rPr>
          <w:sz w:val="22"/>
        </w:rPr>
        <w:t xml:space="preserve"> </w:t>
      </w:r>
      <w:r>
        <w:rPr>
          <w:sz w:val="22"/>
        </w:rPr>
        <w:t>sehi</w:t>
      </w:r>
      <w:r>
        <w:rPr>
          <w:sz w:val="22"/>
        </w:rPr>
        <w:t>n</w:t>
      </w:r>
      <w:r>
        <w:rPr>
          <w:sz w:val="22"/>
        </w:rPr>
        <w:t xml:space="preserve">gga skripsi ini akhirnya </w:t>
      </w:r>
      <w:r>
        <w:rPr>
          <w:sz w:val="22"/>
        </w:rPr>
        <w:t>ter</w:t>
      </w:r>
      <w:r>
        <w:rPr>
          <w:sz w:val="22"/>
        </w:rPr>
        <w:t>selesaikan meskipun terdapat segala hambatan dan rintangan</w:t>
      </w:r>
      <w:r>
        <w:rPr>
          <w:sz w:val="22"/>
        </w:rPr>
        <w:t xml:space="preserve"> </w:t>
      </w:r>
      <w:r>
        <w:rPr>
          <w:sz w:val="22"/>
        </w:rPr>
        <w:t>selama penyusunan</w:t>
      </w:r>
      <w:r>
        <w:rPr>
          <w:sz w:val="22"/>
        </w:rPr>
        <w:t>nya</w:t>
      </w:r>
      <w:r>
        <w:rPr>
          <w:sz w:val="22"/>
        </w:rPr>
        <w:t>.</w:t>
      </w:r>
    </w:p>
    <w:p>
      <w:pPr>
        <w:pStyle w:val="style179"/>
        <w:numPr>
          <w:ilvl w:val="0"/>
          <w:numId w:val="1"/>
        </w:numPr>
        <w:spacing w:lineRule="auto" w:line="480"/>
        <w:ind w:left="360"/>
        <w:jc w:val="both"/>
        <w:rPr>
          <w:sz w:val="22"/>
        </w:rPr>
      </w:pPr>
      <w:r>
        <w:rPr>
          <w:sz w:val="22"/>
        </w:rPr>
        <w:t xml:space="preserve">Semua pihak yang telah memberikan bantuan, dukungan, serta kontribusi kepada penulis dalam penyelesaian skripsi ini, </w:t>
      </w:r>
      <w:r>
        <w:rPr>
          <w:sz w:val="22"/>
        </w:rPr>
        <w:t>tetapi</w:t>
      </w:r>
      <w:r>
        <w:rPr>
          <w:sz w:val="22"/>
        </w:rPr>
        <w:t xml:space="preserve"> tidak dapat penulis sebutkan satu persatu. Penulis menyampaikan terima kasih yang sebesar-besarnya.</w:t>
      </w:r>
    </w:p>
    <w:p>
      <w:pPr>
        <w:pStyle w:val="style179"/>
        <w:spacing w:lineRule="auto" w:line="480"/>
        <w:ind w:left="360"/>
        <w:jc w:val="both"/>
        <w:rPr>
          <w:sz w:val="22"/>
        </w:rPr>
      </w:pPr>
    </w:p>
    <w:p>
      <w:pPr>
        <w:pStyle w:val="style0"/>
        <w:spacing w:lineRule="auto" w:line="480"/>
        <w:jc w:val="right"/>
        <w:rPr>
          <w:rFonts w:cs="宋体" w:eastAsia="宋体"/>
          <w:sz w:val="22"/>
        </w:rPr>
      </w:pPr>
      <w:r>
        <w:rPr>
          <w:rFonts w:cs="宋体" w:eastAsia="宋体"/>
          <w:sz w:val="22"/>
        </w:rPr>
        <w:t xml:space="preserve">Samarinda, </w:t>
      </w:r>
      <w:r>
        <w:rPr>
          <w:sz w:val="22"/>
        </w:rPr>
        <w:t xml:space="preserve">11 Maret </w:t>
      </w:r>
      <w:r>
        <w:rPr>
          <w:rFonts w:cs="宋体" w:eastAsia="宋体"/>
          <w:sz w:val="22"/>
        </w:rPr>
        <w:t>202</w:t>
      </w:r>
      <w:r>
        <w:rPr>
          <w:sz w:val="22"/>
        </w:rPr>
        <w:t>6</w:t>
      </w:r>
    </w:p>
    <w:p>
      <w:pPr>
        <w:pStyle w:val="style0"/>
        <w:spacing w:lineRule="auto" w:line="480"/>
        <w:jc w:val="right"/>
        <w:rPr>
          <w:sz w:val="22"/>
        </w:rPr>
      </w:pPr>
      <w:r>
        <w:rPr>
          <w:rFonts w:cs="宋体" w:eastAsia="宋体"/>
          <w:sz w:val="22"/>
        </w:rPr>
        <w:t> </w:t>
      </w:r>
    </w:p>
    <w:p>
      <w:pPr>
        <w:pStyle w:val="style0"/>
        <w:spacing w:before="240" w:lineRule="auto" w:line="480"/>
        <w:jc w:val="right"/>
        <w:rPr>
          <w:rFonts w:cs="宋体" w:eastAsia="宋体"/>
          <w:sz w:val="22"/>
        </w:rPr>
      </w:pPr>
      <w:r>
        <w:rPr>
          <w:sz w:val="22"/>
        </w:rPr>
        <w:t>Nur Fa</w:t>
      </w:r>
      <w:r>
        <w:rPr>
          <w:sz w:val="22"/>
        </w:rPr>
        <w:t>d</w:t>
      </w:r>
      <w:r>
        <w:rPr>
          <w:sz w:val="22"/>
        </w:rPr>
        <w:t>hilah Syafa</w:t>
      </w:r>
    </w:p>
    <w:p>
      <w:pPr>
        <w:pStyle w:val="style0"/>
        <w:jc w:val="both"/>
        <w:rPr>
          <w:sz w:val="22"/>
        </w:rPr>
      </w:pPr>
      <w:r>
        <w:rPr>
          <w:sz w:val="22"/>
        </w:rPr>
        <w:br w:type="page"/>
      </w:r>
    </w:p>
    <w:bookmarkStart w:id="6" w:name="_Toc218854586"/>
    <w:p>
      <w:pPr>
        <w:pStyle w:val="style1"/>
        <w:spacing w:before="0" w:after="240"/>
        <w:ind w:right="17"/>
        <w:rPr/>
      </w:pPr>
      <w:r>
        <w:t>DAFTAR ISI</w:t>
      </w:r>
      <w:bookmarkEnd w:id="6"/>
    </w:p>
    <w:p>
      <w:pPr>
        <w:pStyle w:val="style0"/>
        <w:spacing w:after="0" w:lineRule="auto" w:line="240"/>
        <w:jc w:val="right"/>
        <w:rPr>
          <w:b/>
          <w:bCs/>
        </w:rPr>
      </w:pPr>
      <w:r>
        <w:rPr>
          <w:b/>
          <w:bCs/>
        </w:rPr>
        <w:t>Halaman</w:t>
      </w:r>
    </w:p>
    <w:p>
      <w:pPr>
        <w:pStyle w:val="style266"/>
        <w:spacing w:before="0"/>
        <w:jc w:val="both"/>
        <w:rPr>
          <w:rFonts w:ascii="Times New Roman" w:cs="Times New Roman" w:hAnsi="Times New Roman"/>
          <w:sz w:val="2"/>
          <w:szCs w:val="2"/>
        </w:rPr>
      </w:pPr>
    </w:p>
    <w:p>
      <w:pPr>
        <w:pStyle w:val="style19"/>
        <w:spacing w:before="0"/>
        <w:rPr>
          <w:rFonts w:ascii="Calibri" w:cs="宋体" w:eastAsia="宋体" w:hAnsi="Calibri"/>
          <w:b w:val="false"/>
          <w:bCs w:val="false"/>
          <w:sz w:val="24"/>
          <w:szCs w:val="24"/>
        </w:rPr>
      </w:pPr>
      <w:r>
        <w:rPr>
          <w:sz w:val="24"/>
          <w:szCs w:val="24"/>
        </w:rPr>
        <w:fldChar w:fldCharType="begin"/>
      </w:r>
      <w:r>
        <w:rPr>
          <w:sz w:val="24"/>
          <w:szCs w:val="24"/>
        </w:rPr>
        <w:instrText xml:space="preserve"> TOC \o "1-3" \h \z \u </w:instrText>
      </w:r>
      <w:r>
        <w:rPr>
          <w:sz w:val="24"/>
          <w:szCs w:val="24"/>
        </w:rPr>
        <w:fldChar w:fldCharType="separate"/>
      </w:r>
      <w:r>
        <w:rPr/>
        <w:fldChar w:fldCharType="begin"/>
      </w:r>
      <w:r>
        <w:instrText xml:space="preserve"> HYPERLINK \l "_Toc218854582" </w:instrText>
      </w:r>
      <w:r>
        <w:rPr/>
        <w:fldChar w:fldCharType="separate"/>
      </w:r>
      <w:r>
        <w:rPr>
          <w:rStyle w:val="style85"/>
        </w:rPr>
        <w:t>HALAMAN PENGESAHAN</w:t>
      </w:r>
      <w:r>
        <w:rPr>
          <w:webHidden/>
        </w:rPr>
        <w:tab/>
      </w:r>
      <w:r>
        <w:rPr>
          <w:webHidden/>
        </w:rPr>
        <w:fldChar w:fldCharType="begin"/>
      </w:r>
      <w:r>
        <w:rPr>
          <w:webHidden/>
        </w:rPr>
        <w:instrText xml:space="preserve"> PAGEREF _Toc218854582 \h </w:instrText>
      </w:r>
      <w:r>
        <w:rPr>
          <w:webHidden/>
        </w:rPr>
        <w:fldChar w:fldCharType="separate"/>
      </w:r>
      <w:r>
        <w:rPr>
          <w:webHidden/>
        </w:rPr>
        <w:t>ii</w:t>
      </w:r>
      <w:r>
        <w:rPr>
          <w:webHidden/>
        </w:rPr>
        <w:fldChar w:fldCharType="end"/>
      </w:r>
      <w:r>
        <w:rPr/>
        <w:fldChar w:fldCharType="end"/>
      </w:r>
    </w:p>
    <w:p>
      <w:pPr>
        <w:pStyle w:val="style19"/>
        <w:spacing w:before="0"/>
        <w:rPr>
          <w:rFonts w:ascii="Calibri" w:cs="宋体" w:eastAsia="宋体" w:hAnsi="Calibri"/>
          <w:b w:val="false"/>
          <w:bCs w:val="false"/>
          <w:sz w:val="24"/>
          <w:szCs w:val="24"/>
        </w:rPr>
      </w:pPr>
      <w:r>
        <w:rPr/>
        <w:fldChar w:fldCharType="begin"/>
      </w:r>
      <w:r>
        <w:instrText xml:space="preserve"> HYPERLINK \l "_Toc218854583" </w:instrText>
      </w:r>
      <w:r>
        <w:rPr/>
        <w:fldChar w:fldCharType="separate"/>
      </w:r>
      <w:r>
        <w:rPr>
          <w:rStyle w:val="style85"/>
        </w:rPr>
        <w:t>ABSTRAK</w:t>
      </w:r>
      <w:r>
        <w:rPr>
          <w:webHidden/>
        </w:rPr>
        <w:tab/>
      </w:r>
      <w:r>
        <w:rPr>
          <w:webHidden/>
        </w:rPr>
        <w:fldChar w:fldCharType="begin"/>
      </w:r>
      <w:r>
        <w:rPr>
          <w:webHidden/>
        </w:rPr>
        <w:instrText xml:space="preserve"> PAGEREF _Toc218854583 \h </w:instrText>
      </w:r>
      <w:r>
        <w:rPr>
          <w:webHidden/>
        </w:rPr>
        <w:fldChar w:fldCharType="separate"/>
      </w:r>
      <w:r>
        <w:rPr>
          <w:webHidden/>
        </w:rPr>
        <w:t>iii</w:t>
      </w:r>
      <w:r>
        <w:rPr>
          <w:webHidden/>
        </w:rPr>
        <w:fldChar w:fldCharType="end"/>
      </w:r>
      <w:r>
        <w:rPr/>
        <w:fldChar w:fldCharType="end"/>
      </w:r>
    </w:p>
    <w:p>
      <w:pPr>
        <w:pStyle w:val="style19"/>
        <w:spacing w:before="0"/>
        <w:rPr>
          <w:rFonts w:ascii="Calibri" w:cs="宋体" w:eastAsia="宋体" w:hAnsi="Calibri"/>
          <w:b w:val="false"/>
          <w:bCs w:val="false"/>
          <w:sz w:val="24"/>
          <w:szCs w:val="24"/>
        </w:rPr>
      </w:pPr>
      <w:r>
        <w:rPr/>
        <w:fldChar w:fldCharType="begin"/>
      </w:r>
      <w:r>
        <w:instrText xml:space="preserve"> HYPERLINK \l "_Toc218854584" </w:instrText>
      </w:r>
      <w:r>
        <w:rPr/>
        <w:fldChar w:fldCharType="separate"/>
      </w:r>
      <w:r>
        <w:rPr>
          <w:rStyle w:val="style85"/>
          <w:i/>
          <w:iCs/>
        </w:rPr>
        <w:t>ABSTRACT</w:t>
      </w:r>
      <w:r>
        <w:rPr>
          <w:webHidden/>
        </w:rPr>
        <w:tab/>
      </w:r>
      <w:r>
        <w:rPr>
          <w:webHidden/>
        </w:rPr>
        <w:fldChar w:fldCharType="begin"/>
      </w:r>
      <w:r>
        <w:rPr>
          <w:webHidden/>
        </w:rPr>
        <w:instrText xml:space="preserve"> PAGEREF _Toc218854584 \h </w:instrText>
      </w:r>
      <w:r>
        <w:rPr>
          <w:webHidden/>
        </w:rPr>
        <w:fldChar w:fldCharType="separate"/>
      </w:r>
      <w:r>
        <w:rPr>
          <w:webHidden/>
        </w:rPr>
        <w:t>iv</w:t>
      </w:r>
      <w:r>
        <w:rPr>
          <w:webHidden/>
        </w:rPr>
        <w:fldChar w:fldCharType="end"/>
      </w:r>
      <w:r>
        <w:rPr/>
        <w:fldChar w:fldCharType="end"/>
      </w:r>
    </w:p>
    <w:p>
      <w:pPr>
        <w:pStyle w:val="style19"/>
        <w:spacing w:before="0"/>
        <w:rPr>
          <w:rFonts w:ascii="Calibri" w:cs="宋体" w:eastAsia="宋体" w:hAnsi="Calibri"/>
          <w:b w:val="false"/>
          <w:bCs w:val="false"/>
          <w:sz w:val="24"/>
          <w:szCs w:val="24"/>
        </w:rPr>
      </w:pPr>
      <w:r>
        <w:rPr/>
        <w:fldChar w:fldCharType="begin"/>
      </w:r>
      <w:r>
        <w:instrText xml:space="preserve"> HYPERLINK \l "_Toc218854585" </w:instrText>
      </w:r>
      <w:r>
        <w:rPr/>
        <w:fldChar w:fldCharType="separate"/>
      </w:r>
      <w:r>
        <w:rPr>
          <w:rStyle w:val="style85"/>
        </w:rPr>
        <w:t>KATA PENGANTAR</w:t>
      </w:r>
      <w:r>
        <w:rPr>
          <w:webHidden/>
        </w:rPr>
        <w:tab/>
      </w:r>
      <w:r>
        <w:rPr>
          <w:webHidden/>
        </w:rPr>
        <w:fldChar w:fldCharType="begin"/>
      </w:r>
      <w:r>
        <w:rPr>
          <w:webHidden/>
        </w:rPr>
        <w:instrText xml:space="preserve"> PAGEREF _Toc218854585 \h </w:instrText>
      </w:r>
      <w:r>
        <w:rPr>
          <w:webHidden/>
        </w:rPr>
        <w:fldChar w:fldCharType="separate"/>
      </w:r>
      <w:r>
        <w:rPr>
          <w:webHidden/>
        </w:rPr>
        <w:t>v</w:t>
      </w:r>
      <w:r>
        <w:rPr>
          <w:webHidden/>
        </w:rPr>
        <w:fldChar w:fldCharType="end"/>
      </w:r>
      <w:r>
        <w:rPr/>
        <w:fldChar w:fldCharType="end"/>
      </w:r>
    </w:p>
    <w:p>
      <w:pPr>
        <w:pStyle w:val="style19"/>
        <w:spacing w:before="0"/>
        <w:rPr>
          <w:rFonts w:ascii="Calibri" w:cs="宋体" w:eastAsia="宋体" w:hAnsi="Calibri"/>
          <w:b w:val="false"/>
          <w:bCs w:val="false"/>
          <w:sz w:val="24"/>
          <w:szCs w:val="24"/>
        </w:rPr>
      </w:pPr>
      <w:r>
        <w:rPr/>
        <w:fldChar w:fldCharType="begin"/>
      </w:r>
      <w:r>
        <w:instrText xml:space="preserve"> HYPERLINK \l "_Toc218854586" </w:instrText>
      </w:r>
      <w:r>
        <w:rPr/>
        <w:fldChar w:fldCharType="separate"/>
      </w:r>
      <w:r>
        <w:rPr>
          <w:rStyle w:val="style85"/>
        </w:rPr>
        <w:t>DAFTAR ISI</w:t>
      </w:r>
      <w:r>
        <w:rPr>
          <w:webHidden/>
        </w:rPr>
        <w:tab/>
      </w:r>
      <w:r>
        <w:rPr>
          <w:webHidden/>
        </w:rPr>
        <w:fldChar w:fldCharType="begin"/>
      </w:r>
      <w:r>
        <w:rPr>
          <w:webHidden/>
        </w:rPr>
        <w:instrText xml:space="preserve"> PAGEREF _Toc218854586 \h </w:instrText>
      </w:r>
      <w:r>
        <w:rPr>
          <w:webHidden/>
        </w:rPr>
        <w:fldChar w:fldCharType="separate"/>
      </w:r>
      <w:r>
        <w:rPr>
          <w:webHidden/>
        </w:rPr>
        <w:t>vii</w:t>
      </w:r>
      <w:r>
        <w:rPr>
          <w:webHidden/>
        </w:rPr>
        <w:fldChar w:fldCharType="end"/>
      </w:r>
      <w:r>
        <w:rPr/>
        <w:fldChar w:fldCharType="end"/>
      </w:r>
    </w:p>
    <w:p>
      <w:pPr>
        <w:pStyle w:val="style19"/>
        <w:spacing w:before="0"/>
        <w:rPr>
          <w:rFonts w:ascii="Calibri" w:cs="宋体" w:eastAsia="宋体" w:hAnsi="Calibri"/>
          <w:b w:val="false"/>
          <w:bCs w:val="false"/>
          <w:sz w:val="24"/>
          <w:szCs w:val="24"/>
        </w:rPr>
      </w:pPr>
      <w:r>
        <w:rPr/>
        <w:fldChar w:fldCharType="begin"/>
      </w:r>
      <w:r>
        <w:instrText xml:space="preserve"> HYPERLINK \l "_Toc218854587" </w:instrText>
      </w:r>
      <w:r>
        <w:rPr/>
        <w:fldChar w:fldCharType="separate"/>
      </w:r>
      <w:r>
        <w:rPr>
          <w:rStyle w:val="style85"/>
        </w:rPr>
        <w:t>DAFTAR TABEL</w:t>
      </w:r>
      <w:r>
        <w:rPr>
          <w:webHidden/>
        </w:rPr>
        <w:tab/>
      </w:r>
      <w:r>
        <w:rPr>
          <w:webHidden/>
        </w:rPr>
        <w:fldChar w:fldCharType="begin"/>
      </w:r>
      <w:r>
        <w:rPr>
          <w:webHidden/>
        </w:rPr>
        <w:instrText xml:space="preserve"> PAGEREF _Toc218854587 \h </w:instrText>
      </w:r>
      <w:r>
        <w:rPr>
          <w:webHidden/>
        </w:rPr>
        <w:fldChar w:fldCharType="separate"/>
      </w:r>
      <w:r>
        <w:rPr>
          <w:webHidden/>
        </w:rPr>
        <w:t>ix</w:t>
      </w:r>
      <w:r>
        <w:rPr>
          <w:webHidden/>
        </w:rPr>
        <w:fldChar w:fldCharType="end"/>
      </w:r>
      <w:r>
        <w:rPr/>
        <w:fldChar w:fldCharType="end"/>
      </w:r>
    </w:p>
    <w:p>
      <w:pPr>
        <w:pStyle w:val="style19"/>
        <w:spacing w:before="0"/>
        <w:rPr>
          <w:rFonts w:ascii="Calibri" w:cs="宋体" w:eastAsia="宋体" w:hAnsi="Calibri"/>
          <w:b w:val="false"/>
          <w:bCs w:val="false"/>
          <w:sz w:val="24"/>
          <w:szCs w:val="24"/>
        </w:rPr>
      </w:pPr>
      <w:r>
        <w:rPr/>
        <w:fldChar w:fldCharType="begin"/>
      </w:r>
      <w:r>
        <w:instrText xml:space="preserve"> HYPERLINK \l "_Toc218854588" </w:instrText>
      </w:r>
      <w:r>
        <w:rPr/>
        <w:fldChar w:fldCharType="separate"/>
      </w:r>
      <w:r>
        <w:rPr>
          <w:rStyle w:val="style85"/>
        </w:rPr>
        <w:t>DAFTAR GAMBAR</w:t>
      </w:r>
      <w:r>
        <w:rPr>
          <w:webHidden/>
        </w:rPr>
        <w:tab/>
      </w:r>
      <w:r>
        <w:rPr>
          <w:webHidden/>
        </w:rPr>
        <w:fldChar w:fldCharType="begin"/>
      </w:r>
      <w:r>
        <w:rPr>
          <w:webHidden/>
        </w:rPr>
        <w:instrText xml:space="preserve"> PAGEREF _Toc218854588 \h </w:instrText>
      </w:r>
      <w:r>
        <w:rPr>
          <w:webHidden/>
        </w:rPr>
        <w:fldChar w:fldCharType="separate"/>
      </w:r>
      <w:r>
        <w:rPr>
          <w:webHidden/>
        </w:rPr>
        <w:t>x</w:t>
      </w:r>
      <w:r>
        <w:rPr>
          <w:webHidden/>
        </w:rPr>
        <w:fldChar w:fldCharType="end"/>
      </w:r>
      <w:r>
        <w:rPr/>
        <w:fldChar w:fldCharType="end"/>
      </w:r>
    </w:p>
    <w:p>
      <w:pPr>
        <w:pStyle w:val="style19"/>
        <w:spacing w:before="0"/>
        <w:rPr>
          <w:rFonts w:ascii="Calibri" w:cs="宋体" w:eastAsia="宋体" w:hAnsi="Calibri"/>
          <w:b w:val="false"/>
          <w:bCs w:val="false"/>
          <w:sz w:val="24"/>
          <w:szCs w:val="24"/>
        </w:rPr>
      </w:pPr>
      <w:r>
        <w:rPr/>
        <w:fldChar w:fldCharType="begin"/>
      </w:r>
      <w:r>
        <w:instrText xml:space="preserve"> HYPERLINK \l "_Toc218854589" </w:instrText>
      </w:r>
      <w:r>
        <w:rPr/>
        <w:fldChar w:fldCharType="separate"/>
      </w:r>
      <w:r>
        <w:rPr>
          <w:rStyle w:val="style85"/>
        </w:rPr>
        <w:t>DAFTAR LAMPIRAN</w:t>
      </w:r>
      <w:r>
        <w:rPr>
          <w:webHidden/>
        </w:rPr>
        <w:tab/>
      </w:r>
      <w:r>
        <w:rPr>
          <w:webHidden/>
        </w:rPr>
        <w:fldChar w:fldCharType="begin"/>
      </w:r>
      <w:r>
        <w:rPr>
          <w:webHidden/>
        </w:rPr>
        <w:instrText xml:space="preserve"> PAGEREF _Toc218854589 \h </w:instrText>
      </w:r>
      <w:r>
        <w:rPr>
          <w:webHidden/>
        </w:rPr>
        <w:fldChar w:fldCharType="separate"/>
      </w:r>
      <w:r>
        <w:rPr>
          <w:webHidden/>
        </w:rPr>
        <w:t>xi</w:t>
      </w:r>
      <w:r>
        <w:rPr>
          <w:webHidden/>
        </w:rPr>
        <w:fldChar w:fldCharType="end"/>
      </w:r>
      <w:r>
        <w:rPr/>
        <w:fldChar w:fldCharType="end"/>
      </w:r>
    </w:p>
    <w:p>
      <w:pPr>
        <w:pStyle w:val="style19"/>
        <w:rPr>
          <w:rFonts w:ascii="Calibri" w:cs="宋体" w:eastAsia="宋体" w:hAnsi="Calibri"/>
          <w:b w:val="false"/>
          <w:bCs w:val="false"/>
          <w:sz w:val="24"/>
          <w:szCs w:val="24"/>
        </w:rPr>
      </w:pPr>
      <w:r>
        <w:rPr/>
        <w:fldChar w:fldCharType="begin"/>
      </w:r>
      <w:r>
        <w:instrText xml:space="preserve"> HYPERLINK \l "_Toc218854590" </w:instrText>
      </w:r>
      <w:r>
        <w:rPr/>
        <w:fldChar w:fldCharType="separate"/>
      </w:r>
      <w:r>
        <w:rPr>
          <w:rStyle w:val="style85"/>
        </w:rPr>
        <w:t>BAB I</w:t>
      </w:r>
      <w:r>
        <w:rPr>
          <w:webHidden/>
        </w:rPr>
        <w:tab/>
      </w:r>
      <w:r>
        <w:rPr/>
        <w:fldChar w:fldCharType="end"/>
      </w:r>
      <w:r>
        <w:rPr/>
        <w:fldChar w:fldCharType="begin"/>
      </w:r>
      <w:r>
        <w:instrText xml:space="preserve"> HYPERLINK \l "_Toc218854591" </w:instrText>
      </w:r>
      <w:r>
        <w:rPr/>
        <w:fldChar w:fldCharType="separate"/>
      </w:r>
      <w:r>
        <w:rPr>
          <w:rStyle w:val="style85"/>
        </w:rPr>
        <w:t>PENDAHULUAN</w:t>
      </w:r>
      <w:r>
        <w:rPr>
          <w:webHidden/>
        </w:rPr>
        <w:tab/>
      </w:r>
      <w:r>
        <w:rPr>
          <w:webHidden/>
        </w:rPr>
        <w:fldChar w:fldCharType="begin"/>
      </w:r>
      <w:r>
        <w:rPr>
          <w:webHidden/>
        </w:rPr>
        <w:instrText xml:space="preserve"> PAGEREF _Toc218854591 \h </w:instrText>
      </w:r>
      <w:r>
        <w:rPr>
          <w:webHidden/>
        </w:rPr>
        <w:fldChar w:fldCharType="separate"/>
      </w:r>
      <w:r>
        <w:rPr>
          <w:webHidden/>
        </w:rPr>
        <w:t>1</w:t>
      </w:r>
      <w:r>
        <w:rPr>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"_Toc218854592" </w:instrText>
      </w:r>
      <w:r>
        <w:rPr/>
        <w:fldChar w:fldCharType="separate"/>
      </w:r>
      <w:r>
        <w:rPr>
          <w:rStyle w:val="style85"/>
          <w:rFonts w:cs="Times New Roman"/>
          <w:noProof/>
        </w:rPr>
        <w:t>1.1.</w:t>
      </w:r>
      <w:r>
        <w:rPr>
          <w:rFonts w:ascii="Calibri" w:eastAsia="宋体" w:hAnsi="Calibri"/>
          <w:noProof/>
          <w:szCs w:val="24"/>
        </w:rPr>
        <w:tab/>
      </w:r>
      <w:r>
        <w:rPr>
          <w:rStyle w:val="style85"/>
          <w:rFonts w:cs="Times New Roman"/>
          <w:noProof/>
        </w:rPr>
        <w:t>Latar Belakang</w:t>
      </w:r>
      <w:r>
        <w:rPr>
          <w:noProof/>
          <w:webHidden/>
        </w:rPr>
        <w:tab/>
      </w:r>
      <w:r>
        <w:rPr>
          <w:noProof/>
          <w:webHidden/>
        </w:rPr>
        <w:fldChar w:fldCharType="begin"/>
      </w:r>
      <w:r>
        <w:rPr>
          <w:noProof/>
          <w:webHidden/>
        </w:rPr>
        <w:instrText xml:space="preserve"> PAGEREF _Toc218854592 \h </w:instrText>
      </w:r>
      <w:r>
        <w:rPr>
          <w:noProof/>
          <w:webHidden/>
        </w:rPr>
        <w:fldChar w:fldCharType="separate"/>
      </w:r>
      <w:r>
        <w:rPr>
          <w:noProof/>
          <w:webHidden/>
        </w:rPr>
        <w:t>1</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"_Toc218854593" </w:instrText>
      </w:r>
      <w:r>
        <w:rPr/>
        <w:fldChar w:fldCharType="separate"/>
      </w:r>
      <w:r>
        <w:rPr>
          <w:rStyle w:val="style85"/>
          <w:noProof/>
        </w:rPr>
        <w:t xml:space="preserve">1.2. </w:t>
      </w:r>
      <w:r>
        <w:rPr>
          <w:rFonts w:ascii="Calibri" w:eastAsia="宋体" w:hAnsi="Calibri"/>
          <w:noProof/>
          <w:szCs w:val="24"/>
        </w:rPr>
        <w:tab/>
      </w:r>
      <w:r>
        <w:rPr>
          <w:rStyle w:val="style85"/>
          <w:noProof/>
        </w:rPr>
        <w:t>Rumusan Masalah</w:t>
      </w:r>
      <w:r>
        <w:rPr>
          <w:noProof/>
          <w:webHidden/>
        </w:rPr>
        <w:tab/>
      </w:r>
      <w:r>
        <w:rPr>
          <w:noProof/>
          <w:webHidden/>
        </w:rPr>
        <w:fldChar w:fldCharType="begin"/>
      </w:r>
      <w:r>
        <w:rPr>
          <w:noProof/>
          <w:webHidden/>
        </w:rPr>
        <w:instrText xml:space="preserve"> PAGEREF _Toc218854593 \h </w:instrText>
      </w:r>
      <w:r>
        <w:rPr>
          <w:noProof/>
          <w:webHidden/>
        </w:rPr>
        <w:fldChar w:fldCharType="separate"/>
      </w:r>
      <w:r>
        <w:rPr>
          <w:noProof/>
          <w:webHidden/>
        </w:rPr>
        <w:t>7</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"_Toc218854594" </w:instrText>
      </w:r>
      <w:r>
        <w:rPr/>
        <w:fldChar w:fldCharType="separate"/>
      </w:r>
      <w:r>
        <w:rPr>
          <w:rStyle w:val="style85"/>
          <w:rFonts w:cs="Times New Roman"/>
          <w:noProof/>
        </w:rPr>
        <w:t xml:space="preserve">1.3. </w:t>
      </w:r>
      <w:r>
        <w:rPr>
          <w:rFonts w:ascii="Calibri" w:eastAsia="宋体" w:hAnsi="Calibri"/>
          <w:noProof/>
          <w:szCs w:val="24"/>
        </w:rPr>
        <w:tab/>
      </w:r>
      <w:r>
        <w:rPr>
          <w:rStyle w:val="style85"/>
          <w:rFonts w:cs="Times New Roman"/>
          <w:noProof/>
        </w:rPr>
        <w:t>Tujuan Penelitian</w:t>
      </w:r>
      <w:r>
        <w:rPr>
          <w:noProof/>
          <w:webHidden/>
        </w:rPr>
        <w:tab/>
      </w:r>
      <w:r>
        <w:rPr>
          <w:noProof/>
          <w:webHidden/>
        </w:rPr>
        <w:fldChar w:fldCharType="begin"/>
      </w:r>
      <w:r>
        <w:rPr>
          <w:noProof/>
          <w:webHidden/>
        </w:rPr>
        <w:instrText xml:space="preserve"> PAGEREF _Toc218854594 \h </w:instrText>
      </w:r>
      <w:r>
        <w:rPr>
          <w:noProof/>
          <w:webHidden/>
        </w:rPr>
        <w:fldChar w:fldCharType="separate"/>
      </w:r>
      <w:r>
        <w:rPr>
          <w:noProof/>
          <w:webHidden/>
        </w:rPr>
        <w:t>7</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"_Toc218854595" </w:instrText>
      </w:r>
      <w:r>
        <w:rPr/>
        <w:fldChar w:fldCharType="separate"/>
      </w:r>
      <w:r>
        <w:rPr>
          <w:rStyle w:val="style85"/>
          <w:rFonts w:cs="Times New Roman"/>
          <w:noProof/>
        </w:rPr>
        <w:t xml:space="preserve">1.4. </w:t>
      </w:r>
      <w:r>
        <w:rPr>
          <w:rFonts w:ascii="Calibri" w:eastAsia="宋体" w:hAnsi="Calibri"/>
          <w:noProof/>
          <w:szCs w:val="24"/>
        </w:rPr>
        <w:tab/>
      </w:r>
      <w:r>
        <w:rPr>
          <w:rStyle w:val="style85"/>
          <w:rFonts w:cs="Times New Roman"/>
          <w:noProof/>
        </w:rPr>
        <w:t>Manfaat Penelitian</w:t>
      </w:r>
      <w:r>
        <w:rPr>
          <w:noProof/>
          <w:webHidden/>
        </w:rPr>
        <w:tab/>
      </w:r>
      <w:r>
        <w:rPr>
          <w:noProof/>
          <w:webHidden/>
        </w:rPr>
        <w:fldChar w:fldCharType="begin"/>
      </w:r>
      <w:r>
        <w:rPr>
          <w:noProof/>
          <w:webHidden/>
        </w:rPr>
        <w:instrText xml:space="preserve"> PAGEREF _Toc218854595 \h </w:instrText>
      </w:r>
      <w:r>
        <w:rPr>
          <w:noProof/>
          <w:webHidden/>
        </w:rPr>
        <w:fldChar w:fldCharType="separate"/>
      </w:r>
      <w:r>
        <w:rPr>
          <w:noProof/>
          <w:webHidden/>
        </w:rPr>
        <w:t>8</w:t>
      </w:r>
      <w:r>
        <w:rPr>
          <w:noProof/>
          <w:webHidden/>
        </w:rPr>
        <w:fldChar w:fldCharType="end"/>
      </w:r>
      <w:r>
        <w:rPr/>
        <w:fldChar w:fldCharType="end"/>
      </w:r>
    </w:p>
    <w:p>
      <w:pPr>
        <w:pStyle w:val="style19"/>
        <w:rPr>
          <w:rFonts w:ascii="Calibri" w:cs="宋体" w:eastAsia="宋体" w:hAnsi="Calibri"/>
          <w:b w:val="false"/>
          <w:bCs w:val="false"/>
          <w:sz w:val="24"/>
          <w:szCs w:val="24"/>
        </w:rPr>
      </w:pPr>
      <w:r>
        <w:rPr/>
        <w:fldChar w:fldCharType="begin"/>
      </w:r>
      <w:r>
        <w:instrText xml:space="preserve"> HYPERLINK \l "_Toc218854596" </w:instrText>
      </w:r>
      <w:r>
        <w:rPr/>
        <w:fldChar w:fldCharType="separate"/>
      </w:r>
      <w:r>
        <w:rPr>
          <w:rStyle w:val="style85"/>
        </w:rPr>
        <w:t>BAB II</w:t>
      </w:r>
      <w:r>
        <w:rPr>
          <w:webHidden/>
        </w:rPr>
        <w:tab/>
      </w:r>
      <w:r>
        <w:rPr/>
        <w:fldChar w:fldCharType="end"/>
      </w:r>
      <w:r>
        <w:rPr/>
        <w:fldChar w:fldCharType="begin"/>
      </w:r>
      <w:r>
        <w:instrText xml:space="preserve"> HYPERLINK \l "_Toc218854597" </w:instrText>
      </w:r>
      <w:r>
        <w:rPr/>
        <w:fldChar w:fldCharType="separate"/>
      </w:r>
      <w:r>
        <w:rPr>
          <w:rStyle w:val="style85"/>
        </w:rPr>
        <w:t>KAJIAN PUSTAKA</w:t>
      </w:r>
      <w:r>
        <w:rPr>
          <w:webHidden/>
        </w:rPr>
        <w:tab/>
      </w:r>
      <w:r>
        <w:rPr>
          <w:webHidden/>
        </w:rPr>
        <w:fldChar w:fldCharType="begin"/>
      </w:r>
      <w:r>
        <w:rPr>
          <w:webHidden/>
        </w:rPr>
        <w:instrText xml:space="preserve"> PAGEREF _Toc218854597 \h </w:instrText>
      </w:r>
      <w:r>
        <w:rPr>
          <w:webHidden/>
        </w:rPr>
        <w:fldChar w:fldCharType="separate"/>
      </w:r>
      <w:r>
        <w:rPr>
          <w:webHidden/>
        </w:rPr>
        <w:t>9</w:t>
      </w:r>
      <w:r>
        <w:rPr>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"_Toc218854598" </w:instrText>
      </w:r>
      <w:r>
        <w:rPr/>
        <w:fldChar w:fldCharType="separate"/>
      </w:r>
      <w:r>
        <w:rPr>
          <w:rStyle w:val="style85"/>
          <w:noProof/>
        </w:rPr>
        <w:t>2.1.</w:t>
      </w:r>
      <w:r>
        <w:rPr>
          <w:rFonts w:ascii="Calibri" w:eastAsia="宋体" w:hAnsi="Calibri"/>
          <w:noProof/>
          <w:szCs w:val="24"/>
        </w:rPr>
        <w:tab/>
      </w:r>
      <w:r>
        <w:rPr>
          <w:rStyle w:val="style85"/>
          <w:noProof/>
        </w:rPr>
        <w:t>Dasar Teori</w:t>
      </w:r>
      <w:r>
        <w:rPr>
          <w:noProof/>
          <w:webHidden/>
        </w:rPr>
        <w:tab/>
      </w:r>
      <w:r>
        <w:rPr>
          <w:noProof/>
          <w:webHidden/>
        </w:rPr>
        <w:fldChar w:fldCharType="begin"/>
      </w:r>
      <w:r>
        <w:rPr>
          <w:noProof/>
          <w:webHidden/>
        </w:rPr>
        <w:instrText xml:space="preserve"> PAGEREF _Toc218854598 \h </w:instrText>
      </w:r>
      <w:r>
        <w:rPr>
          <w:noProof/>
          <w:webHidden/>
        </w:rPr>
        <w:fldChar w:fldCharType="separate"/>
      </w:r>
      <w:r>
        <w:rPr>
          <w:noProof/>
          <w:webHidden/>
        </w:rPr>
        <w:t>9</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"_Toc218854599" </w:instrText>
      </w:r>
      <w:r>
        <w:rPr/>
        <w:fldChar w:fldCharType="separate"/>
      </w:r>
      <w:r>
        <w:rPr>
          <w:rStyle w:val="style85"/>
          <w:noProof/>
        </w:rPr>
        <w:t>2.1.1.</w:t>
      </w:r>
      <w:r>
        <w:rPr>
          <w:rFonts w:ascii="Calibri" w:eastAsia="宋体" w:hAnsi="Calibri"/>
          <w:noProof/>
          <w:szCs w:val="24"/>
        </w:rPr>
        <w:tab/>
      </w:r>
      <w:r>
        <w:rPr>
          <w:rStyle w:val="style85"/>
          <w:i/>
          <w:iCs/>
          <w:noProof/>
        </w:rPr>
        <w:t>Signalling Theory</w:t>
      </w:r>
      <w:r>
        <w:rPr>
          <w:noProof/>
          <w:webHidden/>
        </w:rPr>
        <w:tab/>
      </w:r>
      <w:r>
        <w:rPr>
          <w:noProof/>
          <w:webHidden/>
        </w:rPr>
        <w:fldChar w:fldCharType="begin"/>
      </w:r>
      <w:r>
        <w:rPr>
          <w:noProof/>
          <w:webHidden/>
        </w:rPr>
        <w:instrText xml:space="preserve"> PAGEREF _Toc218854599 \h </w:instrText>
      </w:r>
      <w:r>
        <w:rPr>
          <w:noProof/>
          <w:webHidden/>
        </w:rPr>
        <w:fldChar w:fldCharType="separate"/>
      </w:r>
      <w:r>
        <w:rPr>
          <w:noProof/>
          <w:webHidden/>
        </w:rPr>
        <w:t>9</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"_Toc218854600" </w:instrText>
      </w:r>
      <w:r>
        <w:rPr/>
        <w:fldChar w:fldCharType="separate"/>
      </w:r>
      <w:r>
        <w:rPr>
          <w:rStyle w:val="style85"/>
          <w:noProof/>
        </w:rPr>
        <w:t xml:space="preserve">2.1.2. </w:t>
      </w:r>
      <w:r>
        <w:rPr>
          <w:rFonts w:ascii="Calibri" w:eastAsia="宋体" w:hAnsi="Calibri"/>
          <w:noProof/>
          <w:szCs w:val="24"/>
        </w:rPr>
        <w:tab/>
      </w:r>
      <w:r>
        <w:rPr>
          <w:rStyle w:val="style85"/>
          <w:i/>
          <w:iCs/>
          <w:noProof/>
        </w:rPr>
        <w:t>Agency Theory</w:t>
      </w:r>
      <w:r>
        <w:rPr>
          <w:noProof/>
          <w:webHidden/>
        </w:rPr>
        <w:tab/>
      </w:r>
      <w:r>
        <w:rPr>
          <w:noProof/>
          <w:webHidden/>
        </w:rPr>
        <w:fldChar w:fldCharType="begin"/>
      </w:r>
      <w:r>
        <w:rPr>
          <w:noProof/>
          <w:webHidden/>
        </w:rPr>
        <w:instrText xml:space="preserve"> PAGEREF _Toc218854600 \h </w:instrText>
      </w:r>
      <w:r>
        <w:rPr>
          <w:noProof/>
          <w:webHidden/>
        </w:rPr>
        <w:fldChar w:fldCharType="separate"/>
      </w:r>
      <w:r>
        <w:rPr>
          <w:noProof/>
          <w:webHidden/>
        </w:rPr>
        <w:t>10</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"_Toc218854601" </w:instrText>
      </w:r>
      <w:r>
        <w:rPr/>
        <w:fldChar w:fldCharType="separate"/>
      </w:r>
      <w:r>
        <w:rPr>
          <w:rStyle w:val="style85"/>
          <w:noProof/>
        </w:rPr>
        <w:t xml:space="preserve">2.1.3. </w:t>
      </w:r>
      <w:r>
        <w:rPr>
          <w:rFonts w:ascii="Calibri" w:eastAsia="宋体" w:hAnsi="Calibri"/>
          <w:noProof/>
          <w:szCs w:val="24"/>
        </w:rPr>
        <w:tab/>
      </w:r>
      <w:r>
        <w:rPr>
          <w:rStyle w:val="style85"/>
          <w:i/>
          <w:iCs/>
          <w:noProof/>
        </w:rPr>
        <w:t>Firm Value</w:t>
      </w:r>
      <w:r>
        <w:rPr>
          <w:noProof/>
          <w:webHidden/>
        </w:rPr>
        <w:tab/>
      </w:r>
      <w:r>
        <w:rPr>
          <w:noProof/>
          <w:webHidden/>
        </w:rPr>
        <w:fldChar w:fldCharType="begin"/>
      </w:r>
      <w:r>
        <w:rPr>
          <w:noProof/>
          <w:webHidden/>
        </w:rPr>
        <w:instrText xml:space="preserve"> PAGEREF _Toc218854601 \h </w:instrText>
      </w:r>
      <w:r>
        <w:rPr>
          <w:noProof/>
          <w:webHidden/>
        </w:rPr>
        <w:fldChar w:fldCharType="separate"/>
      </w:r>
      <w:r>
        <w:rPr>
          <w:noProof/>
          <w:webHidden/>
        </w:rPr>
        <w:t>12</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"_Toc218854602" </w:instrText>
      </w:r>
      <w:r>
        <w:rPr/>
        <w:fldChar w:fldCharType="separate"/>
      </w:r>
      <w:r>
        <w:rPr>
          <w:rStyle w:val="style85"/>
          <w:noProof/>
        </w:rPr>
        <w:t xml:space="preserve">2.1.4. </w:t>
      </w:r>
      <w:r>
        <w:rPr>
          <w:rFonts w:ascii="Calibri" w:eastAsia="宋体" w:hAnsi="Calibri"/>
          <w:noProof/>
          <w:szCs w:val="24"/>
        </w:rPr>
        <w:tab/>
      </w:r>
      <w:r>
        <w:rPr>
          <w:rStyle w:val="style85"/>
          <w:i/>
          <w:iCs/>
          <w:noProof/>
        </w:rPr>
        <w:t>Enterprise Risk Management</w:t>
      </w:r>
      <w:r>
        <w:rPr>
          <w:noProof/>
          <w:webHidden/>
        </w:rPr>
        <w:tab/>
      </w:r>
      <w:r>
        <w:rPr>
          <w:noProof/>
          <w:webHidden/>
        </w:rPr>
        <w:fldChar w:fldCharType="begin"/>
      </w:r>
      <w:r>
        <w:rPr>
          <w:noProof/>
          <w:webHidden/>
        </w:rPr>
        <w:instrText xml:space="preserve"> PAGEREF _Toc218854602 \h </w:instrText>
      </w:r>
      <w:r>
        <w:rPr>
          <w:noProof/>
          <w:webHidden/>
        </w:rPr>
        <w:fldChar w:fldCharType="separate"/>
      </w:r>
      <w:r>
        <w:rPr>
          <w:noProof/>
          <w:webHidden/>
        </w:rPr>
        <w:t>13</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"_Toc218854603" </w:instrText>
      </w:r>
      <w:r>
        <w:rPr/>
        <w:fldChar w:fldCharType="separate"/>
      </w:r>
      <w:r>
        <w:rPr>
          <w:rStyle w:val="style85"/>
          <w:noProof/>
        </w:rPr>
        <w:t xml:space="preserve">2.1.5. </w:t>
      </w:r>
      <w:r>
        <w:rPr>
          <w:rFonts w:ascii="Calibri" w:eastAsia="宋体" w:hAnsi="Calibri"/>
          <w:noProof/>
          <w:szCs w:val="24"/>
        </w:rPr>
        <w:tab/>
      </w:r>
      <w:r>
        <w:rPr>
          <w:rStyle w:val="style85"/>
          <w:i/>
          <w:iCs/>
          <w:noProof/>
        </w:rPr>
        <w:t>Managerial Ownership</w:t>
      </w:r>
      <w:r>
        <w:rPr>
          <w:noProof/>
          <w:webHidden/>
        </w:rPr>
        <w:tab/>
      </w:r>
      <w:r>
        <w:rPr>
          <w:noProof/>
          <w:webHidden/>
        </w:rPr>
        <w:fldChar w:fldCharType="begin"/>
      </w:r>
      <w:r>
        <w:rPr>
          <w:noProof/>
          <w:webHidden/>
        </w:rPr>
        <w:instrText xml:space="preserve"> PAGEREF _Toc218854603 \h </w:instrText>
      </w:r>
      <w:r>
        <w:rPr>
          <w:noProof/>
          <w:webHidden/>
        </w:rPr>
        <w:fldChar w:fldCharType="separate"/>
      </w:r>
      <w:r>
        <w:rPr>
          <w:noProof/>
          <w:webHidden/>
        </w:rPr>
        <w:t>14</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"_Toc218854604" </w:instrText>
      </w:r>
      <w:r>
        <w:rPr/>
        <w:fldChar w:fldCharType="separate"/>
      </w:r>
      <w:r>
        <w:rPr>
          <w:rStyle w:val="style85"/>
          <w:noProof/>
        </w:rPr>
        <w:t xml:space="preserve">2.1.6. </w:t>
      </w:r>
      <w:r>
        <w:rPr>
          <w:rFonts w:ascii="Calibri" w:eastAsia="宋体" w:hAnsi="Calibri"/>
          <w:noProof/>
          <w:szCs w:val="24"/>
        </w:rPr>
        <w:tab/>
      </w:r>
      <w:r>
        <w:rPr>
          <w:rStyle w:val="style85"/>
          <w:i/>
          <w:iCs/>
          <w:noProof/>
        </w:rPr>
        <w:t>Institutional Ownership</w:t>
      </w:r>
      <w:r>
        <w:rPr>
          <w:noProof/>
          <w:webHidden/>
        </w:rPr>
        <w:tab/>
      </w:r>
      <w:r>
        <w:rPr>
          <w:noProof/>
          <w:webHidden/>
        </w:rPr>
        <w:fldChar w:fldCharType="begin"/>
      </w:r>
      <w:r>
        <w:rPr>
          <w:noProof/>
          <w:webHidden/>
        </w:rPr>
        <w:instrText xml:space="preserve"> PAGEREF _Toc218854604 \h </w:instrText>
      </w:r>
      <w:r>
        <w:rPr>
          <w:noProof/>
          <w:webHidden/>
        </w:rPr>
        <w:fldChar w:fldCharType="separate"/>
      </w:r>
      <w:r>
        <w:rPr>
          <w:noProof/>
          <w:webHidden/>
        </w:rPr>
        <w:t>15</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"_Toc218854605" </w:instrText>
      </w:r>
      <w:r>
        <w:rPr/>
        <w:fldChar w:fldCharType="separate"/>
      </w:r>
      <w:r>
        <w:rPr>
          <w:rStyle w:val="style85"/>
          <w:noProof/>
        </w:rPr>
        <w:t>2.2.</w:t>
      </w:r>
      <w:r>
        <w:rPr>
          <w:rFonts w:ascii="Calibri" w:eastAsia="宋体" w:hAnsi="Calibri"/>
          <w:noProof/>
          <w:szCs w:val="24"/>
        </w:rPr>
        <w:tab/>
      </w:r>
      <w:r>
        <w:rPr>
          <w:rStyle w:val="style85"/>
          <w:noProof/>
        </w:rPr>
        <w:t>Penelitian Terdahulu</w:t>
      </w:r>
      <w:r>
        <w:rPr>
          <w:noProof/>
          <w:webHidden/>
        </w:rPr>
        <w:tab/>
      </w:r>
      <w:r>
        <w:rPr>
          <w:noProof/>
          <w:webHidden/>
        </w:rPr>
        <w:fldChar w:fldCharType="begin"/>
      </w:r>
      <w:r>
        <w:rPr>
          <w:noProof/>
          <w:webHidden/>
        </w:rPr>
        <w:instrText xml:space="preserve"> PAGEREF _Toc218854605 \h </w:instrText>
      </w:r>
      <w:r>
        <w:rPr>
          <w:noProof/>
          <w:webHidden/>
        </w:rPr>
        <w:fldChar w:fldCharType="separate"/>
      </w:r>
      <w:r>
        <w:rPr>
          <w:noProof/>
          <w:webHidden/>
        </w:rPr>
        <w:t>16</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"_Toc218854606" </w:instrText>
      </w:r>
      <w:r>
        <w:rPr/>
        <w:fldChar w:fldCharType="separate"/>
      </w:r>
      <w:r>
        <w:rPr>
          <w:rStyle w:val="style85"/>
          <w:noProof/>
        </w:rPr>
        <w:t xml:space="preserve">2.3. </w:t>
      </w:r>
      <w:r>
        <w:rPr>
          <w:rFonts w:ascii="Calibri" w:eastAsia="宋体" w:hAnsi="Calibri"/>
          <w:noProof/>
          <w:szCs w:val="24"/>
        </w:rPr>
        <w:tab/>
      </w:r>
      <w:r>
        <w:rPr>
          <w:rStyle w:val="style85"/>
          <w:noProof/>
        </w:rPr>
        <w:t>Kerangka Konsep</w:t>
      </w:r>
      <w:r>
        <w:rPr>
          <w:noProof/>
          <w:webHidden/>
        </w:rPr>
        <w:tab/>
      </w:r>
      <w:r>
        <w:rPr>
          <w:noProof/>
          <w:webHidden/>
        </w:rPr>
        <w:fldChar w:fldCharType="begin"/>
      </w:r>
      <w:r>
        <w:rPr>
          <w:noProof/>
          <w:webHidden/>
        </w:rPr>
        <w:instrText xml:space="preserve"> PAGEREF _Toc218854606 \h </w:instrText>
      </w:r>
      <w:r>
        <w:rPr>
          <w:noProof/>
          <w:webHidden/>
        </w:rPr>
        <w:fldChar w:fldCharType="separate"/>
      </w:r>
      <w:r>
        <w:rPr>
          <w:noProof/>
          <w:webHidden/>
        </w:rPr>
        <w:t>18</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"_Toc218854607" </w:instrText>
      </w:r>
      <w:r>
        <w:rPr/>
        <w:fldChar w:fldCharType="separate"/>
      </w:r>
      <w:r>
        <w:rPr>
          <w:rStyle w:val="style85"/>
          <w:noProof/>
        </w:rPr>
        <w:t xml:space="preserve">2.4. </w:t>
      </w:r>
      <w:r>
        <w:rPr>
          <w:rFonts w:ascii="Calibri" w:eastAsia="宋体" w:hAnsi="Calibri"/>
          <w:noProof/>
          <w:szCs w:val="24"/>
        </w:rPr>
        <w:tab/>
      </w:r>
      <w:r>
        <w:rPr>
          <w:rStyle w:val="style85"/>
          <w:noProof/>
        </w:rPr>
        <w:t>Pengembangan Hipotesis</w:t>
      </w:r>
      <w:r>
        <w:rPr>
          <w:noProof/>
          <w:webHidden/>
        </w:rPr>
        <w:tab/>
      </w:r>
      <w:r>
        <w:rPr>
          <w:noProof/>
          <w:webHidden/>
        </w:rPr>
        <w:fldChar w:fldCharType="begin"/>
      </w:r>
      <w:r>
        <w:rPr>
          <w:noProof/>
          <w:webHidden/>
        </w:rPr>
        <w:instrText xml:space="preserve"> PAGEREF _Toc218854607 \h </w:instrText>
      </w:r>
      <w:r>
        <w:rPr>
          <w:noProof/>
          <w:webHidden/>
        </w:rPr>
        <w:fldChar w:fldCharType="separate"/>
      </w:r>
      <w:r>
        <w:rPr>
          <w:noProof/>
          <w:webHidden/>
        </w:rPr>
        <w:t>20</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"_Toc218854608" </w:instrText>
      </w:r>
      <w:r>
        <w:rPr/>
        <w:fldChar w:fldCharType="separate"/>
      </w:r>
      <w:r>
        <w:rPr>
          <w:rStyle w:val="style85"/>
          <w:noProof/>
        </w:rPr>
        <w:t>2.4.1.</w:t>
      </w:r>
      <w:r>
        <w:rPr>
          <w:rFonts w:ascii="Calibri" w:eastAsia="宋体" w:hAnsi="Calibri"/>
          <w:noProof/>
          <w:szCs w:val="24"/>
        </w:rPr>
        <w:tab/>
      </w:r>
      <w:r>
        <w:rPr>
          <w:rStyle w:val="style85"/>
          <w:noProof/>
        </w:rPr>
        <w:t xml:space="preserve">Pengaruh </w:t>
      </w:r>
      <w:r>
        <w:rPr>
          <w:rStyle w:val="style85"/>
          <w:i/>
          <w:iCs/>
          <w:noProof/>
        </w:rPr>
        <w:t>Enterprise Risk Management</w:t>
      </w:r>
      <w:r>
        <w:rPr>
          <w:rStyle w:val="style85"/>
          <w:noProof/>
        </w:rPr>
        <w:t xml:space="preserve"> terhadap </w:t>
      </w:r>
      <w:r>
        <w:rPr>
          <w:rStyle w:val="style85"/>
          <w:i/>
          <w:iCs/>
          <w:noProof/>
        </w:rPr>
        <w:t>Firm Value</w:t>
      </w:r>
      <w:r>
        <w:rPr>
          <w:noProof/>
          <w:webHidden/>
        </w:rPr>
        <w:tab/>
      </w:r>
      <w:r>
        <w:rPr>
          <w:noProof/>
          <w:webHidden/>
        </w:rPr>
        <w:fldChar w:fldCharType="begin"/>
      </w:r>
      <w:r>
        <w:rPr>
          <w:noProof/>
          <w:webHidden/>
        </w:rPr>
        <w:instrText xml:space="preserve"> PAGEREF _Toc218854608 \h </w:instrText>
      </w:r>
      <w:r>
        <w:rPr>
          <w:noProof/>
          <w:webHidden/>
        </w:rPr>
        <w:fldChar w:fldCharType="separate"/>
      </w:r>
      <w:r>
        <w:rPr>
          <w:noProof/>
          <w:webHidden/>
        </w:rPr>
        <w:t>20</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"_Toc218854609" </w:instrText>
      </w:r>
      <w:r>
        <w:rPr/>
        <w:fldChar w:fldCharType="separate"/>
      </w:r>
      <w:r>
        <w:rPr>
          <w:rStyle w:val="style85"/>
          <w:noProof/>
        </w:rPr>
        <w:t xml:space="preserve">2.4.2. </w:t>
      </w:r>
      <w:r>
        <w:rPr>
          <w:rFonts w:ascii="Calibri" w:eastAsia="宋体" w:hAnsi="Calibri"/>
          <w:noProof/>
          <w:szCs w:val="24"/>
        </w:rPr>
        <w:tab/>
      </w:r>
      <w:r>
        <w:rPr>
          <w:rStyle w:val="style85"/>
          <w:noProof/>
        </w:rPr>
        <w:t xml:space="preserve">Pengaruh </w:t>
      </w:r>
      <w:r>
        <w:rPr>
          <w:rStyle w:val="style85"/>
          <w:i/>
          <w:iCs/>
          <w:noProof/>
        </w:rPr>
        <w:t xml:space="preserve">Managerial Ownership </w:t>
      </w:r>
      <w:r>
        <w:rPr>
          <w:rStyle w:val="style85"/>
          <w:noProof/>
        </w:rPr>
        <w:t xml:space="preserve">terhadap </w:t>
      </w:r>
      <w:r>
        <w:rPr>
          <w:rStyle w:val="style85"/>
          <w:i/>
          <w:iCs/>
          <w:noProof/>
        </w:rPr>
        <w:t>Firm Value</w:t>
      </w:r>
      <w:r>
        <w:rPr>
          <w:noProof/>
          <w:webHidden/>
        </w:rPr>
        <w:tab/>
      </w:r>
      <w:r>
        <w:rPr>
          <w:noProof/>
          <w:webHidden/>
        </w:rPr>
        <w:fldChar w:fldCharType="begin"/>
      </w:r>
      <w:r>
        <w:rPr>
          <w:noProof/>
          <w:webHidden/>
        </w:rPr>
        <w:instrText xml:space="preserve"> PAGEREF _Toc218854609 \h </w:instrText>
      </w:r>
      <w:r>
        <w:rPr>
          <w:noProof/>
          <w:webHidden/>
        </w:rPr>
        <w:fldChar w:fldCharType="separate"/>
      </w:r>
      <w:r>
        <w:rPr>
          <w:noProof/>
          <w:webHidden/>
        </w:rPr>
        <w:t>21</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"_Toc218854610" </w:instrText>
      </w:r>
      <w:r>
        <w:rPr/>
        <w:fldChar w:fldCharType="separate"/>
      </w:r>
      <w:r>
        <w:rPr>
          <w:rStyle w:val="style85"/>
          <w:noProof/>
        </w:rPr>
        <w:t xml:space="preserve">2.4.3. </w:t>
      </w:r>
      <w:r>
        <w:rPr>
          <w:rFonts w:ascii="Calibri" w:eastAsia="宋体" w:hAnsi="Calibri"/>
          <w:noProof/>
          <w:szCs w:val="24"/>
        </w:rPr>
        <w:tab/>
      </w:r>
      <w:r>
        <w:rPr>
          <w:rStyle w:val="style85"/>
          <w:noProof/>
        </w:rPr>
        <w:t xml:space="preserve">Pengaruh </w:t>
      </w:r>
      <w:r>
        <w:rPr>
          <w:rStyle w:val="style85"/>
          <w:i/>
          <w:iCs/>
          <w:noProof/>
        </w:rPr>
        <w:t>Institutional Ownership</w:t>
      </w:r>
      <w:r>
        <w:rPr>
          <w:rStyle w:val="style85"/>
          <w:noProof/>
        </w:rPr>
        <w:t xml:space="preserve"> terhadap</w:t>
      </w:r>
      <w:r>
        <w:rPr>
          <w:rStyle w:val="style85"/>
          <w:i/>
          <w:iCs/>
          <w:noProof/>
        </w:rPr>
        <w:t xml:space="preserve"> Firm Value</w:t>
      </w:r>
      <w:r>
        <w:rPr>
          <w:noProof/>
          <w:webHidden/>
        </w:rPr>
        <w:tab/>
      </w:r>
      <w:r>
        <w:rPr>
          <w:noProof/>
          <w:webHidden/>
        </w:rPr>
        <w:fldChar w:fldCharType="begin"/>
      </w:r>
      <w:r>
        <w:rPr>
          <w:noProof/>
          <w:webHidden/>
        </w:rPr>
        <w:instrText xml:space="preserve"> PAGEREF _Toc218854610 \h </w:instrText>
      </w:r>
      <w:r>
        <w:rPr>
          <w:noProof/>
          <w:webHidden/>
        </w:rPr>
        <w:fldChar w:fldCharType="separate"/>
      </w:r>
      <w:r>
        <w:rPr>
          <w:noProof/>
          <w:webHidden/>
        </w:rPr>
        <w:t>23</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"_Toc218854611" </w:instrText>
      </w:r>
      <w:r>
        <w:rPr/>
        <w:fldChar w:fldCharType="separate"/>
      </w:r>
      <w:r>
        <w:rPr>
          <w:rStyle w:val="style85"/>
          <w:noProof/>
        </w:rPr>
        <w:t xml:space="preserve">2.5. </w:t>
      </w:r>
      <w:r>
        <w:rPr>
          <w:rFonts w:ascii="Calibri" w:eastAsia="宋体" w:hAnsi="Calibri"/>
          <w:noProof/>
          <w:szCs w:val="24"/>
        </w:rPr>
        <w:tab/>
      </w:r>
      <w:r>
        <w:rPr>
          <w:rStyle w:val="style85"/>
          <w:noProof/>
        </w:rPr>
        <w:t>Model Penelitian</w:t>
      </w:r>
      <w:r>
        <w:rPr>
          <w:noProof/>
          <w:webHidden/>
        </w:rPr>
        <w:tab/>
      </w:r>
      <w:r>
        <w:rPr>
          <w:noProof/>
          <w:webHidden/>
        </w:rPr>
        <w:fldChar w:fldCharType="begin"/>
      </w:r>
      <w:r>
        <w:rPr>
          <w:noProof/>
          <w:webHidden/>
        </w:rPr>
        <w:instrText xml:space="preserve"> PAGEREF _Toc218854611 \h </w:instrText>
      </w:r>
      <w:r>
        <w:rPr>
          <w:noProof/>
          <w:webHidden/>
        </w:rPr>
        <w:fldChar w:fldCharType="separate"/>
      </w:r>
      <w:r>
        <w:rPr>
          <w:noProof/>
          <w:webHidden/>
        </w:rPr>
        <w:t>24</w:t>
      </w:r>
      <w:r>
        <w:rPr>
          <w:noProof/>
          <w:webHidden/>
        </w:rPr>
        <w:fldChar w:fldCharType="end"/>
      </w:r>
      <w:r>
        <w:rPr/>
        <w:fldChar w:fldCharType="end"/>
      </w:r>
    </w:p>
    <w:p>
      <w:pPr>
        <w:pStyle w:val="style19"/>
        <w:rPr>
          <w:rFonts w:ascii="Calibri" w:cs="宋体" w:eastAsia="宋体" w:hAnsi="Calibri"/>
          <w:b w:val="false"/>
          <w:bCs w:val="false"/>
          <w:sz w:val="24"/>
          <w:szCs w:val="24"/>
        </w:rPr>
      </w:pPr>
      <w:r>
        <w:rPr/>
        <w:fldChar w:fldCharType="begin"/>
      </w:r>
      <w:r>
        <w:instrText xml:space="preserve"> HYPERLINK \l "_Toc218854612" </w:instrText>
      </w:r>
      <w:r>
        <w:rPr/>
        <w:fldChar w:fldCharType="separate"/>
      </w:r>
      <w:r>
        <w:rPr>
          <w:rStyle w:val="style85"/>
        </w:rPr>
        <w:t>BAB III</w:t>
      </w:r>
      <w:r>
        <w:rPr>
          <w:webHidden/>
        </w:rPr>
        <w:tab/>
      </w:r>
      <w:r>
        <w:rPr/>
        <w:fldChar w:fldCharType="end"/>
      </w:r>
      <w:r>
        <w:rPr/>
        <w:fldChar w:fldCharType="begin"/>
      </w:r>
      <w:r>
        <w:instrText xml:space="preserve"> HYPERLINK \l "_Toc218854613" </w:instrText>
      </w:r>
      <w:r>
        <w:rPr/>
        <w:fldChar w:fldCharType="separate"/>
      </w:r>
      <w:r>
        <w:rPr>
          <w:rStyle w:val="style85"/>
        </w:rPr>
        <w:t>METODE PENELITIAN</w:t>
      </w:r>
      <w:r>
        <w:rPr>
          <w:webHidden/>
        </w:rPr>
        <w:tab/>
      </w:r>
      <w:r>
        <w:rPr>
          <w:webHidden/>
        </w:rPr>
        <w:fldChar w:fldCharType="begin"/>
      </w:r>
      <w:r>
        <w:rPr>
          <w:webHidden/>
        </w:rPr>
        <w:instrText xml:space="preserve"> PAGEREF _Toc218854613 \h </w:instrText>
      </w:r>
      <w:r>
        <w:rPr>
          <w:webHidden/>
        </w:rPr>
        <w:fldChar w:fldCharType="separate"/>
      </w:r>
      <w:r>
        <w:rPr>
          <w:webHidden/>
        </w:rPr>
        <w:t>25</w:t>
      </w:r>
      <w:r>
        <w:rPr>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"_Toc218854614" </w:instrText>
      </w:r>
      <w:r>
        <w:rPr/>
        <w:fldChar w:fldCharType="separate"/>
      </w:r>
      <w:r>
        <w:rPr>
          <w:rStyle w:val="style85"/>
          <w:noProof/>
        </w:rPr>
        <w:t xml:space="preserve">3.1. </w:t>
      </w:r>
      <w:r>
        <w:rPr>
          <w:rFonts w:ascii="Calibri" w:eastAsia="宋体" w:hAnsi="Calibri"/>
          <w:noProof/>
          <w:szCs w:val="24"/>
        </w:rPr>
        <w:tab/>
      </w:r>
      <w:r>
        <w:rPr>
          <w:rStyle w:val="style85"/>
          <w:noProof/>
        </w:rPr>
        <w:t>Definisi Operasional dan Pengukuran Variabel</w:t>
      </w:r>
      <w:r>
        <w:rPr>
          <w:noProof/>
          <w:webHidden/>
        </w:rPr>
        <w:tab/>
      </w:r>
      <w:r>
        <w:rPr>
          <w:noProof/>
          <w:webHidden/>
        </w:rPr>
        <w:fldChar w:fldCharType="begin"/>
      </w:r>
      <w:r>
        <w:rPr>
          <w:noProof/>
          <w:webHidden/>
        </w:rPr>
        <w:instrText xml:space="preserve"> PAGEREF _Toc218854614 \h </w:instrText>
      </w:r>
      <w:r>
        <w:rPr>
          <w:noProof/>
          <w:webHidden/>
        </w:rPr>
        <w:fldChar w:fldCharType="separate"/>
      </w:r>
      <w:r>
        <w:rPr>
          <w:noProof/>
          <w:webHidden/>
        </w:rPr>
        <w:t>25</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"_Toc218854615" </w:instrText>
      </w:r>
      <w:r>
        <w:rPr/>
        <w:fldChar w:fldCharType="separate"/>
      </w:r>
      <w:r>
        <w:rPr>
          <w:rStyle w:val="style85"/>
          <w:noProof/>
        </w:rPr>
        <w:t xml:space="preserve">3.1.1. </w:t>
      </w:r>
      <w:r>
        <w:rPr>
          <w:rFonts w:ascii="Calibri" w:eastAsia="宋体" w:hAnsi="Calibri"/>
          <w:noProof/>
          <w:szCs w:val="24"/>
        </w:rPr>
        <w:tab/>
      </w:r>
      <w:r>
        <w:rPr>
          <w:rStyle w:val="style85"/>
          <w:i/>
          <w:iCs/>
          <w:noProof/>
        </w:rPr>
        <w:t xml:space="preserve"> Firm Value</w:t>
      </w:r>
      <w:r>
        <w:rPr>
          <w:noProof/>
          <w:webHidden/>
        </w:rPr>
        <w:tab/>
      </w:r>
      <w:r>
        <w:rPr>
          <w:noProof/>
          <w:webHidden/>
        </w:rPr>
        <w:fldChar w:fldCharType="begin"/>
      </w:r>
      <w:r>
        <w:rPr>
          <w:noProof/>
          <w:webHidden/>
        </w:rPr>
        <w:instrText xml:space="preserve"> PAGEREF _Toc218854615 \h </w:instrText>
      </w:r>
      <w:r>
        <w:rPr>
          <w:noProof/>
          <w:webHidden/>
        </w:rPr>
        <w:fldChar w:fldCharType="separate"/>
      </w:r>
      <w:r>
        <w:rPr>
          <w:noProof/>
          <w:webHidden/>
        </w:rPr>
        <w:t>25</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"_Toc218854616" </w:instrText>
      </w:r>
      <w:r>
        <w:rPr/>
        <w:fldChar w:fldCharType="separate"/>
      </w:r>
      <w:r>
        <w:rPr>
          <w:rStyle w:val="style85"/>
          <w:noProof/>
        </w:rPr>
        <w:t xml:space="preserve">3.1.2. </w:t>
      </w:r>
      <w:r>
        <w:rPr>
          <w:rFonts w:ascii="Calibri" w:eastAsia="宋体" w:hAnsi="Calibri"/>
          <w:noProof/>
          <w:szCs w:val="24"/>
        </w:rPr>
        <w:tab/>
      </w:r>
      <w:r>
        <w:rPr>
          <w:rStyle w:val="style85"/>
          <w:noProof/>
        </w:rPr>
        <w:t xml:space="preserve"> </w:t>
      </w:r>
      <w:r>
        <w:rPr>
          <w:rStyle w:val="style85"/>
          <w:i/>
          <w:iCs/>
          <w:noProof/>
        </w:rPr>
        <w:t>Enterprise Risk Management</w:t>
      </w:r>
      <w:r>
        <w:rPr>
          <w:rStyle w:val="style85"/>
          <w:noProof/>
        </w:rPr>
        <w:t xml:space="preserve"> (</w:t>
      </w:r>
      <m:oMath>
        <m:r>
          <m:rPr>
            <m:sty m:val="p"/>
          </m:rPr>
          <w:rPr>
            <w:rStyle w:val="style85"/>
            <w:rFonts w:ascii="Cambria Math" w:hAnsi="Cambria Math"/>
            <w:noProof/>
          </w:rPr>
          <m:t>X1</m:t>
        </m:r>
      </m:oMath>
      <w:r>
        <w:rPr>
          <w:rStyle w:val="style85"/>
          <w:noProof/>
        </w:rPr>
        <w:t>)</w:t>
      </w:r>
      <w:r>
        <w:rPr>
          <w:noProof/>
          <w:webHidden/>
        </w:rPr>
        <w:tab/>
      </w:r>
      <w:r>
        <w:rPr>
          <w:noProof/>
          <w:webHidden/>
        </w:rPr>
        <w:fldChar w:fldCharType="begin"/>
      </w:r>
      <w:r>
        <w:rPr>
          <w:noProof/>
          <w:webHidden/>
        </w:rPr>
        <w:instrText xml:space="preserve"> PAGEREF _Toc218854616 \h </w:instrText>
      </w:r>
      <w:r>
        <w:rPr>
          <w:noProof/>
          <w:webHidden/>
        </w:rPr>
        <w:fldChar w:fldCharType="separate"/>
      </w:r>
      <w:r>
        <w:rPr>
          <w:noProof/>
          <w:webHidden/>
        </w:rPr>
        <w:t>26</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"_Toc218854617" </w:instrText>
      </w:r>
      <w:r>
        <w:rPr/>
        <w:fldChar w:fldCharType="separate"/>
      </w:r>
      <w:r>
        <w:rPr>
          <w:rStyle w:val="style85"/>
          <w:noProof/>
        </w:rPr>
        <w:t xml:space="preserve">3.1.3. </w:t>
      </w:r>
      <w:r>
        <w:rPr>
          <w:rFonts w:ascii="Calibri" w:eastAsia="宋体" w:hAnsi="Calibri"/>
          <w:noProof/>
          <w:szCs w:val="24"/>
        </w:rPr>
        <w:tab/>
      </w:r>
      <w:r>
        <w:rPr>
          <w:rStyle w:val="style85"/>
          <w:noProof/>
        </w:rPr>
        <w:t xml:space="preserve"> </w:t>
      </w:r>
      <w:r>
        <w:rPr>
          <w:rStyle w:val="style85"/>
          <w:i/>
          <w:iCs/>
          <w:noProof/>
        </w:rPr>
        <w:t>Managerial Ownership</w:t>
      </w:r>
      <w:r>
        <w:rPr>
          <w:rStyle w:val="style85"/>
          <w:noProof/>
        </w:rPr>
        <w:t xml:space="preserve"> (</w:t>
      </w:r>
      <m:oMath>
        <m:r>
          <m:rPr>
            <m:sty m:val="p"/>
          </m:rPr>
          <w:rPr>
            <w:rStyle w:val="style85"/>
            <w:rFonts w:ascii="Cambria Math" w:hAnsi="Cambria Math"/>
            <w:noProof/>
          </w:rPr>
          <m:t>X2</m:t>
        </m:r>
      </m:oMath>
      <w:r>
        <w:rPr>
          <w:rStyle w:val="style85"/>
          <w:noProof/>
        </w:rPr>
        <w:t>)</w:t>
      </w:r>
      <w:r>
        <w:rPr>
          <w:noProof/>
          <w:webHidden/>
        </w:rPr>
        <w:tab/>
      </w:r>
      <w:r>
        <w:rPr>
          <w:noProof/>
          <w:webHidden/>
        </w:rPr>
        <w:fldChar w:fldCharType="begin"/>
      </w:r>
      <w:r>
        <w:rPr>
          <w:noProof/>
          <w:webHidden/>
        </w:rPr>
        <w:instrText xml:space="preserve"> PAGEREF _Toc218854617 \h </w:instrText>
      </w:r>
      <w:r>
        <w:rPr>
          <w:noProof/>
          <w:webHidden/>
        </w:rPr>
        <w:fldChar w:fldCharType="separate"/>
      </w:r>
      <w:r>
        <w:rPr>
          <w:noProof/>
          <w:webHidden/>
        </w:rPr>
        <w:t>26</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"_Toc218854618" </w:instrText>
      </w:r>
      <w:r>
        <w:rPr/>
        <w:fldChar w:fldCharType="separate"/>
      </w:r>
      <w:r>
        <w:rPr>
          <w:rStyle w:val="style85"/>
          <w:noProof/>
        </w:rPr>
        <w:t xml:space="preserve">3.1.4. </w:t>
      </w:r>
      <w:r>
        <w:rPr>
          <w:rFonts w:ascii="Calibri" w:eastAsia="宋体" w:hAnsi="Calibri"/>
          <w:noProof/>
          <w:szCs w:val="24"/>
        </w:rPr>
        <w:tab/>
      </w:r>
      <w:r>
        <w:rPr>
          <w:rStyle w:val="style85"/>
          <w:noProof/>
        </w:rPr>
        <w:t xml:space="preserve"> </w:t>
      </w:r>
      <w:r>
        <w:rPr>
          <w:rStyle w:val="style85"/>
          <w:i/>
          <w:iCs/>
          <w:noProof/>
        </w:rPr>
        <w:t>Intitutional Ownership</w:t>
      </w:r>
      <w:r>
        <w:rPr>
          <w:rStyle w:val="style85"/>
          <w:noProof/>
        </w:rPr>
        <w:t xml:space="preserve"> (</w:t>
      </w:r>
      <m:oMath>
        <m:r>
          <m:rPr>
            <m:sty m:val="p"/>
          </m:rPr>
          <w:rPr>
            <w:rStyle w:val="style85"/>
            <w:rFonts w:ascii="Cambria Math" w:hAnsi="Cambria Math"/>
            <w:noProof/>
          </w:rPr>
          <m:t>X3</m:t>
        </m:r>
      </m:oMath>
      <w:r>
        <w:rPr>
          <w:rStyle w:val="style85"/>
          <w:noProof/>
        </w:rPr>
        <w:t>)</w:t>
      </w:r>
      <w:r>
        <w:rPr>
          <w:noProof/>
          <w:webHidden/>
        </w:rPr>
        <w:tab/>
      </w:r>
      <w:r>
        <w:rPr>
          <w:noProof/>
          <w:webHidden/>
        </w:rPr>
        <w:fldChar w:fldCharType="begin"/>
      </w:r>
      <w:r>
        <w:rPr>
          <w:noProof/>
          <w:webHidden/>
        </w:rPr>
        <w:instrText xml:space="preserve"> PAGEREF _Toc218854618 \h </w:instrText>
      </w:r>
      <w:r>
        <w:rPr>
          <w:noProof/>
          <w:webHidden/>
        </w:rPr>
        <w:fldChar w:fldCharType="separate"/>
      </w:r>
      <w:r>
        <w:rPr>
          <w:noProof/>
          <w:webHidden/>
        </w:rPr>
        <w:t>27</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"_Toc218854619" </w:instrText>
      </w:r>
      <w:r>
        <w:rPr/>
        <w:fldChar w:fldCharType="separate"/>
      </w:r>
      <w:r>
        <w:rPr>
          <w:rStyle w:val="style85"/>
          <w:noProof/>
        </w:rPr>
        <w:t xml:space="preserve">3.2. </w:t>
      </w:r>
      <w:r>
        <w:rPr>
          <w:rFonts w:ascii="Calibri" w:eastAsia="宋体" w:hAnsi="Calibri"/>
          <w:noProof/>
          <w:szCs w:val="24"/>
        </w:rPr>
        <w:tab/>
      </w:r>
      <w:r>
        <w:rPr>
          <w:rStyle w:val="style85"/>
          <w:noProof/>
        </w:rPr>
        <w:t>Populasi dan Sampel Penelitian</w:t>
      </w:r>
      <w:r>
        <w:rPr>
          <w:noProof/>
          <w:webHidden/>
        </w:rPr>
        <w:tab/>
      </w:r>
      <w:r>
        <w:rPr>
          <w:noProof/>
          <w:webHidden/>
        </w:rPr>
        <w:fldChar w:fldCharType="begin"/>
      </w:r>
      <w:r>
        <w:rPr>
          <w:noProof/>
          <w:webHidden/>
        </w:rPr>
        <w:instrText xml:space="preserve"> PAGEREF _Toc218854619 \h </w:instrText>
      </w:r>
      <w:r>
        <w:rPr>
          <w:noProof/>
          <w:webHidden/>
        </w:rPr>
        <w:fldChar w:fldCharType="separate"/>
      </w:r>
      <w:r>
        <w:rPr>
          <w:noProof/>
          <w:webHidden/>
        </w:rPr>
        <w:t>27</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"_Toc218854620" </w:instrText>
      </w:r>
      <w:r>
        <w:rPr/>
        <w:fldChar w:fldCharType="separate"/>
      </w:r>
      <w:r>
        <w:rPr>
          <w:rStyle w:val="style85"/>
          <w:noProof/>
        </w:rPr>
        <w:t xml:space="preserve">3.3. </w:t>
      </w:r>
      <w:r>
        <w:rPr>
          <w:rFonts w:ascii="Calibri" w:eastAsia="宋体" w:hAnsi="Calibri"/>
          <w:noProof/>
          <w:szCs w:val="24"/>
        </w:rPr>
        <w:tab/>
      </w:r>
      <w:r>
        <w:rPr>
          <w:rStyle w:val="style85"/>
          <w:noProof/>
        </w:rPr>
        <w:t>Jenis dan Sumber Data</w:t>
      </w:r>
      <w:r>
        <w:rPr>
          <w:noProof/>
          <w:webHidden/>
        </w:rPr>
        <w:tab/>
      </w:r>
      <w:r>
        <w:rPr>
          <w:noProof/>
          <w:webHidden/>
        </w:rPr>
        <w:fldChar w:fldCharType="begin"/>
      </w:r>
      <w:r>
        <w:rPr>
          <w:noProof/>
          <w:webHidden/>
        </w:rPr>
        <w:instrText xml:space="preserve"> PAGEREF _Toc218854620 \h </w:instrText>
      </w:r>
      <w:r>
        <w:rPr>
          <w:noProof/>
          <w:webHidden/>
        </w:rPr>
        <w:fldChar w:fldCharType="separate"/>
      </w:r>
      <w:r>
        <w:rPr>
          <w:noProof/>
          <w:webHidden/>
        </w:rPr>
        <w:t>29</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"_Toc218854621" </w:instrText>
      </w:r>
      <w:r>
        <w:rPr/>
        <w:fldChar w:fldCharType="separate"/>
      </w:r>
      <w:r>
        <w:rPr>
          <w:rStyle w:val="style85"/>
          <w:rFonts w:cs="Times New Roman"/>
          <w:noProof/>
        </w:rPr>
        <w:t xml:space="preserve">3.4. </w:t>
      </w:r>
      <w:r>
        <w:rPr>
          <w:rFonts w:ascii="Calibri" w:eastAsia="宋体" w:hAnsi="Calibri"/>
          <w:noProof/>
          <w:szCs w:val="24"/>
        </w:rPr>
        <w:tab/>
      </w:r>
      <w:r>
        <w:rPr>
          <w:rStyle w:val="style85"/>
          <w:rFonts w:cs="Times New Roman"/>
          <w:noProof/>
        </w:rPr>
        <w:t>Metode Pengumpulan Data</w:t>
      </w:r>
      <w:r>
        <w:rPr>
          <w:noProof/>
          <w:webHidden/>
        </w:rPr>
        <w:tab/>
      </w:r>
      <w:r>
        <w:rPr>
          <w:noProof/>
          <w:webHidden/>
        </w:rPr>
        <w:fldChar w:fldCharType="begin"/>
      </w:r>
      <w:r>
        <w:rPr>
          <w:noProof/>
          <w:webHidden/>
        </w:rPr>
        <w:instrText xml:space="preserve"> PAGEREF _Toc218854621 \h </w:instrText>
      </w:r>
      <w:r>
        <w:rPr>
          <w:noProof/>
          <w:webHidden/>
        </w:rPr>
        <w:fldChar w:fldCharType="separate"/>
      </w:r>
      <w:r>
        <w:rPr>
          <w:noProof/>
          <w:webHidden/>
        </w:rPr>
        <w:t>29</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"_Toc218854622" </w:instrText>
      </w:r>
      <w:r>
        <w:rPr/>
        <w:fldChar w:fldCharType="separate"/>
      </w:r>
      <w:r>
        <w:rPr>
          <w:rStyle w:val="style85"/>
          <w:rFonts w:cs="Times New Roman"/>
          <w:noProof/>
        </w:rPr>
        <w:t xml:space="preserve">3.5. </w:t>
      </w:r>
      <w:r>
        <w:rPr>
          <w:rFonts w:ascii="Calibri" w:eastAsia="宋体" w:hAnsi="Calibri"/>
          <w:noProof/>
          <w:szCs w:val="24"/>
        </w:rPr>
        <w:tab/>
      </w:r>
      <w:r>
        <w:rPr>
          <w:rStyle w:val="style85"/>
          <w:rFonts w:cs="Times New Roman"/>
          <w:noProof/>
        </w:rPr>
        <w:t>Analisis Data</w:t>
      </w:r>
      <w:r>
        <w:rPr>
          <w:noProof/>
          <w:webHidden/>
        </w:rPr>
        <w:tab/>
      </w:r>
      <w:r>
        <w:rPr>
          <w:noProof/>
          <w:webHidden/>
        </w:rPr>
        <w:fldChar w:fldCharType="begin"/>
      </w:r>
      <w:r>
        <w:rPr>
          <w:noProof/>
          <w:webHidden/>
        </w:rPr>
        <w:instrText xml:space="preserve"> PAGEREF _Toc218854622 \h </w:instrText>
      </w:r>
      <w:r>
        <w:rPr>
          <w:noProof/>
          <w:webHidden/>
        </w:rPr>
        <w:fldChar w:fldCharType="separate"/>
      </w:r>
      <w:r>
        <w:rPr>
          <w:noProof/>
          <w:webHidden/>
        </w:rPr>
        <w:t>29</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"_Toc218854623" </w:instrText>
      </w:r>
      <w:r>
        <w:rPr/>
        <w:fldChar w:fldCharType="separate"/>
      </w:r>
      <w:r>
        <w:rPr>
          <w:rStyle w:val="style85"/>
          <w:noProof/>
        </w:rPr>
        <w:t xml:space="preserve">3.5.1. </w:t>
      </w:r>
      <w:r>
        <w:rPr>
          <w:rStyle w:val="style85"/>
          <w:noProof/>
        </w:rPr>
        <w:tab/>
      </w:r>
      <w:r>
        <w:rPr>
          <w:rStyle w:val="style85"/>
          <w:noProof/>
        </w:rPr>
        <w:t>Statistik Deskriptif</w:t>
      </w:r>
      <w:r>
        <w:rPr>
          <w:noProof/>
          <w:webHidden/>
        </w:rPr>
        <w:tab/>
      </w:r>
      <w:r>
        <w:rPr>
          <w:noProof/>
          <w:webHidden/>
        </w:rPr>
        <w:fldChar w:fldCharType="begin"/>
      </w:r>
      <w:r>
        <w:rPr>
          <w:noProof/>
          <w:webHidden/>
        </w:rPr>
        <w:instrText xml:space="preserve"> PAGEREF _Toc218854623 \h </w:instrText>
      </w:r>
      <w:r>
        <w:rPr>
          <w:noProof/>
          <w:webHidden/>
        </w:rPr>
        <w:fldChar w:fldCharType="separate"/>
      </w:r>
      <w:r>
        <w:rPr>
          <w:noProof/>
          <w:webHidden/>
        </w:rPr>
        <w:t>29</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"_Toc218854624" </w:instrText>
      </w:r>
      <w:r>
        <w:rPr/>
        <w:fldChar w:fldCharType="separate"/>
      </w:r>
      <w:r>
        <w:rPr>
          <w:rStyle w:val="style85"/>
          <w:noProof/>
        </w:rPr>
        <w:t xml:space="preserve">3.5.2. </w:t>
      </w:r>
      <w:r>
        <w:rPr>
          <w:rFonts w:ascii="Calibri" w:eastAsia="宋体" w:hAnsi="Calibri"/>
          <w:noProof/>
          <w:szCs w:val="24"/>
        </w:rPr>
        <w:tab/>
      </w:r>
      <w:r>
        <w:rPr>
          <w:rStyle w:val="style85"/>
          <w:noProof/>
        </w:rPr>
        <w:t>Uji Asumsi Klasik (Uji Prasyarat Regresi)</w:t>
      </w:r>
      <w:r>
        <w:rPr>
          <w:noProof/>
          <w:webHidden/>
        </w:rPr>
        <w:tab/>
      </w:r>
      <w:r>
        <w:rPr>
          <w:noProof/>
          <w:webHidden/>
        </w:rPr>
        <w:fldChar w:fldCharType="begin"/>
      </w:r>
      <w:r>
        <w:rPr>
          <w:noProof/>
          <w:webHidden/>
        </w:rPr>
        <w:instrText xml:space="preserve"> PAGEREF _Toc218854624 \h </w:instrText>
      </w:r>
      <w:r>
        <w:rPr>
          <w:noProof/>
          <w:webHidden/>
        </w:rPr>
        <w:fldChar w:fldCharType="separate"/>
      </w:r>
      <w:r>
        <w:rPr>
          <w:noProof/>
          <w:webHidden/>
        </w:rPr>
        <w:t>30</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"_Toc218854625" </w:instrText>
      </w:r>
      <w:r>
        <w:rPr/>
        <w:fldChar w:fldCharType="separate"/>
      </w:r>
      <w:r>
        <w:rPr>
          <w:rStyle w:val="style85"/>
          <w:noProof/>
        </w:rPr>
        <w:t xml:space="preserve">3.5.3. </w:t>
      </w:r>
      <w:r>
        <w:rPr>
          <w:rFonts w:ascii="Calibri" w:eastAsia="宋体" w:hAnsi="Calibri"/>
          <w:noProof/>
          <w:szCs w:val="24"/>
        </w:rPr>
        <w:tab/>
      </w:r>
      <w:r>
        <w:rPr>
          <w:rStyle w:val="style85"/>
          <w:noProof/>
        </w:rPr>
        <w:t>Analisis Regesi Linear Berganda</w:t>
      </w:r>
      <w:r>
        <w:rPr>
          <w:noProof/>
          <w:webHidden/>
        </w:rPr>
        <w:tab/>
      </w:r>
      <w:r>
        <w:rPr>
          <w:noProof/>
          <w:webHidden/>
        </w:rPr>
        <w:fldChar w:fldCharType="begin"/>
      </w:r>
      <w:r>
        <w:rPr>
          <w:noProof/>
          <w:webHidden/>
        </w:rPr>
        <w:instrText xml:space="preserve"> PAGEREF _Toc218854625 \h </w:instrText>
      </w:r>
      <w:r>
        <w:rPr>
          <w:noProof/>
          <w:webHidden/>
        </w:rPr>
        <w:fldChar w:fldCharType="separate"/>
      </w:r>
      <w:r>
        <w:rPr>
          <w:noProof/>
          <w:webHidden/>
        </w:rPr>
        <w:t>31</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"_Toc218854626" </w:instrText>
      </w:r>
      <w:r>
        <w:rPr/>
        <w:fldChar w:fldCharType="separate"/>
      </w:r>
      <w:r>
        <w:rPr>
          <w:rStyle w:val="style85"/>
          <w:noProof/>
        </w:rPr>
        <w:t xml:space="preserve">3.5.4. </w:t>
      </w:r>
      <w:r>
        <w:rPr>
          <w:rFonts w:ascii="Calibri" w:eastAsia="宋体" w:hAnsi="Calibri"/>
          <w:noProof/>
          <w:szCs w:val="24"/>
        </w:rPr>
        <w:tab/>
      </w:r>
      <w:r>
        <w:rPr>
          <w:rStyle w:val="style85"/>
          <w:noProof/>
        </w:rPr>
        <w:t>Uji Kelayakan Model (Uji F)</w:t>
      </w:r>
      <w:r>
        <w:rPr>
          <w:noProof/>
          <w:webHidden/>
        </w:rPr>
        <w:tab/>
      </w:r>
      <w:r>
        <w:rPr>
          <w:noProof/>
          <w:webHidden/>
        </w:rPr>
        <w:fldChar w:fldCharType="begin"/>
      </w:r>
      <w:r>
        <w:rPr>
          <w:noProof/>
          <w:webHidden/>
        </w:rPr>
        <w:instrText xml:space="preserve"> PAGEREF _Toc218854626 \h </w:instrText>
      </w:r>
      <w:r>
        <w:rPr>
          <w:noProof/>
          <w:webHidden/>
        </w:rPr>
        <w:fldChar w:fldCharType="separate"/>
      </w:r>
      <w:r>
        <w:rPr>
          <w:noProof/>
          <w:webHidden/>
        </w:rPr>
        <w:t>32</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"_Toc218854627" </w:instrText>
      </w:r>
      <w:r>
        <w:rPr/>
        <w:fldChar w:fldCharType="separate"/>
      </w:r>
      <w:r>
        <w:rPr>
          <w:rStyle w:val="style85"/>
          <w:noProof/>
        </w:rPr>
        <w:t xml:space="preserve">3.5.4. </w:t>
      </w:r>
      <w:r>
        <w:rPr>
          <w:rFonts w:ascii="Calibri" w:eastAsia="宋体" w:hAnsi="Calibri"/>
          <w:noProof/>
          <w:szCs w:val="24"/>
        </w:rPr>
        <w:tab/>
      </w:r>
      <w:r>
        <w:rPr>
          <w:rStyle w:val="style85"/>
          <w:noProof/>
        </w:rPr>
        <w:t xml:space="preserve">Koefisien Determinasi </w:t>
      </w:r>
      <w:r>
        <w:rPr>
          <w:rStyle w:val="style85"/>
          <w:noProof/>
        </w:rPr>
        <w:t>(</w:t>
      </w:r>
      <m:oMath>
        <m:r>
          <m:rPr>
            <m:sty m:val="p"/>
          </m:rPr>
          <w:rPr>
            <w:rStyle w:val="style85"/>
            <w:rFonts w:ascii="Cambria Math" w:hAnsi="Cambria Math"/>
            <w:noProof/>
          </w:rPr>
          <m:t>R</m:t>
        </m:r>
        <m:r>
          <w:rPr>
            <w:rStyle w:val="style85"/>
            <w:rFonts w:ascii="Cambria Math" w:hAnsi="Cambria Math"/>
            <w:noProof/>
          </w:rPr>
          <m:t>2</m:t>
        </m:r>
      </m:oMath>
      <w:r>
        <w:rPr>
          <w:rStyle w:val="style85"/>
          <w:noProof/>
        </w:rPr>
        <w:t>)</w:t>
      </w:r>
      <w:r>
        <w:rPr>
          <w:noProof/>
          <w:webHidden/>
        </w:rPr>
        <w:tab/>
      </w:r>
      <w:r>
        <w:rPr>
          <w:noProof/>
          <w:webHidden/>
        </w:rPr>
        <w:fldChar w:fldCharType="begin"/>
      </w:r>
      <w:r>
        <w:rPr>
          <w:noProof/>
          <w:webHidden/>
        </w:rPr>
        <w:instrText xml:space="preserve"> PAGEREF _Toc218854627 \h </w:instrText>
      </w:r>
      <w:r>
        <w:rPr>
          <w:noProof/>
          <w:webHidden/>
        </w:rPr>
        <w:fldChar w:fldCharType="separate"/>
      </w:r>
      <w:r>
        <w:rPr>
          <w:noProof/>
          <w:webHidden/>
        </w:rPr>
        <w:t>32</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"_Toc218854628" </w:instrText>
      </w:r>
      <w:r>
        <w:rPr/>
        <w:fldChar w:fldCharType="separate"/>
      </w:r>
      <w:r>
        <w:rPr>
          <w:rStyle w:val="style85"/>
          <w:noProof/>
        </w:rPr>
        <w:t>3.5.4.</w:t>
      </w:r>
      <w:r>
        <w:rPr>
          <w:rFonts w:ascii="Calibri" w:eastAsia="宋体" w:hAnsi="Calibri"/>
          <w:noProof/>
          <w:szCs w:val="24"/>
        </w:rPr>
        <w:tab/>
      </w:r>
      <w:r>
        <w:rPr>
          <w:rStyle w:val="style85"/>
          <w:noProof/>
        </w:rPr>
        <w:t>Uji Hipotesis (Uji t)</w:t>
      </w:r>
      <w:r>
        <w:rPr>
          <w:noProof/>
          <w:webHidden/>
        </w:rPr>
        <w:tab/>
      </w:r>
      <w:r>
        <w:rPr>
          <w:noProof/>
          <w:webHidden/>
        </w:rPr>
        <w:fldChar w:fldCharType="begin"/>
      </w:r>
      <w:r>
        <w:rPr>
          <w:noProof/>
          <w:webHidden/>
        </w:rPr>
        <w:instrText xml:space="preserve"> PAGEREF _Toc218854628 \h </w:instrText>
      </w:r>
      <w:r>
        <w:rPr>
          <w:noProof/>
          <w:webHidden/>
        </w:rPr>
        <w:fldChar w:fldCharType="separate"/>
      </w:r>
      <w:r>
        <w:rPr>
          <w:noProof/>
          <w:webHidden/>
        </w:rPr>
        <w:t>32</w:t>
      </w:r>
      <w:r>
        <w:rPr>
          <w:noProof/>
          <w:webHidden/>
        </w:rPr>
        <w:fldChar w:fldCharType="end"/>
      </w:r>
      <w:r>
        <w:rPr/>
        <w:fldChar w:fldCharType="end"/>
      </w:r>
    </w:p>
    <w:p>
      <w:pPr>
        <w:pStyle w:val="style19"/>
        <w:rPr>
          <w:rFonts w:ascii="Calibri" w:cs="宋体" w:eastAsia="宋体" w:hAnsi="Calibri"/>
          <w:b w:val="false"/>
          <w:bCs w:val="false"/>
          <w:sz w:val="24"/>
          <w:szCs w:val="24"/>
        </w:rPr>
      </w:pPr>
      <w:r>
        <w:rPr/>
        <w:fldChar w:fldCharType="begin"/>
      </w:r>
      <w:r>
        <w:instrText xml:space="preserve"> HYPERLINK \l "_Toc218854629" </w:instrText>
      </w:r>
      <w:r>
        <w:rPr/>
        <w:fldChar w:fldCharType="separate"/>
      </w:r>
      <w:r>
        <w:rPr>
          <w:rStyle w:val="style85"/>
        </w:rPr>
        <w:t>BAB IV</w:t>
      </w:r>
      <w:r>
        <w:rPr>
          <w:webHidden/>
        </w:rPr>
        <w:tab/>
      </w:r>
      <w:r>
        <w:rPr/>
        <w:fldChar w:fldCharType="end"/>
      </w:r>
      <w:r>
        <w:rPr/>
        <w:fldChar w:fldCharType="begin"/>
      </w:r>
      <w:r>
        <w:instrText xml:space="preserve"> HYPERLINK \l "_Toc218854630" </w:instrText>
      </w:r>
      <w:r>
        <w:rPr/>
        <w:fldChar w:fldCharType="separate"/>
      </w:r>
      <w:r>
        <w:rPr>
          <w:rStyle w:val="style85"/>
        </w:rPr>
        <w:t>HASIL DAN PEMBAHASAN</w:t>
      </w:r>
      <w:r>
        <w:rPr>
          <w:webHidden/>
        </w:rPr>
        <w:tab/>
      </w:r>
      <w:r>
        <w:rPr>
          <w:webHidden/>
        </w:rPr>
        <w:fldChar w:fldCharType="begin"/>
      </w:r>
      <w:r>
        <w:rPr>
          <w:webHidden/>
        </w:rPr>
        <w:instrText xml:space="preserve"> PAGEREF _Toc218854630 \h </w:instrText>
      </w:r>
      <w:r>
        <w:rPr>
          <w:webHidden/>
        </w:rPr>
        <w:fldChar w:fldCharType="separate"/>
      </w:r>
      <w:r>
        <w:rPr>
          <w:webHidden/>
        </w:rPr>
        <w:t>33</w:t>
      </w:r>
      <w:r>
        <w:rPr>
          <w:webHidden/>
        </w:rPr>
        <w:fldChar w:fldCharType="end"/>
      </w:r>
      <w:r>
        <w:rPr/>
        <w:fldChar w:fldCharType="end"/>
      </w:r>
    </w:p>
    <w:p>
      <w:pPr>
        <w:pStyle w:val="style21"/>
        <w:ind w:left="810"/>
        <w:rPr>
          <w:rFonts w:ascii="Calibri" w:eastAsia="宋体" w:hAnsi="Calibri"/>
          <w:noProof/>
          <w:szCs w:val="24"/>
        </w:rPr>
      </w:pPr>
      <w:r>
        <w:rPr/>
        <w:fldChar w:fldCharType="begin"/>
      </w:r>
      <w:r>
        <w:instrText xml:space="preserve"> HYPERLINK \l "_Toc218854631" </w:instrText>
      </w:r>
      <w:r>
        <w:rPr/>
        <w:fldChar w:fldCharType="separate"/>
      </w:r>
      <w:r>
        <w:rPr>
          <w:rStyle w:val="style85"/>
          <w:noProof/>
        </w:rPr>
        <w:t>4.1. Deskripsi Data Penelitian</w:t>
      </w:r>
      <w:r>
        <w:rPr>
          <w:noProof/>
          <w:webHidden/>
        </w:rPr>
        <w:tab/>
      </w:r>
      <w:r>
        <w:rPr>
          <w:noProof/>
          <w:webHidden/>
        </w:rPr>
        <w:fldChar w:fldCharType="begin"/>
      </w:r>
      <w:r>
        <w:rPr>
          <w:noProof/>
          <w:webHidden/>
        </w:rPr>
        <w:instrText xml:space="preserve"> PAGEREF _Toc218854631 \h </w:instrText>
      </w:r>
      <w:r>
        <w:rPr>
          <w:noProof/>
          <w:webHidden/>
        </w:rPr>
        <w:fldChar w:fldCharType="separate"/>
      </w:r>
      <w:r>
        <w:rPr>
          <w:noProof/>
          <w:webHidden/>
        </w:rPr>
        <w:t>33</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"_Toc218854632" </w:instrText>
      </w:r>
      <w:r>
        <w:rPr/>
        <w:fldChar w:fldCharType="separate"/>
      </w:r>
      <w:r>
        <w:rPr>
          <w:rStyle w:val="style85"/>
          <w:noProof/>
        </w:rPr>
        <w:t>4.2. Pengujian dan Hasil Analisis Data</w:t>
      </w:r>
      <w:r>
        <w:rPr>
          <w:noProof/>
          <w:webHidden/>
        </w:rPr>
        <w:tab/>
      </w:r>
      <w:r>
        <w:rPr>
          <w:noProof/>
          <w:webHidden/>
        </w:rPr>
        <w:fldChar w:fldCharType="begin"/>
      </w:r>
      <w:r>
        <w:rPr>
          <w:noProof/>
          <w:webHidden/>
        </w:rPr>
        <w:instrText xml:space="preserve"> PAGEREF _Toc218854632 \h </w:instrText>
      </w:r>
      <w:r>
        <w:rPr>
          <w:noProof/>
          <w:webHidden/>
        </w:rPr>
        <w:fldChar w:fldCharType="separate"/>
      </w:r>
      <w:r>
        <w:rPr>
          <w:noProof/>
          <w:webHidden/>
        </w:rPr>
        <w:t>33</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"_Toc218854633" </w:instrText>
      </w:r>
      <w:r>
        <w:rPr/>
        <w:fldChar w:fldCharType="separate"/>
      </w:r>
      <w:r>
        <w:rPr>
          <w:rStyle w:val="style85"/>
          <w:noProof/>
        </w:rPr>
        <w:t>4.2.1.</w:t>
      </w:r>
      <w:r>
        <w:rPr>
          <w:rFonts w:ascii="Calibri" w:eastAsia="宋体" w:hAnsi="Calibri"/>
          <w:noProof/>
          <w:szCs w:val="24"/>
        </w:rPr>
        <w:tab/>
      </w:r>
      <w:r>
        <w:rPr>
          <w:rStyle w:val="style85"/>
          <w:noProof/>
        </w:rPr>
        <w:t>Analisis Statistik Deskriptif</w:t>
      </w:r>
      <w:r>
        <w:rPr>
          <w:noProof/>
          <w:webHidden/>
        </w:rPr>
        <w:tab/>
      </w:r>
      <w:r>
        <w:rPr>
          <w:noProof/>
          <w:webHidden/>
        </w:rPr>
        <w:fldChar w:fldCharType="begin"/>
      </w:r>
      <w:r>
        <w:rPr>
          <w:noProof/>
          <w:webHidden/>
        </w:rPr>
        <w:instrText xml:space="preserve"> PAGEREF _Toc218854633 \h </w:instrText>
      </w:r>
      <w:r>
        <w:rPr>
          <w:noProof/>
          <w:webHidden/>
        </w:rPr>
        <w:fldChar w:fldCharType="separate"/>
      </w:r>
      <w:r>
        <w:rPr>
          <w:noProof/>
          <w:webHidden/>
        </w:rPr>
        <w:t>33</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"_Toc218854634" </w:instrText>
      </w:r>
      <w:r>
        <w:rPr/>
        <w:fldChar w:fldCharType="separate"/>
      </w:r>
      <w:r>
        <w:rPr>
          <w:rStyle w:val="style85"/>
          <w:rFonts w:eastAsia="Times New Roman"/>
          <w:noProof/>
        </w:rPr>
        <w:t xml:space="preserve">4.2.2. </w:t>
      </w:r>
      <w:r>
        <w:rPr>
          <w:rFonts w:ascii="Calibri" w:eastAsia="宋体" w:hAnsi="Calibri"/>
          <w:noProof/>
          <w:szCs w:val="24"/>
        </w:rPr>
        <w:tab/>
      </w:r>
      <w:r>
        <w:rPr>
          <w:rStyle w:val="style85"/>
          <w:rFonts w:eastAsia="Times New Roman"/>
          <w:noProof/>
        </w:rPr>
        <w:t>Uji Asumsi Klasik</w:t>
      </w:r>
      <w:r>
        <w:rPr>
          <w:noProof/>
          <w:webHidden/>
        </w:rPr>
        <w:tab/>
      </w:r>
      <w:r>
        <w:rPr>
          <w:noProof/>
          <w:webHidden/>
        </w:rPr>
        <w:fldChar w:fldCharType="begin"/>
      </w:r>
      <w:r>
        <w:rPr>
          <w:noProof/>
          <w:webHidden/>
        </w:rPr>
        <w:instrText xml:space="preserve"> PAGEREF _Toc218854634 \h </w:instrText>
      </w:r>
      <w:r>
        <w:rPr>
          <w:noProof/>
          <w:webHidden/>
        </w:rPr>
        <w:fldChar w:fldCharType="separate"/>
      </w:r>
      <w:r>
        <w:rPr>
          <w:noProof/>
          <w:webHidden/>
        </w:rPr>
        <w:t>35</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"_Toc218854635" </w:instrText>
      </w:r>
      <w:r>
        <w:rPr/>
        <w:fldChar w:fldCharType="separate"/>
      </w:r>
      <w:r>
        <w:rPr>
          <w:rStyle w:val="style85"/>
          <w:rFonts w:eastAsia="Times New Roman"/>
          <w:noProof/>
        </w:rPr>
        <w:t xml:space="preserve">4.2.3. </w:t>
      </w:r>
      <w:r>
        <w:rPr>
          <w:rFonts w:ascii="Calibri" w:eastAsia="宋体" w:hAnsi="Calibri"/>
          <w:noProof/>
          <w:szCs w:val="24"/>
        </w:rPr>
        <w:tab/>
      </w:r>
      <w:r>
        <w:rPr>
          <w:rStyle w:val="style85"/>
          <w:noProof/>
        </w:rPr>
        <w:t>Analisis Regesi Linear Berganda</w:t>
      </w:r>
      <w:r>
        <w:rPr>
          <w:noProof/>
          <w:webHidden/>
        </w:rPr>
        <w:tab/>
      </w:r>
      <w:r>
        <w:rPr>
          <w:noProof/>
          <w:webHidden/>
        </w:rPr>
        <w:fldChar w:fldCharType="begin"/>
      </w:r>
      <w:r>
        <w:rPr>
          <w:noProof/>
          <w:webHidden/>
        </w:rPr>
        <w:instrText xml:space="preserve"> PAGEREF _Toc218854635 \h </w:instrText>
      </w:r>
      <w:r>
        <w:rPr>
          <w:noProof/>
          <w:webHidden/>
        </w:rPr>
        <w:fldChar w:fldCharType="separate"/>
      </w:r>
      <w:r>
        <w:rPr>
          <w:noProof/>
          <w:webHidden/>
        </w:rPr>
        <w:t>39</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"_Toc218854636" </w:instrText>
      </w:r>
      <w:r>
        <w:rPr/>
        <w:fldChar w:fldCharType="separate"/>
      </w:r>
      <w:r>
        <w:rPr>
          <w:rStyle w:val="style85"/>
          <w:noProof/>
        </w:rPr>
        <w:t>4.2.4.</w:t>
      </w:r>
      <w:r>
        <w:rPr>
          <w:rStyle w:val="style85"/>
          <w:noProof/>
        </w:rPr>
        <w:tab/>
      </w:r>
      <w:r>
        <w:rPr>
          <w:rStyle w:val="style85"/>
          <w:noProof/>
        </w:rPr>
        <w:t>Uji Kelayakan Model (Uji F)</w:t>
      </w:r>
      <w:r>
        <w:rPr>
          <w:noProof/>
          <w:webHidden/>
        </w:rPr>
        <w:tab/>
      </w:r>
      <w:r>
        <w:rPr>
          <w:noProof/>
          <w:webHidden/>
        </w:rPr>
        <w:fldChar w:fldCharType="begin"/>
      </w:r>
      <w:r>
        <w:rPr>
          <w:noProof/>
          <w:webHidden/>
        </w:rPr>
        <w:instrText xml:space="preserve"> PAGEREF _Toc218854636 \h </w:instrText>
      </w:r>
      <w:r>
        <w:rPr>
          <w:noProof/>
          <w:webHidden/>
        </w:rPr>
        <w:fldChar w:fldCharType="separate"/>
      </w:r>
      <w:r>
        <w:rPr>
          <w:noProof/>
          <w:webHidden/>
        </w:rPr>
        <w:t>41</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"_Toc218854637" </w:instrText>
      </w:r>
      <w:r>
        <w:rPr/>
        <w:fldChar w:fldCharType="separate"/>
      </w:r>
      <w:r>
        <w:rPr>
          <w:rStyle w:val="style85"/>
          <w:noProof/>
        </w:rPr>
        <w:t xml:space="preserve">4.3. </w:t>
      </w:r>
      <w:r>
        <w:rPr>
          <w:rFonts w:ascii="Calibri" w:eastAsia="宋体" w:hAnsi="Calibri"/>
          <w:noProof/>
          <w:szCs w:val="24"/>
        </w:rPr>
        <w:tab/>
      </w:r>
      <w:r>
        <w:rPr>
          <w:rStyle w:val="style85"/>
          <w:noProof/>
        </w:rPr>
        <w:t>Pembahasan Hasil Penelitian</w:t>
      </w:r>
      <w:r>
        <w:rPr>
          <w:noProof/>
          <w:webHidden/>
        </w:rPr>
        <w:tab/>
      </w:r>
      <w:r>
        <w:rPr>
          <w:noProof/>
          <w:webHidden/>
        </w:rPr>
        <w:fldChar w:fldCharType="begin"/>
      </w:r>
      <w:r>
        <w:rPr>
          <w:noProof/>
          <w:webHidden/>
        </w:rPr>
        <w:instrText xml:space="preserve"> PAGEREF _Toc218854637 \h </w:instrText>
      </w:r>
      <w:r>
        <w:rPr>
          <w:noProof/>
          <w:webHidden/>
        </w:rPr>
        <w:fldChar w:fldCharType="separate"/>
      </w:r>
      <w:r>
        <w:rPr>
          <w:noProof/>
          <w:webHidden/>
        </w:rPr>
        <w:t>43</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"_Toc218854638" </w:instrText>
      </w:r>
      <w:r>
        <w:rPr/>
        <w:fldChar w:fldCharType="separate"/>
      </w:r>
      <w:r>
        <w:rPr>
          <w:rStyle w:val="style85"/>
          <w:noProof/>
        </w:rPr>
        <w:t xml:space="preserve">4.3.1. </w:t>
      </w:r>
      <w:r>
        <w:rPr>
          <w:rFonts w:ascii="Calibri" w:eastAsia="宋体" w:hAnsi="Calibri"/>
          <w:noProof/>
          <w:szCs w:val="24"/>
        </w:rPr>
        <w:tab/>
      </w:r>
      <w:r>
        <w:rPr>
          <w:rStyle w:val="style85"/>
          <w:noProof/>
        </w:rPr>
        <w:t xml:space="preserve">Pengaruh </w:t>
      </w:r>
      <w:r>
        <w:rPr>
          <w:rStyle w:val="style85"/>
          <w:i/>
          <w:iCs/>
          <w:noProof/>
        </w:rPr>
        <w:t>Enterprise Risk Management</w:t>
      </w:r>
      <w:r>
        <w:rPr>
          <w:rStyle w:val="style85"/>
          <w:noProof/>
        </w:rPr>
        <w:t xml:space="preserve"> terhadap </w:t>
      </w:r>
      <w:r>
        <w:rPr>
          <w:rStyle w:val="style85"/>
          <w:i/>
          <w:iCs/>
          <w:noProof/>
        </w:rPr>
        <w:t>Firm Value</w:t>
      </w:r>
      <w:r>
        <w:rPr>
          <w:noProof/>
          <w:webHidden/>
        </w:rPr>
        <w:tab/>
      </w:r>
      <w:r>
        <w:rPr>
          <w:noProof/>
          <w:webHidden/>
        </w:rPr>
        <w:fldChar w:fldCharType="begin"/>
      </w:r>
      <w:r>
        <w:rPr>
          <w:noProof/>
          <w:webHidden/>
        </w:rPr>
        <w:instrText xml:space="preserve"> PAGEREF _Toc218854638 \h </w:instrText>
      </w:r>
      <w:r>
        <w:rPr>
          <w:noProof/>
          <w:webHidden/>
        </w:rPr>
        <w:fldChar w:fldCharType="separate"/>
      </w:r>
      <w:r>
        <w:rPr>
          <w:noProof/>
          <w:webHidden/>
        </w:rPr>
        <w:t>43</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"_Toc218854639" </w:instrText>
      </w:r>
      <w:r>
        <w:rPr/>
        <w:fldChar w:fldCharType="separate"/>
      </w:r>
      <w:r>
        <w:rPr>
          <w:rStyle w:val="style85"/>
          <w:noProof/>
        </w:rPr>
        <w:t xml:space="preserve">4.3.2. </w:t>
      </w:r>
      <w:r>
        <w:rPr>
          <w:rFonts w:ascii="Calibri" w:eastAsia="宋体" w:hAnsi="Calibri"/>
          <w:noProof/>
          <w:szCs w:val="24"/>
        </w:rPr>
        <w:tab/>
      </w:r>
      <w:r>
        <w:rPr>
          <w:rStyle w:val="style85"/>
          <w:noProof/>
        </w:rPr>
        <w:t xml:space="preserve">Pengaruh </w:t>
      </w:r>
      <w:r>
        <w:rPr>
          <w:rStyle w:val="style85"/>
          <w:i/>
          <w:iCs/>
          <w:noProof/>
        </w:rPr>
        <w:t>Managerial Ownership</w:t>
      </w:r>
      <w:r>
        <w:rPr>
          <w:rStyle w:val="style85"/>
          <w:noProof/>
        </w:rPr>
        <w:t xml:space="preserve"> terhadap </w:t>
      </w:r>
      <w:r>
        <w:rPr>
          <w:rStyle w:val="style85"/>
          <w:i/>
          <w:iCs/>
          <w:noProof/>
        </w:rPr>
        <w:t>Firm Value</w:t>
      </w:r>
      <w:r>
        <w:rPr>
          <w:noProof/>
          <w:webHidden/>
        </w:rPr>
        <w:tab/>
      </w:r>
      <w:r>
        <w:rPr>
          <w:noProof/>
          <w:webHidden/>
        </w:rPr>
        <w:fldChar w:fldCharType="begin"/>
      </w:r>
      <w:r>
        <w:rPr>
          <w:noProof/>
          <w:webHidden/>
        </w:rPr>
        <w:instrText xml:space="preserve"> PAGEREF _Toc218854639 \h </w:instrText>
      </w:r>
      <w:r>
        <w:rPr>
          <w:noProof/>
          <w:webHidden/>
        </w:rPr>
        <w:fldChar w:fldCharType="separate"/>
      </w:r>
      <w:r>
        <w:rPr>
          <w:noProof/>
          <w:webHidden/>
        </w:rPr>
        <w:t>45</w:t>
      </w:r>
      <w:r>
        <w:rPr>
          <w:noProof/>
          <w:webHidden/>
        </w:rPr>
        <w:fldChar w:fldCharType="end"/>
      </w:r>
      <w:r>
        <w:rPr/>
        <w:fldChar w:fldCharType="end"/>
      </w:r>
    </w:p>
    <w:p>
      <w:pPr>
        <w:pStyle w:val="style21"/>
        <w:rPr>
          <w:rFonts w:ascii="Calibri" w:eastAsia="宋体" w:hAnsi="Calibri"/>
          <w:noProof/>
          <w:szCs w:val="24"/>
        </w:rPr>
      </w:pPr>
      <w:r>
        <w:rPr/>
        <w:fldChar w:fldCharType="begin"/>
      </w:r>
      <w:r>
        <w:instrText xml:space="preserve"> HYPERLINK \l "_Toc218854640" </w:instrText>
      </w:r>
      <w:r>
        <w:rPr/>
        <w:fldChar w:fldCharType="separate"/>
      </w:r>
      <w:r>
        <w:rPr>
          <w:rStyle w:val="style85"/>
          <w:noProof/>
        </w:rPr>
        <w:t xml:space="preserve">4.3.3. </w:t>
      </w:r>
      <w:r>
        <w:rPr>
          <w:rFonts w:ascii="Calibri" w:eastAsia="宋体" w:hAnsi="Calibri"/>
          <w:noProof/>
          <w:szCs w:val="24"/>
        </w:rPr>
        <w:tab/>
      </w:r>
      <w:r>
        <w:rPr>
          <w:rStyle w:val="style85"/>
          <w:noProof/>
        </w:rPr>
        <w:t xml:space="preserve">Pengaruh </w:t>
      </w:r>
      <w:r>
        <w:rPr>
          <w:rStyle w:val="style85"/>
          <w:i/>
          <w:iCs/>
          <w:noProof/>
        </w:rPr>
        <w:t>Institutional Ownership</w:t>
      </w:r>
      <w:r>
        <w:rPr>
          <w:rStyle w:val="style85"/>
          <w:noProof/>
        </w:rPr>
        <w:t xml:space="preserve"> terhadap </w:t>
      </w:r>
      <w:r>
        <w:rPr>
          <w:rStyle w:val="style85"/>
          <w:i/>
          <w:iCs/>
          <w:noProof/>
        </w:rPr>
        <w:t>Firm Value</w:t>
      </w:r>
      <w:r>
        <w:rPr>
          <w:noProof/>
          <w:webHidden/>
        </w:rPr>
        <w:tab/>
      </w:r>
      <w:r>
        <w:rPr>
          <w:noProof/>
          <w:webHidden/>
        </w:rPr>
        <w:fldChar w:fldCharType="begin"/>
      </w:r>
      <w:r>
        <w:rPr>
          <w:noProof/>
          <w:webHidden/>
        </w:rPr>
        <w:instrText xml:space="preserve"> PAGEREF _Toc218854640 \h </w:instrText>
      </w:r>
      <w:r>
        <w:rPr>
          <w:noProof/>
          <w:webHidden/>
        </w:rPr>
        <w:fldChar w:fldCharType="separate"/>
      </w:r>
      <w:r>
        <w:rPr>
          <w:noProof/>
          <w:webHidden/>
        </w:rPr>
        <w:t>47</w:t>
      </w:r>
      <w:r>
        <w:rPr>
          <w:noProof/>
          <w:webHidden/>
        </w:rPr>
        <w:fldChar w:fldCharType="end"/>
      </w:r>
      <w:r>
        <w:rPr/>
        <w:fldChar w:fldCharType="end"/>
      </w:r>
    </w:p>
    <w:p>
      <w:pPr>
        <w:pStyle w:val="style19"/>
        <w:rPr>
          <w:rFonts w:ascii="Calibri" w:cs="宋体" w:eastAsia="宋体" w:hAnsi="Calibri"/>
          <w:b w:val="false"/>
          <w:bCs w:val="false"/>
          <w:sz w:val="24"/>
          <w:szCs w:val="24"/>
        </w:rPr>
      </w:pPr>
      <w:r>
        <w:rPr/>
        <w:fldChar w:fldCharType="begin"/>
      </w:r>
      <w:r>
        <w:instrText xml:space="preserve"> HYPERLINK \l "_Toc218854641" </w:instrText>
      </w:r>
      <w:r>
        <w:rPr/>
        <w:fldChar w:fldCharType="separate"/>
      </w:r>
      <w:r>
        <w:rPr>
          <w:rStyle w:val="style85"/>
        </w:rPr>
        <w:t>BAB V</w:t>
      </w:r>
      <w:r>
        <w:rPr>
          <w:webHidden/>
        </w:rPr>
        <w:tab/>
      </w:r>
      <w:r>
        <w:rPr/>
        <w:fldChar w:fldCharType="end"/>
      </w:r>
      <w:r>
        <w:rPr/>
        <w:fldChar w:fldCharType="begin"/>
      </w:r>
      <w:r>
        <w:instrText xml:space="preserve"> HYPERLINK \l "_Toc218854642" </w:instrText>
      </w:r>
      <w:r>
        <w:rPr/>
        <w:fldChar w:fldCharType="separate"/>
      </w:r>
      <w:r>
        <w:rPr>
          <w:rStyle w:val="style85"/>
        </w:rPr>
        <w:t>PENUTUP</w:t>
      </w:r>
      <w:r>
        <w:rPr>
          <w:webHidden/>
        </w:rPr>
        <w:tab/>
      </w:r>
      <w:r>
        <w:rPr>
          <w:webHidden/>
        </w:rPr>
        <w:fldChar w:fldCharType="begin"/>
      </w:r>
      <w:r>
        <w:rPr>
          <w:webHidden/>
        </w:rPr>
        <w:instrText xml:space="preserve"> PAGEREF _Toc218854642 \h </w:instrText>
      </w:r>
      <w:r>
        <w:rPr>
          <w:webHidden/>
        </w:rPr>
        <w:fldChar w:fldCharType="separate"/>
      </w:r>
      <w:r>
        <w:rPr>
          <w:webHidden/>
        </w:rPr>
        <w:t>50</w:t>
      </w:r>
      <w:r>
        <w:rPr>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"_Toc218854643" </w:instrText>
      </w:r>
      <w:r>
        <w:rPr/>
        <w:fldChar w:fldCharType="separate"/>
      </w:r>
      <w:r>
        <w:rPr>
          <w:rStyle w:val="style85"/>
          <w:noProof/>
        </w:rPr>
        <w:t xml:space="preserve">5.1. </w:t>
      </w:r>
      <w:r>
        <w:rPr>
          <w:rFonts w:ascii="Calibri" w:eastAsia="宋体" w:hAnsi="Calibri"/>
          <w:noProof/>
          <w:szCs w:val="24"/>
        </w:rPr>
        <w:tab/>
      </w:r>
      <w:r>
        <w:rPr>
          <w:rStyle w:val="style85"/>
          <w:noProof/>
        </w:rPr>
        <w:t>Kesimpulan</w:t>
      </w:r>
      <w:r>
        <w:rPr>
          <w:noProof/>
          <w:webHidden/>
        </w:rPr>
        <w:tab/>
      </w:r>
      <w:r>
        <w:rPr>
          <w:noProof/>
          <w:webHidden/>
        </w:rPr>
        <w:fldChar w:fldCharType="begin"/>
      </w:r>
      <w:r>
        <w:rPr>
          <w:noProof/>
          <w:webHidden/>
        </w:rPr>
        <w:instrText xml:space="preserve"> PAGEREF _Toc218854643 \h </w:instrText>
      </w:r>
      <w:r>
        <w:rPr>
          <w:noProof/>
          <w:webHidden/>
        </w:rPr>
        <w:fldChar w:fldCharType="separate"/>
      </w:r>
      <w:r>
        <w:rPr>
          <w:noProof/>
          <w:webHidden/>
        </w:rPr>
        <w:t>50</w:t>
      </w:r>
      <w:r>
        <w:rPr>
          <w:noProof/>
          <w:webHidden/>
        </w:rPr>
        <w:fldChar w:fldCharType="end"/>
      </w:r>
      <w:r>
        <w:rPr/>
        <w:fldChar w:fldCharType="end"/>
      </w:r>
    </w:p>
    <w:p>
      <w:pPr>
        <w:pStyle w:val="style20"/>
        <w:rPr>
          <w:rFonts w:ascii="Calibri" w:eastAsia="宋体" w:hAnsi="Calibri"/>
          <w:noProof/>
          <w:szCs w:val="24"/>
        </w:rPr>
      </w:pPr>
      <w:r>
        <w:rPr/>
        <w:fldChar w:fldCharType="begin"/>
      </w:r>
      <w:r>
        <w:instrText xml:space="preserve"> HYPERLINK \l "_Toc218854644" </w:instrText>
      </w:r>
      <w:r>
        <w:rPr/>
        <w:fldChar w:fldCharType="separate"/>
      </w:r>
      <w:r>
        <w:rPr>
          <w:rStyle w:val="style85"/>
          <w:noProof/>
        </w:rPr>
        <w:t xml:space="preserve">5.2. </w:t>
      </w:r>
      <w:r>
        <w:rPr>
          <w:rFonts w:ascii="Calibri" w:eastAsia="宋体" w:hAnsi="Calibri"/>
          <w:noProof/>
          <w:szCs w:val="24"/>
        </w:rPr>
        <w:tab/>
      </w:r>
      <w:r>
        <w:rPr>
          <w:rStyle w:val="style85"/>
          <w:noProof/>
        </w:rPr>
        <w:t>Saran</w:t>
      </w:r>
      <w:r>
        <w:rPr>
          <w:noProof/>
          <w:webHidden/>
        </w:rPr>
        <w:tab/>
      </w:r>
      <w:r>
        <w:rPr>
          <w:noProof/>
          <w:webHidden/>
        </w:rPr>
        <w:fldChar w:fldCharType="begin"/>
      </w:r>
      <w:r>
        <w:rPr>
          <w:noProof/>
          <w:webHidden/>
        </w:rPr>
        <w:instrText xml:space="preserve"> PAGEREF _Toc218854644 \h </w:instrText>
      </w:r>
      <w:r>
        <w:rPr>
          <w:noProof/>
          <w:webHidden/>
        </w:rPr>
        <w:fldChar w:fldCharType="separate"/>
      </w:r>
      <w:r>
        <w:rPr>
          <w:noProof/>
          <w:webHidden/>
        </w:rPr>
        <w:t>51</w:t>
      </w:r>
      <w:r>
        <w:rPr>
          <w:noProof/>
          <w:webHidden/>
        </w:rPr>
        <w:fldChar w:fldCharType="end"/>
      </w:r>
      <w:r>
        <w:rPr/>
        <w:fldChar w:fldCharType="end"/>
      </w:r>
    </w:p>
    <w:p>
      <w:pPr>
        <w:pStyle w:val="style19"/>
        <w:rPr>
          <w:rFonts w:ascii="Calibri" w:cs="宋体" w:eastAsia="宋体" w:hAnsi="Calibri"/>
          <w:b w:val="false"/>
          <w:bCs w:val="false"/>
          <w:sz w:val="24"/>
          <w:szCs w:val="24"/>
        </w:rPr>
      </w:pPr>
      <w:r>
        <w:rPr/>
        <w:fldChar w:fldCharType="begin"/>
      </w:r>
      <w:r>
        <w:instrText xml:space="preserve"> HYPERLINK \l "_Toc218854645" </w:instrText>
      </w:r>
      <w:r>
        <w:rPr/>
        <w:fldChar w:fldCharType="separate"/>
      </w:r>
      <w:r>
        <w:rPr>
          <w:rStyle w:val="style85"/>
        </w:rPr>
        <w:t>DAFTAR PUSTAKA</w:t>
      </w:r>
      <w:r>
        <w:rPr>
          <w:webHidden/>
        </w:rPr>
        <w:tab/>
      </w:r>
      <w:r>
        <w:rPr>
          <w:webHidden/>
        </w:rPr>
        <w:fldChar w:fldCharType="begin"/>
      </w:r>
      <w:r>
        <w:rPr>
          <w:webHidden/>
        </w:rPr>
        <w:instrText xml:space="preserve"> PAGEREF _Toc218854645 \h </w:instrText>
      </w:r>
      <w:r>
        <w:rPr>
          <w:webHidden/>
        </w:rPr>
        <w:fldChar w:fldCharType="separate"/>
      </w:r>
      <w:r>
        <w:rPr>
          <w:webHidden/>
        </w:rPr>
        <w:t>52</w:t>
      </w:r>
      <w:r>
        <w:rPr>
          <w:webHidden/>
        </w:rPr>
        <w:fldChar w:fldCharType="end"/>
      </w:r>
      <w:r>
        <w:rPr/>
        <w:fldChar w:fldCharType="end"/>
      </w:r>
    </w:p>
    <w:p>
      <w:pPr>
        <w:pStyle w:val="style19"/>
        <w:spacing w:before="0"/>
        <w:rPr>
          <w:rFonts w:ascii="Calibri" w:cs="宋体" w:eastAsia="宋体" w:hAnsi="Calibri"/>
          <w:b w:val="false"/>
          <w:bCs w:val="false"/>
          <w:sz w:val="24"/>
          <w:szCs w:val="24"/>
        </w:rPr>
      </w:pPr>
      <w:r>
        <w:rPr/>
        <w:fldChar w:fldCharType="begin"/>
      </w:r>
      <w:r>
        <w:instrText xml:space="preserve"> HYPERLINK \l "_Toc218854646" </w:instrText>
      </w:r>
      <w:r>
        <w:rPr/>
        <w:fldChar w:fldCharType="separate"/>
      </w:r>
      <w:r>
        <w:rPr>
          <w:rStyle w:val="style85"/>
          <w:rFonts w:eastAsia="Times New Roman"/>
        </w:rPr>
        <w:t>LAMPIRAN</w:t>
      </w:r>
      <w:r>
        <w:rPr>
          <w:webHidden/>
        </w:rPr>
        <w:tab/>
      </w:r>
      <w:r>
        <w:rPr>
          <w:webHidden/>
        </w:rPr>
        <w:fldChar w:fldCharType="begin"/>
      </w:r>
      <w:r>
        <w:rPr>
          <w:webHidden/>
        </w:rPr>
        <w:instrText xml:space="preserve"> PAGEREF _Toc218854646 \h </w:instrText>
      </w:r>
      <w:r>
        <w:rPr>
          <w:webHidden/>
        </w:rPr>
        <w:fldChar w:fldCharType="separate"/>
      </w:r>
      <w:r>
        <w:rPr>
          <w:webHidden/>
        </w:rPr>
        <w:t>58</w:t>
      </w:r>
      <w:r>
        <w:rPr>
          <w:webHidden/>
        </w:rPr>
        <w:fldChar w:fldCharType="end"/>
      </w:r>
      <w:r>
        <w:rPr/>
        <w:fldChar w:fldCharType="end"/>
      </w:r>
    </w:p>
    <w:p>
      <w:pPr>
        <w:pStyle w:val="style0"/>
        <w:spacing w:after="0" w:lineRule="auto" w:line="240"/>
        <w:jc w:val="both"/>
        <w:rPr>
          <w:rFonts w:cs="Times New Roman"/>
          <w:sz w:val="4"/>
          <w:szCs w:val="4"/>
        </w:rPr>
      </w:pPr>
      <w:r>
        <w:rPr>
          <w:rFonts w:cs="Times New Roman"/>
          <w:b/>
          <w:bCs/>
          <w:noProof/>
          <w:szCs w:val="24"/>
        </w:rPr>
        <w:fldChar w:fldCharType="end"/>
      </w:r>
    </w:p>
    <w:p>
      <w:pPr>
        <w:pStyle w:val="style0"/>
        <w:spacing w:after="0" w:lineRule="auto" w:line="480"/>
        <w:jc w:val="center"/>
        <w:rPr>
          <w:rStyle w:val="style4097"/>
        </w:rPr>
      </w:pPr>
    </w:p>
    <w:p>
      <w:pPr>
        <w:pStyle w:val="style0"/>
        <w:spacing w:after="0" w:lineRule="auto" w:line="480"/>
        <w:jc w:val="center"/>
        <w:rPr>
          <w:rStyle w:val="style4097"/>
        </w:rPr>
      </w:pPr>
    </w:p>
    <w:p>
      <w:pPr>
        <w:pStyle w:val="style0"/>
        <w:spacing w:after="0" w:lineRule="auto" w:line="480"/>
        <w:jc w:val="center"/>
        <w:rPr>
          <w:rStyle w:val="style4097"/>
        </w:rPr>
      </w:pPr>
    </w:p>
    <w:p>
      <w:pPr>
        <w:pStyle w:val="style0"/>
        <w:spacing w:after="0" w:lineRule="auto" w:line="480"/>
        <w:jc w:val="center"/>
        <w:rPr>
          <w:rStyle w:val="style4097"/>
        </w:rPr>
      </w:pPr>
    </w:p>
    <w:p>
      <w:pPr>
        <w:pStyle w:val="style0"/>
        <w:spacing w:after="0" w:lineRule="auto" w:line="480"/>
        <w:jc w:val="center"/>
        <w:rPr>
          <w:rStyle w:val="style4097"/>
        </w:rPr>
      </w:pPr>
    </w:p>
    <w:p>
      <w:pPr>
        <w:pStyle w:val="style0"/>
        <w:spacing w:after="0" w:lineRule="auto" w:line="480"/>
        <w:jc w:val="center"/>
        <w:rPr>
          <w:rStyle w:val="style4097"/>
        </w:rPr>
      </w:pPr>
    </w:p>
    <w:p>
      <w:pPr>
        <w:pStyle w:val="style0"/>
        <w:spacing w:after="0" w:lineRule="auto" w:line="480"/>
        <w:jc w:val="center"/>
        <w:rPr>
          <w:rStyle w:val="style4097"/>
        </w:rPr>
      </w:pPr>
    </w:p>
    <w:p>
      <w:pPr>
        <w:pStyle w:val="style0"/>
        <w:spacing w:after="0" w:lineRule="auto" w:line="480"/>
        <w:jc w:val="center"/>
        <w:rPr>
          <w:rStyle w:val="style4097"/>
        </w:rPr>
      </w:pPr>
    </w:p>
    <w:p>
      <w:pPr>
        <w:pStyle w:val="style0"/>
        <w:spacing w:after="0" w:lineRule="auto" w:line="480"/>
        <w:jc w:val="center"/>
        <w:rPr>
          <w:rStyle w:val="style4097"/>
        </w:rPr>
      </w:pPr>
    </w:p>
    <w:p>
      <w:pPr>
        <w:pStyle w:val="style0"/>
        <w:spacing w:after="0" w:lineRule="auto" w:line="480"/>
        <w:jc w:val="center"/>
        <w:rPr>
          <w:rStyle w:val="style4097"/>
        </w:rPr>
      </w:pPr>
    </w:p>
    <w:p>
      <w:pPr>
        <w:pStyle w:val="style0"/>
        <w:spacing w:after="0" w:lineRule="auto" w:line="480"/>
        <w:jc w:val="center"/>
        <w:rPr>
          <w:rStyle w:val="style4097"/>
        </w:rPr>
      </w:pPr>
    </w:p>
    <w:p>
      <w:pPr>
        <w:pStyle w:val="style0"/>
        <w:spacing w:after="0" w:lineRule="auto" w:line="480"/>
        <w:jc w:val="center"/>
        <w:rPr>
          <w:rStyle w:val="style4097"/>
        </w:rPr>
      </w:pPr>
    </w:p>
    <w:p>
      <w:pPr>
        <w:pStyle w:val="style0"/>
        <w:spacing w:after="0" w:lineRule="auto" w:line="480"/>
        <w:jc w:val="center"/>
        <w:rPr>
          <w:rStyle w:val="style4097"/>
        </w:rPr>
      </w:pPr>
    </w:p>
    <w:bookmarkStart w:id="7" w:name="_Toc218854587"/>
    <w:p>
      <w:pPr>
        <w:pStyle w:val="style0"/>
        <w:spacing w:lineRule="auto" w:line="240"/>
        <w:jc w:val="center"/>
        <w:rPr>
          <w:b/>
          <w:bCs/>
        </w:rPr>
      </w:pPr>
      <w:r>
        <w:rPr>
          <w:rStyle w:val="style4097"/>
        </w:rPr>
        <w:t>DAFTAR TABEL</w:t>
      </w:r>
      <w:bookmarkEnd w:id="7"/>
    </w:p>
    <w:p>
      <w:pPr>
        <w:pStyle w:val="style0"/>
        <w:spacing w:after="0" w:lineRule="auto" w:line="240"/>
        <w:jc w:val="right"/>
        <w:rPr/>
      </w:pPr>
      <w:r>
        <w:rPr>
          <w:b/>
          <w:bCs/>
        </w:rPr>
        <w:t>Halaman</w:t>
      </w:r>
    </w:p>
    <w:p>
      <w:pPr>
        <w:pStyle w:val="style35"/>
        <w:tabs>
          <w:tab w:val="left" w:leader="none" w:pos="1170"/>
          <w:tab w:val="right" w:leader="dot" w:pos="7927"/>
        </w:tabs>
        <w:spacing w:before="240" w:after="240" w:lineRule="auto" w:line="240"/>
        <w:rPr>
          <w:rFonts w:cs="Times New Roman" w:eastAsia="宋体"/>
          <w:noProof/>
          <w:szCs w:val="24"/>
        </w:rPr>
      </w:pPr>
      <w:r>
        <w:rPr>
          <w:rFonts w:cs="Times New Roman"/>
        </w:rPr>
        <w:fldChar w:fldCharType="begin"/>
      </w:r>
      <w:r>
        <w:rPr>
          <w:rFonts w:cs="Times New Roman"/>
        </w:rPr>
        <w:instrText xml:space="preserve"> TOC \c "Tabel " </w:instrText>
      </w:r>
      <w:r>
        <w:rPr>
          <w:rFonts w:cs="Times New Roman"/>
        </w:rPr>
        <w:fldChar w:fldCharType="separate"/>
      </w:r>
      <w:r>
        <w:rPr>
          <w:rFonts w:cs="Times New Roman"/>
          <w:noProof/>
        </w:rPr>
        <w:t xml:space="preserve">Tabel 2. 1. </w:t>
      </w:r>
      <w:r>
        <w:rPr>
          <w:rFonts w:cs="Times New Roman"/>
          <w:noProof/>
        </w:rPr>
        <w:tab/>
      </w:r>
      <w:r>
        <w:rPr>
          <w:rFonts w:cs="Times New Roman"/>
          <w:noProof/>
        </w:rPr>
        <w:t>Tinjauan Penelitian Terdahulu</w:t>
      </w:r>
      <w:r>
        <w:rPr>
          <w:rFonts w:cs="Times New Roman"/>
          <w:noProof/>
        </w:rPr>
        <w:tab/>
      </w:r>
      <w:r>
        <w:rPr>
          <w:rFonts w:cs="Times New Roman"/>
          <w:noProof/>
        </w:rPr>
        <w:fldChar w:fldCharType="begin"/>
      </w:r>
      <w:r>
        <w:rPr>
          <w:rFonts w:cs="Times New Roman"/>
          <w:noProof/>
        </w:rPr>
        <w:instrText xml:space="preserve"> PAGEREF _Toc216804036 \h </w:instrText>
      </w:r>
      <w:r>
        <w:rPr>
          <w:rFonts w:cs="Times New Roman"/>
          <w:noProof/>
        </w:rPr>
        <w:fldChar w:fldCharType="separate"/>
      </w:r>
      <w:r>
        <w:rPr>
          <w:rFonts w:cs="Times New Roman"/>
          <w:noProof/>
        </w:rPr>
        <w:t>16</w:t>
      </w:r>
      <w:r>
        <w:rPr>
          <w:rFonts w:cs="Times New Roman"/>
          <w:noProof/>
        </w:rPr>
        <w:fldChar w:fldCharType="end"/>
      </w:r>
    </w:p>
    <w:p>
      <w:pPr>
        <w:pStyle w:val="style35"/>
        <w:tabs>
          <w:tab w:val="left" w:leader="none" w:pos="1170"/>
          <w:tab w:val="right" w:leader="dot" w:pos="7927"/>
        </w:tabs>
        <w:spacing w:after="240" w:lineRule="auto" w:line="240"/>
        <w:rPr>
          <w:rFonts w:cs="Times New Roman" w:eastAsia="宋体"/>
          <w:noProof/>
          <w:szCs w:val="24"/>
        </w:rPr>
      </w:pPr>
      <w:r>
        <w:rPr>
          <w:rFonts w:cs="Times New Roman"/>
          <w:noProof/>
        </w:rPr>
        <w:t>Tabel</w:t>
      </w:r>
      <w:r>
        <w:rPr>
          <w:rFonts w:cs="Times New Roman"/>
          <w:noProof/>
          <w:color w:val="ffffff"/>
        </w:rPr>
        <w:t xml:space="preserve"> </w:t>
      </w:r>
      <w:r>
        <w:rPr>
          <w:rFonts w:cs="Times New Roman"/>
          <w:noProof/>
        </w:rPr>
        <w:t xml:space="preserve">3. 1. </w:t>
      </w:r>
      <w:r>
        <w:rPr>
          <w:rFonts w:cs="Times New Roman"/>
          <w:noProof/>
        </w:rPr>
        <w:tab/>
      </w:r>
      <w:r>
        <w:rPr>
          <w:rFonts w:cs="Times New Roman"/>
          <w:noProof/>
        </w:rPr>
        <w:t>Tabel Penyaringan Sampel Berdasarkan Kriteria</w:t>
      </w:r>
      <w:r>
        <w:rPr>
          <w:rFonts w:cs="Times New Roman"/>
          <w:noProof/>
        </w:rPr>
        <w:tab/>
      </w:r>
      <w:r>
        <w:rPr>
          <w:rFonts w:cs="Times New Roman"/>
          <w:noProof/>
        </w:rPr>
        <w:fldChar w:fldCharType="begin"/>
      </w:r>
      <w:r>
        <w:rPr>
          <w:rFonts w:cs="Times New Roman"/>
          <w:noProof/>
        </w:rPr>
        <w:instrText xml:space="preserve"> PAGEREF _Toc216804037 \h </w:instrText>
      </w:r>
      <w:r>
        <w:rPr>
          <w:rFonts w:cs="Times New Roman"/>
          <w:noProof/>
        </w:rPr>
        <w:fldChar w:fldCharType="separate"/>
      </w:r>
      <w:r>
        <w:rPr>
          <w:rFonts w:cs="Times New Roman"/>
          <w:noProof/>
        </w:rPr>
        <w:t>28</w:t>
      </w:r>
      <w:r>
        <w:rPr>
          <w:rFonts w:cs="Times New Roman"/>
          <w:noProof/>
        </w:rPr>
        <w:fldChar w:fldCharType="end"/>
      </w:r>
    </w:p>
    <w:p>
      <w:pPr>
        <w:pStyle w:val="style35"/>
        <w:tabs>
          <w:tab w:val="left" w:leader="none" w:pos="1170"/>
          <w:tab w:val="right" w:leader="dot" w:pos="7927"/>
        </w:tabs>
        <w:spacing w:after="240" w:lineRule="auto" w:line="240"/>
        <w:rPr>
          <w:rFonts w:cs="Times New Roman" w:eastAsia="宋体"/>
          <w:noProof/>
          <w:szCs w:val="24"/>
        </w:rPr>
      </w:pPr>
      <w:r>
        <w:rPr>
          <w:rFonts w:cs="Times New Roman"/>
          <w:noProof/>
        </w:rPr>
        <w:t>Tabel</w:t>
      </w:r>
      <w:r>
        <w:rPr>
          <w:rFonts w:cs="Times New Roman"/>
          <w:noProof/>
        </w:rPr>
        <w:t xml:space="preserve"> </w:t>
      </w:r>
      <w:r>
        <w:rPr>
          <w:rFonts w:cs="Times New Roman"/>
          <w:noProof/>
        </w:rPr>
        <w:t xml:space="preserve">4. 1. </w:t>
      </w:r>
      <w:r>
        <w:rPr>
          <w:rFonts w:cs="Times New Roman"/>
          <w:noProof/>
        </w:rPr>
        <w:tab/>
      </w:r>
      <w:r>
        <w:rPr>
          <w:rFonts w:cs="Times New Roman"/>
          <w:noProof/>
        </w:rPr>
        <w:t>Hasil Pengujian Analisis Statistik Deskriptif</w:t>
      </w:r>
      <w:r>
        <w:rPr>
          <w:rFonts w:cs="Times New Roman"/>
          <w:noProof/>
        </w:rPr>
        <w:tab/>
      </w:r>
      <w:r>
        <w:rPr>
          <w:rFonts w:cs="Times New Roman"/>
          <w:noProof/>
        </w:rPr>
        <w:fldChar w:fldCharType="begin"/>
      </w:r>
      <w:r>
        <w:rPr>
          <w:rFonts w:cs="Times New Roman"/>
          <w:noProof/>
        </w:rPr>
        <w:instrText xml:space="preserve"> PAGEREF _Toc216804038 \h </w:instrText>
      </w:r>
      <w:r>
        <w:rPr>
          <w:rFonts w:cs="Times New Roman"/>
          <w:noProof/>
        </w:rPr>
        <w:fldChar w:fldCharType="separate"/>
      </w:r>
      <w:r>
        <w:rPr>
          <w:rFonts w:cs="Times New Roman"/>
          <w:noProof/>
        </w:rPr>
        <w:t>33</w:t>
      </w:r>
      <w:r>
        <w:rPr>
          <w:rFonts w:cs="Times New Roman"/>
          <w:noProof/>
        </w:rPr>
        <w:fldChar w:fldCharType="end"/>
      </w:r>
    </w:p>
    <w:p>
      <w:pPr>
        <w:pStyle w:val="style35"/>
        <w:tabs>
          <w:tab w:val="left" w:leader="none" w:pos="1170"/>
          <w:tab w:val="right" w:leader="dot" w:pos="7927"/>
        </w:tabs>
        <w:spacing w:after="240" w:lineRule="auto" w:line="240"/>
        <w:rPr>
          <w:rFonts w:cs="Times New Roman" w:eastAsia="宋体"/>
          <w:noProof/>
          <w:szCs w:val="24"/>
        </w:rPr>
      </w:pPr>
      <w:r>
        <w:rPr>
          <w:rFonts w:cs="Times New Roman"/>
          <w:noProof/>
        </w:rPr>
        <w:t>Tabel</w:t>
      </w:r>
      <w:r>
        <w:rPr>
          <w:rFonts w:cs="Times New Roman"/>
          <w:noProof/>
          <w:color w:val="ffffff"/>
        </w:rPr>
        <w:t xml:space="preserve"> </w:t>
      </w:r>
      <w:r>
        <w:rPr>
          <w:rFonts w:cs="Times New Roman"/>
          <w:noProof/>
        </w:rPr>
        <w:t xml:space="preserve">4. 2. </w:t>
      </w:r>
      <w:r>
        <w:rPr>
          <w:rFonts w:cs="Times New Roman"/>
          <w:noProof/>
        </w:rPr>
        <w:tab/>
      </w:r>
      <w:r>
        <w:rPr>
          <w:rFonts w:cs="Times New Roman"/>
          <w:noProof/>
        </w:rPr>
        <w:t>Uji Normalitas (</w:t>
      </w:r>
      <w:r>
        <w:rPr>
          <w:rFonts w:cs="Times New Roman"/>
          <w:i/>
          <w:iCs/>
          <w:noProof/>
        </w:rPr>
        <w:t>One-Sample Kolmogorov-Smirnov</w:t>
      </w:r>
      <w:r>
        <w:rPr>
          <w:rFonts w:cs="Times New Roman"/>
          <w:noProof/>
        </w:rPr>
        <w:t>)</w:t>
      </w:r>
      <w:r>
        <w:rPr>
          <w:rFonts w:cs="Times New Roman"/>
          <w:noProof/>
        </w:rPr>
        <w:tab/>
      </w:r>
      <w:r>
        <w:rPr>
          <w:rFonts w:cs="Times New Roman"/>
          <w:noProof/>
        </w:rPr>
        <w:fldChar w:fldCharType="begin"/>
      </w:r>
      <w:r>
        <w:rPr>
          <w:rFonts w:cs="Times New Roman"/>
          <w:noProof/>
        </w:rPr>
        <w:instrText xml:space="preserve"> PAGEREF _Toc216804039 \h </w:instrText>
      </w:r>
      <w:r>
        <w:rPr>
          <w:rFonts w:cs="Times New Roman"/>
          <w:noProof/>
        </w:rPr>
        <w:fldChar w:fldCharType="separate"/>
      </w:r>
      <w:r>
        <w:rPr>
          <w:rFonts w:cs="Times New Roman"/>
          <w:noProof/>
        </w:rPr>
        <w:t>35</w:t>
      </w:r>
      <w:r>
        <w:rPr>
          <w:rFonts w:cs="Times New Roman"/>
          <w:noProof/>
        </w:rPr>
        <w:fldChar w:fldCharType="end"/>
      </w:r>
    </w:p>
    <w:p>
      <w:pPr>
        <w:pStyle w:val="style35"/>
        <w:tabs>
          <w:tab w:val="left" w:leader="none" w:pos="1080"/>
          <w:tab w:val="left" w:leader="none" w:pos="1170"/>
          <w:tab w:val="right" w:leader="dot" w:pos="7927"/>
        </w:tabs>
        <w:spacing w:after="240" w:lineRule="auto" w:line="240"/>
        <w:rPr>
          <w:rFonts w:cs="Times New Roman" w:eastAsia="宋体"/>
          <w:noProof/>
          <w:szCs w:val="24"/>
        </w:rPr>
      </w:pPr>
      <w:r>
        <w:rPr>
          <w:rFonts w:cs="Times New Roman"/>
          <w:noProof/>
        </w:rPr>
        <w:t>Tabel</w:t>
      </w:r>
      <w:r>
        <w:rPr>
          <w:rFonts w:cs="Times New Roman"/>
          <w:noProof/>
          <w:color w:val="ffffff"/>
        </w:rPr>
        <w:t xml:space="preserve"> </w:t>
      </w:r>
      <w:r>
        <w:rPr>
          <w:rFonts w:cs="Times New Roman"/>
          <w:noProof/>
        </w:rPr>
        <w:t xml:space="preserve">4. 3. </w:t>
      </w:r>
      <w:r>
        <w:rPr>
          <w:rFonts w:cs="Times New Roman"/>
          <w:noProof/>
        </w:rPr>
        <w:tab/>
      </w:r>
      <w:r>
        <w:rPr>
          <w:rFonts w:cs="Times New Roman"/>
          <w:noProof/>
        </w:rPr>
        <w:tab/>
      </w:r>
      <w:r>
        <w:rPr>
          <w:rFonts w:cs="Times New Roman"/>
          <w:noProof/>
        </w:rPr>
        <w:t>Uji Normalitas setelah ditransformasi</w:t>
      </w:r>
      <w:r>
        <w:rPr>
          <w:rFonts w:cs="Times New Roman"/>
          <w:noProof/>
        </w:rPr>
        <w:tab/>
      </w:r>
      <w:r>
        <w:rPr>
          <w:rFonts w:cs="Times New Roman"/>
          <w:noProof/>
        </w:rPr>
        <w:fldChar w:fldCharType="begin"/>
      </w:r>
      <w:r>
        <w:rPr>
          <w:rFonts w:cs="Times New Roman"/>
          <w:noProof/>
        </w:rPr>
        <w:instrText xml:space="preserve"> PAGEREF _Toc216804040 \h </w:instrText>
      </w:r>
      <w:r>
        <w:rPr>
          <w:rFonts w:cs="Times New Roman"/>
          <w:noProof/>
        </w:rPr>
        <w:fldChar w:fldCharType="separate"/>
      </w:r>
      <w:r>
        <w:rPr>
          <w:rFonts w:cs="Times New Roman"/>
          <w:noProof/>
        </w:rPr>
        <w:t>36</w:t>
      </w:r>
      <w:r>
        <w:rPr>
          <w:rFonts w:cs="Times New Roman"/>
          <w:noProof/>
        </w:rPr>
        <w:fldChar w:fldCharType="end"/>
      </w:r>
    </w:p>
    <w:p>
      <w:pPr>
        <w:pStyle w:val="style35"/>
        <w:tabs>
          <w:tab w:val="left" w:leader="none" w:pos="1080"/>
          <w:tab w:val="left" w:leader="none" w:pos="1170"/>
          <w:tab w:val="right" w:leader="dot" w:pos="7927"/>
        </w:tabs>
        <w:spacing w:after="240" w:lineRule="auto" w:line="240"/>
        <w:rPr>
          <w:rFonts w:cs="Times New Roman" w:eastAsia="宋体"/>
          <w:noProof/>
          <w:szCs w:val="24"/>
        </w:rPr>
      </w:pPr>
      <w:r>
        <w:rPr>
          <w:rFonts w:cs="Times New Roman"/>
          <w:noProof/>
        </w:rPr>
        <w:t>Tabel</w:t>
      </w:r>
      <w:r>
        <w:rPr>
          <w:rFonts w:cs="Times New Roman"/>
          <w:noProof/>
        </w:rPr>
        <w:t xml:space="preserve"> </w:t>
      </w:r>
      <w:r>
        <w:rPr>
          <w:rFonts w:cs="Times New Roman"/>
          <w:noProof/>
        </w:rPr>
        <w:t xml:space="preserve">4. 4. </w:t>
      </w:r>
      <w:r>
        <w:rPr>
          <w:rFonts w:cs="Times New Roman"/>
          <w:noProof/>
        </w:rPr>
        <w:tab/>
      </w:r>
      <w:r>
        <w:rPr>
          <w:rFonts w:cs="Times New Roman"/>
          <w:noProof/>
        </w:rPr>
        <w:tab/>
      </w:r>
      <w:r>
        <w:rPr>
          <w:rFonts w:cs="Times New Roman"/>
          <w:noProof/>
        </w:rPr>
        <w:t>Uji Multikolinearitas</w:t>
      </w:r>
      <w:r>
        <w:rPr>
          <w:rFonts w:cs="Times New Roman"/>
          <w:noProof/>
        </w:rPr>
        <w:tab/>
      </w:r>
      <w:r>
        <w:rPr>
          <w:rFonts w:cs="Times New Roman"/>
          <w:noProof/>
        </w:rPr>
        <w:fldChar w:fldCharType="begin"/>
      </w:r>
      <w:r>
        <w:rPr>
          <w:rFonts w:cs="Times New Roman"/>
          <w:noProof/>
        </w:rPr>
        <w:instrText xml:space="preserve"> PAGEREF _Toc216804041 \h </w:instrText>
      </w:r>
      <w:r>
        <w:rPr>
          <w:rFonts w:cs="Times New Roman"/>
          <w:noProof/>
        </w:rPr>
        <w:fldChar w:fldCharType="separate"/>
      </w:r>
      <w:r>
        <w:rPr>
          <w:rFonts w:cs="Times New Roman"/>
          <w:noProof/>
        </w:rPr>
        <w:t>37</w:t>
      </w:r>
      <w:r>
        <w:rPr>
          <w:rFonts w:cs="Times New Roman"/>
          <w:noProof/>
        </w:rPr>
        <w:fldChar w:fldCharType="end"/>
      </w:r>
    </w:p>
    <w:p>
      <w:pPr>
        <w:pStyle w:val="style35"/>
        <w:tabs>
          <w:tab w:val="left" w:leader="none" w:pos="1170"/>
          <w:tab w:val="right" w:leader="dot" w:pos="7927"/>
        </w:tabs>
        <w:spacing w:after="240" w:lineRule="auto" w:line="240"/>
        <w:rPr>
          <w:rFonts w:cs="Times New Roman" w:eastAsia="宋体"/>
          <w:noProof/>
          <w:szCs w:val="24"/>
        </w:rPr>
      </w:pPr>
      <w:r>
        <w:rPr>
          <w:rFonts w:cs="Times New Roman"/>
          <w:noProof/>
        </w:rPr>
        <w:t>Tabel</w:t>
      </w:r>
      <w:r>
        <w:rPr>
          <w:rFonts w:cs="Times New Roman"/>
          <w:noProof/>
          <w:color w:val="ffffff"/>
        </w:rPr>
        <w:t xml:space="preserve"> </w:t>
      </w:r>
      <w:r>
        <w:rPr>
          <w:rFonts w:cs="Times New Roman"/>
          <w:noProof/>
        </w:rPr>
        <w:t xml:space="preserve">4. 5. </w:t>
      </w:r>
      <w:r>
        <w:rPr>
          <w:rFonts w:cs="Times New Roman"/>
          <w:noProof/>
        </w:rPr>
        <w:tab/>
      </w:r>
      <w:r>
        <w:rPr>
          <w:rFonts w:cs="Times New Roman"/>
          <w:noProof/>
        </w:rPr>
        <w:t>Uji Heteroskedastisitas (</w:t>
      </w:r>
      <w:r>
        <w:rPr>
          <w:rFonts w:cs="Times New Roman"/>
          <w:i/>
          <w:iCs/>
          <w:noProof/>
        </w:rPr>
        <w:t>Glejser</w:t>
      </w:r>
      <w:r>
        <w:rPr>
          <w:rFonts w:cs="Times New Roman"/>
          <w:noProof/>
        </w:rPr>
        <w:t>)</w:t>
      </w:r>
      <w:r>
        <w:rPr>
          <w:rFonts w:cs="Times New Roman"/>
          <w:noProof/>
        </w:rPr>
        <w:tab/>
      </w:r>
      <w:r>
        <w:rPr>
          <w:rFonts w:cs="Times New Roman"/>
          <w:noProof/>
        </w:rPr>
        <w:fldChar w:fldCharType="begin"/>
      </w:r>
      <w:r>
        <w:rPr>
          <w:rFonts w:cs="Times New Roman"/>
          <w:noProof/>
        </w:rPr>
        <w:instrText xml:space="preserve"> PAGEREF _Toc216804042 \h </w:instrText>
      </w:r>
      <w:r>
        <w:rPr>
          <w:rFonts w:cs="Times New Roman"/>
          <w:noProof/>
        </w:rPr>
        <w:fldChar w:fldCharType="separate"/>
      </w:r>
      <w:r>
        <w:rPr>
          <w:rFonts w:cs="Times New Roman"/>
          <w:noProof/>
        </w:rPr>
        <w:t>37</w:t>
      </w:r>
      <w:r>
        <w:rPr>
          <w:rFonts w:cs="Times New Roman"/>
          <w:noProof/>
        </w:rPr>
        <w:fldChar w:fldCharType="end"/>
      </w:r>
    </w:p>
    <w:p>
      <w:pPr>
        <w:pStyle w:val="style35"/>
        <w:tabs>
          <w:tab w:val="left" w:leader="none" w:pos="1170"/>
          <w:tab w:val="right" w:leader="dot" w:pos="7927"/>
        </w:tabs>
        <w:spacing w:after="240" w:lineRule="auto" w:line="240"/>
        <w:rPr>
          <w:rFonts w:cs="Times New Roman" w:eastAsia="宋体"/>
          <w:noProof/>
          <w:szCs w:val="24"/>
        </w:rPr>
      </w:pPr>
      <w:r>
        <w:rPr>
          <w:rFonts w:cs="Times New Roman"/>
          <w:noProof/>
        </w:rPr>
        <w:t>Tabel</w:t>
      </w:r>
      <w:r>
        <w:rPr>
          <w:rFonts w:cs="Times New Roman"/>
          <w:noProof/>
          <w:color w:val="ffffff"/>
        </w:rPr>
        <w:t xml:space="preserve"> </w:t>
      </w:r>
      <w:r>
        <w:rPr>
          <w:rFonts w:cs="Times New Roman"/>
          <w:noProof/>
        </w:rPr>
        <w:t xml:space="preserve">4. 6. </w:t>
      </w:r>
      <w:r>
        <w:rPr>
          <w:rFonts w:cs="Times New Roman"/>
          <w:noProof/>
        </w:rPr>
        <w:tab/>
      </w:r>
      <w:r>
        <w:rPr>
          <w:rFonts w:cs="Times New Roman"/>
          <w:noProof/>
        </w:rPr>
        <w:t>Uji Heteroskedastisitas (</w:t>
      </w:r>
      <w:r>
        <w:rPr>
          <w:rFonts w:cs="Times New Roman"/>
          <w:i/>
          <w:iCs/>
          <w:noProof/>
        </w:rPr>
        <w:t>Glejser</w:t>
      </w:r>
      <w:r>
        <w:rPr>
          <w:rFonts w:cs="Times New Roman"/>
          <w:noProof/>
        </w:rPr>
        <w:t>) setelah ditransformasi</w:t>
      </w:r>
      <w:r>
        <w:rPr>
          <w:rFonts w:cs="Times New Roman"/>
          <w:noProof/>
        </w:rPr>
        <w:tab/>
      </w:r>
      <w:r>
        <w:rPr>
          <w:rFonts w:cs="Times New Roman"/>
          <w:noProof/>
        </w:rPr>
        <w:fldChar w:fldCharType="begin"/>
      </w:r>
      <w:r>
        <w:rPr>
          <w:rFonts w:cs="Times New Roman"/>
          <w:noProof/>
        </w:rPr>
        <w:instrText xml:space="preserve"> PAGEREF _Toc216804043 \h </w:instrText>
      </w:r>
      <w:r>
        <w:rPr>
          <w:rFonts w:cs="Times New Roman"/>
          <w:noProof/>
        </w:rPr>
        <w:fldChar w:fldCharType="separate"/>
      </w:r>
      <w:r>
        <w:rPr>
          <w:rFonts w:cs="Times New Roman"/>
          <w:noProof/>
        </w:rPr>
        <w:t>38</w:t>
      </w:r>
      <w:r>
        <w:rPr>
          <w:rFonts w:cs="Times New Roman"/>
          <w:noProof/>
        </w:rPr>
        <w:fldChar w:fldCharType="end"/>
      </w:r>
    </w:p>
    <w:p>
      <w:pPr>
        <w:pStyle w:val="style35"/>
        <w:tabs>
          <w:tab w:val="left" w:leader="none" w:pos="1170"/>
          <w:tab w:val="right" w:leader="dot" w:pos="7927"/>
        </w:tabs>
        <w:spacing w:after="240" w:lineRule="auto" w:line="240"/>
        <w:rPr>
          <w:rFonts w:cs="Times New Roman" w:eastAsia="宋体"/>
          <w:noProof/>
          <w:szCs w:val="24"/>
        </w:rPr>
      </w:pPr>
      <w:r>
        <w:rPr>
          <w:rFonts w:cs="Times New Roman"/>
          <w:noProof/>
        </w:rPr>
        <w:t>Tabel</w:t>
      </w:r>
      <w:r>
        <w:rPr>
          <w:rFonts w:cs="Times New Roman"/>
          <w:noProof/>
          <w:color w:val="ffffff"/>
        </w:rPr>
        <w:t xml:space="preserve"> </w:t>
      </w:r>
      <w:r>
        <w:rPr>
          <w:rFonts w:cs="Times New Roman"/>
          <w:noProof/>
        </w:rPr>
        <w:t xml:space="preserve">4. 7. </w:t>
      </w:r>
      <w:r>
        <w:rPr>
          <w:rFonts w:cs="Times New Roman"/>
          <w:noProof/>
        </w:rPr>
        <w:tab/>
      </w:r>
      <w:r>
        <w:rPr>
          <w:rFonts w:cs="Times New Roman"/>
          <w:noProof/>
        </w:rPr>
        <w:t>Uji Autokorelasi (</w:t>
      </w:r>
      <w:r>
        <w:rPr>
          <w:rFonts w:cs="Times New Roman"/>
          <w:i/>
          <w:iCs/>
          <w:noProof/>
        </w:rPr>
        <w:t>Durbin-Watson</w:t>
      </w:r>
      <w:r>
        <w:rPr>
          <w:rFonts w:cs="Times New Roman"/>
          <w:noProof/>
        </w:rPr>
        <w:t>)</w:t>
      </w:r>
      <w:r>
        <w:rPr>
          <w:rFonts w:cs="Times New Roman"/>
          <w:noProof/>
        </w:rPr>
        <w:tab/>
      </w:r>
      <w:r>
        <w:rPr>
          <w:rFonts w:cs="Times New Roman"/>
          <w:noProof/>
        </w:rPr>
        <w:fldChar w:fldCharType="begin"/>
      </w:r>
      <w:r>
        <w:rPr>
          <w:rFonts w:cs="Times New Roman"/>
          <w:noProof/>
        </w:rPr>
        <w:instrText xml:space="preserve"> PAGEREF _Toc216804044 \h </w:instrText>
      </w:r>
      <w:r>
        <w:rPr>
          <w:rFonts w:cs="Times New Roman"/>
          <w:noProof/>
        </w:rPr>
        <w:fldChar w:fldCharType="separate"/>
      </w:r>
      <w:r>
        <w:rPr>
          <w:rFonts w:cs="Times New Roman"/>
          <w:noProof/>
        </w:rPr>
        <w:t>39</w:t>
      </w:r>
      <w:r>
        <w:rPr>
          <w:rFonts w:cs="Times New Roman"/>
          <w:noProof/>
        </w:rPr>
        <w:fldChar w:fldCharType="end"/>
      </w:r>
    </w:p>
    <w:p>
      <w:pPr>
        <w:pStyle w:val="style35"/>
        <w:tabs>
          <w:tab w:val="left" w:leader="none" w:pos="1170"/>
          <w:tab w:val="right" w:leader="dot" w:pos="7927"/>
        </w:tabs>
        <w:spacing w:after="240" w:lineRule="auto" w:line="240"/>
        <w:rPr>
          <w:rFonts w:cs="Times New Roman" w:eastAsia="宋体"/>
          <w:noProof/>
          <w:szCs w:val="24"/>
        </w:rPr>
      </w:pPr>
      <w:r>
        <w:rPr>
          <w:rFonts w:cs="Times New Roman"/>
          <w:noProof/>
        </w:rPr>
        <w:t>Tabel</w:t>
      </w:r>
      <w:r>
        <w:rPr>
          <w:rFonts w:cs="Times New Roman"/>
          <w:noProof/>
        </w:rPr>
        <w:t xml:space="preserve"> </w:t>
      </w:r>
      <w:r>
        <w:rPr>
          <w:rFonts w:cs="Times New Roman"/>
          <w:noProof/>
        </w:rPr>
        <w:t xml:space="preserve">4. 8. </w:t>
      </w:r>
      <w:r>
        <w:rPr>
          <w:rFonts w:cs="Times New Roman"/>
          <w:noProof/>
        </w:rPr>
        <w:tab/>
      </w:r>
      <w:r>
        <w:rPr>
          <w:rFonts w:cs="Times New Roman"/>
          <w:noProof/>
        </w:rPr>
        <w:t xml:space="preserve">Uji Autokorelasi setelah ditransformasi </w:t>
      </w:r>
      <w:r>
        <w:rPr>
          <w:rFonts w:cs="Times New Roman"/>
          <w:i/>
          <w:iCs/>
          <w:noProof/>
        </w:rPr>
        <w:t>Cochrane Orcutt</w:t>
      </w:r>
      <w:r>
        <w:rPr>
          <w:rFonts w:cs="Times New Roman"/>
          <w:noProof/>
        </w:rPr>
        <w:tab/>
      </w:r>
      <w:r>
        <w:rPr>
          <w:rFonts w:cs="Times New Roman"/>
          <w:noProof/>
        </w:rPr>
        <w:fldChar w:fldCharType="begin"/>
      </w:r>
      <w:r>
        <w:rPr>
          <w:rFonts w:cs="Times New Roman"/>
          <w:noProof/>
        </w:rPr>
        <w:instrText xml:space="preserve"> PAGEREF _Toc216804045 \h </w:instrText>
      </w:r>
      <w:r>
        <w:rPr>
          <w:rFonts w:cs="Times New Roman"/>
          <w:noProof/>
        </w:rPr>
        <w:fldChar w:fldCharType="separate"/>
      </w:r>
      <w:r>
        <w:rPr>
          <w:rFonts w:cs="Times New Roman"/>
          <w:noProof/>
        </w:rPr>
        <w:t>39</w:t>
      </w:r>
      <w:r>
        <w:rPr>
          <w:rFonts w:cs="Times New Roman"/>
          <w:noProof/>
        </w:rPr>
        <w:fldChar w:fldCharType="end"/>
      </w:r>
    </w:p>
    <w:p>
      <w:pPr>
        <w:pStyle w:val="style35"/>
        <w:tabs>
          <w:tab w:val="left" w:leader="none" w:pos="1170"/>
          <w:tab w:val="right" w:leader="dot" w:pos="7927"/>
        </w:tabs>
        <w:spacing w:after="240" w:lineRule="auto" w:line="240"/>
        <w:rPr>
          <w:rFonts w:cs="Times New Roman" w:eastAsia="宋体"/>
          <w:noProof/>
          <w:szCs w:val="24"/>
        </w:rPr>
      </w:pPr>
      <w:r>
        <w:rPr>
          <w:rFonts w:cs="Times New Roman"/>
          <w:noProof/>
        </w:rPr>
        <w:t>Tabel</w:t>
      </w:r>
      <w:r>
        <w:rPr>
          <w:rFonts w:cs="Times New Roman"/>
          <w:noProof/>
          <w:color w:val="ffffff"/>
        </w:rPr>
        <w:t xml:space="preserve"> </w:t>
      </w:r>
      <w:r>
        <w:rPr>
          <w:rFonts w:cs="Times New Roman"/>
          <w:noProof/>
        </w:rPr>
        <w:t xml:space="preserve">4. 9. </w:t>
      </w:r>
      <w:r>
        <w:rPr>
          <w:rFonts w:cs="Times New Roman"/>
          <w:noProof/>
        </w:rPr>
        <w:tab/>
      </w:r>
      <w:r>
        <w:rPr>
          <w:rFonts w:cs="Times New Roman"/>
          <w:noProof/>
        </w:rPr>
        <w:t>Uji Regresi Linear Berganda</w:t>
      </w:r>
      <w:r>
        <w:rPr>
          <w:rFonts w:cs="Times New Roman"/>
          <w:noProof/>
        </w:rPr>
        <w:tab/>
      </w:r>
      <w:r>
        <w:rPr>
          <w:rFonts w:cs="Times New Roman"/>
          <w:noProof/>
        </w:rPr>
        <w:fldChar w:fldCharType="begin"/>
      </w:r>
      <w:r>
        <w:rPr>
          <w:rFonts w:cs="Times New Roman"/>
          <w:noProof/>
        </w:rPr>
        <w:instrText xml:space="preserve"> PAGEREF _Toc216804046 \h </w:instrText>
      </w:r>
      <w:r>
        <w:rPr>
          <w:rFonts w:cs="Times New Roman"/>
          <w:noProof/>
        </w:rPr>
        <w:fldChar w:fldCharType="separate"/>
      </w:r>
      <w:r>
        <w:rPr>
          <w:rFonts w:cs="Times New Roman"/>
          <w:noProof/>
        </w:rPr>
        <w:t>40</w:t>
      </w:r>
      <w:r>
        <w:rPr>
          <w:rFonts w:cs="Times New Roman"/>
          <w:noProof/>
        </w:rPr>
        <w:fldChar w:fldCharType="end"/>
      </w:r>
    </w:p>
    <w:p>
      <w:pPr>
        <w:pStyle w:val="style35"/>
        <w:tabs>
          <w:tab w:val="right" w:leader="dot" w:pos="7927"/>
        </w:tabs>
        <w:spacing w:after="240" w:lineRule="auto" w:line="240"/>
        <w:rPr>
          <w:rFonts w:cs="Times New Roman" w:eastAsia="宋体"/>
          <w:noProof/>
          <w:szCs w:val="24"/>
        </w:rPr>
      </w:pPr>
      <w:r>
        <w:rPr>
          <w:rFonts w:cs="Times New Roman"/>
          <w:noProof/>
        </w:rPr>
        <w:t>Tabel</w:t>
      </w:r>
      <w:r>
        <w:rPr>
          <w:rFonts w:cs="Times New Roman"/>
          <w:noProof/>
        </w:rPr>
        <w:t xml:space="preserve"> </w:t>
      </w:r>
      <w:r>
        <w:rPr>
          <w:rFonts w:cs="Times New Roman"/>
          <w:noProof/>
        </w:rPr>
        <w:t>4. 10. Uji F</w:t>
      </w:r>
      <w:r>
        <w:rPr>
          <w:rFonts w:cs="Times New Roman"/>
          <w:noProof/>
        </w:rPr>
        <w:tab/>
      </w:r>
      <w:r>
        <w:rPr>
          <w:rFonts w:cs="Times New Roman"/>
          <w:noProof/>
        </w:rPr>
        <w:fldChar w:fldCharType="begin"/>
      </w:r>
      <w:r>
        <w:rPr>
          <w:rFonts w:cs="Times New Roman"/>
          <w:noProof/>
        </w:rPr>
        <w:instrText xml:space="preserve"> PAGEREF _Toc216804047 \h </w:instrText>
      </w:r>
      <w:r>
        <w:rPr>
          <w:rFonts w:cs="Times New Roman"/>
          <w:noProof/>
        </w:rPr>
        <w:fldChar w:fldCharType="separate"/>
      </w:r>
      <w:r>
        <w:rPr>
          <w:rFonts w:cs="Times New Roman"/>
          <w:noProof/>
        </w:rPr>
        <w:t>41</w:t>
      </w:r>
      <w:r>
        <w:rPr>
          <w:rFonts w:cs="Times New Roman"/>
          <w:noProof/>
        </w:rPr>
        <w:fldChar w:fldCharType="end"/>
      </w:r>
    </w:p>
    <w:p>
      <w:pPr>
        <w:pStyle w:val="style35"/>
        <w:tabs>
          <w:tab w:val="right" w:leader="dot" w:pos="7927"/>
        </w:tabs>
        <w:spacing w:after="240" w:lineRule="auto" w:line="240"/>
        <w:rPr>
          <w:rFonts w:cs="Times New Roman" w:eastAsia="宋体"/>
          <w:noProof/>
          <w:szCs w:val="24"/>
        </w:rPr>
      </w:pPr>
      <w:r>
        <w:rPr>
          <w:rFonts w:cs="Times New Roman"/>
          <w:noProof/>
        </w:rPr>
        <w:t>Tabel</w:t>
      </w:r>
      <w:r>
        <w:rPr>
          <w:rFonts w:cs="Times New Roman"/>
          <w:noProof/>
          <w:color w:val="ffffff"/>
        </w:rPr>
        <w:t xml:space="preserve"> </w:t>
      </w:r>
      <w:r>
        <w:rPr>
          <w:rFonts w:cs="Times New Roman"/>
          <w:noProof/>
        </w:rPr>
        <w:t>4. 11. Uji Koefisien Determinasi (</w:t>
      </w:r>
      <m:oMath>
        <m:r>
          <m:rPr>
            <m:sty m:val="p"/>
          </m:rPr>
          <w:rPr>
            <w:rFonts w:ascii="Cambria Math" w:cs="Times New Roman" w:hAnsi="Cambria Math"/>
            <w:noProof/>
          </w:rPr>
          <m:t>R2</m:t>
        </m:r>
      </m:oMath>
      <w:r>
        <w:rPr>
          <w:rFonts w:cs="Times New Roman"/>
          <w:noProof/>
        </w:rPr>
        <w:t>)</w:t>
      </w:r>
      <w:r>
        <w:rPr>
          <w:rFonts w:cs="Times New Roman"/>
          <w:noProof/>
        </w:rPr>
        <w:tab/>
      </w:r>
      <w:r>
        <w:rPr>
          <w:rFonts w:cs="Times New Roman"/>
          <w:noProof/>
        </w:rPr>
        <w:fldChar w:fldCharType="begin"/>
      </w:r>
      <w:r>
        <w:rPr>
          <w:rFonts w:cs="Times New Roman"/>
          <w:noProof/>
        </w:rPr>
        <w:instrText xml:space="preserve"> PAGEREF _Toc216804048 \h </w:instrText>
      </w:r>
      <w:r>
        <w:rPr>
          <w:rFonts w:cs="Times New Roman"/>
          <w:noProof/>
        </w:rPr>
        <w:fldChar w:fldCharType="separate"/>
      </w:r>
      <w:r>
        <w:rPr>
          <w:rFonts w:cs="Times New Roman"/>
          <w:noProof/>
        </w:rPr>
        <w:t>42</w:t>
      </w:r>
      <w:r>
        <w:rPr>
          <w:rFonts w:cs="Times New Roman"/>
          <w:noProof/>
        </w:rPr>
        <w:fldChar w:fldCharType="end"/>
      </w:r>
    </w:p>
    <w:p>
      <w:pPr>
        <w:pStyle w:val="style35"/>
        <w:tabs>
          <w:tab w:val="right" w:leader="dot" w:pos="7927"/>
        </w:tabs>
        <w:spacing w:after="240" w:lineRule="auto" w:line="240"/>
        <w:rPr>
          <w:rFonts w:cs="Times New Roman" w:eastAsia="宋体"/>
          <w:noProof/>
          <w:szCs w:val="24"/>
        </w:rPr>
      </w:pPr>
      <w:r>
        <w:rPr>
          <w:rFonts w:cs="Times New Roman"/>
          <w:noProof/>
        </w:rPr>
        <w:t>Tabel</w:t>
      </w:r>
      <w:r>
        <w:rPr>
          <w:rFonts w:cs="Times New Roman"/>
          <w:noProof/>
          <w:color w:val="ffffff"/>
        </w:rPr>
        <w:t xml:space="preserve"> </w:t>
      </w:r>
      <w:r>
        <w:rPr>
          <w:rFonts w:cs="Times New Roman"/>
          <w:noProof/>
        </w:rPr>
        <w:t>4. 12. Uji t</w:t>
      </w:r>
      <w:r>
        <w:rPr>
          <w:rFonts w:cs="Times New Roman"/>
          <w:noProof/>
        </w:rPr>
        <w:tab/>
      </w:r>
      <w:r>
        <w:rPr>
          <w:rFonts w:cs="Times New Roman"/>
          <w:noProof/>
        </w:rPr>
        <w:fldChar w:fldCharType="begin"/>
      </w:r>
      <w:r>
        <w:rPr>
          <w:rFonts w:cs="Times New Roman"/>
          <w:noProof/>
        </w:rPr>
        <w:instrText xml:space="preserve"> PAGEREF _Toc216804049 \h </w:instrText>
      </w:r>
      <w:r>
        <w:rPr>
          <w:rFonts w:cs="Times New Roman"/>
          <w:noProof/>
        </w:rPr>
        <w:fldChar w:fldCharType="separate"/>
      </w:r>
      <w:r>
        <w:rPr>
          <w:rFonts w:cs="Times New Roman"/>
          <w:noProof/>
        </w:rPr>
        <w:t>42</w:t>
      </w:r>
      <w:r>
        <w:rPr>
          <w:rFonts w:cs="Times New Roman"/>
          <w:noProof/>
        </w:rPr>
        <w:fldChar w:fldCharType="end"/>
      </w:r>
    </w:p>
    <w:p>
      <w:pPr>
        <w:pStyle w:val="style0"/>
        <w:spacing w:after="240" w:lineRule="auto" w:line="240"/>
        <w:rPr/>
      </w:pPr>
      <w:r>
        <w:rPr>
          <w:rFonts w:cs="Times New Roman"/>
        </w:rPr>
        <w:fldChar w:fldCharType="end"/>
      </w:r>
    </w:p>
    <w:p>
      <w:pPr>
        <w:pStyle w:val="style0"/>
        <w:spacing w:after="240" w:lineRule="auto" w:line="240"/>
        <w:jc w:val="right"/>
        <w:rPr/>
      </w:pPr>
    </w:p>
    <w:p>
      <w:pPr>
        <w:pStyle w:val="style0"/>
        <w:spacing w:after="0" w:lineRule="auto" w:line="480"/>
        <w:jc w:val="right"/>
        <w:rPr/>
      </w:pPr>
    </w:p>
    <w:p>
      <w:pPr>
        <w:pStyle w:val="style0"/>
        <w:spacing w:after="0" w:lineRule="auto" w:line="480"/>
        <w:jc w:val="right"/>
        <w:rPr/>
      </w:pPr>
    </w:p>
    <w:p>
      <w:pPr>
        <w:pStyle w:val="style0"/>
        <w:spacing w:after="0" w:lineRule="auto" w:line="480"/>
        <w:jc w:val="right"/>
        <w:rPr/>
      </w:pPr>
    </w:p>
    <w:p>
      <w:pPr>
        <w:pStyle w:val="style0"/>
        <w:spacing w:after="0" w:lineRule="auto" w:line="480"/>
        <w:jc w:val="right"/>
        <w:rPr/>
      </w:pPr>
    </w:p>
    <w:p>
      <w:pPr>
        <w:pStyle w:val="style0"/>
        <w:spacing w:after="0" w:lineRule="auto" w:line="480"/>
        <w:jc w:val="right"/>
        <w:rPr/>
      </w:pPr>
    </w:p>
    <w:p>
      <w:pPr>
        <w:pStyle w:val="style0"/>
        <w:spacing w:after="0" w:lineRule="auto" w:line="480"/>
        <w:jc w:val="right"/>
        <w:rPr/>
      </w:pPr>
    </w:p>
    <w:bookmarkStart w:id="8" w:name="_Toc218854588"/>
    <w:p>
      <w:pPr>
        <w:pStyle w:val="style1"/>
        <w:spacing w:before="0" w:after="240"/>
        <w:rPr/>
      </w:pPr>
      <w:r>
        <w:t>DAFTAR GAMBAR</w:t>
      </w:r>
      <w:bookmarkEnd w:id="8"/>
    </w:p>
    <w:p>
      <w:pPr>
        <w:pStyle w:val="style0"/>
        <w:spacing w:after="0" w:lineRule="auto" w:line="240"/>
        <w:jc w:val="right"/>
        <w:rPr>
          <w:b/>
          <w:bCs/>
          <w:szCs w:val="24"/>
        </w:rPr>
      </w:pPr>
      <w:r>
        <w:rPr>
          <w:b/>
          <w:bCs/>
          <w:szCs w:val="24"/>
        </w:rPr>
        <w:t>Halaman</w:t>
      </w:r>
    </w:p>
    <w:p>
      <w:pPr>
        <w:pStyle w:val="style35"/>
        <w:tabs>
          <w:tab w:val="right" w:leader="dot" w:pos="7927"/>
        </w:tabs>
        <w:spacing w:before="240" w:after="240" w:lineRule="auto" w:line="240"/>
        <w:rPr>
          <w:rFonts w:ascii="Calibri" w:eastAsia="宋体" w:hAnsi="Calibri"/>
          <w:noProof/>
          <w:szCs w:val="24"/>
        </w:rPr>
      </w:pPr>
      <w:r>
        <w:rPr>
          <w:szCs w:val="24"/>
        </w:rPr>
        <w:fldChar w:fldCharType="begin"/>
      </w:r>
      <w:r>
        <w:rPr>
          <w:szCs w:val="24"/>
        </w:rPr>
        <w:instrText xml:space="preserve"> TOC \c "Gambar" </w:instrText>
      </w:r>
      <w:r>
        <w:rPr>
          <w:szCs w:val="24"/>
        </w:rPr>
        <w:fldChar w:fldCharType="separate"/>
      </w:r>
      <w:r>
        <w:rPr>
          <w:noProof/>
          <w:szCs w:val="24"/>
        </w:rPr>
        <w:t>Gambar 1.1. Kinerja Produksi Perusahaan Manufaktur Tahun 2021-2023</w:t>
      </w:r>
      <w:r>
        <w:rPr>
          <w:noProof/>
          <w:szCs w:val="24"/>
        </w:rPr>
        <w:tab/>
      </w:r>
      <w:r>
        <w:rPr>
          <w:noProof/>
          <w:szCs w:val="24"/>
        </w:rPr>
        <w:fldChar w:fldCharType="begin"/>
      </w:r>
      <w:r>
        <w:rPr>
          <w:noProof/>
          <w:szCs w:val="24"/>
        </w:rPr>
        <w:instrText xml:space="preserve"> PAGEREF _Toc215602269 \h </w:instrText>
      </w:r>
      <w:r>
        <w:rPr>
          <w:noProof/>
          <w:szCs w:val="24"/>
        </w:rPr>
        <w:fldChar w:fldCharType="separate"/>
      </w:r>
      <w:r>
        <w:rPr>
          <w:noProof/>
          <w:szCs w:val="24"/>
        </w:rPr>
        <w:t>2</w:t>
      </w:r>
      <w:r>
        <w:rPr>
          <w:noProof/>
          <w:szCs w:val="24"/>
        </w:rPr>
        <w:fldChar w:fldCharType="end"/>
      </w:r>
    </w:p>
    <w:p>
      <w:pPr>
        <w:pStyle w:val="style35"/>
        <w:tabs>
          <w:tab w:val="right" w:leader="dot" w:pos="7927"/>
        </w:tabs>
        <w:spacing w:after="240" w:lineRule="auto" w:line="240"/>
        <w:rPr>
          <w:rFonts w:ascii="Calibri" w:eastAsia="宋体" w:hAnsi="Calibri"/>
          <w:noProof/>
          <w:szCs w:val="24"/>
        </w:rPr>
      </w:pPr>
      <w:r>
        <w:rPr>
          <w:noProof/>
          <w:szCs w:val="24"/>
        </w:rPr>
        <w:t>Gambar 1.2. Pertumbuhan Produk Domestik Bruto Nasional</w:t>
      </w:r>
      <w:r>
        <w:rPr>
          <w:noProof/>
          <w:szCs w:val="24"/>
        </w:rPr>
        <w:tab/>
      </w:r>
      <w:r>
        <w:rPr>
          <w:noProof/>
          <w:szCs w:val="24"/>
        </w:rPr>
        <w:fldChar w:fldCharType="begin"/>
      </w:r>
      <w:r>
        <w:rPr>
          <w:noProof/>
          <w:szCs w:val="24"/>
        </w:rPr>
        <w:instrText xml:space="preserve"> PAGEREF _Toc215602270 \h </w:instrText>
      </w:r>
      <w:r>
        <w:rPr>
          <w:noProof/>
          <w:szCs w:val="24"/>
        </w:rPr>
        <w:fldChar w:fldCharType="separate"/>
      </w:r>
      <w:r>
        <w:rPr>
          <w:noProof/>
          <w:szCs w:val="24"/>
        </w:rPr>
        <w:t>3</w:t>
      </w:r>
      <w:r>
        <w:rPr>
          <w:noProof/>
          <w:szCs w:val="24"/>
        </w:rPr>
        <w:fldChar w:fldCharType="end"/>
      </w:r>
    </w:p>
    <w:p>
      <w:pPr>
        <w:pStyle w:val="style35"/>
        <w:tabs>
          <w:tab w:val="right" w:leader="dot" w:pos="7927"/>
        </w:tabs>
        <w:spacing w:after="240" w:lineRule="auto" w:line="240"/>
        <w:rPr>
          <w:rFonts w:ascii="Calibri" w:eastAsia="宋体" w:hAnsi="Calibri"/>
          <w:noProof/>
          <w:szCs w:val="24"/>
        </w:rPr>
      </w:pPr>
      <w:r>
        <w:rPr>
          <w:noProof/>
          <w:szCs w:val="24"/>
        </w:rPr>
        <w:t>Gambar 2.1. Kerangka Konsep</w:t>
      </w:r>
      <w:r>
        <w:rPr>
          <w:noProof/>
          <w:szCs w:val="24"/>
        </w:rPr>
        <w:tab/>
      </w:r>
      <w:r>
        <w:rPr>
          <w:noProof/>
          <w:szCs w:val="24"/>
        </w:rPr>
        <w:fldChar w:fldCharType="begin"/>
      </w:r>
      <w:r>
        <w:rPr>
          <w:noProof/>
          <w:szCs w:val="24"/>
        </w:rPr>
        <w:instrText xml:space="preserve"> PAGEREF _Toc215602271 \h </w:instrText>
      </w:r>
      <w:r>
        <w:rPr>
          <w:noProof/>
          <w:szCs w:val="24"/>
        </w:rPr>
        <w:fldChar w:fldCharType="separate"/>
      </w:r>
      <w:r>
        <w:rPr>
          <w:noProof/>
          <w:szCs w:val="24"/>
        </w:rPr>
        <w:t>20</w:t>
      </w:r>
      <w:r>
        <w:rPr>
          <w:noProof/>
          <w:szCs w:val="24"/>
        </w:rPr>
        <w:fldChar w:fldCharType="end"/>
      </w:r>
    </w:p>
    <w:p>
      <w:pPr>
        <w:pStyle w:val="style35"/>
        <w:tabs>
          <w:tab w:val="right" w:leader="dot" w:pos="7927"/>
        </w:tabs>
        <w:spacing w:after="240" w:lineRule="auto" w:line="240"/>
        <w:rPr>
          <w:rFonts w:ascii="Calibri" w:eastAsia="宋体" w:hAnsi="Calibri"/>
          <w:noProof/>
          <w:szCs w:val="24"/>
        </w:rPr>
      </w:pPr>
      <w:r>
        <w:rPr>
          <w:noProof/>
          <w:szCs w:val="24"/>
        </w:rPr>
        <w:t>Gambar 2.2. Model Penelitian</w:t>
      </w:r>
      <w:r>
        <w:rPr>
          <w:noProof/>
          <w:szCs w:val="24"/>
        </w:rPr>
        <w:tab/>
      </w:r>
      <w:r>
        <w:rPr>
          <w:noProof/>
          <w:szCs w:val="24"/>
        </w:rPr>
        <w:fldChar w:fldCharType="begin"/>
      </w:r>
      <w:r>
        <w:rPr>
          <w:noProof/>
          <w:szCs w:val="24"/>
        </w:rPr>
        <w:instrText xml:space="preserve"> PAGEREF _Toc215602272 \h </w:instrText>
      </w:r>
      <w:r>
        <w:rPr>
          <w:noProof/>
          <w:szCs w:val="24"/>
        </w:rPr>
        <w:fldChar w:fldCharType="separate"/>
      </w:r>
      <w:r>
        <w:rPr>
          <w:noProof/>
          <w:szCs w:val="24"/>
        </w:rPr>
        <w:t>24</w:t>
      </w:r>
      <w:r>
        <w:rPr>
          <w:noProof/>
          <w:szCs w:val="24"/>
        </w:rPr>
        <w:fldChar w:fldCharType="end"/>
      </w:r>
    </w:p>
    <w:p>
      <w:pPr>
        <w:pStyle w:val="style0"/>
        <w:spacing w:after="240" w:lineRule="auto" w:line="240"/>
        <w:rPr>
          <w:szCs w:val="24"/>
        </w:rPr>
      </w:pPr>
      <w:r>
        <w:rPr>
          <w:szCs w:val="24"/>
        </w:rPr>
        <w:fldChar w:fldCharType="end"/>
      </w: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0"/>
        <w:spacing w:after="240" w:lineRule="auto" w:line="240"/>
        <w:rPr>
          <w:szCs w:val="24"/>
        </w:rPr>
      </w:pPr>
    </w:p>
    <w:p>
      <w:pPr>
        <w:pStyle w:val="style1"/>
        <w:spacing w:after="240"/>
        <w:rPr/>
      </w:pPr>
      <w:r>
        <w:tab/>
      </w:r>
      <w:bookmarkStart w:id="9" w:name="_Toc218854589"/>
      <w:r>
        <w:t>DAFTAR LAMPIRAN</w:t>
      </w:r>
      <w:bookmarkEnd w:id="9"/>
    </w:p>
    <w:p>
      <w:pPr>
        <w:pStyle w:val="style0"/>
        <w:jc w:val="right"/>
        <w:rPr>
          <w:b/>
          <w:bCs/>
        </w:rPr>
      </w:pPr>
      <w:r>
        <w:rPr>
          <w:b/>
          <w:bCs/>
        </w:rPr>
        <w:t>Halaman</w:t>
      </w:r>
    </w:p>
    <w:p>
      <w:pPr>
        <w:pStyle w:val="style35"/>
        <w:tabs>
          <w:tab w:val="right" w:leader="dot" w:pos="7927"/>
        </w:tabs>
        <w:spacing w:after="240"/>
        <w:rPr>
          <w:rFonts w:ascii="Calibri" w:eastAsia="宋体" w:hAnsi="Calibri"/>
          <w:noProof/>
          <w:szCs w:val="24"/>
        </w:rPr>
      </w:pPr>
      <w:r>
        <w:rPr>
          <w:b/>
          <w:bCs/>
          <w:szCs w:val="24"/>
        </w:rPr>
        <w:fldChar w:fldCharType="begin"/>
      </w:r>
      <w:r>
        <w:rPr>
          <w:b/>
          <w:bCs/>
          <w:szCs w:val="24"/>
        </w:rPr>
        <w:instrText xml:space="preserve"> TOC \c "Lampiran" </w:instrText>
      </w:r>
      <w:r>
        <w:rPr>
          <w:b/>
          <w:bCs/>
          <w:szCs w:val="24"/>
        </w:rPr>
        <w:fldChar w:fldCharType="separate"/>
      </w:r>
      <w:r>
        <w:rPr>
          <w:noProof/>
          <w:szCs w:val="24"/>
        </w:rPr>
        <w:t xml:space="preserve">Lampiran 1: Pengukuran </w:t>
      </w:r>
      <w:r>
        <w:rPr>
          <w:i/>
          <w:noProof/>
          <w:szCs w:val="24"/>
        </w:rPr>
        <w:t>Enterprise Risk Management</w:t>
      </w:r>
      <w:r>
        <w:rPr>
          <w:noProof/>
          <w:szCs w:val="24"/>
        </w:rPr>
        <w:tab/>
      </w:r>
      <w:r>
        <w:rPr>
          <w:noProof/>
          <w:szCs w:val="24"/>
        </w:rPr>
        <w:fldChar w:fldCharType="begin"/>
      </w:r>
      <w:r>
        <w:rPr>
          <w:noProof/>
          <w:szCs w:val="24"/>
        </w:rPr>
        <w:instrText xml:space="preserve"> PAGEREF _Toc224085868 \h </w:instrText>
      </w:r>
      <w:r>
        <w:rPr>
          <w:noProof/>
          <w:szCs w:val="24"/>
        </w:rPr>
        <w:fldChar w:fldCharType="separate"/>
      </w:r>
      <w:r>
        <w:rPr>
          <w:noProof/>
          <w:szCs w:val="24"/>
        </w:rPr>
        <w:t>59</w:t>
      </w:r>
      <w:r>
        <w:rPr>
          <w:noProof/>
          <w:szCs w:val="24"/>
        </w:rPr>
        <w:fldChar w:fldCharType="end"/>
      </w:r>
    </w:p>
    <w:p>
      <w:pPr>
        <w:pStyle w:val="style35"/>
        <w:tabs>
          <w:tab w:val="right" w:leader="dot" w:pos="7927"/>
        </w:tabs>
        <w:spacing w:after="240"/>
        <w:rPr>
          <w:rFonts w:ascii="Calibri" w:eastAsia="宋体" w:hAnsi="Calibri"/>
          <w:noProof/>
          <w:szCs w:val="24"/>
        </w:rPr>
      </w:pPr>
      <w:r>
        <w:rPr>
          <w:noProof/>
          <w:szCs w:val="24"/>
        </w:rPr>
        <w:t>Lampiran 2: Perusahaan Sampel</w:t>
      </w:r>
      <w:r>
        <w:rPr>
          <w:noProof/>
          <w:szCs w:val="24"/>
        </w:rPr>
        <w:tab/>
      </w:r>
      <w:r>
        <w:rPr>
          <w:noProof/>
          <w:szCs w:val="24"/>
        </w:rPr>
        <w:fldChar w:fldCharType="begin"/>
      </w:r>
      <w:r>
        <w:rPr>
          <w:noProof/>
          <w:szCs w:val="24"/>
        </w:rPr>
        <w:instrText xml:space="preserve"> PAGEREF _Toc224085869 \h </w:instrText>
      </w:r>
      <w:r>
        <w:rPr>
          <w:noProof/>
          <w:szCs w:val="24"/>
        </w:rPr>
        <w:fldChar w:fldCharType="separate"/>
      </w:r>
      <w:r>
        <w:rPr>
          <w:noProof/>
          <w:szCs w:val="24"/>
        </w:rPr>
        <w:t>60</w:t>
      </w:r>
      <w:r>
        <w:rPr>
          <w:noProof/>
          <w:szCs w:val="24"/>
        </w:rPr>
        <w:fldChar w:fldCharType="end"/>
      </w:r>
    </w:p>
    <w:p>
      <w:pPr>
        <w:pStyle w:val="style35"/>
        <w:tabs>
          <w:tab w:val="right" w:leader="dot" w:pos="7927"/>
        </w:tabs>
        <w:spacing w:after="240"/>
        <w:rPr>
          <w:rFonts w:ascii="Calibri" w:eastAsia="宋体" w:hAnsi="Calibri"/>
          <w:noProof/>
          <w:szCs w:val="24"/>
        </w:rPr>
      </w:pPr>
      <w:r>
        <w:rPr>
          <w:noProof/>
          <w:szCs w:val="24"/>
        </w:rPr>
        <w:t>Lampiran 3: Data Penelitian</w:t>
      </w:r>
      <w:r>
        <w:rPr>
          <w:noProof/>
          <w:szCs w:val="24"/>
        </w:rPr>
        <w:tab/>
      </w:r>
      <w:r>
        <w:rPr>
          <w:noProof/>
          <w:szCs w:val="24"/>
        </w:rPr>
        <w:fldChar w:fldCharType="begin"/>
      </w:r>
      <w:r>
        <w:rPr>
          <w:noProof/>
          <w:szCs w:val="24"/>
        </w:rPr>
        <w:instrText xml:space="preserve"> PAGEREF _Toc224085870 \h </w:instrText>
      </w:r>
      <w:r>
        <w:rPr>
          <w:noProof/>
          <w:szCs w:val="24"/>
        </w:rPr>
        <w:fldChar w:fldCharType="separate"/>
      </w:r>
      <w:r>
        <w:rPr>
          <w:noProof/>
          <w:szCs w:val="24"/>
        </w:rPr>
        <w:t>61</w:t>
      </w:r>
      <w:r>
        <w:rPr>
          <w:noProof/>
          <w:szCs w:val="24"/>
        </w:rPr>
        <w:fldChar w:fldCharType="end"/>
      </w:r>
    </w:p>
    <w:p>
      <w:pPr>
        <w:pStyle w:val="style35"/>
        <w:tabs>
          <w:tab w:val="right" w:leader="dot" w:pos="7927"/>
        </w:tabs>
        <w:spacing w:after="240"/>
        <w:rPr>
          <w:rFonts w:ascii="Calibri" w:eastAsia="宋体" w:hAnsi="Calibri"/>
          <w:noProof/>
          <w:szCs w:val="24"/>
        </w:rPr>
      </w:pPr>
      <w:r>
        <w:rPr>
          <w:noProof/>
          <w:szCs w:val="24"/>
        </w:rPr>
        <w:t>Lampiran 4: Perhitungan Variabel</w:t>
      </w:r>
      <w:r>
        <w:rPr>
          <w:noProof/>
          <w:szCs w:val="24"/>
        </w:rPr>
        <w:tab/>
      </w:r>
      <w:r>
        <w:rPr>
          <w:noProof/>
          <w:szCs w:val="24"/>
        </w:rPr>
        <w:fldChar w:fldCharType="begin"/>
      </w:r>
      <w:r>
        <w:rPr>
          <w:noProof/>
          <w:szCs w:val="24"/>
        </w:rPr>
        <w:instrText xml:space="preserve"> PAGEREF _Toc224085871 \h </w:instrText>
      </w:r>
      <w:r>
        <w:rPr>
          <w:noProof/>
          <w:szCs w:val="24"/>
        </w:rPr>
        <w:fldChar w:fldCharType="separate"/>
      </w:r>
      <w:r>
        <w:rPr>
          <w:noProof/>
          <w:szCs w:val="24"/>
        </w:rPr>
        <w:t>67</w:t>
      </w:r>
      <w:r>
        <w:rPr>
          <w:noProof/>
          <w:szCs w:val="24"/>
        </w:rPr>
        <w:fldChar w:fldCharType="end"/>
      </w:r>
    </w:p>
    <w:p>
      <w:pPr>
        <w:pStyle w:val="style35"/>
        <w:tabs>
          <w:tab w:val="right" w:leader="dot" w:pos="7927"/>
        </w:tabs>
        <w:spacing w:after="240"/>
        <w:rPr>
          <w:rFonts w:ascii="Calibri" w:eastAsia="宋体" w:hAnsi="Calibri"/>
          <w:noProof/>
          <w:szCs w:val="24"/>
        </w:rPr>
      </w:pPr>
      <w:r>
        <w:rPr>
          <w:noProof/>
          <w:szCs w:val="24"/>
        </w:rPr>
        <w:t>Lampiran 5: Hasil Pengujian Analisis Data Output SPSS Versi 30</w:t>
      </w:r>
      <w:r>
        <w:rPr>
          <w:noProof/>
          <w:szCs w:val="24"/>
        </w:rPr>
        <w:tab/>
      </w:r>
      <w:r>
        <w:rPr>
          <w:noProof/>
          <w:szCs w:val="24"/>
        </w:rPr>
        <w:fldChar w:fldCharType="begin"/>
      </w:r>
      <w:r>
        <w:rPr>
          <w:noProof/>
          <w:szCs w:val="24"/>
        </w:rPr>
        <w:instrText xml:space="preserve"> PAGEREF _Toc224085872 \h </w:instrText>
      </w:r>
      <w:r>
        <w:rPr>
          <w:noProof/>
          <w:szCs w:val="24"/>
        </w:rPr>
        <w:fldChar w:fldCharType="separate"/>
      </w:r>
      <w:r>
        <w:rPr>
          <w:noProof/>
          <w:szCs w:val="24"/>
        </w:rPr>
        <w:t>90</w:t>
      </w:r>
      <w:r>
        <w:rPr>
          <w:noProof/>
          <w:szCs w:val="24"/>
        </w:rPr>
        <w:fldChar w:fldCharType="end"/>
      </w:r>
    </w:p>
    <w:p>
      <w:pPr>
        <w:pStyle w:val="style35"/>
        <w:tabs>
          <w:tab w:val="right" w:leader="dot" w:pos="7927"/>
        </w:tabs>
        <w:spacing w:after="240"/>
        <w:rPr>
          <w:rFonts w:ascii="Calibri" w:eastAsia="宋体" w:hAnsi="Calibri"/>
          <w:noProof/>
          <w:szCs w:val="24"/>
        </w:rPr>
      </w:pPr>
      <w:r>
        <w:rPr>
          <w:noProof/>
          <w:szCs w:val="24"/>
        </w:rPr>
        <w:t xml:space="preserve">Lampiran 6: Tabel </w:t>
      </w:r>
      <w:r>
        <w:rPr>
          <w:i/>
          <w:noProof/>
          <w:szCs w:val="24"/>
        </w:rPr>
        <w:t>Durbin-Watson</w:t>
      </w:r>
      <w:r>
        <w:rPr>
          <w:noProof/>
          <w:szCs w:val="24"/>
        </w:rPr>
        <w:tab/>
      </w:r>
      <w:r>
        <w:rPr>
          <w:noProof/>
          <w:szCs w:val="24"/>
        </w:rPr>
        <w:fldChar w:fldCharType="begin"/>
      </w:r>
      <w:r>
        <w:rPr>
          <w:noProof/>
          <w:szCs w:val="24"/>
        </w:rPr>
        <w:instrText xml:space="preserve"> PAGEREF _Toc224085873 \h </w:instrText>
      </w:r>
      <w:r>
        <w:rPr>
          <w:noProof/>
          <w:szCs w:val="24"/>
        </w:rPr>
        <w:fldChar w:fldCharType="separate"/>
      </w:r>
      <w:r>
        <w:rPr>
          <w:noProof/>
          <w:szCs w:val="24"/>
        </w:rPr>
        <w:t>92</w:t>
      </w:r>
      <w:r>
        <w:rPr>
          <w:noProof/>
          <w:szCs w:val="24"/>
        </w:rPr>
        <w:fldChar w:fldCharType="end"/>
      </w:r>
    </w:p>
    <w:p>
      <w:pPr>
        <w:pStyle w:val="style0"/>
        <w:spacing w:after="240" w:lineRule="auto" w:line="240"/>
        <w:rPr>
          <w:b/>
          <w:bCs/>
          <w:sz w:val="22"/>
        </w:rPr>
      </w:pPr>
      <w:r>
        <w:rPr>
          <w:b/>
          <w:bCs/>
          <w:szCs w:val="24"/>
        </w:rPr>
        <w:fldChar w:fldCharType="end"/>
      </w:r>
    </w:p>
    <w:p>
      <w:pPr>
        <w:pStyle w:val="style0"/>
        <w:spacing w:lineRule="auto" w:line="240"/>
        <w:rPr>
          <w:rFonts w:cs="Times New Roman"/>
        </w:rPr>
      </w:pPr>
    </w:p>
    <w:p>
      <w:pPr>
        <w:pStyle w:val="style1"/>
        <w:spacing w:before="0" w:lineRule="auto" w:line="480"/>
        <w:rPr>
          <w:rFonts w:cs="Times New Roman"/>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sectPr>
          <w:pgSz w:w="11906" w:h="16838" w:orient="portrait" w:code="9"/>
          <w:pgMar w:top="2268" w:right="1701" w:bottom="1701" w:left="2268" w:header="720" w:footer="720" w:gutter="0"/>
          <w:pgNumType w:fmt="lowerRoman" w:start="2"/>
          <w:cols w:space="720"/>
          <w:docGrid w:linePitch="360"/>
        </w:sectPr>
      </w:pPr>
    </w:p>
    <w:bookmarkStart w:id="10" w:name="_Toc218854590"/>
    <w:p>
      <w:pPr>
        <w:pStyle w:val="style1"/>
        <w:spacing w:before="0" w:lineRule="auto" w:line="480"/>
        <w:rPr>
          <w:rFonts w:cs="Times New Roman"/>
        </w:rPr>
      </w:pPr>
      <w:r>
        <w:rPr>
          <w:rFonts w:cs="Times New Roman"/>
        </w:rPr>
        <w:t>BAB I</w:t>
      </w:r>
      <w:bookmarkEnd w:id="10"/>
    </w:p>
    <w:bookmarkStart w:id="11" w:name="_Toc218854591"/>
    <w:p>
      <w:pPr>
        <w:pStyle w:val="style1"/>
        <w:spacing w:before="0" w:lineRule="auto" w:line="480"/>
        <w:rPr>
          <w:rFonts w:cs="Times New Roman"/>
        </w:rPr>
      </w:pPr>
      <w:r>
        <w:rPr>
          <w:rFonts w:cs="Times New Roman"/>
        </w:rPr>
        <w:t>PENDAHULUAN</w:t>
      </w:r>
      <w:bookmarkEnd w:id="11"/>
      <w:r>
        <w:rPr>
          <w:rFonts w:cs="Times New Roman"/>
        </w:rPr>
        <w:t xml:space="preserve"> </w:t>
      </w:r>
    </w:p>
    <w:p>
      <w:pPr>
        <w:pStyle w:val="style2"/>
        <w:numPr>
          <w:ilvl w:val="0"/>
          <w:numId w:val="2"/>
        </w:numPr>
        <w:tabs>
          <w:tab w:val="left" w:leader="none" w:pos="720"/>
        </w:tabs>
        <w:spacing w:before="0" w:lineRule="auto" w:line="480"/>
        <w:ind w:left="360"/>
        <w:rPr>
          <w:rFonts w:cs="Times New Roman"/>
        </w:rPr>
      </w:pPr>
      <w:r>
        <w:rPr>
          <w:rFonts w:cs="Times New Roman"/>
        </w:rPr>
        <w:t xml:space="preserve"> </w:t>
      </w:r>
      <w:r>
        <w:rPr>
          <w:rFonts w:cs="Times New Roman"/>
        </w:rPr>
        <w:tab/>
      </w:r>
      <w:bookmarkStart w:id="12" w:name="_Toc218854592"/>
      <w:r>
        <w:rPr>
          <w:rFonts w:cs="Times New Roman"/>
        </w:rPr>
        <w:t>Latar Belakang</w:t>
      </w:r>
      <w:bookmarkEnd w:id="12"/>
      <w:r>
        <w:rPr>
          <w:rFonts w:cs="Times New Roman"/>
        </w:rPr>
        <w:t xml:space="preserve"> </w:t>
      </w:r>
    </w:p>
    <w:p>
      <w:pPr>
        <w:pStyle w:val="style0"/>
        <w:spacing w:after="0" w:lineRule="auto" w:line="480"/>
        <w:ind w:firstLine="630"/>
        <w:jc w:val="both"/>
        <w:rPr>
          <w:rFonts w:cs="Times New Roman"/>
        </w:rPr>
      </w:pPr>
      <w:r>
        <w:rPr>
          <w:rFonts w:cs="Times New Roman"/>
        </w:rPr>
        <w:tab/>
      </w:r>
      <w:bookmarkStart w:id="13" w:name="_Hlk215582661"/>
      <w:r>
        <w:rPr>
          <w:rFonts w:cs="Times New Roman"/>
        </w:rPr>
        <w:t>P</w:t>
      </w:r>
      <w:r>
        <w:rPr>
          <w:rFonts w:cs="Times New Roman"/>
        </w:rPr>
        <w:t xml:space="preserve">erusahaan tentu memiliki tujuan yang ingin dicapai </w:t>
      </w:r>
      <w:r>
        <w:rPr>
          <w:rFonts w:cs="Times New Roman"/>
        </w:rPr>
        <w:t xml:space="preserve">salah satunya </w:t>
      </w:r>
      <w:r>
        <w:rPr>
          <w:rFonts w:cs="Times New Roman"/>
        </w:rPr>
        <w:t xml:space="preserve">yaitu dengan cara meningkatkan serta memaksimalkan </w:t>
      </w:r>
      <w:r>
        <w:rPr>
          <w:i/>
          <w:iCs/>
          <w:color w:val="000000"/>
        </w:rPr>
        <w:t>firm value</w:t>
      </w:r>
      <w:r>
        <w:rPr>
          <w:rFonts w:cs="Times New Roman"/>
        </w:rPr>
        <w:t>. Akan tetapi</w:t>
      </w:r>
      <w:r>
        <w:rPr>
          <w:rFonts w:cs="Times New Roman"/>
        </w:rPr>
        <w:t xml:space="preserve">, </w:t>
      </w:r>
      <w:r>
        <w:rPr>
          <w:rFonts w:cs="Times New Roman"/>
        </w:rPr>
        <w:t>banyak rintangan yang haru</w:t>
      </w:r>
      <w:r>
        <w:rPr>
          <w:rFonts w:cs="Times New Roman"/>
        </w:rPr>
        <w:t>s</w:t>
      </w:r>
      <w:r>
        <w:rPr>
          <w:rFonts w:cs="Times New Roman"/>
        </w:rPr>
        <w:t xml:space="preserve"> dilalui karena </w:t>
      </w:r>
      <w:r>
        <w:rPr>
          <w:rFonts w:cs="Times New Roman"/>
        </w:rPr>
        <w:t xml:space="preserve">ketidakpastian ekonomi yang dihadapkan dengan adanya naik-turunnya harga pasar </w:t>
      </w:r>
      <w:r>
        <w:rPr>
          <w:rFonts w:cs="Times New Roman"/>
        </w:rPr>
        <w:t xml:space="preserve">dan </w:t>
      </w:r>
      <w:r>
        <w:rPr>
          <w:rFonts w:cs="Times New Roman"/>
        </w:rPr>
        <w:t xml:space="preserve">saham maupun persaingan bisnis. Rintangan-rintangan yang dihadapi mendorong </w:t>
      </w:r>
      <w:r>
        <w:rPr>
          <w:rFonts w:cs="Times New Roman"/>
        </w:rPr>
        <w:t xml:space="preserve">perusahaan </w:t>
      </w:r>
      <w:r>
        <w:rPr>
          <w:rFonts w:cs="Times New Roman"/>
        </w:rPr>
        <w:t>agar</w:t>
      </w:r>
      <w:r>
        <w:rPr>
          <w:rFonts w:cs="Times New Roman"/>
        </w:rPr>
        <w:t xml:space="preserve"> menarik minat investor</w:t>
      </w:r>
      <w:r>
        <w:rPr>
          <w:rFonts w:cs="Times New Roman"/>
        </w:rPr>
        <w:t xml:space="preserve"> untuk mendapatkan dana sehingga dapat unggul dan berkembang</w:t>
      </w:r>
      <w:r>
        <w:rPr>
          <w:rFonts w:cs="Times New Roman"/>
        </w:rPr>
        <w:t>.</w:t>
      </w:r>
      <w:r>
        <w:rPr>
          <w:rFonts w:cs="Times New Roman"/>
        </w:rPr>
        <w:t xml:space="preserve"> </w:t>
      </w:r>
      <w:r>
        <w:rPr>
          <w:i/>
          <w:iCs/>
          <w:color w:val="000000"/>
        </w:rPr>
        <w:t>Firm value</w:t>
      </w:r>
      <w:r>
        <w:rPr>
          <w:color w:val="000000"/>
        </w:rPr>
        <w:t xml:space="preserve"> </w:t>
      </w:r>
      <w:r>
        <w:rPr>
          <w:rFonts w:cs="Times New Roman"/>
        </w:rPr>
        <w:t>dapat menarik</w:t>
      </w:r>
      <w:r>
        <w:rPr>
          <w:rFonts w:cs="Times New Roman"/>
        </w:rPr>
        <w:t xml:space="preserve"> investor </w:t>
      </w:r>
      <w:r>
        <w:rPr>
          <w:rFonts w:cs="Times New Roman"/>
        </w:rPr>
        <w:t>karena menggambarkan</w:t>
      </w:r>
      <w:r>
        <w:rPr>
          <w:rFonts w:cs="Times New Roman"/>
        </w:rPr>
        <w:t xml:space="preserve"> penilaian suatu keberhasilan atau pencapaian perusahaan dalam kinerja dan pro</w:t>
      </w:r>
      <w:r>
        <w:rPr>
          <w:rFonts w:cs="Times New Roman"/>
        </w:rPr>
        <w:t xml:space="preserve">speknya sehingga sering dikatkan dengan harga saham </w:t>
      </w:r>
      <w:r>
        <w:rPr>
          <w:rFonts w:cs="Times New Roman" w:eastAsia="Times New Roman"/>
          <w:color w:val="000000"/>
        </w:rPr>
        <w:t xml:space="preserve">(T. N. Sitanggang &amp; Doloksaribu, 2021; Heng &amp; Nugroho, 2023; Budiman </w:t>
      </w:r>
      <w:r>
        <w:rPr>
          <w:rFonts w:cs="Times New Roman" w:eastAsia="Times New Roman"/>
          <w:i/>
          <w:iCs/>
          <w:color w:val="000000"/>
        </w:rPr>
        <w:t>et al</w:t>
      </w:r>
      <w:r>
        <w:rPr>
          <w:rFonts w:cs="Times New Roman" w:eastAsia="Times New Roman"/>
          <w:color w:val="000000"/>
        </w:rPr>
        <w:t>., 2024)</w:t>
      </w:r>
      <w:r>
        <w:rPr>
          <w:rFonts w:cs="Times New Roman"/>
        </w:rPr>
        <w:t>.</w:t>
      </w:r>
      <w:r>
        <w:rPr>
          <w:rFonts w:cs="Times New Roman"/>
        </w:rPr>
        <w:t xml:space="preserve"> </w:t>
      </w:r>
      <w:r>
        <w:rPr>
          <w:rFonts w:cs="Times New Roman"/>
        </w:rPr>
        <w:t>Perkembangan Indeks Harga Saham Gabungan (IHSG) pada tahun 2023 terjadi peningkatan</w:t>
      </w:r>
      <w:r>
        <w:rPr>
          <w:rFonts w:cs="Times New Roman"/>
        </w:rPr>
        <w:t xml:space="preserve"> </w:t>
      </w:r>
      <w:r>
        <w:rPr>
          <w:rFonts w:cs="Times New Roman"/>
        </w:rPr>
        <w:t>di level 7.303,89 atau sebesar 6,62%</w:t>
      </w:r>
      <w:r>
        <w:rPr>
          <w:rFonts w:cs="Times New Roman"/>
        </w:rPr>
        <w:t xml:space="preserve"> daripada tahun 2022</w:t>
      </w:r>
      <w:r>
        <w:rPr>
          <w:rFonts w:cs="Times New Roman"/>
        </w:rPr>
        <w:t xml:space="preserve"> </w:t>
      </w:r>
      <w:r>
        <w:rPr>
          <w:rFonts w:cs="Times New Roman"/>
          <w:color w:val="000000"/>
        </w:rPr>
        <w:t>(Bursa Efek Indonesia, 2023)</w:t>
      </w:r>
      <w:r>
        <w:rPr>
          <w:rFonts w:cs="Times New Roman"/>
        </w:rPr>
        <w:t xml:space="preserve">. Perkembangan ini menggambarkan adanya pertumbuhan kepercayaan investor yang meningkat khususnya pada perusahaan manufaktur. </w:t>
      </w:r>
    </w:p>
    <w:p>
      <w:pPr>
        <w:pStyle w:val="style0"/>
        <w:spacing w:after="0" w:lineRule="auto" w:line="480"/>
        <w:ind w:firstLine="720"/>
        <w:jc w:val="both"/>
        <w:rPr>
          <w:rFonts w:cs="Times New Roman"/>
          <w:szCs w:val="24"/>
        </w:rPr>
      </w:pPr>
      <w:r>
        <w:rPr>
          <w:rFonts w:cs="Times New Roman"/>
          <w:szCs w:val="24"/>
        </w:rPr>
        <w:t xml:space="preserve">Perusahaan manufaktur merupakan perusahaan yang memproduksi barang jualnya dari bahan baku atau bahan dasar kemudian diolah menjadi barang jadi atau setengah jadi </w:t>
      </w:r>
      <w:r>
        <w:rPr>
          <w:rFonts w:cs="Times New Roman" w:eastAsia="Times New Roman"/>
          <w:color w:val="000000"/>
          <w:szCs w:val="24"/>
        </w:rPr>
        <w:t xml:space="preserve">(Bandaso </w:t>
      </w:r>
      <w:r>
        <w:rPr>
          <w:rFonts w:cs="Times New Roman" w:eastAsia="Times New Roman"/>
          <w:i/>
          <w:iCs/>
          <w:color w:val="000000"/>
          <w:szCs w:val="24"/>
        </w:rPr>
        <w:t>et al</w:t>
      </w:r>
      <w:r>
        <w:rPr>
          <w:rFonts w:cs="Times New Roman" w:eastAsia="Times New Roman"/>
          <w:color w:val="000000"/>
          <w:szCs w:val="24"/>
        </w:rPr>
        <w:t>., 2023)</w:t>
      </w:r>
      <w:r>
        <w:rPr>
          <w:rFonts w:cs="Times New Roman"/>
          <w:i/>
          <w:iCs/>
          <w:color w:val="000000"/>
          <w:szCs w:val="24"/>
        </w:rPr>
        <w:t>.</w:t>
      </w:r>
      <w:r>
        <w:rPr>
          <w:rFonts w:cs="Times New Roman"/>
        </w:rPr>
        <w:t xml:space="preserve"> P</w:t>
      </w:r>
      <w:r>
        <w:rPr>
          <w:rFonts w:cs="Times New Roman"/>
          <w:szCs w:val="24"/>
        </w:rPr>
        <w:t xml:space="preserve">erusahaan manufaktur membantu </w:t>
      </w:r>
      <w:r>
        <w:rPr>
          <w:rFonts w:cs="Times New Roman"/>
          <w:szCs w:val="24"/>
        </w:rPr>
        <w:t xml:space="preserve">Indonesia </w:t>
      </w:r>
      <w:r>
        <w:rPr>
          <w:rFonts w:cs="Times New Roman"/>
          <w:szCs w:val="24"/>
        </w:rPr>
        <w:t>untuk ber</w:t>
      </w:r>
      <w:r>
        <w:rPr>
          <w:rFonts w:cs="Times New Roman"/>
          <w:szCs w:val="24"/>
        </w:rPr>
        <w:t>k</w:t>
      </w:r>
      <w:r>
        <w:rPr>
          <w:rFonts w:cs="Times New Roman"/>
          <w:szCs w:val="24"/>
        </w:rPr>
        <w:t xml:space="preserve">embang </w:t>
      </w:r>
      <w:r>
        <w:rPr>
          <w:rFonts w:cs="Times New Roman"/>
          <w:szCs w:val="24"/>
        </w:rPr>
        <w:t>maupun</w:t>
      </w:r>
      <w:r>
        <w:rPr>
          <w:rFonts w:cs="Times New Roman"/>
          <w:szCs w:val="24"/>
        </w:rPr>
        <w:t xml:space="preserve"> berinovasi sehingga aktivitas investasi </w:t>
      </w:r>
      <w:r>
        <w:rPr>
          <w:rFonts w:cs="Times New Roman"/>
          <w:szCs w:val="24"/>
        </w:rPr>
        <w:t>dan</w:t>
      </w:r>
      <w:r>
        <w:rPr>
          <w:rFonts w:cs="Times New Roman"/>
          <w:szCs w:val="24"/>
        </w:rPr>
        <w:t xml:space="preserve"> konsumsi mengalami peningkatan</w:t>
      </w:r>
      <w:r>
        <w:rPr>
          <w:rFonts w:cs="Times New Roman"/>
          <w:szCs w:val="24"/>
        </w:rPr>
        <w:t>,</w:t>
      </w:r>
      <w:r>
        <w:rPr>
          <w:rFonts w:cs="Times New Roman"/>
        </w:rPr>
        <w:t xml:space="preserve"> </w:t>
      </w:r>
      <w:r>
        <w:rPr>
          <w:rFonts w:cs="Times New Roman"/>
        </w:rPr>
        <w:t>meskipun mengalami ketidakpastian atau ketidakstabilan ekonomi</w:t>
      </w:r>
      <w:r>
        <w:rPr>
          <w:rFonts w:cs="Times New Roman"/>
          <w:szCs w:val="24"/>
        </w:rPr>
        <w:t xml:space="preserve">. </w:t>
      </w:r>
      <w:r>
        <w:rPr>
          <w:rFonts w:cs="Times New Roman"/>
          <w:szCs w:val="24"/>
        </w:rPr>
        <w:t>T</w:t>
      </w:r>
      <w:r>
        <w:rPr>
          <w:rFonts w:cs="Times New Roman"/>
          <w:szCs w:val="24"/>
        </w:rPr>
        <w:t xml:space="preserve">ren </w:t>
      </w:r>
      <w:r>
        <w:rPr>
          <w:rFonts w:cs="Times New Roman"/>
          <w:szCs w:val="24"/>
        </w:rPr>
        <w:t xml:space="preserve">atau pertumbuhan rata-rata tahunan </w:t>
      </w:r>
      <w:r>
        <w:rPr>
          <w:rFonts w:cs="Times New Roman"/>
          <w:szCs w:val="24"/>
        </w:rPr>
        <w:t xml:space="preserve">kinerja produksi perusahaan </w:t>
      </w:r>
      <w:r>
        <w:rPr>
          <w:rFonts w:cs="Times New Roman"/>
          <w:szCs w:val="24"/>
        </w:rPr>
        <w:t xml:space="preserve">manufaktur </w:t>
      </w:r>
      <w:r>
        <w:rPr>
          <w:rFonts w:cs="Times New Roman"/>
          <w:szCs w:val="24"/>
        </w:rPr>
        <w:t xml:space="preserve">yang secara berturut-turut </w:t>
      </w:r>
      <w:r>
        <w:rPr>
          <w:rFonts w:cs="Times New Roman"/>
          <w:szCs w:val="24"/>
        </w:rPr>
        <w:t>mengalami penurunan</w:t>
      </w:r>
      <w:r>
        <w:rPr>
          <w:rFonts w:cs="Times New Roman"/>
          <w:szCs w:val="24"/>
        </w:rPr>
        <w:t xml:space="preserve"> pada tahun 2021 hingga 2023. Rata-rata tahunan kinerja produksi manufaktur</w:t>
      </w:r>
      <w:r>
        <w:rPr>
          <w:rFonts w:cs="Times New Roman"/>
          <w:szCs w:val="24"/>
        </w:rPr>
        <w:t xml:space="preserve"> </w:t>
      </w:r>
      <w:r>
        <w:rPr>
          <w:rFonts w:cs="Times New Roman"/>
          <w:szCs w:val="24"/>
        </w:rPr>
        <w:t xml:space="preserve">pada tahun 2021-2023 mengalami penurunan sebesar 5,11%. </w:t>
      </w:r>
      <w:r>
        <w:rPr>
          <w:rFonts w:cs="Times New Roman"/>
          <w:szCs w:val="24"/>
        </w:rPr>
        <w:t xml:space="preserve">Berdasarkan Gambar 1.1, kinerja produksi </w:t>
      </w:r>
      <w:r>
        <w:rPr>
          <w:rFonts w:cs="Times New Roman"/>
          <w:szCs w:val="24"/>
        </w:rPr>
        <w:t>manufaktur</w:t>
      </w:r>
      <w:r>
        <w:rPr>
          <w:rFonts w:cs="Times New Roman"/>
          <w:szCs w:val="24"/>
        </w:rPr>
        <w:t xml:space="preserve"> pada tahun 2021 tercatat sebesar 7,52</w:t>
      </w:r>
      <w:r>
        <w:rPr>
          <w:rFonts w:cs="Times New Roman"/>
          <w:szCs w:val="24"/>
        </w:rPr>
        <w:t xml:space="preserve">% kemudian turun menjadi 4,01%. Pada tahun 2023, kinerja produksi manufaktur kembali mengalami penurunan menjadi 2,41% </w:t>
      </w:r>
      <w:r>
        <w:rPr>
          <w:rFonts w:cs="Times New Roman"/>
          <w:color w:val="000000"/>
          <w:szCs w:val="24"/>
        </w:rPr>
        <w:t>(Badan Pusat Statistik, 2024)</w:t>
      </w:r>
      <w:r>
        <w:rPr>
          <w:rFonts w:cs="Times New Roman"/>
          <w:szCs w:val="24"/>
        </w:rPr>
        <w:t xml:space="preserve">. </w:t>
      </w:r>
    </w:p>
    <w:p>
      <w:pPr>
        <w:pStyle w:val="style0"/>
        <w:spacing w:lineRule="auto" w:line="240"/>
        <w:jc w:val="center"/>
        <w:rPr>
          <w:rFonts w:cs="Times New Roman"/>
          <w:noProof/>
          <w:szCs w:val="24"/>
          <w:highlight w:val="yellow"/>
        </w:rPr>
      </w:pPr>
      <w:r>
        <w:rPr>
          <w:rFonts w:cs="Times New Roman"/>
          <w:noProof/>
          <w:szCs w:val="24"/>
        </w:rPr>
        <w:drawing>
          <wp:inline distL="0" distT="0" distB="0" distR="0">
            <wp:extent cx="3331028" cy="2171022"/>
            <wp:effectExtent l="0" t="0" r="3175" b="127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rcRect l="-615" t="0" r="-615" b="0"/>
                    <a:stretch/>
                  </pic:blipFill>
                  <pic:spPr>
                    <a:xfrm rot="0">
                      <a:off x="0" y="0"/>
                      <a:ext cx="3331028" cy="2171022"/>
                    </a:xfrm>
                    <a:prstGeom prst="rect"/>
                    <a:ln>
                      <a:noFill/>
                    </a:ln>
                  </pic:spPr>
                </pic:pic>
              </a:graphicData>
            </a:graphic>
          </wp:inline>
        </w:drawing>
      </w:r>
    </w:p>
    <w:bookmarkStart w:id="14" w:name="_Toc196355123"/>
    <w:bookmarkStart w:id="15" w:name="_Toc197126208"/>
    <w:bookmarkStart w:id="16" w:name="_Toc197126794"/>
    <w:bookmarkStart w:id="17" w:name="_Toc197326119"/>
    <w:bookmarkStart w:id="18" w:name="_Toc215602269"/>
    <w:p>
      <w:pPr>
        <w:pStyle w:val="style34"/>
        <w:spacing w:after="0"/>
        <w:jc w:val="center"/>
        <w:rPr>
          <w:rFonts w:cs="Times New Roman"/>
          <w:b w:val="false"/>
          <w:bCs/>
          <w:i/>
          <w:iCs w:val="false"/>
          <w:color w:val="auto"/>
          <w:sz w:val="22"/>
          <w:szCs w:val="22"/>
        </w:rPr>
      </w:pPr>
      <w:r>
        <w:rPr>
          <w:bCs/>
          <w:iCs w:val="false"/>
          <w:color w:val="auto"/>
          <w:sz w:val="22"/>
          <w:szCs w:val="22"/>
        </w:rPr>
        <w:t xml:space="preserve">Gambar </w:t>
      </w:r>
      <w:r>
        <w:rPr>
          <w:b w:val="false"/>
          <w:bCs/>
          <w:i/>
          <w:iCs w:val="false"/>
          <w:color w:val="auto"/>
          <w:sz w:val="22"/>
          <w:szCs w:val="22"/>
        </w:rPr>
        <w:fldChar w:fldCharType="begin"/>
      </w:r>
      <w:r>
        <w:rPr>
          <w:bCs/>
          <w:iCs w:val="false"/>
          <w:color w:val="auto"/>
          <w:sz w:val="22"/>
          <w:szCs w:val="22"/>
        </w:rPr>
        <w:instrText xml:space="preserve"> SEQ Gambar \* ARABIC </w:instrText>
      </w:r>
      <w:r>
        <w:rPr>
          <w:b w:val="false"/>
          <w:bCs/>
          <w:i/>
          <w:iCs w:val="false"/>
          <w:color w:val="auto"/>
          <w:sz w:val="22"/>
          <w:szCs w:val="22"/>
        </w:rPr>
        <w:fldChar w:fldCharType="separate"/>
      </w:r>
      <w:r>
        <w:rPr>
          <w:bCs/>
          <w:iCs w:val="false"/>
          <w:noProof/>
          <w:color w:val="auto"/>
          <w:sz w:val="22"/>
          <w:szCs w:val="22"/>
        </w:rPr>
        <w:t>1</w:t>
      </w:r>
      <w:r>
        <w:rPr>
          <w:b w:val="false"/>
          <w:bCs/>
          <w:i/>
          <w:iCs w:val="false"/>
          <w:color w:val="auto"/>
          <w:sz w:val="22"/>
          <w:szCs w:val="22"/>
        </w:rPr>
        <w:fldChar w:fldCharType="end"/>
      </w:r>
      <w:r>
        <w:rPr>
          <w:bCs/>
          <w:iCs w:val="false"/>
          <w:color w:val="auto"/>
          <w:sz w:val="22"/>
          <w:szCs w:val="22"/>
        </w:rPr>
        <w:t>.1. Kinerja Produksi Perusahaan Manufaktur Tahun 2021-2023</w:t>
      </w:r>
      <w:bookmarkEnd w:id="14"/>
      <w:bookmarkEnd w:id="15"/>
      <w:bookmarkEnd w:id="16"/>
      <w:bookmarkEnd w:id="17"/>
      <w:bookmarkEnd w:id="18"/>
    </w:p>
    <w:p>
      <w:pPr>
        <w:pStyle w:val="style0"/>
        <w:keepNext/>
        <w:spacing w:after="0" w:lineRule="auto" w:line="240"/>
        <w:jc w:val="center"/>
        <w:rPr>
          <w:sz w:val="20"/>
          <w:szCs w:val="20"/>
        </w:rPr>
      </w:pPr>
      <w:r>
        <w:rPr>
          <w:sz w:val="20"/>
          <w:szCs w:val="20"/>
        </w:rPr>
        <w:t xml:space="preserve">Sumber: </w:t>
      </w:r>
      <w:r>
        <w:rPr>
          <w:rFonts w:cs="Times New Roman"/>
          <w:color w:val="000000"/>
          <w:sz w:val="20"/>
          <w:szCs w:val="20"/>
        </w:rPr>
        <w:t>Badan Pusat Statistik, 2024</w:t>
      </w:r>
    </w:p>
    <w:p>
      <w:pPr>
        <w:pStyle w:val="style0"/>
        <w:spacing w:before="240" w:after="0" w:lineRule="auto" w:line="480"/>
        <w:ind w:firstLine="630"/>
        <w:jc w:val="both"/>
        <w:rPr>
          <w:rFonts w:cs="Times New Roman"/>
          <w:noProof/>
        </w:rPr>
      </w:pPr>
      <w:r>
        <w:rPr>
          <w:rFonts w:cs="Times New Roman"/>
          <w:szCs w:val="24"/>
        </w:rPr>
        <w:tab/>
      </w:r>
      <w:r>
        <w:rPr>
          <w:rFonts w:cs="Times New Roman"/>
          <w:szCs w:val="24"/>
        </w:rPr>
        <w:t>Meskipun rata-rata tahunan kinerja produksi manufaktur berturut-turut mengalami penurunan, Produk Domestik Bruto (PDB)</w:t>
      </w:r>
      <w:r>
        <w:rPr>
          <w:rFonts w:cs="Times New Roman"/>
          <w:szCs w:val="24"/>
        </w:rPr>
        <w:t xml:space="preserve"> </w:t>
      </w:r>
      <w:r>
        <w:rPr>
          <w:rFonts w:cs="Times New Roman"/>
          <w:szCs w:val="24"/>
        </w:rPr>
        <w:t>nasional</w:t>
      </w:r>
      <w:r>
        <w:rPr>
          <w:rFonts w:cs="Times New Roman"/>
          <w:szCs w:val="24"/>
        </w:rPr>
        <w:t xml:space="preserve"> pada tahun 202</w:t>
      </w:r>
      <w:r>
        <w:rPr>
          <w:rFonts w:cs="Times New Roman"/>
          <w:szCs w:val="24"/>
        </w:rPr>
        <w:t xml:space="preserve">0- 2023 </w:t>
      </w:r>
      <w:r>
        <w:rPr>
          <w:rFonts w:cs="Times New Roman"/>
          <w:szCs w:val="24"/>
        </w:rPr>
        <w:t>mengalami peningkatan</w:t>
      </w:r>
      <w:r>
        <w:rPr>
          <w:rFonts w:cs="Times New Roman"/>
          <w:szCs w:val="24"/>
        </w:rPr>
        <w:t xml:space="preserve"> sebesar 7,12%</w:t>
      </w:r>
      <w:r>
        <w:rPr>
          <w:rFonts w:cs="Times New Roman"/>
          <w:szCs w:val="24"/>
        </w:rPr>
        <w:t>.</w:t>
      </w:r>
      <w:r>
        <w:rPr>
          <w:rFonts w:cs="Times New Roman"/>
          <w:szCs w:val="24"/>
        </w:rPr>
        <w:t xml:space="preserve"> Berdasarkan Gambar 1.2,</w:t>
      </w:r>
      <w:r>
        <w:rPr>
          <w:rFonts w:cs="Times New Roman"/>
          <w:szCs w:val="24"/>
        </w:rPr>
        <w:t xml:space="preserve"> Produk Domestik Bruto (PDB)</w:t>
      </w:r>
      <w:r>
        <w:rPr>
          <w:rFonts w:cs="Times New Roman"/>
          <w:szCs w:val="24"/>
        </w:rPr>
        <w:t xml:space="preserve"> </w:t>
      </w:r>
      <w:r>
        <w:rPr>
          <w:rFonts w:cs="Times New Roman"/>
          <w:szCs w:val="24"/>
        </w:rPr>
        <w:t>nasional</w:t>
      </w:r>
      <w:r>
        <w:rPr>
          <w:rFonts w:cs="Times New Roman"/>
          <w:szCs w:val="24"/>
        </w:rPr>
        <w:t xml:space="preserve"> pada tahun 202</w:t>
      </w:r>
      <w:r>
        <w:rPr>
          <w:rFonts w:cs="Times New Roman"/>
          <w:szCs w:val="24"/>
        </w:rPr>
        <w:t>0, 2021, 2022, dan 2023</w:t>
      </w:r>
      <w:r>
        <w:rPr>
          <w:rFonts w:cs="Times New Roman"/>
          <w:szCs w:val="24"/>
        </w:rPr>
        <w:t xml:space="preserve"> berturut-turut sebesar </w:t>
      </w:r>
      <w:r>
        <w:rPr>
          <w:rFonts w:cs="Times New Roman"/>
          <w:szCs w:val="24"/>
        </w:rPr>
        <w:t>-2,07%, 3,70%, 5</w:t>
      </w:r>
      <w:r>
        <w:rPr>
          <w:rFonts w:cs="Times New Roman"/>
          <w:szCs w:val="24"/>
        </w:rPr>
        <w:t>,3</w:t>
      </w:r>
      <w:r>
        <w:rPr>
          <w:rFonts w:cs="Times New Roman"/>
          <w:szCs w:val="24"/>
        </w:rPr>
        <w:t>1</w:t>
      </w:r>
      <w:r>
        <w:rPr>
          <w:rFonts w:cs="Times New Roman"/>
          <w:szCs w:val="24"/>
        </w:rPr>
        <w:t>%</w:t>
      </w:r>
      <w:r>
        <w:rPr>
          <w:rFonts w:cs="Times New Roman"/>
          <w:szCs w:val="24"/>
        </w:rPr>
        <w:t>,</w:t>
      </w:r>
      <w:r>
        <w:rPr>
          <w:rFonts w:cs="Times New Roman"/>
          <w:szCs w:val="24"/>
        </w:rPr>
        <w:t xml:space="preserve"> dan </w:t>
      </w:r>
      <w:r>
        <w:rPr>
          <w:rFonts w:cs="Times New Roman"/>
          <w:szCs w:val="24"/>
        </w:rPr>
        <w:t>5</w:t>
      </w:r>
      <w:r>
        <w:rPr>
          <w:rFonts w:cs="Times New Roman"/>
          <w:szCs w:val="24"/>
        </w:rPr>
        <w:t>,</w:t>
      </w:r>
      <w:r>
        <w:rPr>
          <w:rFonts w:cs="Times New Roman"/>
          <w:szCs w:val="24"/>
        </w:rPr>
        <w:t>05</w:t>
      </w:r>
      <w:r>
        <w:rPr>
          <w:rFonts w:cs="Times New Roman"/>
          <w:szCs w:val="24"/>
        </w:rPr>
        <w:t xml:space="preserve">%. </w:t>
      </w:r>
      <w:r>
        <w:rPr>
          <w:rFonts w:cs="Times New Roman"/>
          <w:color w:val="000000"/>
          <w:szCs w:val="24"/>
        </w:rPr>
        <w:t>Badan Pusat Statistik (2024)</w:t>
      </w:r>
      <w:r>
        <w:rPr>
          <w:rFonts w:cs="Times New Roman"/>
          <w:szCs w:val="24"/>
        </w:rPr>
        <w:t xml:space="preserve"> menyatakan </w:t>
      </w:r>
      <w:r>
        <w:rPr>
          <w:rFonts w:cs="Times New Roman"/>
          <w:szCs w:val="24"/>
        </w:rPr>
        <w:t>perusahaan sektor</w:t>
      </w:r>
      <w:r>
        <w:rPr>
          <w:rFonts w:cs="Times New Roman"/>
          <w:szCs w:val="24"/>
        </w:rPr>
        <w:t xml:space="preserve"> manufaktur </w:t>
      </w:r>
      <w:r>
        <w:rPr>
          <w:rFonts w:cs="Times New Roman"/>
          <w:szCs w:val="24"/>
        </w:rPr>
        <w:t>berkontribusi</w:t>
      </w:r>
      <w:r>
        <w:rPr>
          <w:rFonts w:cs="Times New Roman"/>
          <w:szCs w:val="24"/>
        </w:rPr>
        <w:t xml:space="preserve"> </w:t>
      </w:r>
      <w:r>
        <w:rPr>
          <w:rFonts w:cs="Times New Roman"/>
          <w:szCs w:val="24"/>
        </w:rPr>
        <w:t xml:space="preserve">besar sebesar 4,64% terhadap </w:t>
      </w:r>
      <w:r>
        <w:rPr>
          <w:rFonts w:cs="Times New Roman"/>
          <w:szCs w:val="24"/>
        </w:rPr>
        <w:t>Produk Domestik Bruto (PDB)</w:t>
      </w:r>
      <w:r>
        <w:rPr>
          <w:rFonts w:cs="Times New Roman"/>
          <w:szCs w:val="24"/>
        </w:rPr>
        <w:t xml:space="preserve"> nasional pada tahun 2023.</w:t>
      </w:r>
      <w:r>
        <w:rPr>
          <w:rFonts w:cs="Times New Roman"/>
          <w:szCs w:val="24"/>
        </w:rPr>
        <w:t xml:space="preserve"> Pertumbuhan </w:t>
      </w:r>
      <w:r>
        <w:rPr>
          <w:rFonts w:cs="Times New Roman"/>
          <w:szCs w:val="24"/>
        </w:rPr>
        <w:t xml:space="preserve">Produk Domestik Bruto (PDB) nasional </w:t>
      </w:r>
      <w:r>
        <w:rPr>
          <w:rFonts w:cs="Times New Roman"/>
          <w:szCs w:val="24"/>
        </w:rPr>
        <w:t>i</w:t>
      </w:r>
      <w:r>
        <w:rPr>
          <w:rFonts w:cs="Times New Roman"/>
          <w:szCs w:val="24"/>
        </w:rPr>
        <w:t>ni menjadi</w:t>
      </w:r>
      <w:r>
        <w:rPr>
          <w:rFonts w:cs="Times New Roman"/>
          <w:szCs w:val="24"/>
        </w:rPr>
        <w:t xml:space="preserve"> salah satu penyebab menarik investor lain untuk menginvestasikan uangnya kepada perusahaan manufaktur </w:t>
      </w:r>
      <w:r>
        <w:rPr>
          <w:rFonts w:cs="Times New Roman"/>
          <w:szCs w:val="24"/>
        </w:rPr>
        <w:t>agar</w:t>
      </w:r>
      <w:r>
        <w:rPr>
          <w:rFonts w:cs="Times New Roman"/>
          <w:szCs w:val="24"/>
        </w:rPr>
        <w:t xml:space="preserve"> menaikkan angka tren kinerja.</w:t>
      </w:r>
      <w:r>
        <w:rPr>
          <w:rFonts w:cs="Times New Roman"/>
          <w:noProof/>
        </w:rPr>
        <w:t xml:space="preserve"> </w:t>
      </w:r>
    </w:p>
    <w:p>
      <w:pPr>
        <w:pStyle w:val="style0"/>
        <w:keepNext/>
        <w:spacing w:after="0" w:lineRule="auto" w:line="480"/>
        <w:jc w:val="center"/>
        <w:rPr/>
      </w:pPr>
      <w:r>
        <w:rPr>
          <w:noProof/>
        </w:rPr>
        <w:drawing>
          <wp:inline distL="0" distT="0" distB="0" distR="0">
            <wp:extent cx="4926965" cy="1159960"/>
            <wp:effectExtent l="0" t="0" r="6985" b="2540"/>
            <wp:docPr id="1028" name="Picture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0"/>
                    <pic:cNvPicPr/>
                  </pic:nvPicPr>
                  <pic:blipFill>
                    <a:blip r:embed="rId10" cstate="print"/>
                    <a:srcRect l="-394" t="0" r="0" b="0"/>
                    <a:stretch/>
                  </pic:blipFill>
                  <pic:spPr>
                    <a:xfrm rot="0">
                      <a:off x="0" y="0"/>
                      <a:ext cx="4926965" cy="1159960"/>
                    </a:xfrm>
                    <a:prstGeom prst="rect"/>
                    <a:ln>
                      <a:noFill/>
                    </a:ln>
                  </pic:spPr>
                </pic:pic>
              </a:graphicData>
            </a:graphic>
          </wp:inline>
        </w:drawing>
      </w:r>
    </w:p>
    <w:bookmarkStart w:id="19" w:name="_Toc215602270"/>
    <w:p>
      <w:pPr>
        <w:pStyle w:val="style34"/>
        <w:spacing w:after="0"/>
        <w:jc w:val="center"/>
        <w:rPr>
          <w:rFonts w:cs="Times New Roman"/>
          <w:b w:val="false"/>
          <w:bCs/>
          <w:i/>
          <w:iCs w:val="false"/>
          <w:noProof/>
          <w:sz w:val="22"/>
          <w:szCs w:val="22"/>
        </w:rPr>
      </w:pPr>
      <w:r>
        <w:rPr>
          <w:bCs/>
          <w:iCs w:val="false"/>
          <w:color w:val="auto"/>
          <w:sz w:val="22"/>
          <w:szCs w:val="22"/>
        </w:rPr>
        <w:t>Gambar</w:t>
      </w:r>
      <w:r>
        <w:rPr>
          <w:b w:val="false"/>
          <w:bCs/>
          <w:i/>
          <w:iCs w:val="false"/>
          <w:color w:val="ffffff"/>
          <w:sz w:val="22"/>
          <w:szCs w:val="22"/>
        </w:rPr>
        <w:fldChar w:fldCharType="begin"/>
      </w:r>
      <w:r>
        <w:rPr>
          <w:bCs/>
          <w:iCs w:val="false"/>
          <w:color w:val="ffffff"/>
          <w:sz w:val="22"/>
          <w:szCs w:val="22"/>
        </w:rPr>
        <w:instrText xml:space="preserve"> SEQ Gambar \* ARABIC </w:instrText>
      </w:r>
      <w:r>
        <w:rPr>
          <w:b w:val="false"/>
          <w:bCs/>
          <w:i/>
          <w:iCs w:val="false"/>
          <w:color w:val="ffffff"/>
          <w:sz w:val="22"/>
          <w:szCs w:val="22"/>
        </w:rPr>
        <w:fldChar w:fldCharType="separate"/>
      </w:r>
      <w:r>
        <w:rPr>
          <w:bCs/>
          <w:iCs w:val="false"/>
          <w:noProof/>
          <w:color w:val="ffffff"/>
          <w:sz w:val="22"/>
          <w:szCs w:val="22"/>
        </w:rPr>
        <w:t>2</w:t>
      </w:r>
      <w:r>
        <w:rPr>
          <w:b w:val="false"/>
          <w:bCs/>
          <w:i/>
          <w:iCs w:val="false"/>
          <w:color w:val="ffffff"/>
          <w:sz w:val="22"/>
          <w:szCs w:val="22"/>
        </w:rPr>
        <w:fldChar w:fldCharType="end"/>
      </w:r>
      <w:r>
        <w:rPr>
          <w:bCs/>
          <w:iCs w:val="false"/>
          <w:color w:val="auto"/>
          <w:sz w:val="22"/>
          <w:szCs w:val="22"/>
        </w:rPr>
        <w:t>1.2. Pertumbuhan Produk Domestik Bruto Nasional</w:t>
      </w:r>
      <w:bookmarkEnd w:id="19"/>
    </w:p>
    <w:p>
      <w:pPr>
        <w:pStyle w:val="style0"/>
        <w:spacing w:after="0" w:lineRule="auto" w:line="240"/>
        <w:ind w:firstLine="720"/>
        <w:jc w:val="center"/>
        <w:rPr>
          <w:rFonts w:cs="Times New Roman"/>
          <w:color w:val="000000"/>
          <w:sz w:val="20"/>
          <w:szCs w:val="20"/>
        </w:rPr>
      </w:pPr>
      <w:r>
        <w:rPr>
          <w:rFonts w:cs="Times New Roman"/>
          <w:sz w:val="20"/>
          <w:szCs w:val="20"/>
        </w:rPr>
        <w:t xml:space="preserve">Sumber: </w:t>
      </w:r>
      <w:r>
        <w:rPr>
          <w:rFonts w:cs="Times New Roman"/>
          <w:color w:val="000000"/>
          <w:sz w:val="20"/>
          <w:szCs w:val="20"/>
        </w:rPr>
        <w:t>Badan Pusat Statistik, 2024</w:t>
      </w:r>
    </w:p>
    <w:p>
      <w:pPr>
        <w:pStyle w:val="style0"/>
        <w:spacing w:before="240" w:after="0" w:lineRule="auto" w:line="480"/>
        <w:ind w:firstLine="630"/>
        <w:jc w:val="both"/>
        <w:rPr>
          <w:rFonts w:cs="Times New Roman"/>
          <w:szCs w:val="24"/>
        </w:rPr>
      </w:pPr>
      <w:r>
        <w:rPr>
          <w:rFonts w:cs="Times New Roman"/>
          <w:szCs w:val="24"/>
        </w:rPr>
        <w:t xml:space="preserve">Tingginya kinerja pada suatu perusahaan menggambarkan besarnya </w:t>
      </w:r>
      <w:r>
        <w:rPr>
          <w:rFonts w:cs="Times New Roman"/>
          <w:i/>
          <w:iCs/>
          <w:szCs w:val="24"/>
        </w:rPr>
        <w:t xml:space="preserve">firm value </w:t>
      </w:r>
      <w:r>
        <w:rPr>
          <w:rFonts w:cs="Times New Roman" w:eastAsia="Times New Roman"/>
          <w:color w:val="000000"/>
        </w:rPr>
        <w:t>(Utami &amp; Wulandari, 2021)</w:t>
      </w:r>
      <w:r>
        <w:rPr>
          <w:rFonts w:cs="Times New Roman"/>
          <w:szCs w:val="24"/>
        </w:rPr>
        <w:t xml:space="preserve">. </w:t>
      </w:r>
      <w:r>
        <w:rPr>
          <w:rFonts w:cs="Times New Roman"/>
          <w:szCs w:val="24"/>
        </w:rPr>
        <w:t>Perusahaan perlu menetapkan suatu strategi</w:t>
      </w:r>
      <w:r>
        <w:rPr>
          <w:rFonts w:cs="Times New Roman"/>
          <w:szCs w:val="24"/>
        </w:rPr>
        <w:t xml:space="preserve"> </w:t>
      </w:r>
      <w:r>
        <w:rPr>
          <w:rFonts w:cs="Times New Roman"/>
          <w:szCs w:val="24"/>
        </w:rPr>
        <w:t>serta tata kelola yang baik agar kinerja</w:t>
      </w:r>
      <w:r>
        <w:rPr>
          <w:rFonts w:cs="Times New Roman"/>
          <w:szCs w:val="24"/>
        </w:rPr>
        <w:t xml:space="preserve"> </w:t>
      </w:r>
      <w:r>
        <w:rPr>
          <w:rFonts w:cs="Times New Roman"/>
          <w:szCs w:val="24"/>
        </w:rPr>
        <w:t xml:space="preserve">dan </w:t>
      </w:r>
      <w:r>
        <w:rPr>
          <w:rFonts w:cs="Times New Roman"/>
          <w:i/>
          <w:iCs/>
          <w:szCs w:val="24"/>
        </w:rPr>
        <w:t>firm value</w:t>
      </w:r>
      <w:r>
        <w:rPr>
          <w:rFonts w:cs="Times New Roman"/>
          <w:szCs w:val="24"/>
        </w:rPr>
        <w:t xml:space="preserve"> meningkat sehingga investor tertarik berinvestasi dan</w:t>
      </w:r>
      <w:r>
        <w:rPr>
          <w:rFonts w:cs="Times New Roman"/>
          <w:szCs w:val="24"/>
        </w:rPr>
        <w:t xml:space="preserve"> menjaga </w:t>
      </w:r>
      <w:r>
        <w:rPr>
          <w:rFonts w:cs="Times New Roman"/>
          <w:szCs w:val="24"/>
        </w:rPr>
        <w:t>kepercayaan pemegang saham</w:t>
      </w:r>
      <w:r>
        <w:rPr>
          <w:color w:val="000000"/>
          <w:szCs w:val="24"/>
        </w:rPr>
        <w:t xml:space="preserve"> </w:t>
      </w:r>
      <w:r>
        <w:rPr>
          <w:rFonts w:cs="Times New Roman"/>
          <w:color w:val="000000"/>
          <w:szCs w:val="24"/>
        </w:rPr>
        <w:t xml:space="preserve">(Putra </w:t>
      </w:r>
      <w:r>
        <w:rPr>
          <w:rFonts w:cs="Times New Roman"/>
          <w:i/>
          <w:iCs/>
          <w:color w:val="000000"/>
          <w:szCs w:val="24"/>
        </w:rPr>
        <w:t>et al</w:t>
      </w:r>
      <w:r>
        <w:rPr>
          <w:rFonts w:cs="Times New Roman"/>
          <w:color w:val="000000"/>
          <w:szCs w:val="24"/>
        </w:rPr>
        <w:t>., 2022)</w:t>
      </w:r>
      <w:r>
        <w:rPr>
          <w:rFonts w:cs="Times New Roman"/>
          <w:szCs w:val="24"/>
        </w:rPr>
        <w:t xml:space="preserve">. </w:t>
      </w:r>
      <w:r>
        <w:rPr>
          <w:rFonts w:cs="Times New Roman"/>
          <w:i/>
          <w:iCs/>
          <w:szCs w:val="24"/>
        </w:rPr>
        <w:t>Firm value</w:t>
      </w:r>
      <w:r>
        <w:rPr>
          <w:rFonts w:cs="Times New Roman"/>
          <w:i/>
          <w:iCs/>
          <w:szCs w:val="24"/>
        </w:rPr>
        <w:t xml:space="preserve"> </w:t>
      </w:r>
      <w:r>
        <w:rPr>
          <w:rFonts w:cs="Times New Roman"/>
          <w:szCs w:val="24"/>
        </w:rPr>
        <w:t xml:space="preserve">merupakan suatu indikator penting yang menunjukkan kinerja dan potensi pertumbuhan </w:t>
      </w:r>
      <w:r>
        <w:rPr>
          <w:rFonts w:cs="Times New Roman"/>
          <w:szCs w:val="24"/>
        </w:rPr>
        <w:t>serta</w:t>
      </w:r>
      <w:r>
        <w:rPr>
          <w:rFonts w:cs="Times New Roman"/>
          <w:szCs w:val="24"/>
        </w:rPr>
        <w:t xml:space="preserve"> menunjukkan seberapa baik perusahaan </w:t>
      </w:r>
      <w:r>
        <w:rPr>
          <w:rFonts w:cs="Times New Roman"/>
          <w:szCs w:val="24"/>
        </w:rPr>
        <w:t xml:space="preserve">dalam </w:t>
      </w:r>
      <w:r>
        <w:rPr>
          <w:rFonts w:cs="Times New Roman"/>
          <w:szCs w:val="24"/>
        </w:rPr>
        <w:t xml:space="preserve">menciptakan nilai bagi pemegang saham atau investor </w:t>
      </w:r>
      <w:r>
        <w:rPr>
          <w:rFonts w:cs="Times New Roman"/>
          <w:color w:val="000000"/>
          <w:szCs w:val="24"/>
        </w:rPr>
        <w:t xml:space="preserve">(P. A. Sari, 2023; Tarigan </w:t>
      </w:r>
      <w:r>
        <w:rPr>
          <w:rFonts w:cs="Times New Roman"/>
          <w:i/>
          <w:iCs/>
          <w:color w:val="000000"/>
          <w:szCs w:val="24"/>
        </w:rPr>
        <w:t>et al</w:t>
      </w:r>
      <w:r>
        <w:rPr>
          <w:rFonts w:cs="Times New Roman"/>
          <w:color w:val="000000"/>
          <w:szCs w:val="24"/>
        </w:rPr>
        <w:t>., 2022)</w:t>
      </w:r>
      <w:r>
        <w:rPr>
          <w:rFonts w:cs="Times New Roman"/>
          <w:color w:val="000000"/>
          <w:szCs w:val="24"/>
        </w:rPr>
        <w:t>.</w:t>
      </w:r>
      <w:r>
        <w:rPr>
          <w:rFonts w:cs="Times New Roman"/>
          <w:szCs w:val="24"/>
        </w:rPr>
        <w:t xml:space="preserve"> </w:t>
      </w:r>
      <w:r>
        <w:rPr>
          <w:rFonts w:cs="Times New Roman"/>
          <w:i/>
          <w:iCs/>
          <w:szCs w:val="24"/>
        </w:rPr>
        <w:t xml:space="preserve">Firm value </w:t>
      </w:r>
      <w:r>
        <w:rPr>
          <w:rFonts w:cs="Times New Roman"/>
          <w:szCs w:val="24"/>
        </w:rPr>
        <w:t xml:space="preserve">dapat diukur dengan menggunakan rasio </w:t>
      </w:r>
      <w:r>
        <w:rPr>
          <w:rFonts w:cs="Times New Roman"/>
          <w:i/>
          <w:iCs/>
          <w:szCs w:val="24"/>
        </w:rPr>
        <w:t xml:space="preserve">Tobin’s Q </w:t>
      </w:r>
      <w:r>
        <w:rPr>
          <w:rFonts w:cs="Times New Roman"/>
          <w:szCs w:val="24"/>
        </w:rPr>
        <w:t xml:space="preserve">karena menggambarkan keseluruhan aset dan melihat </w:t>
      </w:r>
      <w:r>
        <w:rPr>
          <w:rFonts w:cs="Times New Roman"/>
          <w:szCs w:val="24"/>
        </w:rPr>
        <w:t>maupun</w:t>
      </w:r>
      <w:r>
        <w:rPr>
          <w:rFonts w:cs="Times New Roman"/>
          <w:szCs w:val="24"/>
        </w:rPr>
        <w:t xml:space="preserve"> memprediksi kinerja masa depan </w:t>
      </w:r>
      <w:r>
        <w:rPr>
          <w:rFonts w:cs="Times New Roman"/>
          <w:color w:val="000000"/>
          <w:szCs w:val="24"/>
        </w:rPr>
        <w:t xml:space="preserve">(Ghani </w:t>
      </w:r>
      <w:r>
        <w:rPr>
          <w:rFonts w:cs="Times New Roman"/>
          <w:i/>
          <w:iCs/>
          <w:color w:val="000000"/>
          <w:szCs w:val="24"/>
        </w:rPr>
        <w:t>et al</w:t>
      </w:r>
      <w:r>
        <w:rPr>
          <w:rFonts w:cs="Times New Roman"/>
          <w:color w:val="000000"/>
          <w:szCs w:val="24"/>
        </w:rPr>
        <w:t>., 2023)</w:t>
      </w:r>
      <w:r>
        <w:rPr>
          <w:rFonts w:cs="Times New Roman"/>
          <w:i/>
          <w:iCs/>
          <w:color w:val="000000"/>
          <w:szCs w:val="24"/>
        </w:rPr>
        <w:t xml:space="preserve">. </w:t>
      </w:r>
      <w:r>
        <w:rPr>
          <w:rFonts w:cs="Times New Roman"/>
          <w:color w:val="000000"/>
          <w:szCs w:val="24"/>
        </w:rPr>
        <w:t xml:space="preserve">Pengukuran </w:t>
      </w:r>
      <w:r>
        <w:rPr>
          <w:rFonts w:cs="Times New Roman"/>
          <w:i/>
          <w:iCs/>
          <w:szCs w:val="24"/>
        </w:rPr>
        <w:t xml:space="preserve">firm value </w:t>
      </w:r>
      <w:r>
        <w:rPr>
          <w:rFonts w:cs="Times New Roman"/>
          <w:color w:val="000000"/>
          <w:szCs w:val="24"/>
        </w:rPr>
        <w:t>bertujuan agar membantu investor dalam memahami informasi harga saham pada laporan keuangan.</w:t>
      </w:r>
      <w:r>
        <w:rPr>
          <w:rFonts w:cs="Times New Roman"/>
          <w:color w:val="000000"/>
          <w:szCs w:val="24"/>
        </w:rPr>
        <w:t xml:space="preserve"> </w:t>
      </w:r>
    </w:p>
    <w:p>
      <w:pPr>
        <w:pStyle w:val="style0"/>
        <w:spacing w:after="0" w:lineRule="auto" w:line="480"/>
        <w:ind w:firstLine="630"/>
        <w:jc w:val="both"/>
        <w:rPr>
          <w:rFonts w:cs="Times New Roman" w:eastAsia="Times New Roman"/>
          <w:i/>
          <w:szCs w:val="24"/>
        </w:rPr>
      </w:pPr>
      <w:r>
        <w:rPr>
          <w:rFonts w:cs="Times New Roman"/>
          <w:szCs w:val="24"/>
        </w:rPr>
        <w:tab/>
      </w:r>
      <w:r>
        <w:rPr>
          <w:rFonts w:cs="Times New Roman"/>
          <w:szCs w:val="24"/>
        </w:rPr>
        <w:t>Informasi dalam laporan keuangan saja sebenarnya tidak cukup untuk menilai keadaan pada suatu perusahaan, perlu adanya laporan lain</w:t>
      </w:r>
      <w:r>
        <w:rPr>
          <w:rFonts w:cs="Times New Roman"/>
          <w:szCs w:val="24"/>
        </w:rPr>
        <w:t xml:space="preserve"> seperti</w:t>
      </w:r>
      <w:r>
        <w:rPr>
          <w:rFonts w:cs="Times New Roman"/>
          <w:szCs w:val="24"/>
        </w:rPr>
        <w:t xml:space="preserve"> laporan yang bersifat nonkeuangan </w:t>
      </w:r>
      <w:r>
        <w:rPr>
          <w:rFonts w:cs="Times New Roman" w:eastAsia="Times New Roman"/>
          <w:color w:val="000000"/>
        </w:rPr>
        <w:t>(Rosya &amp; Novita, 2023)</w:t>
      </w:r>
      <w:r>
        <w:rPr>
          <w:rFonts w:cs="Times New Roman"/>
          <w:szCs w:val="24"/>
        </w:rPr>
        <w:t xml:space="preserve">. Laporan yang dimaksud dapat berisi pengungkapan </w:t>
      </w:r>
      <w:r>
        <w:rPr>
          <w:rFonts w:cs="Times New Roman"/>
          <w:i/>
          <w:iCs/>
          <w:szCs w:val="24"/>
        </w:rPr>
        <w:t>enterprise risk management</w:t>
      </w:r>
      <w:r>
        <w:rPr>
          <w:rFonts w:cs="Times New Roman"/>
          <w:szCs w:val="24"/>
        </w:rPr>
        <w:t xml:space="preserve">. </w:t>
      </w:r>
      <w:r>
        <w:rPr>
          <w:color w:val="000000"/>
          <w:szCs w:val="24"/>
        </w:rPr>
        <w:t>Pasar maupun investor memutuskan berinvestasi dengan memandang adanya potensi pertumbuhan di masa depan</w:t>
      </w:r>
      <w:r>
        <w:rPr>
          <w:rFonts w:cs="Times New Roman" w:eastAsia="Times New Roman"/>
          <w:iCs/>
          <w:szCs w:val="24"/>
        </w:rPr>
        <w:t xml:space="preserve"> </w:t>
      </w:r>
      <w:r>
        <w:rPr>
          <w:rFonts w:cs="Times New Roman" w:eastAsia="Times New Roman"/>
          <w:iCs/>
          <w:szCs w:val="24"/>
        </w:rPr>
        <w:t xml:space="preserve">dengan menetapkan stategi yang tepat salah satunya penggunaan </w:t>
      </w:r>
      <w:r>
        <w:rPr>
          <w:rFonts w:cs="Times New Roman" w:eastAsia="Times New Roman"/>
          <w:i/>
          <w:szCs w:val="24"/>
        </w:rPr>
        <w:t xml:space="preserve">enterprise risk management </w:t>
      </w:r>
      <w:r>
        <w:rPr>
          <w:rFonts w:cs="Times New Roman" w:eastAsia="Times New Roman"/>
          <w:iCs/>
          <w:szCs w:val="24"/>
        </w:rPr>
        <w:t>karena</w:t>
      </w:r>
      <w:r>
        <w:rPr>
          <w:rFonts w:cs="Times New Roman"/>
          <w:szCs w:val="24"/>
        </w:rPr>
        <w:t xml:space="preserve"> mendorong</w:t>
      </w:r>
      <w:r>
        <w:rPr>
          <w:rFonts w:cs="Times New Roman"/>
          <w:szCs w:val="24"/>
        </w:rPr>
        <w:t xml:space="preserve"> </w:t>
      </w:r>
      <w:r>
        <w:rPr>
          <w:rFonts w:cs="Times New Roman"/>
          <w:szCs w:val="24"/>
        </w:rPr>
        <w:t xml:space="preserve">kesigapan </w:t>
      </w:r>
      <w:r>
        <w:rPr>
          <w:rFonts w:cs="Times New Roman"/>
          <w:szCs w:val="24"/>
        </w:rPr>
        <w:t xml:space="preserve">dalam mengambil keputusan serta </w:t>
      </w:r>
      <w:r>
        <w:rPr>
          <w:rFonts w:cs="Times New Roman"/>
          <w:szCs w:val="24"/>
        </w:rPr>
        <w:t>mengidentifikasi dan menganalisis risiko yang dapat memengaruhi kinerja s</w:t>
      </w:r>
      <w:r>
        <w:rPr>
          <w:rFonts w:cs="Times New Roman"/>
          <w:szCs w:val="24"/>
        </w:rPr>
        <w:t>ehingga</w:t>
      </w:r>
      <w:r>
        <w:rPr>
          <w:rFonts w:cs="Times New Roman"/>
          <w:szCs w:val="24"/>
        </w:rPr>
        <w:t xml:space="preserve"> meningkatkan </w:t>
      </w:r>
      <w:r>
        <w:rPr>
          <w:i/>
          <w:iCs/>
          <w:color w:val="000000"/>
          <w:szCs w:val="24"/>
        </w:rPr>
        <w:t>firm value</w:t>
      </w:r>
      <w:r>
        <w:rPr>
          <w:rFonts w:cs="Times New Roman" w:eastAsia="Times New Roman"/>
          <w:iCs/>
          <w:szCs w:val="24"/>
        </w:rPr>
        <w:t xml:space="preserve"> </w:t>
      </w:r>
      <w:r>
        <w:rPr>
          <w:i/>
          <w:iCs/>
          <w:color w:val="000000"/>
          <w:szCs w:val="24"/>
        </w:rPr>
        <w:t xml:space="preserve"> </w:t>
      </w:r>
      <w:r>
        <w:rPr>
          <w:rFonts w:cs="Times New Roman" w:eastAsia="Times New Roman"/>
          <w:color w:val="000000"/>
        </w:rPr>
        <w:t xml:space="preserve">(Amalia </w:t>
      </w:r>
      <w:r>
        <w:rPr>
          <w:rFonts w:cs="Times New Roman" w:eastAsia="Times New Roman"/>
          <w:i/>
          <w:iCs/>
          <w:color w:val="000000"/>
        </w:rPr>
        <w:t>et al</w:t>
      </w:r>
      <w:r>
        <w:rPr>
          <w:rFonts w:cs="Times New Roman" w:eastAsia="Times New Roman"/>
          <w:color w:val="000000"/>
        </w:rPr>
        <w:t>., 2021; Kiswara, 2022; Rosya &amp; Novita, 2023)</w:t>
      </w:r>
      <w:r>
        <w:rPr>
          <w:i/>
          <w:iCs/>
          <w:color w:val="000000"/>
          <w:szCs w:val="24"/>
        </w:rPr>
        <w:t>.</w:t>
      </w:r>
    </w:p>
    <w:p>
      <w:pPr>
        <w:pStyle w:val="style0"/>
        <w:spacing w:after="0" w:lineRule="auto" w:line="480"/>
        <w:ind w:firstLine="630"/>
        <w:jc w:val="both"/>
        <w:rPr>
          <w:rFonts w:cs="Times New Roman" w:eastAsia="Times New Roman"/>
          <w:iCs/>
          <w:szCs w:val="24"/>
        </w:rPr>
      </w:pPr>
      <w:r>
        <w:rPr>
          <w:rFonts w:cs="Times New Roman" w:eastAsia="Times New Roman"/>
          <w:iCs/>
          <w:szCs w:val="24"/>
        </w:rPr>
        <w:tab/>
      </w:r>
      <w:r>
        <w:rPr>
          <w:rFonts w:cs="Times New Roman" w:eastAsia="Times New Roman"/>
          <w:iCs/>
          <w:szCs w:val="24"/>
        </w:rPr>
        <w:t xml:space="preserve">Lembaga negara dibawah kementrian keuangan yaitu Otoritas Jasa Keuangan (OJK) mengeluarkan peraturan pada Surat Edaran No. 16/SEOJK.04/2021 dan  6/POJK.04/2021 yang mengatur laporan tahunan perusahaan terkait </w:t>
      </w:r>
      <w:r>
        <w:rPr>
          <w:rFonts w:cs="Times New Roman" w:eastAsia="Times New Roman"/>
          <w:i/>
          <w:szCs w:val="24"/>
        </w:rPr>
        <w:t>enterprise risk management.</w:t>
      </w:r>
      <w:r>
        <w:rPr>
          <w:rFonts w:cs="Times New Roman" w:eastAsia="Times New Roman"/>
          <w:iCs/>
          <w:szCs w:val="24"/>
        </w:rPr>
        <w:t xml:space="preserve"> Peraturan ini dikeluarkan bertujuan agar membantu penerapan </w:t>
      </w:r>
      <w:r>
        <w:rPr>
          <w:rFonts w:cs="Times New Roman" w:eastAsia="Times New Roman"/>
          <w:i/>
          <w:szCs w:val="24"/>
        </w:rPr>
        <w:t xml:space="preserve">enterprise risk management </w:t>
      </w:r>
      <w:r>
        <w:rPr>
          <w:rFonts w:cs="Times New Roman" w:eastAsia="Times New Roman"/>
          <w:iCs/>
          <w:szCs w:val="24"/>
        </w:rPr>
        <w:t>yang dapat menciptakan pertumbuhan dan keberlanjutan</w:t>
      </w:r>
      <w:r>
        <w:rPr>
          <w:rFonts w:cs="Times New Roman" w:eastAsia="Times New Roman"/>
          <w:iCs/>
          <w:color w:val="000000"/>
          <w:szCs w:val="24"/>
        </w:rPr>
        <w:t xml:space="preserve"> </w:t>
      </w:r>
      <w:r>
        <w:rPr>
          <w:rFonts w:cs="Times New Roman" w:eastAsia="Times New Roman"/>
          <w:iCs/>
          <w:color w:val="000000"/>
          <w:szCs w:val="24"/>
        </w:rPr>
        <w:t>(Otoritas Jasa Keuangan, 2021)</w:t>
      </w:r>
      <w:r>
        <w:rPr>
          <w:rFonts w:cs="Times New Roman" w:eastAsia="Times New Roman"/>
          <w:iCs/>
          <w:szCs w:val="24"/>
        </w:rPr>
        <w:t>. Namu</w:t>
      </w:r>
      <w:r>
        <w:rPr>
          <w:rFonts w:cs="Times New Roman" w:eastAsia="Times New Roman"/>
          <w:iCs/>
          <w:szCs w:val="24"/>
        </w:rPr>
        <w:t>n, p</w:t>
      </w:r>
      <w:r>
        <w:rPr>
          <w:rFonts w:cs="Times New Roman" w:eastAsia="Times New Roman"/>
          <w:iCs/>
          <w:szCs w:val="24"/>
        </w:rPr>
        <w:t xml:space="preserve">enerapan </w:t>
      </w:r>
      <w:r>
        <w:rPr>
          <w:rFonts w:cs="Times New Roman" w:eastAsia="Times New Roman"/>
          <w:i/>
          <w:szCs w:val="24"/>
        </w:rPr>
        <w:t>enterprise risk management</w:t>
      </w:r>
      <w:r>
        <w:rPr>
          <w:rFonts w:cs="Times New Roman" w:eastAsia="Times New Roman"/>
          <w:iCs/>
          <w:szCs w:val="24"/>
        </w:rPr>
        <w:t xml:space="preserve"> pada perusahaan di Indonesia</w:t>
      </w:r>
      <w:r>
        <w:rPr>
          <w:rFonts w:cs="Times New Roman" w:eastAsia="Times New Roman"/>
          <w:i/>
          <w:szCs w:val="24"/>
        </w:rPr>
        <w:t xml:space="preserve"> </w:t>
      </w:r>
      <w:r>
        <w:rPr>
          <w:rFonts w:cs="Times New Roman" w:eastAsia="Times New Roman"/>
          <w:iCs/>
          <w:szCs w:val="24"/>
        </w:rPr>
        <w:t xml:space="preserve">kurang memadai karena memakan banyak waktu </w:t>
      </w:r>
      <w:r>
        <w:rPr>
          <w:rFonts w:cs="Times New Roman" w:eastAsia="Times New Roman"/>
          <w:iCs/>
          <w:szCs w:val="24"/>
        </w:rPr>
        <w:t>serta</w:t>
      </w:r>
      <w:r>
        <w:rPr>
          <w:rFonts w:cs="Times New Roman" w:eastAsia="Times New Roman"/>
          <w:iCs/>
          <w:szCs w:val="24"/>
        </w:rPr>
        <w:t xml:space="preserve"> biaya yang dikeluarkan</w:t>
      </w:r>
      <w:r>
        <w:rPr>
          <w:rFonts w:cs="Times New Roman" w:eastAsia="Times New Roman"/>
          <w:iCs/>
          <w:color w:val="000000"/>
          <w:szCs w:val="24"/>
        </w:rPr>
        <w:t xml:space="preserve"> </w:t>
      </w:r>
      <w:r>
        <w:rPr>
          <w:rFonts w:cs="Times New Roman" w:eastAsia="Times New Roman"/>
          <w:color w:val="000000"/>
          <w:szCs w:val="24"/>
        </w:rPr>
        <w:t>(SISI 2023, paragraf. 12)</w:t>
      </w:r>
      <w:r>
        <w:rPr>
          <w:rFonts w:cs="Times New Roman" w:eastAsia="Times New Roman"/>
          <w:iCs/>
          <w:szCs w:val="24"/>
        </w:rPr>
        <w:t xml:space="preserve">. Biaya dan </w:t>
      </w:r>
      <w:r>
        <w:rPr>
          <w:rFonts w:cs="Times New Roman" w:eastAsia="Times New Roman"/>
          <w:iCs/>
          <w:szCs w:val="24"/>
        </w:rPr>
        <w:t>manfaat</w:t>
      </w:r>
      <w:r>
        <w:rPr>
          <w:rFonts w:cs="Times New Roman" w:eastAsia="Times New Roman"/>
          <w:iCs/>
          <w:szCs w:val="24"/>
        </w:rPr>
        <w:t xml:space="preserve"> yang didapatkan </w:t>
      </w:r>
      <w:r>
        <w:rPr>
          <w:rFonts w:cs="Times New Roman" w:eastAsia="Times New Roman"/>
          <w:iCs/>
          <w:szCs w:val="24"/>
        </w:rPr>
        <w:t>tidak sebanding</w:t>
      </w:r>
      <w:r>
        <w:rPr>
          <w:rFonts w:cs="Times New Roman" w:eastAsia="Times New Roman"/>
          <w:iCs/>
          <w:szCs w:val="24"/>
        </w:rPr>
        <w:t xml:space="preserve"> dengan harapan perusahaan</w:t>
      </w:r>
      <w:r>
        <w:rPr>
          <w:rFonts w:cs="Times New Roman" w:eastAsia="Times New Roman"/>
          <w:iCs/>
          <w:szCs w:val="24"/>
        </w:rPr>
        <w:t xml:space="preserve">. </w:t>
      </w:r>
      <w:r>
        <w:rPr>
          <w:rFonts w:cs="Times New Roman" w:eastAsia="Times New Roman"/>
          <w:iCs/>
          <w:szCs w:val="24"/>
        </w:rPr>
        <w:t xml:space="preserve">Penerapan </w:t>
      </w:r>
      <w:r>
        <w:rPr>
          <w:rFonts w:cs="Times New Roman" w:eastAsia="Times New Roman"/>
          <w:i/>
          <w:szCs w:val="24"/>
        </w:rPr>
        <w:t xml:space="preserve">enterprise risk management </w:t>
      </w:r>
      <w:r>
        <w:rPr>
          <w:rFonts w:cs="Times New Roman" w:eastAsia="Times New Roman"/>
          <w:iCs/>
          <w:szCs w:val="24"/>
        </w:rPr>
        <w:t>bagi perusahaan manufaktur di Indonesia</w:t>
      </w:r>
      <w:r>
        <w:rPr>
          <w:rFonts w:cs="Times New Roman" w:eastAsia="Times New Roman"/>
          <w:iCs/>
          <w:szCs w:val="24"/>
        </w:rPr>
        <w:t xml:space="preserve"> dilakukan hanya karena adanya kebutuhan serta inisiatif saja </w:t>
      </w:r>
      <w:r>
        <w:rPr>
          <w:rFonts w:cs="Times New Roman" w:eastAsia="Times New Roman"/>
          <w:iCs/>
          <w:color w:val="000000"/>
          <w:szCs w:val="24"/>
        </w:rPr>
        <w:t xml:space="preserve">(Qalby </w:t>
      </w:r>
      <w:r>
        <w:rPr>
          <w:rFonts w:cs="Times New Roman" w:eastAsia="Times New Roman"/>
          <w:i/>
          <w:iCs/>
          <w:color w:val="000000"/>
          <w:szCs w:val="24"/>
        </w:rPr>
        <w:t>et al</w:t>
      </w:r>
      <w:r>
        <w:rPr>
          <w:rFonts w:cs="Times New Roman" w:eastAsia="Times New Roman"/>
          <w:iCs/>
          <w:color w:val="000000"/>
          <w:szCs w:val="24"/>
        </w:rPr>
        <w:t>., 2023)</w:t>
      </w:r>
      <w:r>
        <w:rPr>
          <w:rFonts w:cs="Times New Roman" w:eastAsia="Times New Roman"/>
          <w:iCs/>
          <w:szCs w:val="24"/>
        </w:rPr>
        <w:t xml:space="preserve">. </w:t>
      </w:r>
    </w:p>
    <w:p>
      <w:pPr>
        <w:pStyle w:val="style0"/>
        <w:spacing w:after="0" w:lineRule="auto" w:line="480"/>
        <w:ind w:firstLine="630"/>
        <w:jc w:val="both"/>
        <w:rPr>
          <w:rFonts w:cs="Times New Roman" w:eastAsia="Times New Roman"/>
          <w:iCs/>
          <w:szCs w:val="24"/>
        </w:rPr>
      </w:pPr>
      <w:r>
        <w:rPr>
          <w:rFonts w:cs="Times New Roman" w:eastAsia="Times New Roman"/>
          <w:iCs/>
          <w:szCs w:val="24"/>
        </w:rPr>
        <w:t>P</w:t>
      </w:r>
      <w:r>
        <w:rPr>
          <w:rFonts w:cs="Times New Roman" w:eastAsia="Times New Roman"/>
          <w:iCs/>
          <w:szCs w:val="24"/>
        </w:rPr>
        <w:t>enelitian yang dilakukan oleh</w:t>
      </w:r>
      <w:r>
        <w:rPr>
          <w:rFonts w:cs="Times New Roman" w:eastAsia="Times New Roman"/>
          <w:iCs/>
          <w:color w:val="000000"/>
          <w:szCs w:val="24"/>
        </w:rPr>
        <w:t xml:space="preserve"> </w:t>
      </w:r>
      <w:r>
        <w:rPr>
          <w:rFonts w:cs="Times New Roman" w:eastAsia="Times New Roman"/>
          <w:color w:val="000000"/>
        </w:rPr>
        <w:t xml:space="preserve">Septyanto &amp; Nugraha (2021), Amerta &amp; Soenarno (2022), Malik </w:t>
      </w:r>
      <w:r>
        <w:rPr>
          <w:rFonts w:cs="Times New Roman" w:eastAsia="Times New Roman"/>
          <w:i/>
          <w:iCs/>
          <w:color w:val="000000"/>
        </w:rPr>
        <w:t>et al</w:t>
      </w:r>
      <w:r>
        <w:rPr>
          <w:rFonts w:cs="Times New Roman" w:eastAsia="Times New Roman"/>
          <w:color w:val="000000"/>
        </w:rPr>
        <w:t xml:space="preserve">. (2024), dan Wahdah </w:t>
      </w:r>
      <w:r>
        <w:rPr>
          <w:rFonts w:cs="Times New Roman" w:eastAsia="Times New Roman"/>
          <w:i/>
          <w:iCs/>
          <w:color w:val="000000"/>
        </w:rPr>
        <w:t>et al</w:t>
      </w:r>
      <w:r>
        <w:rPr>
          <w:rFonts w:cs="Times New Roman" w:eastAsia="Times New Roman"/>
          <w:color w:val="000000"/>
        </w:rPr>
        <w:t>. (2024)</w:t>
      </w:r>
      <w:r>
        <w:rPr>
          <w:rFonts w:cs="Times New Roman" w:eastAsia="Times New Roman"/>
          <w:iCs/>
          <w:szCs w:val="24"/>
        </w:rPr>
        <w:t xml:space="preserve"> menyatakan</w:t>
      </w:r>
      <w:r>
        <w:rPr>
          <w:rFonts w:cs="Times New Roman" w:eastAsia="Times New Roman"/>
          <w:iCs/>
          <w:szCs w:val="24"/>
        </w:rPr>
        <w:t xml:space="preserve"> bahwa</w:t>
      </w:r>
      <w:r>
        <w:rPr>
          <w:rFonts w:cs="Times New Roman" w:eastAsia="Times New Roman"/>
          <w:iCs/>
          <w:szCs w:val="24"/>
        </w:rPr>
        <w:t xml:space="preserve"> </w:t>
      </w:r>
      <w:r>
        <w:rPr>
          <w:rFonts w:cs="Times New Roman" w:eastAsia="Times New Roman"/>
          <w:i/>
          <w:szCs w:val="24"/>
        </w:rPr>
        <w:t xml:space="preserve">enterprise risk management </w:t>
      </w:r>
      <w:r>
        <w:rPr>
          <w:rFonts w:cs="Times New Roman" w:eastAsia="Times New Roman"/>
          <w:iCs/>
          <w:szCs w:val="24"/>
        </w:rPr>
        <w:t>berpengaruh signifikan positif</w:t>
      </w:r>
      <w:r>
        <w:rPr>
          <w:rFonts w:cs="Times New Roman" w:eastAsia="Times New Roman"/>
          <w:iCs/>
          <w:szCs w:val="24"/>
        </w:rPr>
        <w:t xml:space="preserve"> terhadap </w:t>
      </w:r>
      <w:r>
        <w:rPr>
          <w:rFonts w:cs="Times New Roman" w:eastAsia="Times New Roman"/>
          <w:i/>
          <w:szCs w:val="24"/>
        </w:rPr>
        <w:t xml:space="preserve">firm value. </w:t>
      </w:r>
      <w:r>
        <w:rPr>
          <w:rFonts w:cs="Times New Roman" w:eastAsia="Times New Roman"/>
          <w:iCs/>
          <w:szCs w:val="24"/>
        </w:rPr>
        <w:t xml:space="preserve">Pengungkapan pada </w:t>
      </w:r>
      <w:r>
        <w:rPr>
          <w:rFonts w:cs="Times New Roman" w:eastAsia="Times New Roman"/>
          <w:i/>
          <w:szCs w:val="24"/>
        </w:rPr>
        <w:t xml:space="preserve">enterprise risk management </w:t>
      </w:r>
      <w:r>
        <w:rPr>
          <w:rFonts w:cs="Times New Roman" w:eastAsia="Times New Roman"/>
          <w:iCs/>
          <w:szCs w:val="24"/>
        </w:rPr>
        <w:t xml:space="preserve">dapat menarik investor dalam pengungkapan </w:t>
      </w:r>
      <w:r>
        <w:rPr>
          <w:rFonts w:cs="Times New Roman" w:eastAsia="Times New Roman"/>
          <w:i/>
          <w:szCs w:val="24"/>
        </w:rPr>
        <w:t>enterprise risk management</w:t>
      </w:r>
      <w:r>
        <w:rPr>
          <w:rFonts w:cs="Times New Roman" w:eastAsia="Times New Roman"/>
          <w:iCs/>
          <w:szCs w:val="24"/>
        </w:rPr>
        <w:t xml:space="preserve"> dapat melihat kinerja perusahaan </w:t>
      </w:r>
      <w:r>
        <w:rPr>
          <w:rFonts w:cs="Times New Roman" w:eastAsia="Times New Roman"/>
          <w:iCs/>
          <w:szCs w:val="24"/>
        </w:rPr>
        <w:t xml:space="preserve">dari caranya </w:t>
      </w:r>
      <w:r>
        <w:rPr>
          <w:rFonts w:cs="Times New Roman" w:eastAsia="Times New Roman"/>
          <w:iCs/>
          <w:szCs w:val="24"/>
        </w:rPr>
        <w:t xml:space="preserve">menghadapi risiko dan </w:t>
      </w:r>
      <w:r>
        <w:rPr>
          <w:rFonts w:cs="Times New Roman" w:eastAsia="Times New Roman"/>
          <w:iCs/>
          <w:szCs w:val="24"/>
        </w:rPr>
        <w:t xml:space="preserve">kemampuan </w:t>
      </w:r>
      <w:r>
        <w:rPr>
          <w:rFonts w:cs="Times New Roman" w:eastAsia="Times New Roman"/>
          <w:iCs/>
          <w:szCs w:val="24"/>
        </w:rPr>
        <w:t xml:space="preserve">perusahaan tersebut bertahan </w:t>
      </w:r>
      <w:r>
        <w:rPr>
          <w:rFonts w:cs="Times New Roman" w:eastAsia="Times New Roman"/>
          <w:iCs/>
          <w:szCs w:val="24"/>
        </w:rPr>
        <w:t>di pasar</w:t>
      </w:r>
      <w:r>
        <w:rPr>
          <w:rFonts w:cs="Times New Roman" w:eastAsia="Times New Roman"/>
          <w:iCs/>
          <w:szCs w:val="24"/>
        </w:rPr>
        <w:t>.</w:t>
      </w:r>
      <w:r>
        <w:rPr>
          <w:rFonts w:cs="Times New Roman" w:eastAsia="Times New Roman"/>
          <w:iCs/>
          <w:szCs w:val="24"/>
        </w:rPr>
        <w:t xml:space="preserve"> </w:t>
      </w:r>
      <w:r>
        <w:rPr>
          <w:rFonts w:cs="Times New Roman" w:eastAsia="Times New Roman"/>
          <w:iCs/>
          <w:szCs w:val="24"/>
        </w:rPr>
        <w:t>Akan tetapi, t</w:t>
      </w:r>
      <w:r>
        <w:rPr>
          <w:rFonts w:cs="Times New Roman" w:eastAsia="Times New Roman"/>
          <w:iCs/>
          <w:szCs w:val="24"/>
        </w:rPr>
        <w:t xml:space="preserve">erdapat perbedaan pendapat pada  </w:t>
      </w:r>
      <w:r>
        <w:rPr>
          <w:rFonts w:cs="Times New Roman" w:eastAsia="Times New Roman"/>
          <w:color w:val="000000"/>
        </w:rPr>
        <w:t xml:space="preserve">Ismanto </w:t>
      </w:r>
      <w:r>
        <w:rPr>
          <w:rFonts w:cs="Times New Roman" w:eastAsia="Times New Roman"/>
          <w:i/>
          <w:iCs/>
          <w:color w:val="000000"/>
        </w:rPr>
        <w:t>et al</w:t>
      </w:r>
      <w:r>
        <w:rPr>
          <w:rFonts w:cs="Times New Roman" w:eastAsia="Times New Roman"/>
          <w:color w:val="000000"/>
        </w:rPr>
        <w:t xml:space="preserve">. (2023), Karina </w:t>
      </w:r>
      <w:r>
        <w:rPr>
          <w:rFonts w:cs="Times New Roman" w:eastAsia="Times New Roman"/>
          <w:i/>
          <w:iCs/>
          <w:color w:val="000000"/>
        </w:rPr>
        <w:t>et al</w:t>
      </w:r>
      <w:r>
        <w:rPr>
          <w:rFonts w:cs="Times New Roman" w:eastAsia="Times New Roman"/>
          <w:color w:val="000000"/>
        </w:rPr>
        <w:t>. (2023), dan Hardi &amp; Baskara (2024)</w:t>
      </w:r>
      <w:r>
        <w:rPr>
          <w:rFonts w:cs="Times New Roman" w:eastAsia="Times New Roman"/>
          <w:iCs/>
          <w:szCs w:val="24"/>
        </w:rPr>
        <w:t xml:space="preserve"> </w:t>
      </w:r>
      <w:r>
        <w:rPr>
          <w:rFonts w:cs="Times New Roman" w:eastAsia="Times New Roman"/>
          <w:iCs/>
          <w:color w:val="000000"/>
          <w:szCs w:val="24"/>
        </w:rPr>
        <w:t xml:space="preserve">bahwa </w:t>
      </w:r>
      <w:r>
        <w:rPr>
          <w:rFonts w:cs="Times New Roman" w:eastAsia="Times New Roman"/>
          <w:i/>
          <w:szCs w:val="24"/>
        </w:rPr>
        <w:t xml:space="preserve">enterprise risk management </w:t>
      </w:r>
      <w:r>
        <w:rPr>
          <w:rFonts w:cs="Times New Roman" w:eastAsia="Times New Roman"/>
          <w:iCs/>
          <w:szCs w:val="24"/>
        </w:rPr>
        <w:t xml:space="preserve">tidak </w:t>
      </w:r>
      <w:r>
        <w:rPr>
          <w:rFonts w:cs="Times New Roman" w:eastAsia="Times New Roman"/>
          <w:iCs/>
          <w:szCs w:val="24"/>
        </w:rPr>
        <w:t xml:space="preserve">berpengaruh signifikan terhadap </w:t>
      </w:r>
      <w:r>
        <w:rPr>
          <w:rFonts w:cs="Times New Roman" w:eastAsia="Times New Roman"/>
          <w:i/>
          <w:szCs w:val="24"/>
        </w:rPr>
        <w:t>firm value.</w:t>
      </w:r>
      <w:r>
        <w:rPr>
          <w:rFonts w:cs="Times New Roman" w:eastAsia="Times New Roman"/>
          <w:iCs/>
          <w:szCs w:val="24"/>
        </w:rPr>
        <w:t xml:space="preserve"> Hal ini dikarenakan investor lebih memperhatikan informasi yang bersifat keuangan</w:t>
      </w:r>
      <w:r>
        <w:rPr>
          <w:rFonts w:cs="Times New Roman" w:eastAsia="Times New Roman"/>
          <w:iCs/>
          <w:szCs w:val="24"/>
        </w:rPr>
        <w:t>,</w:t>
      </w:r>
      <w:r>
        <w:rPr>
          <w:rFonts w:cs="Times New Roman" w:eastAsia="Times New Roman"/>
          <w:iCs/>
          <w:szCs w:val="24"/>
        </w:rPr>
        <w:t xml:space="preserve"> </w:t>
      </w:r>
      <w:r>
        <w:rPr>
          <w:rFonts w:cs="Times New Roman" w:eastAsia="Times New Roman"/>
          <w:iCs/>
          <w:szCs w:val="24"/>
        </w:rPr>
        <w:t>seperti aktivitas operasional atau</w:t>
      </w:r>
      <w:r>
        <w:rPr>
          <w:rFonts w:cs="Times New Roman" w:eastAsia="Times New Roman"/>
          <w:iCs/>
          <w:szCs w:val="24"/>
        </w:rPr>
        <w:t xml:space="preserve"> dalam bentuk rasio keuangan daripada informasi terkait penjelasan seperti pen</w:t>
      </w:r>
      <w:r>
        <w:rPr>
          <w:rFonts w:cs="Times New Roman" w:eastAsia="Times New Roman"/>
          <w:iCs/>
          <w:szCs w:val="24"/>
        </w:rPr>
        <w:t>erapan</w:t>
      </w:r>
      <w:r>
        <w:rPr>
          <w:rFonts w:cs="Times New Roman" w:eastAsia="Times New Roman"/>
          <w:iCs/>
          <w:szCs w:val="24"/>
        </w:rPr>
        <w:t xml:space="preserve"> </w:t>
      </w:r>
      <w:r>
        <w:rPr>
          <w:rFonts w:cs="Times New Roman" w:eastAsia="Times New Roman"/>
          <w:i/>
          <w:szCs w:val="24"/>
        </w:rPr>
        <w:t>enterprise risk management</w:t>
      </w:r>
      <w:r>
        <w:rPr>
          <w:rFonts w:cs="Times New Roman" w:eastAsia="Times New Roman"/>
          <w:iCs/>
          <w:szCs w:val="24"/>
        </w:rPr>
        <w:t xml:space="preserve">. </w:t>
      </w:r>
    </w:p>
    <w:p>
      <w:pPr>
        <w:pStyle w:val="style0"/>
        <w:spacing w:after="0" w:lineRule="auto" w:line="480"/>
        <w:ind w:firstLine="630"/>
        <w:jc w:val="both"/>
        <w:rPr>
          <w:rFonts w:cs="Times New Roman"/>
          <w:i/>
          <w:iCs/>
          <w:szCs w:val="24"/>
        </w:rPr>
      </w:pPr>
      <w:r>
        <w:rPr>
          <w:rFonts w:cs="Times New Roman"/>
          <w:szCs w:val="24"/>
        </w:rPr>
        <w:tab/>
      </w:r>
      <w:r>
        <w:rPr>
          <w:rFonts w:cs="Times New Roman"/>
          <w:szCs w:val="24"/>
        </w:rPr>
        <w:t xml:space="preserve">Laporan keuangan dapat berisi pengungkapan </w:t>
      </w:r>
      <w:r>
        <w:rPr>
          <w:rFonts w:cs="Times New Roman"/>
          <w:i/>
          <w:iCs/>
          <w:szCs w:val="24"/>
        </w:rPr>
        <w:t>managerial ownership</w:t>
      </w:r>
      <w:r>
        <w:rPr>
          <w:rFonts w:cs="Times New Roman"/>
          <w:color w:val="000000"/>
          <w:szCs w:val="24"/>
        </w:rPr>
        <w:t xml:space="preserve"> </w:t>
      </w:r>
      <w:r>
        <w:rPr>
          <w:rFonts w:cs="Times New Roman"/>
          <w:color w:val="000000"/>
          <w:szCs w:val="24"/>
        </w:rPr>
        <w:t xml:space="preserve">dan </w:t>
      </w:r>
      <w:r>
        <w:rPr>
          <w:rFonts w:cs="Times New Roman"/>
          <w:i/>
          <w:iCs/>
          <w:color w:val="000000"/>
          <w:szCs w:val="24"/>
        </w:rPr>
        <w:t>institutional ownership</w:t>
      </w:r>
      <w:r>
        <w:rPr>
          <w:rFonts w:cs="Times New Roman"/>
          <w:i/>
          <w:iCs/>
          <w:szCs w:val="24"/>
        </w:rPr>
        <w:t>. Managerial ownership</w:t>
      </w:r>
      <w:r>
        <w:rPr>
          <w:rFonts w:cs="Times New Roman"/>
          <w:szCs w:val="24"/>
        </w:rPr>
        <w:t xml:space="preserve"> merupakan pihak yang mengambil keputusan agar perusahaan memiliki peluang untuk meningkatkan kinerja sehingga tetap menjaga kepercayaan investor </w:t>
      </w:r>
      <w:r>
        <w:rPr>
          <w:rFonts w:cs="Times New Roman"/>
          <w:color w:val="000000"/>
          <w:szCs w:val="24"/>
        </w:rPr>
        <w:t xml:space="preserve">(Malik </w:t>
      </w:r>
      <w:r>
        <w:rPr>
          <w:rFonts w:cs="Times New Roman"/>
          <w:i/>
          <w:iCs/>
          <w:color w:val="000000"/>
          <w:szCs w:val="24"/>
        </w:rPr>
        <w:t>et al</w:t>
      </w:r>
      <w:r>
        <w:rPr>
          <w:rFonts w:cs="Times New Roman"/>
          <w:color w:val="000000"/>
          <w:szCs w:val="24"/>
        </w:rPr>
        <w:t>., 2024)</w:t>
      </w:r>
      <w:r>
        <w:rPr>
          <w:rFonts w:cs="Times New Roman"/>
          <w:szCs w:val="24"/>
        </w:rPr>
        <w:t>.</w:t>
      </w:r>
      <w:r>
        <w:rPr>
          <w:rFonts w:cs="Times New Roman"/>
          <w:color w:val="000000"/>
          <w:szCs w:val="24"/>
        </w:rPr>
        <w:t xml:space="preserve"> </w:t>
      </w:r>
      <w:r>
        <w:rPr>
          <w:rFonts w:cs="Times New Roman" w:eastAsia="Times New Roman"/>
          <w:iCs/>
          <w:szCs w:val="24"/>
        </w:rPr>
        <w:t>Otoritas Jasa Keuangan (OJK) mengeluarkan peraturan</w:t>
      </w:r>
      <w:r>
        <w:rPr>
          <w:rFonts w:cs="Times New Roman"/>
          <w:color w:val="000000"/>
          <w:szCs w:val="24"/>
        </w:rPr>
        <w:t xml:space="preserve"> nomor 4 tahun 2024 terkait laporan kepemilikan saham perusahaan. </w:t>
      </w:r>
      <w:r>
        <w:rPr>
          <w:rFonts w:cs="Times New Roman"/>
          <w:color w:val="000000"/>
          <w:szCs w:val="24"/>
        </w:rPr>
        <w:t>Peraturan ini mengatur agar</w:t>
      </w:r>
      <w:r>
        <w:rPr>
          <w:rFonts w:cs="Times New Roman"/>
          <w:color w:val="000000"/>
          <w:szCs w:val="24"/>
        </w:rPr>
        <w:t xml:space="preserve"> memiliki sifat </w:t>
      </w:r>
      <w:r>
        <w:rPr>
          <w:rFonts w:cs="Times New Roman"/>
          <w:color w:val="000000"/>
          <w:szCs w:val="24"/>
        </w:rPr>
        <w:t xml:space="preserve">transparansi </w:t>
      </w:r>
      <w:r>
        <w:rPr>
          <w:rFonts w:cs="Times New Roman"/>
          <w:color w:val="000000"/>
          <w:szCs w:val="24"/>
        </w:rPr>
        <w:t>sehingga diterapkannya</w:t>
      </w:r>
      <w:r>
        <w:rPr>
          <w:rFonts w:cs="Times New Roman"/>
          <w:color w:val="000000"/>
          <w:szCs w:val="24"/>
        </w:rPr>
        <w:t xml:space="preserve"> sanksi jika tidak mengungkapkan kepemilikan saham </w:t>
      </w:r>
      <w:r>
        <w:rPr>
          <w:rFonts w:cs="Times New Roman"/>
          <w:color w:val="000000"/>
          <w:szCs w:val="24"/>
        </w:rPr>
        <w:t xml:space="preserve">dan perubahan </w:t>
      </w:r>
      <w:r>
        <w:rPr>
          <w:rFonts w:cs="Times New Roman"/>
          <w:color w:val="000000"/>
          <w:szCs w:val="24"/>
        </w:rPr>
        <w:t xml:space="preserve">tersebut </w:t>
      </w:r>
      <w:r>
        <w:rPr>
          <w:rFonts w:cs="Times New Roman"/>
          <w:color w:val="000000"/>
          <w:szCs w:val="24"/>
        </w:rPr>
        <w:t xml:space="preserve">dari </w:t>
      </w:r>
      <w:r>
        <w:rPr>
          <w:rFonts w:cs="Times New Roman"/>
          <w:color w:val="000000"/>
          <w:szCs w:val="24"/>
        </w:rPr>
        <w:t>peringatan tertulis</w:t>
      </w:r>
      <w:r>
        <w:rPr>
          <w:rFonts w:cs="Times New Roman"/>
          <w:color w:val="000000"/>
          <w:szCs w:val="24"/>
        </w:rPr>
        <w:t xml:space="preserve"> hingga</w:t>
      </w:r>
      <w:r>
        <w:rPr>
          <w:rFonts w:cs="Times New Roman"/>
          <w:color w:val="000000"/>
          <w:szCs w:val="24"/>
        </w:rPr>
        <w:t xml:space="preserve"> pembatalan usaha.</w:t>
      </w:r>
      <w:r>
        <w:rPr>
          <w:rFonts w:cs="Times New Roman"/>
          <w:color w:val="000000"/>
          <w:szCs w:val="24"/>
        </w:rPr>
        <w:t xml:space="preserve"> </w:t>
      </w:r>
      <w:r>
        <w:rPr>
          <w:rFonts w:cs="Times New Roman"/>
          <w:color w:val="000000"/>
          <w:szCs w:val="24"/>
        </w:rPr>
        <w:t xml:space="preserve">Perusahaan memerlukan </w:t>
      </w:r>
      <w:r>
        <w:rPr>
          <w:rFonts w:cs="Times New Roman"/>
          <w:i/>
          <w:iCs/>
          <w:szCs w:val="24"/>
        </w:rPr>
        <w:t xml:space="preserve">managerial ownership </w:t>
      </w:r>
      <w:r>
        <w:rPr>
          <w:rFonts w:cs="Times New Roman"/>
          <w:szCs w:val="24"/>
        </w:rPr>
        <w:t>agar dapat</w:t>
      </w:r>
      <w:r>
        <w:rPr>
          <w:rFonts w:cs="Times New Roman"/>
          <w:i/>
          <w:iCs/>
          <w:szCs w:val="24"/>
        </w:rPr>
        <w:t xml:space="preserve"> </w:t>
      </w:r>
      <w:r>
        <w:rPr>
          <w:rFonts w:cs="Times New Roman"/>
          <w:szCs w:val="24"/>
        </w:rPr>
        <w:t xml:space="preserve">memantau secara langsung kinerja perusahaan (pengawasan internal) </w:t>
      </w:r>
      <w:r>
        <w:rPr>
          <w:rFonts w:cs="Times New Roman"/>
          <w:szCs w:val="24"/>
        </w:rPr>
        <w:t xml:space="preserve">dan </w:t>
      </w:r>
      <w:r>
        <w:rPr>
          <w:rFonts w:cs="Times New Roman"/>
          <w:i/>
          <w:iCs/>
          <w:szCs w:val="24"/>
        </w:rPr>
        <w:t xml:space="preserve">institutional ownership </w:t>
      </w:r>
      <w:r>
        <w:rPr>
          <w:rFonts w:cs="Times New Roman"/>
          <w:szCs w:val="24"/>
        </w:rPr>
        <w:t xml:space="preserve">(pengawasan eksternal) untuk mengontrol kinerja manajer </w:t>
      </w:r>
      <w:r>
        <w:rPr>
          <w:rFonts w:cs="Times New Roman"/>
          <w:szCs w:val="24"/>
        </w:rPr>
        <w:t>sehingga mengurangi</w:t>
      </w:r>
      <w:r>
        <w:rPr>
          <w:rFonts w:cs="Times New Roman"/>
          <w:szCs w:val="24"/>
        </w:rPr>
        <w:t xml:space="preserve"> </w:t>
      </w:r>
      <w:r>
        <w:rPr>
          <w:rFonts w:cs="Times New Roman"/>
          <w:szCs w:val="24"/>
        </w:rPr>
        <w:t xml:space="preserve">konflik yang terjadi pada </w:t>
      </w:r>
      <w:r>
        <w:rPr>
          <w:rFonts w:cs="Times New Roman"/>
          <w:i/>
          <w:iCs/>
          <w:szCs w:val="24"/>
        </w:rPr>
        <w:t xml:space="preserve">agency theory </w:t>
      </w:r>
      <w:r>
        <w:rPr>
          <w:rFonts w:cs="Times New Roman" w:eastAsia="Times New Roman"/>
          <w:color w:val="000000"/>
        </w:rPr>
        <w:t>(Yusmir &amp; Mulyani, 2024)</w:t>
      </w:r>
      <w:r>
        <w:rPr>
          <w:rFonts w:cs="Times New Roman"/>
          <w:szCs w:val="24"/>
        </w:rPr>
        <w:t>.</w:t>
      </w:r>
      <w:r>
        <w:rPr>
          <w:rFonts w:cs="Times New Roman"/>
          <w:i/>
          <w:iCs/>
          <w:szCs w:val="24"/>
        </w:rPr>
        <w:t xml:space="preserve"> </w:t>
      </w:r>
    </w:p>
    <w:p>
      <w:pPr>
        <w:pStyle w:val="style0"/>
        <w:spacing w:after="0" w:lineRule="auto" w:line="480"/>
        <w:ind w:firstLine="630"/>
        <w:jc w:val="both"/>
        <w:rPr>
          <w:rFonts w:cs="Times New Roman"/>
          <w:i/>
          <w:iCs/>
          <w:szCs w:val="24"/>
        </w:rPr>
      </w:pPr>
      <w:r>
        <w:rPr>
          <w:rFonts w:cs="Times New Roman"/>
          <w:i/>
          <w:iCs/>
          <w:szCs w:val="24"/>
        </w:rPr>
        <w:t>Managerial</w:t>
      </w:r>
      <w:r>
        <w:rPr>
          <w:rFonts w:cs="Times New Roman"/>
          <w:i/>
          <w:iCs/>
          <w:szCs w:val="24"/>
        </w:rPr>
        <w:t xml:space="preserve"> </w:t>
      </w:r>
      <w:r>
        <w:rPr>
          <w:rFonts w:cs="Times New Roman"/>
          <w:i/>
          <w:iCs/>
          <w:szCs w:val="24"/>
        </w:rPr>
        <w:t>ownership</w:t>
      </w:r>
      <w:r>
        <w:rPr>
          <w:rFonts w:cs="Times New Roman"/>
          <w:i/>
          <w:iCs/>
          <w:szCs w:val="24"/>
        </w:rPr>
        <w:t xml:space="preserve"> </w:t>
      </w:r>
      <w:r>
        <w:rPr>
          <w:rFonts w:cs="Times New Roman"/>
          <w:szCs w:val="24"/>
        </w:rPr>
        <w:t xml:space="preserve">merupakan salah satu strategi perusahaan karena manajer yang memegang kendali dalam penerapan </w:t>
      </w:r>
      <w:r>
        <w:rPr>
          <w:rFonts w:cs="Times New Roman"/>
          <w:i/>
          <w:iCs/>
          <w:szCs w:val="24"/>
        </w:rPr>
        <w:t xml:space="preserve">enterprise risk management </w:t>
      </w:r>
      <w:r>
        <w:rPr>
          <w:rFonts w:cs="Times New Roman"/>
          <w:szCs w:val="24"/>
        </w:rPr>
        <w:t>demi keberlangsungan perusahaan.</w:t>
      </w:r>
      <w:r>
        <w:rPr>
          <w:rFonts w:cs="Times New Roman"/>
          <w:i/>
          <w:iCs/>
          <w:szCs w:val="24"/>
        </w:rPr>
        <w:t xml:space="preserve"> </w:t>
      </w:r>
      <w:r>
        <w:rPr>
          <w:rFonts w:cs="Times New Roman" w:eastAsia="Times New Roman"/>
          <w:iCs/>
          <w:szCs w:val="24"/>
        </w:rPr>
        <w:t>P</w:t>
      </w:r>
      <w:r>
        <w:rPr>
          <w:rFonts w:cs="Times New Roman" w:eastAsia="Times New Roman"/>
          <w:iCs/>
          <w:szCs w:val="24"/>
        </w:rPr>
        <w:t>enelitian yang dilakukan oleh</w:t>
      </w:r>
      <w:r>
        <w:rPr>
          <w:rFonts w:cs="Times New Roman" w:eastAsia="Times New Roman"/>
          <w:iCs/>
          <w:szCs w:val="24"/>
        </w:rPr>
        <w:t xml:space="preserve"> </w:t>
      </w:r>
      <w:r>
        <w:rPr>
          <w:rFonts w:cs="Times New Roman" w:eastAsia="Times New Roman"/>
          <w:color w:val="000000"/>
        </w:rPr>
        <w:t xml:space="preserve">D. M. Sari &amp; Wulandari (2021), Fauziah </w:t>
      </w:r>
      <w:r>
        <w:rPr>
          <w:rFonts w:cs="Times New Roman" w:eastAsia="Times New Roman"/>
          <w:i/>
          <w:iCs/>
          <w:color w:val="000000"/>
        </w:rPr>
        <w:t>et al</w:t>
      </w:r>
      <w:r>
        <w:rPr>
          <w:rFonts w:cs="Times New Roman" w:eastAsia="Times New Roman"/>
          <w:color w:val="000000"/>
        </w:rPr>
        <w:t xml:space="preserve">. (2022), dan Malik </w:t>
      </w:r>
      <w:r>
        <w:rPr>
          <w:rFonts w:cs="Times New Roman" w:eastAsia="Times New Roman"/>
          <w:i/>
          <w:iCs/>
          <w:color w:val="000000"/>
        </w:rPr>
        <w:t>et al</w:t>
      </w:r>
      <w:r>
        <w:rPr>
          <w:rFonts w:cs="Times New Roman" w:eastAsia="Times New Roman"/>
          <w:color w:val="000000"/>
        </w:rPr>
        <w:t>. (2024)</w:t>
      </w:r>
      <w:r>
        <w:rPr>
          <w:rFonts w:eastAsia="Times New Roman"/>
          <w:color w:val="000000"/>
        </w:rPr>
        <w:t xml:space="preserve"> </w:t>
      </w:r>
      <w:r>
        <w:rPr>
          <w:rFonts w:cs="Times New Roman" w:eastAsia="Times New Roman"/>
          <w:iCs/>
          <w:szCs w:val="24"/>
        </w:rPr>
        <w:t>menyatak</w:t>
      </w:r>
      <w:r>
        <w:rPr>
          <w:rFonts w:cs="Times New Roman" w:eastAsia="Times New Roman"/>
          <w:iCs/>
          <w:szCs w:val="24"/>
        </w:rPr>
        <w:t>an</w:t>
      </w:r>
      <w:r>
        <w:rPr>
          <w:rFonts w:cs="Times New Roman" w:eastAsia="Times New Roman"/>
          <w:iCs/>
          <w:szCs w:val="24"/>
        </w:rPr>
        <w:t xml:space="preserve"> </w:t>
      </w:r>
      <w:r>
        <w:rPr>
          <w:rFonts w:cs="Times New Roman" w:eastAsia="Times New Roman"/>
          <w:iCs/>
          <w:szCs w:val="24"/>
        </w:rPr>
        <w:t xml:space="preserve">bahwa </w:t>
      </w:r>
      <w:r>
        <w:rPr>
          <w:rFonts w:cs="Times New Roman" w:eastAsia="Times New Roman"/>
          <w:i/>
          <w:szCs w:val="24"/>
        </w:rPr>
        <w:t xml:space="preserve">managerial ownership </w:t>
      </w:r>
      <w:r>
        <w:rPr>
          <w:rFonts w:cs="Times New Roman" w:eastAsia="Times New Roman"/>
          <w:iCs/>
          <w:szCs w:val="24"/>
        </w:rPr>
        <w:t xml:space="preserve">berpengaruh signifikan positif </w:t>
      </w:r>
      <w:r>
        <w:rPr>
          <w:rFonts w:cs="Times New Roman" w:eastAsia="Times New Roman"/>
          <w:iCs/>
          <w:szCs w:val="24"/>
        </w:rPr>
        <w:t xml:space="preserve">terhadap </w:t>
      </w:r>
      <w:r>
        <w:rPr>
          <w:rFonts w:cs="Times New Roman" w:eastAsia="Times New Roman"/>
          <w:i/>
          <w:szCs w:val="24"/>
        </w:rPr>
        <w:t>firm value</w:t>
      </w:r>
      <w:r>
        <w:rPr>
          <w:rFonts w:cs="Times New Roman" w:eastAsia="Times New Roman"/>
          <w:i/>
          <w:szCs w:val="24"/>
        </w:rPr>
        <w:t xml:space="preserve">. </w:t>
      </w:r>
      <w:r>
        <w:rPr>
          <w:rFonts w:cs="Times New Roman" w:eastAsia="Times New Roman"/>
          <w:iCs/>
          <w:szCs w:val="24"/>
        </w:rPr>
        <w:t xml:space="preserve">Hal ini dikarenakan </w:t>
      </w:r>
      <w:r>
        <w:rPr>
          <w:rFonts w:cs="Times New Roman" w:eastAsia="Times New Roman"/>
          <w:iCs/>
          <w:szCs w:val="24"/>
        </w:rPr>
        <w:t xml:space="preserve">semakin besar </w:t>
      </w:r>
      <w:r>
        <w:rPr>
          <w:rFonts w:cs="Times New Roman"/>
          <w:i/>
          <w:iCs/>
          <w:szCs w:val="24"/>
        </w:rPr>
        <w:t>managerial ownership</w:t>
      </w:r>
      <w:r>
        <w:rPr>
          <w:rFonts w:cs="Times New Roman"/>
          <w:i/>
          <w:iCs/>
          <w:szCs w:val="24"/>
        </w:rPr>
        <w:t>,</w:t>
      </w:r>
      <w:r>
        <w:rPr>
          <w:rFonts w:cs="Times New Roman"/>
          <w:i/>
          <w:iCs/>
          <w:szCs w:val="24"/>
        </w:rPr>
        <w:t xml:space="preserve"> </w:t>
      </w:r>
      <w:r>
        <w:rPr>
          <w:rFonts w:cs="Times New Roman" w:eastAsia="Times New Roman"/>
          <w:iCs/>
          <w:szCs w:val="24"/>
        </w:rPr>
        <w:t>maka</w:t>
      </w:r>
      <w:r>
        <w:rPr>
          <w:rFonts w:cs="Times New Roman" w:eastAsia="Times New Roman"/>
          <w:iCs/>
          <w:szCs w:val="24"/>
        </w:rPr>
        <w:t xml:space="preserve"> perusahaan</w:t>
      </w:r>
      <w:r>
        <w:rPr>
          <w:rFonts w:cs="Times New Roman" w:eastAsia="Times New Roman"/>
          <w:iCs/>
          <w:szCs w:val="24"/>
        </w:rPr>
        <w:t xml:space="preserve"> </w:t>
      </w:r>
      <w:r>
        <w:rPr>
          <w:rFonts w:cs="Times New Roman" w:eastAsia="Times New Roman"/>
          <w:iCs/>
          <w:szCs w:val="24"/>
        </w:rPr>
        <w:t xml:space="preserve">dapat </w:t>
      </w:r>
      <w:r>
        <w:rPr>
          <w:rFonts w:cs="Times New Roman" w:eastAsia="Times New Roman"/>
          <w:iCs/>
          <w:szCs w:val="24"/>
        </w:rPr>
        <w:t>men</w:t>
      </w:r>
      <w:r>
        <w:rPr>
          <w:rFonts w:cs="Times New Roman" w:eastAsia="Times New Roman"/>
          <w:iCs/>
          <w:szCs w:val="24"/>
        </w:rPr>
        <w:t>ingkatkan</w:t>
      </w:r>
      <w:r>
        <w:rPr>
          <w:rFonts w:cs="Times New Roman" w:eastAsia="Times New Roman"/>
          <w:iCs/>
          <w:szCs w:val="24"/>
        </w:rPr>
        <w:t xml:space="preserve"> kinerja</w:t>
      </w:r>
      <w:r>
        <w:rPr>
          <w:rFonts w:cs="Times New Roman" w:eastAsia="Times New Roman"/>
          <w:iCs/>
          <w:szCs w:val="24"/>
        </w:rPr>
        <w:t xml:space="preserve">nya </w:t>
      </w:r>
      <w:r>
        <w:rPr>
          <w:rFonts w:cs="Times New Roman" w:eastAsia="Times New Roman"/>
          <w:iCs/>
          <w:szCs w:val="24"/>
        </w:rPr>
        <w:t xml:space="preserve">sehingga memberikan kepercayaan kepada pemegang </w:t>
      </w:r>
      <w:r>
        <w:rPr>
          <w:rFonts w:cs="Times New Roman" w:eastAsia="Times New Roman"/>
          <w:iCs/>
          <w:szCs w:val="24"/>
        </w:rPr>
        <w:t>saham</w:t>
      </w:r>
      <w:r>
        <w:rPr>
          <w:rFonts w:cs="Times New Roman" w:eastAsia="Times New Roman"/>
          <w:iCs/>
          <w:szCs w:val="24"/>
        </w:rPr>
        <w:t xml:space="preserve">. </w:t>
      </w:r>
      <w:r>
        <w:rPr>
          <w:rFonts w:cs="Times New Roman" w:eastAsia="Times New Roman"/>
          <w:iCs/>
          <w:szCs w:val="24"/>
        </w:rPr>
        <w:t>Dari pernyataan tersebut, t</w:t>
      </w:r>
      <w:r>
        <w:rPr>
          <w:rFonts w:cs="Times New Roman" w:eastAsia="Times New Roman"/>
          <w:iCs/>
          <w:szCs w:val="24"/>
        </w:rPr>
        <w:t>erdapat perbedaan pen</w:t>
      </w:r>
      <w:r>
        <w:rPr>
          <w:rFonts w:cs="Times New Roman" w:eastAsia="Times New Roman"/>
          <w:iCs/>
          <w:szCs w:val="24"/>
        </w:rPr>
        <w:t>dapat</w:t>
      </w:r>
      <w:r>
        <w:rPr>
          <w:rFonts w:cs="Times New Roman" w:eastAsia="Times New Roman"/>
          <w:iCs/>
          <w:szCs w:val="24"/>
        </w:rPr>
        <w:t xml:space="preserve"> pada </w:t>
      </w:r>
      <w:r>
        <w:rPr>
          <w:rFonts w:cs="Times New Roman" w:eastAsia="Times New Roman"/>
          <w:color w:val="000000"/>
        </w:rPr>
        <w:t xml:space="preserve">Ayem &amp; Seldis (2023), Edhitya CP &amp; Suzan (2023), Gustriadhi Nugroho &amp; Muid (2024), dan Ismanto </w:t>
      </w:r>
      <w:r>
        <w:rPr>
          <w:rFonts w:cs="Times New Roman" w:eastAsia="Times New Roman"/>
          <w:i/>
          <w:iCs/>
          <w:color w:val="000000"/>
        </w:rPr>
        <w:t>et al</w:t>
      </w:r>
      <w:r>
        <w:rPr>
          <w:rFonts w:cs="Times New Roman" w:eastAsia="Times New Roman"/>
          <w:color w:val="000000"/>
        </w:rPr>
        <w:t>. (2023)</w:t>
      </w:r>
      <w:r>
        <w:rPr>
          <w:rFonts w:cs="Times New Roman" w:eastAsia="Times New Roman"/>
          <w:iCs/>
          <w:color w:val="000000"/>
          <w:szCs w:val="24"/>
        </w:rPr>
        <w:t xml:space="preserve"> </w:t>
      </w:r>
      <w:r>
        <w:rPr>
          <w:rFonts w:cs="Times New Roman" w:eastAsia="Times New Roman"/>
          <w:iCs/>
          <w:color w:val="000000"/>
          <w:szCs w:val="24"/>
        </w:rPr>
        <w:t xml:space="preserve">yang </w:t>
      </w:r>
      <w:r>
        <w:rPr>
          <w:rFonts w:cs="Times New Roman" w:eastAsia="Times New Roman"/>
          <w:iCs/>
          <w:color w:val="000000"/>
          <w:szCs w:val="24"/>
        </w:rPr>
        <w:t>menyatakan</w:t>
      </w:r>
      <w:r>
        <w:rPr>
          <w:rFonts w:cs="Times New Roman" w:eastAsia="Times New Roman"/>
          <w:iCs/>
          <w:color w:val="000000"/>
          <w:szCs w:val="24"/>
        </w:rPr>
        <w:t xml:space="preserve"> bahwa</w:t>
      </w:r>
      <w:r>
        <w:rPr>
          <w:rFonts w:cs="Times New Roman" w:eastAsia="Times New Roman"/>
          <w:iCs/>
          <w:color w:val="000000"/>
          <w:szCs w:val="24"/>
        </w:rPr>
        <w:t xml:space="preserve"> </w:t>
      </w:r>
      <w:r>
        <w:rPr>
          <w:rFonts w:cs="Times New Roman" w:eastAsia="Times New Roman"/>
          <w:i/>
          <w:szCs w:val="24"/>
        </w:rPr>
        <w:t xml:space="preserve">managerial ownership </w:t>
      </w:r>
      <w:r>
        <w:rPr>
          <w:rFonts w:cs="Times New Roman" w:eastAsia="Times New Roman"/>
          <w:iCs/>
          <w:szCs w:val="24"/>
        </w:rPr>
        <w:t xml:space="preserve">tidak berpengaruh </w:t>
      </w:r>
      <w:r>
        <w:rPr>
          <w:rFonts w:cs="Times New Roman" w:eastAsia="Times New Roman"/>
          <w:iCs/>
          <w:szCs w:val="24"/>
        </w:rPr>
        <w:t xml:space="preserve">signifikan </w:t>
      </w:r>
      <w:r>
        <w:rPr>
          <w:rFonts w:cs="Times New Roman" w:eastAsia="Times New Roman"/>
          <w:iCs/>
          <w:szCs w:val="24"/>
        </w:rPr>
        <w:t xml:space="preserve">terhadap </w:t>
      </w:r>
      <w:r>
        <w:rPr>
          <w:rFonts w:cs="Times New Roman" w:eastAsia="Times New Roman"/>
          <w:i/>
          <w:szCs w:val="24"/>
        </w:rPr>
        <w:t>firm value</w:t>
      </w:r>
      <w:r>
        <w:rPr>
          <w:rFonts w:cs="Times New Roman" w:eastAsia="Times New Roman"/>
          <w:i/>
          <w:szCs w:val="24"/>
        </w:rPr>
        <w:t xml:space="preserve">. </w:t>
      </w:r>
      <w:r>
        <w:rPr>
          <w:rFonts w:cs="Times New Roman" w:eastAsia="Times New Roman"/>
          <w:iCs/>
          <w:szCs w:val="24"/>
        </w:rPr>
        <w:t>Hal ini dikarenakan kurangnya kendali yang didapatkan</w:t>
      </w:r>
      <w:r>
        <w:rPr>
          <w:rFonts w:cs="Times New Roman" w:eastAsia="Times New Roman"/>
          <w:iCs/>
          <w:szCs w:val="24"/>
        </w:rPr>
        <w:t xml:space="preserve"> manajer</w:t>
      </w:r>
      <w:r>
        <w:rPr>
          <w:rFonts w:cs="Times New Roman" w:eastAsia="Times New Roman"/>
          <w:iCs/>
          <w:szCs w:val="24"/>
        </w:rPr>
        <w:t xml:space="preserve"> atas perusahaan</w:t>
      </w:r>
      <w:r>
        <w:rPr>
          <w:rFonts w:cs="Times New Roman" w:eastAsia="Times New Roman"/>
          <w:iCs/>
          <w:szCs w:val="24"/>
        </w:rPr>
        <w:t xml:space="preserve"> karena sebagian besar dikendalikan oleh pemegang saham. Rendahnya jumlah </w:t>
      </w:r>
      <w:r>
        <w:rPr>
          <w:rFonts w:cs="Times New Roman"/>
          <w:i/>
          <w:iCs/>
          <w:szCs w:val="24"/>
        </w:rPr>
        <w:t xml:space="preserve">managerial ownership </w:t>
      </w:r>
      <w:r>
        <w:rPr>
          <w:rFonts w:cs="Times New Roman"/>
          <w:szCs w:val="24"/>
        </w:rPr>
        <w:t>menyebabkan manajer tidak dapat mengambil keputusan dengan cepat dari risiko yang dihadapi</w:t>
      </w:r>
      <w:r>
        <w:rPr>
          <w:rFonts w:cs="Times New Roman" w:eastAsia="Times New Roman"/>
          <w:iCs/>
          <w:szCs w:val="24"/>
        </w:rPr>
        <w:t xml:space="preserve">. </w:t>
      </w:r>
    </w:p>
    <w:p>
      <w:pPr>
        <w:pStyle w:val="style0"/>
        <w:spacing w:after="0" w:lineRule="auto" w:line="480"/>
        <w:ind w:firstLine="630"/>
        <w:jc w:val="both"/>
        <w:rPr>
          <w:rFonts w:cs="Times New Roman"/>
        </w:rPr>
      </w:pPr>
      <w:r>
        <w:rPr>
          <w:rFonts w:cs="Times New Roman"/>
          <w:i/>
          <w:iCs/>
        </w:rPr>
        <w:t xml:space="preserve">Institutional ownership </w:t>
      </w:r>
      <w:r>
        <w:rPr>
          <w:rFonts w:cs="Times New Roman"/>
        </w:rPr>
        <w:t xml:space="preserve">adalah kepemilikan saham oleh lembaga atau institusi nonbank yang cukup berpengaruh daripada investor biasa sehingga memiliki peran untuk memonitor perusahaan </w:t>
      </w:r>
      <w:r>
        <w:rPr>
          <w:rFonts w:cs="Times New Roman" w:eastAsia="Times New Roman"/>
          <w:color w:val="000000"/>
        </w:rPr>
        <w:t xml:space="preserve">(Yuwono &amp; Aurelia, 2021; Azzahra </w:t>
      </w:r>
      <w:r>
        <w:rPr>
          <w:rFonts w:cs="Times New Roman" w:eastAsia="Times New Roman"/>
          <w:i/>
          <w:iCs/>
          <w:color w:val="000000"/>
        </w:rPr>
        <w:t>et al</w:t>
      </w:r>
      <w:r>
        <w:rPr>
          <w:rFonts w:cs="Times New Roman" w:eastAsia="Times New Roman"/>
          <w:color w:val="000000"/>
        </w:rPr>
        <w:t xml:space="preserve">., 2022; Malik </w:t>
      </w:r>
      <w:r>
        <w:rPr>
          <w:rFonts w:cs="Times New Roman" w:eastAsia="Times New Roman"/>
          <w:i/>
          <w:iCs/>
          <w:color w:val="000000"/>
        </w:rPr>
        <w:t>et al</w:t>
      </w:r>
      <w:r>
        <w:rPr>
          <w:rFonts w:cs="Times New Roman" w:eastAsia="Times New Roman"/>
          <w:color w:val="000000"/>
        </w:rPr>
        <w:t>., 2024; Michelle &amp; Zubaidi, 2024)</w:t>
      </w:r>
      <w:r>
        <w:rPr>
          <w:rFonts w:cs="Times New Roman"/>
        </w:rPr>
        <w:t xml:space="preserve">. Semakin besar </w:t>
      </w:r>
      <w:r>
        <w:rPr>
          <w:rFonts w:cs="Times New Roman"/>
          <w:i/>
          <w:iCs/>
        </w:rPr>
        <w:t>Institutional ownership</w:t>
      </w:r>
      <w:r>
        <w:rPr>
          <w:rFonts w:cs="Times New Roman"/>
        </w:rPr>
        <w:t xml:space="preserve">, maka akan meningkatkan pengawasan pada manajemen sehingga terciptanya penggunaan aset yang efektif dan menghindari pemborosan. </w:t>
      </w:r>
    </w:p>
    <w:p>
      <w:pPr>
        <w:pStyle w:val="style0"/>
        <w:spacing w:after="0" w:lineRule="auto" w:line="480"/>
        <w:ind w:firstLine="630"/>
        <w:jc w:val="both"/>
        <w:rPr>
          <w:rFonts w:cs="Times New Roman"/>
          <w:szCs w:val="24"/>
        </w:rPr>
      </w:pPr>
      <w:r>
        <w:rPr>
          <w:rFonts w:cs="Times New Roman"/>
        </w:rPr>
        <w:t xml:space="preserve">Pengawasan yang dilakukan oleh pihak institusi atau lembaga juga dapat meningkatkan kinerja manajemen sehingga berdampak pada </w:t>
      </w:r>
      <w:r>
        <w:rPr>
          <w:rFonts w:cs="Times New Roman"/>
          <w:i/>
          <w:iCs/>
        </w:rPr>
        <w:t>firm value</w:t>
      </w:r>
      <w:r>
        <w:rPr>
          <w:rFonts w:cs="Times New Roman"/>
        </w:rPr>
        <w:t xml:space="preserve"> </w:t>
      </w:r>
      <w:r>
        <w:rPr>
          <w:rFonts w:cs="Times New Roman" w:eastAsia="Times New Roman"/>
          <w:color w:val="000000"/>
        </w:rPr>
        <w:t>(Wardoyo &amp; Fauziah, 2024)</w:t>
      </w:r>
      <w:r>
        <w:rPr>
          <w:rFonts w:cs="Times New Roman"/>
        </w:rPr>
        <w:t xml:space="preserve">.  </w:t>
      </w:r>
      <w:r>
        <w:rPr>
          <w:rFonts w:cs="Times New Roman" w:eastAsia="Times New Roman"/>
          <w:iCs/>
          <w:szCs w:val="24"/>
        </w:rPr>
        <w:t xml:space="preserve">Pernyataan ini sesuai dengan penelitian yang dilakukan oleh </w:t>
      </w:r>
      <w:r>
        <w:rPr>
          <w:rFonts w:cs="Times New Roman" w:eastAsia="Times New Roman"/>
          <w:color w:val="000000"/>
        </w:rPr>
        <w:t xml:space="preserve">Cristofel &amp; Kurniawati (2021), Yuwono &amp; Aurelia (2021), dan Malik </w:t>
      </w:r>
      <w:r>
        <w:rPr>
          <w:rFonts w:cs="Times New Roman" w:eastAsia="Times New Roman"/>
          <w:i/>
          <w:iCs/>
          <w:color w:val="000000"/>
        </w:rPr>
        <w:t>et al</w:t>
      </w:r>
      <w:r>
        <w:rPr>
          <w:rFonts w:cs="Times New Roman" w:eastAsia="Times New Roman"/>
          <w:color w:val="000000"/>
        </w:rPr>
        <w:t>. (2024)</w:t>
      </w:r>
      <w:r>
        <w:rPr>
          <w:rFonts w:cs="Times New Roman" w:eastAsia="Times New Roman"/>
          <w:iCs/>
          <w:szCs w:val="24"/>
        </w:rPr>
        <w:t xml:space="preserve"> </w:t>
      </w:r>
      <w:r>
        <w:rPr>
          <w:rFonts w:cs="Times New Roman" w:eastAsia="Times New Roman"/>
          <w:iCs/>
          <w:color w:val="000000"/>
          <w:szCs w:val="24"/>
        </w:rPr>
        <w:t xml:space="preserve">bahwa </w:t>
      </w:r>
      <w:r>
        <w:rPr>
          <w:rFonts w:cs="Times New Roman"/>
          <w:i/>
          <w:iCs/>
        </w:rPr>
        <w:t>institutional ownership</w:t>
      </w:r>
      <w:r>
        <w:rPr>
          <w:rFonts w:cs="Times New Roman" w:eastAsia="Times New Roman"/>
          <w:i/>
          <w:color w:val="000000"/>
          <w:szCs w:val="24"/>
        </w:rPr>
        <w:t xml:space="preserve"> </w:t>
      </w:r>
      <w:r>
        <w:rPr>
          <w:rFonts w:cs="Times New Roman" w:eastAsia="Times New Roman"/>
          <w:iCs/>
          <w:color w:val="000000"/>
          <w:szCs w:val="24"/>
        </w:rPr>
        <w:t xml:space="preserve">berpengaruh signifikan positif terhadap </w:t>
      </w:r>
      <w:r>
        <w:rPr>
          <w:rFonts w:cs="Times New Roman" w:eastAsia="Times New Roman"/>
          <w:i/>
          <w:color w:val="000000"/>
          <w:szCs w:val="24"/>
        </w:rPr>
        <w:t xml:space="preserve">firm value. </w:t>
      </w:r>
      <w:r>
        <w:rPr>
          <w:rFonts w:cs="Times New Roman" w:eastAsia="Times New Roman"/>
          <w:iCs/>
          <w:color w:val="000000"/>
          <w:szCs w:val="24"/>
        </w:rPr>
        <w:t xml:space="preserve">Hal ini dikarenakan semakin besar </w:t>
      </w:r>
      <w:r>
        <w:rPr>
          <w:rFonts w:cs="Times New Roman"/>
          <w:i/>
          <w:iCs/>
        </w:rPr>
        <w:t>institutional ownership</w:t>
      </w:r>
      <w:r>
        <w:rPr>
          <w:rFonts w:cs="Times New Roman"/>
        </w:rPr>
        <w:t>, maka akan memberikan fungsi pengawasan yang aktif bagi manajer sehingga dapat memaksimalkan kinerja dan menumbuhkan kepercayaan investor</w:t>
      </w:r>
      <w:r>
        <w:rPr>
          <w:rFonts w:cs="Times New Roman" w:eastAsia="Times New Roman"/>
          <w:iCs/>
          <w:color w:val="000000"/>
          <w:szCs w:val="24"/>
        </w:rPr>
        <w:t xml:space="preserve">. </w:t>
      </w:r>
      <w:r>
        <w:rPr>
          <w:rFonts w:cs="Times New Roman" w:eastAsia="Times New Roman"/>
          <w:iCs/>
          <w:szCs w:val="24"/>
        </w:rPr>
        <w:t xml:space="preserve">Dari pernyataan tersebut, terdapat perbedaan pendapat pada </w:t>
      </w:r>
      <w:r>
        <w:rPr>
          <w:rFonts w:cs="Times New Roman" w:eastAsia="Times New Roman"/>
          <w:color w:val="000000"/>
        </w:rPr>
        <w:t xml:space="preserve">D. M. Sari &amp; Wulandari (2021), Azzahra </w:t>
      </w:r>
      <w:r>
        <w:rPr>
          <w:rFonts w:cs="Times New Roman" w:eastAsia="Times New Roman"/>
          <w:i/>
          <w:iCs/>
          <w:color w:val="000000"/>
        </w:rPr>
        <w:t>et al</w:t>
      </w:r>
      <w:r>
        <w:rPr>
          <w:rFonts w:cs="Times New Roman" w:eastAsia="Times New Roman"/>
          <w:color w:val="000000"/>
        </w:rPr>
        <w:t>. (2022), dan Wardoyo &amp; Fauziah (2024)</w:t>
      </w:r>
      <w:r>
        <w:rPr>
          <w:rFonts w:cs="Times New Roman" w:eastAsia="Times New Roman"/>
          <w:iCs/>
          <w:color w:val="000000"/>
          <w:szCs w:val="24"/>
        </w:rPr>
        <w:t xml:space="preserve"> </w:t>
      </w:r>
      <w:r>
        <w:rPr>
          <w:rFonts w:cs="Times New Roman" w:eastAsia="Times New Roman"/>
          <w:iCs/>
          <w:color w:val="000000"/>
          <w:szCs w:val="24"/>
        </w:rPr>
        <w:t xml:space="preserve">yang menyatakan bahwa </w:t>
      </w:r>
      <w:r>
        <w:rPr>
          <w:rFonts w:cs="Times New Roman"/>
          <w:i/>
          <w:iCs/>
        </w:rPr>
        <w:t>institutional ownership</w:t>
      </w:r>
      <w:r>
        <w:rPr>
          <w:rFonts w:cs="Times New Roman" w:eastAsia="Times New Roman"/>
          <w:i/>
          <w:color w:val="000000"/>
          <w:szCs w:val="24"/>
        </w:rPr>
        <w:t xml:space="preserve"> </w:t>
      </w:r>
      <w:r>
        <w:rPr>
          <w:rFonts w:cs="Times New Roman" w:eastAsia="Times New Roman"/>
          <w:iCs/>
          <w:color w:val="000000"/>
          <w:szCs w:val="24"/>
        </w:rPr>
        <w:t xml:space="preserve">tidak berpengaruh signifikan terhadap </w:t>
      </w:r>
      <w:r>
        <w:rPr>
          <w:rFonts w:cs="Times New Roman" w:eastAsia="Times New Roman"/>
          <w:i/>
          <w:color w:val="000000"/>
          <w:szCs w:val="24"/>
        </w:rPr>
        <w:t>firm value</w:t>
      </w:r>
      <w:r>
        <w:rPr>
          <w:rFonts w:cs="Times New Roman" w:eastAsia="Times New Roman"/>
          <w:iCs/>
          <w:color w:val="000000"/>
          <w:szCs w:val="24"/>
        </w:rPr>
        <w:t>.</w:t>
      </w:r>
      <w:r>
        <w:rPr>
          <w:rFonts w:cs="Times New Roman"/>
          <w:szCs w:val="24"/>
        </w:rPr>
        <w:t xml:space="preserve"> </w:t>
      </w:r>
      <w:r>
        <w:rPr>
          <w:rFonts w:cs="Times New Roman" w:eastAsia="Times New Roman"/>
          <w:iCs/>
          <w:szCs w:val="24"/>
        </w:rPr>
        <w:t>K</w:t>
      </w:r>
      <w:r>
        <w:rPr>
          <w:rFonts w:cs="Times New Roman" w:eastAsia="Times New Roman"/>
          <w:iCs/>
          <w:szCs w:val="24"/>
        </w:rPr>
        <w:t xml:space="preserve">urangnya fungsi pengawasan yang didapatkan oleh instansi atau lembaga nonbank atas perusahaan </w:t>
      </w:r>
      <w:r>
        <w:rPr>
          <w:rFonts w:cs="Times New Roman" w:eastAsia="Times New Roman"/>
          <w:iCs/>
          <w:szCs w:val="24"/>
        </w:rPr>
        <w:t>karena menjadi pemegang saham minoritas</w:t>
      </w:r>
      <w:r>
        <w:rPr>
          <w:rFonts w:cs="Times New Roman"/>
          <w:szCs w:val="24"/>
        </w:rPr>
        <w:t>.</w:t>
      </w:r>
    </w:p>
    <w:p>
      <w:pPr>
        <w:pStyle w:val="style0"/>
        <w:tabs>
          <w:tab w:val="left" w:leader="none" w:pos="630"/>
        </w:tabs>
        <w:spacing w:after="0" w:lineRule="auto" w:line="480"/>
        <w:jc w:val="both"/>
        <w:rPr>
          <w:rFonts w:cs="Times New Roman"/>
          <w:szCs w:val="24"/>
        </w:rPr>
      </w:pPr>
      <w:r>
        <w:rPr>
          <w:rFonts w:cs="Times New Roman"/>
          <w:szCs w:val="24"/>
        </w:rPr>
        <w:tab/>
      </w:r>
      <w:r>
        <w:rPr>
          <w:rFonts w:cs="Times New Roman"/>
          <w:szCs w:val="24"/>
        </w:rPr>
        <w:tab/>
      </w:r>
      <w:r>
        <w:rPr>
          <w:rFonts w:cs="Times New Roman"/>
          <w:szCs w:val="24"/>
        </w:rPr>
        <w:t xml:space="preserve">Berdasarkan </w:t>
      </w:r>
      <w:r>
        <w:rPr>
          <w:rFonts w:cs="Times New Roman"/>
          <w:szCs w:val="24"/>
        </w:rPr>
        <w:t xml:space="preserve">beberapa penelitian terdahulu terdapat </w:t>
      </w:r>
      <w:r>
        <w:rPr>
          <w:rFonts w:cs="Times New Roman"/>
          <w:i/>
          <w:iCs/>
          <w:szCs w:val="24"/>
        </w:rPr>
        <w:t>reserch gap</w:t>
      </w:r>
      <w:r>
        <w:rPr>
          <w:rFonts w:cs="Times New Roman"/>
          <w:szCs w:val="24"/>
        </w:rPr>
        <w:t xml:space="preserve"> yang menunjukkan ketidakonsistenan hasil sehingga perlu</w:t>
      </w:r>
      <w:r>
        <w:rPr>
          <w:rFonts w:cs="Times New Roman"/>
          <w:szCs w:val="24"/>
        </w:rPr>
        <w:t xml:space="preserve"> dilakukan untuk menguji kembali </w:t>
      </w:r>
      <w:r>
        <w:rPr>
          <w:rFonts w:cs="Times New Roman"/>
          <w:szCs w:val="24"/>
        </w:rPr>
        <w:t xml:space="preserve">dari </w:t>
      </w:r>
      <w:r>
        <w:rPr>
          <w:rFonts w:cs="Times New Roman"/>
          <w:szCs w:val="24"/>
        </w:rPr>
        <w:t xml:space="preserve">perbedaan pendapat pada variabel </w:t>
      </w:r>
      <w:r>
        <w:rPr>
          <w:rFonts w:cs="Times New Roman"/>
          <w:i/>
          <w:iCs/>
          <w:szCs w:val="24"/>
        </w:rPr>
        <w:t xml:space="preserve">enterprise risk management, managerial ownership, </w:t>
      </w:r>
      <w:r>
        <w:rPr>
          <w:rFonts w:cs="Times New Roman"/>
          <w:szCs w:val="24"/>
        </w:rPr>
        <w:t>dan</w:t>
      </w:r>
      <w:r>
        <w:rPr>
          <w:rFonts w:cs="Times New Roman"/>
          <w:i/>
          <w:iCs/>
          <w:szCs w:val="24"/>
        </w:rPr>
        <w:t xml:space="preserve"> </w:t>
      </w:r>
      <w:r>
        <w:rPr>
          <w:rFonts w:cs="Times New Roman"/>
          <w:i/>
          <w:iCs/>
          <w:szCs w:val="24"/>
        </w:rPr>
        <w:t>institutional ownership</w:t>
      </w:r>
      <w:r>
        <w:rPr>
          <w:rFonts w:cs="Times New Roman"/>
          <w:i/>
          <w:iCs/>
          <w:szCs w:val="24"/>
        </w:rPr>
        <w:t xml:space="preserve"> </w:t>
      </w:r>
      <w:r>
        <w:rPr>
          <w:rFonts w:cs="Times New Roman"/>
          <w:szCs w:val="24"/>
        </w:rPr>
        <w:t xml:space="preserve">terhadap </w:t>
      </w:r>
      <w:r>
        <w:rPr>
          <w:rFonts w:cs="Times New Roman"/>
          <w:i/>
          <w:iCs/>
          <w:szCs w:val="24"/>
        </w:rPr>
        <w:t>firm value.</w:t>
      </w:r>
      <w:r>
        <w:rPr>
          <w:rFonts w:cs="Times New Roman"/>
          <w:szCs w:val="24"/>
        </w:rPr>
        <w:t xml:space="preserve"> Penelitian ini dilakukan untuk memberikan wawasan serta mengingatkan kepada perusahaan di Indonesia perlunya </w:t>
      </w:r>
      <w:r>
        <w:rPr>
          <w:rFonts w:cs="Times New Roman"/>
          <w:i/>
          <w:iCs/>
          <w:szCs w:val="24"/>
        </w:rPr>
        <w:t>enterprise risk management</w:t>
      </w:r>
      <w:r>
        <w:rPr>
          <w:rFonts w:cs="Times New Roman"/>
          <w:i/>
          <w:iCs/>
          <w:szCs w:val="24"/>
        </w:rPr>
        <w:t xml:space="preserve"> </w:t>
      </w:r>
      <w:r>
        <w:rPr>
          <w:rFonts w:cs="Times New Roman"/>
          <w:szCs w:val="24"/>
        </w:rPr>
        <w:t xml:space="preserve">sehingga peraturan yang dikeluarkan oleh Otoritas Jasa Keuangan (OJK) dalam </w:t>
      </w:r>
      <w:r>
        <w:rPr>
          <w:rFonts w:cs="Times New Roman" w:eastAsia="Times New Roman"/>
          <w:iCs/>
          <w:szCs w:val="24"/>
        </w:rPr>
        <w:t>menciptakan pertumbuhan dan keberlanjutan dapat terlaksana</w:t>
      </w:r>
      <w:r>
        <w:rPr>
          <w:rFonts w:cs="Times New Roman"/>
          <w:szCs w:val="24"/>
        </w:rPr>
        <w:t>.</w:t>
      </w:r>
      <w:r>
        <w:rPr>
          <w:rFonts w:cs="Times New Roman"/>
          <w:szCs w:val="24"/>
        </w:rPr>
        <w:t xml:space="preserve"> </w:t>
      </w:r>
      <w:r>
        <w:rPr>
          <w:rFonts w:cs="Times New Roman"/>
          <w:szCs w:val="24"/>
        </w:rPr>
        <w:t xml:space="preserve"> </w:t>
      </w:r>
    </w:p>
    <w:bookmarkStart w:id="20" w:name="_Toc218854593"/>
    <w:bookmarkEnd w:id="13"/>
    <w:p>
      <w:pPr>
        <w:pStyle w:val="style2"/>
        <w:tabs>
          <w:tab w:val="left" w:leader="none" w:pos="630"/>
        </w:tabs>
        <w:spacing w:lineRule="auto" w:line="480"/>
        <w:rPr/>
      </w:pPr>
      <w:r>
        <w:t>1.2</w:t>
      </w:r>
      <w:r>
        <w:t>.</w:t>
      </w:r>
      <w:r>
        <w:t xml:space="preserve"> </w:t>
      </w:r>
      <w:r>
        <w:tab/>
      </w:r>
      <w:r>
        <w:tab/>
      </w:r>
      <w:r>
        <w:t>Rumusan Masalah</w:t>
      </w:r>
      <w:bookmarkEnd w:id="20"/>
    </w:p>
    <w:p>
      <w:pPr>
        <w:pStyle w:val="style0"/>
        <w:spacing w:after="0" w:lineRule="auto" w:line="480"/>
        <w:ind w:firstLine="630"/>
        <w:jc w:val="both"/>
        <w:rPr>
          <w:szCs w:val="24"/>
        </w:rPr>
      </w:pPr>
      <w:r>
        <w:rPr>
          <w:szCs w:val="24"/>
        </w:rPr>
        <w:tab/>
      </w:r>
      <w:r>
        <w:rPr>
          <w:szCs w:val="24"/>
        </w:rPr>
        <w:t xml:space="preserve">Berdasarkan penjabaran dari latar belakang, dapat diketahui bahwa rumusan masalah dalam penelitian ini, </w:t>
      </w:r>
      <w:r>
        <w:rPr>
          <w:szCs w:val="24"/>
        </w:rPr>
        <w:t>sebagai berikut</w:t>
      </w:r>
      <w:r>
        <w:rPr>
          <w:szCs w:val="24"/>
        </w:rPr>
        <w:t>:</w:t>
      </w:r>
    </w:p>
    <w:p>
      <w:pPr>
        <w:pStyle w:val="style179"/>
        <w:numPr>
          <w:ilvl w:val="0"/>
          <w:numId w:val="4"/>
        </w:numPr>
        <w:spacing w:after="0" w:lineRule="auto" w:line="480"/>
        <w:ind w:left="360"/>
        <w:jc w:val="both"/>
        <w:rPr>
          <w:szCs w:val="24"/>
        </w:rPr>
      </w:pPr>
      <w:r>
        <w:rPr>
          <w:szCs w:val="24"/>
        </w:rPr>
        <w:t xml:space="preserve">Apakah </w:t>
      </w:r>
      <w:r>
        <w:rPr>
          <w:i/>
          <w:iCs/>
          <w:szCs w:val="24"/>
        </w:rPr>
        <w:t>enterprise risk management</w:t>
      </w:r>
      <w:r>
        <w:rPr>
          <w:szCs w:val="24"/>
        </w:rPr>
        <w:t xml:space="preserve"> berpengaruh</w:t>
      </w:r>
      <w:r>
        <w:rPr>
          <w:szCs w:val="24"/>
        </w:rPr>
        <w:t xml:space="preserve"> </w:t>
      </w:r>
      <w:r>
        <w:rPr>
          <w:szCs w:val="24"/>
        </w:rPr>
        <w:t xml:space="preserve">terhadap </w:t>
      </w:r>
      <w:r>
        <w:rPr>
          <w:i/>
          <w:iCs/>
          <w:szCs w:val="24"/>
        </w:rPr>
        <w:t>firm value</w:t>
      </w:r>
      <w:r>
        <w:rPr>
          <w:szCs w:val="24"/>
        </w:rPr>
        <w:t>?</w:t>
      </w:r>
    </w:p>
    <w:p>
      <w:pPr>
        <w:pStyle w:val="style179"/>
        <w:numPr>
          <w:ilvl w:val="0"/>
          <w:numId w:val="4"/>
        </w:numPr>
        <w:spacing w:after="0" w:lineRule="auto" w:line="480"/>
        <w:ind w:left="360"/>
        <w:jc w:val="both"/>
        <w:rPr>
          <w:szCs w:val="24"/>
        </w:rPr>
      </w:pPr>
      <w:r>
        <w:rPr>
          <w:szCs w:val="24"/>
        </w:rPr>
        <w:t xml:space="preserve">Apakah </w:t>
      </w:r>
      <w:r>
        <w:rPr>
          <w:i/>
          <w:iCs/>
          <w:szCs w:val="24"/>
        </w:rPr>
        <w:t>managerial ownership</w:t>
      </w:r>
      <w:r>
        <w:rPr>
          <w:szCs w:val="24"/>
        </w:rPr>
        <w:t xml:space="preserve"> berpengaruh terhadap </w:t>
      </w:r>
      <w:r>
        <w:rPr>
          <w:i/>
          <w:iCs/>
          <w:szCs w:val="24"/>
        </w:rPr>
        <w:t>firm value</w:t>
      </w:r>
      <w:r>
        <w:rPr>
          <w:szCs w:val="24"/>
        </w:rPr>
        <w:t>?</w:t>
      </w:r>
    </w:p>
    <w:p>
      <w:pPr>
        <w:pStyle w:val="style179"/>
        <w:numPr>
          <w:ilvl w:val="0"/>
          <w:numId w:val="4"/>
        </w:numPr>
        <w:spacing w:after="0" w:lineRule="auto" w:line="480"/>
        <w:ind w:left="360"/>
        <w:jc w:val="both"/>
        <w:rPr>
          <w:szCs w:val="24"/>
        </w:rPr>
      </w:pPr>
      <w:r>
        <w:rPr>
          <w:szCs w:val="24"/>
        </w:rPr>
        <w:t xml:space="preserve">Apakah </w:t>
      </w:r>
      <w:r>
        <w:rPr>
          <w:rFonts w:cs="Times New Roman"/>
          <w:i/>
          <w:iCs/>
        </w:rPr>
        <w:t>institutional ownership</w:t>
      </w:r>
      <w:r>
        <w:rPr>
          <w:szCs w:val="24"/>
        </w:rPr>
        <w:t xml:space="preserve"> berpengaruh</w:t>
      </w:r>
      <w:r>
        <w:rPr>
          <w:szCs w:val="24"/>
        </w:rPr>
        <w:t xml:space="preserve"> </w:t>
      </w:r>
      <w:r>
        <w:rPr>
          <w:szCs w:val="24"/>
        </w:rPr>
        <w:t xml:space="preserve">terhadap </w:t>
      </w:r>
      <w:r>
        <w:rPr>
          <w:i/>
          <w:iCs/>
          <w:szCs w:val="24"/>
        </w:rPr>
        <w:t>firm value</w:t>
      </w:r>
      <w:r>
        <w:rPr>
          <w:szCs w:val="24"/>
        </w:rPr>
        <w:t>?</w:t>
      </w:r>
    </w:p>
    <w:bookmarkStart w:id="21" w:name="_Toc218854594"/>
    <w:p>
      <w:pPr>
        <w:pStyle w:val="style2"/>
        <w:tabs>
          <w:tab w:val="left" w:leader="none" w:pos="720"/>
        </w:tabs>
        <w:spacing w:lineRule="auto" w:line="480"/>
        <w:jc w:val="both"/>
        <w:rPr>
          <w:rFonts w:cs="Times New Roman"/>
          <w:szCs w:val="24"/>
        </w:rPr>
      </w:pPr>
      <w:r>
        <w:rPr>
          <w:rFonts w:cs="Times New Roman"/>
          <w:szCs w:val="24"/>
        </w:rPr>
        <w:t>1.3.</w:t>
      </w:r>
      <w:r>
        <w:rPr>
          <w:rFonts w:cs="Times New Roman"/>
          <w:szCs w:val="24"/>
        </w:rPr>
        <w:t xml:space="preserve"> </w:t>
      </w:r>
      <w:r>
        <w:rPr>
          <w:rFonts w:cs="Times New Roman"/>
          <w:szCs w:val="24"/>
        </w:rPr>
        <w:tab/>
      </w:r>
      <w:r>
        <w:rPr>
          <w:rFonts w:cs="Times New Roman"/>
          <w:szCs w:val="24"/>
        </w:rPr>
        <w:t>Tujuan Penelitian</w:t>
      </w:r>
      <w:bookmarkEnd w:id="21"/>
      <w:r>
        <w:rPr>
          <w:rFonts w:cs="Times New Roman"/>
          <w:szCs w:val="24"/>
        </w:rPr>
        <w:t xml:space="preserve"> </w:t>
      </w:r>
    </w:p>
    <w:p>
      <w:pPr>
        <w:pStyle w:val="style0"/>
        <w:spacing w:after="0" w:lineRule="auto" w:line="480"/>
        <w:ind w:firstLine="630"/>
        <w:jc w:val="both"/>
        <w:rPr>
          <w:szCs w:val="24"/>
        </w:rPr>
      </w:pPr>
      <w:r>
        <w:rPr>
          <w:szCs w:val="24"/>
        </w:rPr>
        <w:tab/>
      </w:r>
      <w:r>
        <w:rPr>
          <w:szCs w:val="24"/>
        </w:rPr>
        <w:t xml:space="preserve">Berdasarkan rumusan masalah, </w:t>
      </w:r>
      <w:r>
        <w:rPr>
          <w:szCs w:val="24"/>
        </w:rPr>
        <w:t>dapat diketahui bahwa</w:t>
      </w:r>
      <w:r>
        <w:rPr>
          <w:szCs w:val="24"/>
        </w:rPr>
        <w:t xml:space="preserve"> </w:t>
      </w:r>
      <w:r>
        <w:rPr>
          <w:szCs w:val="24"/>
        </w:rPr>
        <w:t>tujuan dalam penelitian</w:t>
      </w:r>
      <w:r>
        <w:rPr>
          <w:szCs w:val="24"/>
        </w:rPr>
        <w:t xml:space="preserve"> ini</w:t>
      </w:r>
      <w:r>
        <w:rPr>
          <w:szCs w:val="24"/>
        </w:rPr>
        <w:t xml:space="preserve">, </w:t>
      </w:r>
      <w:r>
        <w:rPr>
          <w:szCs w:val="24"/>
        </w:rPr>
        <w:t>sebagai berikut</w:t>
      </w:r>
      <w:r>
        <w:rPr>
          <w:szCs w:val="24"/>
        </w:rPr>
        <w:t>:</w:t>
      </w:r>
    </w:p>
    <w:p>
      <w:pPr>
        <w:pStyle w:val="style179"/>
        <w:numPr>
          <w:ilvl w:val="0"/>
          <w:numId w:val="5"/>
        </w:numPr>
        <w:spacing w:after="0" w:lineRule="auto" w:line="480"/>
        <w:ind w:left="360"/>
        <w:jc w:val="both"/>
        <w:rPr>
          <w:szCs w:val="24"/>
        </w:rPr>
      </w:pPr>
      <w:r>
        <w:rPr>
          <w:szCs w:val="24"/>
        </w:rPr>
        <w:t>Mendapatkan bukti empiris</w:t>
      </w:r>
      <w:r>
        <w:rPr>
          <w:szCs w:val="24"/>
        </w:rPr>
        <w:t xml:space="preserve"> </w:t>
      </w:r>
      <w:r>
        <w:rPr>
          <w:szCs w:val="24"/>
        </w:rPr>
        <w:t xml:space="preserve">terkait </w:t>
      </w:r>
      <w:r>
        <w:rPr>
          <w:szCs w:val="24"/>
        </w:rPr>
        <w:t>pengaruh</w:t>
      </w:r>
      <w:r>
        <w:rPr>
          <w:szCs w:val="24"/>
        </w:rPr>
        <w:t xml:space="preserve"> </w:t>
      </w:r>
      <w:r>
        <w:rPr>
          <w:i/>
          <w:iCs/>
          <w:szCs w:val="24"/>
        </w:rPr>
        <w:t>enterprise risk management</w:t>
      </w:r>
      <w:r>
        <w:rPr>
          <w:szCs w:val="24"/>
        </w:rPr>
        <w:t xml:space="preserve"> terhadap </w:t>
      </w:r>
      <w:r>
        <w:rPr>
          <w:i/>
          <w:iCs/>
          <w:szCs w:val="24"/>
        </w:rPr>
        <w:t>firm value</w:t>
      </w:r>
      <w:r>
        <w:rPr>
          <w:szCs w:val="24"/>
        </w:rPr>
        <w:t>.</w:t>
      </w:r>
    </w:p>
    <w:p>
      <w:pPr>
        <w:pStyle w:val="style179"/>
        <w:numPr>
          <w:ilvl w:val="0"/>
          <w:numId w:val="5"/>
        </w:numPr>
        <w:spacing w:after="0" w:lineRule="auto" w:line="480"/>
        <w:ind w:left="360"/>
        <w:jc w:val="both"/>
        <w:rPr>
          <w:szCs w:val="24"/>
        </w:rPr>
      </w:pPr>
      <w:r>
        <w:rPr>
          <w:szCs w:val="24"/>
        </w:rPr>
        <w:t>Mendapatkan bukti empiris</w:t>
      </w:r>
      <w:r>
        <w:rPr>
          <w:szCs w:val="24"/>
        </w:rPr>
        <w:t xml:space="preserve"> </w:t>
      </w:r>
      <w:r>
        <w:rPr>
          <w:szCs w:val="24"/>
        </w:rPr>
        <w:t xml:space="preserve">terkait </w:t>
      </w:r>
      <w:r>
        <w:rPr>
          <w:szCs w:val="24"/>
        </w:rPr>
        <w:t xml:space="preserve">pengaruh </w:t>
      </w:r>
      <w:r>
        <w:rPr>
          <w:i/>
          <w:iCs/>
          <w:szCs w:val="24"/>
        </w:rPr>
        <w:t>managerial ownership</w:t>
      </w:r>
      <w:r>
        <w:rPr>
          <w:szCs w:val="24"/>
        </w:rPr>
        <w:t xml:space="preserve"> terhadap </w:t>
      </w:r>
      <w:r>
        <w:rPr>
          <w:i/>
          <w:iCs/>
          <w:szCs w:val="24"/>
        </w:rPr>
        <w:t>firm value</w:t>
      </w:r>
      <w:r>
        <w:rPr>
          <w:szCs w:val="24"/>
        </w:rPr>
        <w:t>.</w:t>
      </w:r>
    </w:p>
    <w:p>
      <w:pPr>
        <w:pStyle w:val="style179"/>
        <w:numPr>
          <w:ilvl w:val="0"/>
          <w:numId w:val="5"/>
        </w:numPr>
        <w:spacing w:lineRule="auto" w:line="480"/>
        <w:ind w:left="360"/>
        <w:jc w:val="both"/>
        <w:rPr>
          <w:szCs w:val="24"/>
        </w:rPr>
      </w:pPr>
      <w:r>
        <w:rPr>
          <w:szCs w:val="24"/>
        </w:rPr>
        <w:t xml:space="preserve">Mendapatkan bukti empiris </w:t>
      </w:r>
      <w:r>
        <w:rPr>
          <w:szCs w:val="24"/>
        </w:rPr>
        <w:t xml:space="preserve">terkait </w:t>
      </w:r>
      <w:r>
        <w:rPr>
          <w:szCs w:val="24"/>
        </w:rPr>
        <w:t xml:space="preserve">pengaruh </w:t>
      </w:r>
      <w:r>
        <w:rPr>
          <w:rFonts w:cs="Times New Roman"/>
          <w:i/>
          <w:iCs/>
        </w:rPr>
        <w:t>institutional ownership</w:t>
      </w:r>
      <w:r>
        <w:rPr>
          <w:szCs w:val="24"/>
        </w:rPr>
        <w:t xml:space="preserve"> terhadap </w:t>
      </w:r>
      <w:r>
        <w:rPr>
          <w:i/>
          <w:iCs/>
          <w:szCs w:val="24"/>
        </w:rPr>
        <w:t>firm value.</w:t>
      </w:r>
    </w:p>
    <w:bookmarkStart w:id="22" w:name="_Toc218854595"/>
    <w:p>
      <w:pPr>
        <w:pStyle w:val="style2"/>
        <w:tabs>
          <w:tab w:val="left" w:leader="none" w:pos="720"/>
        </w:tabs>
        <w:spacing w:before="0" w:lineRule="auto" w:line="480"/>
        <w:jc w:val="both"/>
        <w:rPr>
          <w:rFonts w:cs="Times New Roman"/>
          <w:szCs w:val="24"/>
        </w:rPr>
      </w:pPr>
      <w:r>
        <w:rPr>
          <w:rFonts w:cs="Times New Roman"/>
          <w:szCs w:val="24"/>
        </w:rPr>
        <w:t>1.4.</w:t>
      </w:r>
      <w:r>
        <w:rPr>
          <w:rFonts w:cs="Times New Roman"/>
          <w:szCs w:val="24"/>
        </w:rPr>
        <w:t xml:space="preserve"> </w:t>
      </w:r>
      <w:r>
        <w:rPr>
          <w:rFonts w:cs="Times New Roman"/>
          <w:szCs w:val="24"/>
        </w:rPr>
        <w:tab/>
      </w:r>
      <w:r>
        <w:rPr>
          <w:rFonts w:cs="Times New Roman"/>
          <w:szCs w:val="24"/>
        </w:rPr>
        <w:t>Manfaat Penelitian</w:t>
      </w:r>
      <w:bookmarkEnd w:id="22"/>
    </w:p>
    <w:p>
      <w:pPr>
        <w:pStyle w:val="style0"/>
        <w:tabs>
          <w:tab w:val="left" w:leader="none" w:pos="630"/>
          <w:tab w:val="left" w:leader="none" w:pos="720"/>
        </w:tabs>
        <w:spacing w:after="0" w:lineRule="auto" w:line="480"/>
        <w:jc w:val="both"/>
        <w:rPr>
          <w:rFonts w:cs="Times New Roman"/>
          <w:szCs w:val="24"/>
        </w:rPr>
      </w:pPr>
      <w:r>
        <w:tab/>
      </w:r>
      <w:r>
        <w:tab/>
      </w:r>
      <w:r>
        <w:t>P</w:t>
      </w:r>
      <w:r>
        <w:t>enelitian</w:t>
      </w:r>
      <w:r>
        <w:t xml:space="preserve"> ini</w:t>
      </w:r>
      <w:r>
        <w:t xml:space="preserve"> diharapkan dapat memberikan manfaat</w:t>
      </w:r>
      <w:r>
        <w:t xml:space="preserve"> bagi beberapa pihak</w:t>
      </w:r>
      <w:r>
        <w:t>,</w:t>
      </w:r>
      <w:r>
        <w:t xml:space="preserve"> baik</w:t>
      </w:r>
      <w:r>
        <w:t xml:space="preserve"> secara</w:t>
      </w:r>
      <w:r>
        <w:t xml:space="preserve"> teorit</w:t>
      </w:r>
      <w:r>
        <w:t>is maupun praktis,</w:t>
      </w:r>
      <w:r>
        <w:t xml:space="preserve"> se</w:t>
      </w:r>
      <w:r>
        <w:t>bagai berikut</w:t>
      </w:r>
      <w:r>
        <w:t>:</w:t>
      </w:r>
    </w:p>
    <w:p>
      <w:pPr>
        <w:pStyle w:val="style179"/>
        <w:numPr>
          <w:ilvl w:val="0"/>
          <w:numId w:val="6"/>
        </w:numPr>
        <w:spacing w:after="0" w:lineRule="auto" w:line="480"/>
        <w:jc w:val="both"/>
        <w:rPr>
          <w:szCs w:val="24"/>
        </w:rPr>
      </w:pPr>
      <w:r>
        <w:rPr>
          <w:szCs w:val="24"/>
        </w:rPr>
        <w:t>Manfaat Teoritis</w:t>
      </w:r>
    </w:p>
    <w:p>
      <w:pPr>
        <w:pStyle w:val="style0"/>
        <w:spacing w:after="0" w:lineRule="auto" w:line="480"/>
        <w:ind w:left="360"/>
        <w:jc w:val="both"/>
        <w:rPr>
          <w:szCs w:val="24"/>
        </w:rPr>
      </w:pPr>
      <w:r>
        <w:rPr>
          <w:szCs w:val="24"/>
        </w:rPr>
        <w:t>P</w:t>
      </w:r>
      <w:r>
        <w:rPr>
          <w:szCs w:val="24"/>
        </w:rPr>
        <w:t xml:space="preserve">enelitian ini </w:t>
      </w:r>
      <w:r>
        <w:rPr>
          <w:szCs w:val="24"/>
        </w:rPr>
        <w:t>diharapkan</w:t>
      </w:r>
      <w:r>
        <w:rPr>
          <w:szCs w:val="24"/>
        </w:rPr>
        <w:t xml:space="preserve"> dapat memberikan </w:t>
      </w:r>
      <w:r>
        <w:rPr>
          <w:szCs w:val="24"/>
        </w:rPr>
        <w:t xml:space="preserve">bukti empiris </w:t>
      </w:r>
      <w:r>
        <w:rPr>
          <w:szCs w:val="24"/>
        </w:rPr>
        <w:t xml:space="preserve">terkait pengaruh </w:t>
      </w:r>
      <w:r>
        <w:rPr>
          <w:i/>
          <w:iCs/>
          <w:szCs w:val="24"/>
        </w:rPr>
        <w:t>enterpise risk management, managerial owners</w:t>
      </w:r>
      <w:r>
        <w:rPr>
          <w:i/>
          <w:iCs/>
          <w:szCs w:val="24"/>
        </w:rPr>
        <w:t>h</w:t>
      </w:r>
      <w:r>
        <w:rPr>
          <w:i/>
          <w:iCs/>
          <w:szCs w:val="24"/>
        </w:rPr>
        <w:t>ip,</w:t>
      </w:r>
      <w:r>
        <w:rPr>
          <w:i/>
          <w:iCs/>
          <w:szCs w:val="24"/>
        </w:rPr>
        <w:t xml:space="preserve"> </w:t>
      </w:r>
      <w:r>
        <w:rPr>
          <w:szCs w:val="24"/>
        </w:rPr>
        <w:t>dan</w:t>
      </w:r>
      <w:r>
        <w:rPr>
          <w:i/>
          <w:iCs/>
          <w:szCs w:val="24"/>
        </w:rPr>
        <w:t xml:space="preserve"> </w:t>
      </w:r>
      <w:r>
        <w:rPr>
          <w:rFonts w:cs="Times New Roman"/>
          <w:i/>
          <w:iCs/>
        </w:rPr>
        <w:t>institutional ownership</w:t>
      </w:r>
      <w:r>
        <w:rPr>
          <w:i/>
          <w:iCs/>
          <w:szCs w:val="24"/>
        </w:rPr>
        <w:t xml:space="preserve"> </w:t>
      </w:r>
      <w:r>
        <w:rPr>
          <w:szCs w:val="24"/>
        </w:rPr>
        <w:t xml:space="preserve">terhadap </w:t>
      </w:r>
      <w:r>
        <w:rPr>
          <w:i/>
          <w:iCs/>
          <w:szCs w:val="24"/>
        </w:rPr>
        <w:t>firm value</w:t>
      </w:r>
      <w:r>
        <w:rPr>
          <w:szCs w:val="24"/>
        </w:rPr>
        <w:t xml:space="preserve"> </w:t>
      </w:r>
      <w:r>
        <w:rPr>
          <w:szCs w:val="24"/>
        </w:rPr>
        <w:t xml:space="preserve">dalam hubungannya dengan </w:t>
      </w:r>
      <w:r>
        <w:rPr>
          <w:i/>
          <w:iCs/>
          <w:szCs w:val="24"/>
        </w:rPr>
        <w:t>s</w:t>
      </w:r>
      <w:r>
        <w:rPr>
          <w:i/>
          <w:iCs/>
          <w:szCs w:val="24"/>
        </w:rPr>
        <w:t xml:space="preserve">ignalling </w:t>
      </w:r>
      <w:r>
        <w:rPr>
          <w:i/>
          <w:iCs/>
          <w:szCs w:val="24"/>
        </w:rPr>
        <w:t>t</w:t>
      </w:r>
      <w:r>
        <w:rPr>
          <w:i/>
          <w:iCs/>
          <w:szCs w:val="24"/>
        </w:rPr>
        <w:t>heory</w:t>
      </w:r>
      <w:r>
        <w:rPr>
          <w:szCs w:val="24"/>
        </w:rPr>
        <w:t xml:space="preserve"> dan </w:t>
      </w:r>
      <w:r>
        <w:rPr>
          <w:i/>
          <w:iCs/>
          <w:szCs w:val="24"/>
        </w:rPr>
        <w:t>a</w:t>
      </w:r>
      <w:r>
        <w:rPr>
          <w:i/>
          <w:iCs/>
          <w:szCs w:val="24"/>
        </w:rPr>
        <w:t xml:space="preserve">gency </w:t>
      </w:r>
      <w:r>
        <w:rPr>
          <w:i/>
          <w:iCs/>
          <w:szCs w:val="24"/>
        </w:rPr>
        <w:t>t</w:t>
      </w:r>
      <w:r>
        <w:rPr>
          <w:i/>
          <w:iCs/>
          <w:szCs w:val="24"/>
        </w:rPr>
        <w:t>heory</w:t>
      </w:r>
      <w:r>
        <w:rPr>
          <w:szCs w:val="24"/>
        </w:rPr>
        <w:t xml:space="preserve">. </w:t>
      </w:r>
    </w:p>
    <w:p>
      <w:pPr>
        <w:pStyle w:val="style179"/>
        <w:numPr>
          <w:ilvl w:val="0"/>
          <w:numId w:val="6"/>
        </w:numPr>
        <w:spacing w:after="0" w:lineRule="auto" w:line="480"/>
        <w:jc w:val="both"/>
        <w:rPr>
          <w:szCs w:val="24"/>
        </w:rPr>
      </w:pPr>
      <w:r>
        <w:rPr>
          <w:szCs w:val="24"/>
        </w:rPr>
        <w:t>Manfaat Prak</w:t>
      </w:r>
      <w:r>
        <w:rPr>
          <w:szCs w:val="24"/>
        </w:rPr>
        <w:t>t</w:t>
      </w:r>
      <w:r>
        <w:rPr>
          <w:szCs w:val="24"/>
        </w:rPr>
        <w:t>is</w:t>
      </w:r>
    </w:p>
    <w:p>
      <w:pPr>
        <w:pStyle w:val="style179"/>
        <w:numPr>
          <w:ilvl w:val="0"/>
          <w:numId w:val="7"/>
        </w:numPr>
        <w:tabs>
          <w:tab w:val="left" w:leader="none" w:pos="1170"/>
        </w:tabs>
        <w:spacing w:after="0" w:lineRule="auto" w:line="480"/>
        <w:ind w:left="720"/>
        <w:jc w:val="both"/>
        <w:rPr>
          <w:szCs w:val="24"/>
        </w:rPr>
      </w:pPr>
      <w:r>
        <w:rPr>
          <w:szCs w:val="24"/>
        </w:rPr>
        <w:t xml:space="preserve">Bagi </w:t>
      </w:r>
      <w:r>
        <w:rPr>
          <w:szCs w:val="24"/>
        </w:rPr>
        <w:t>Investor</w:t>
      </w:r>
    </w:p>
    <w:p>
      <w:pPr>
        <w:pStyle w:val="style0"/>
        <w:spacing w:after="0" w:lineRule="auto" w:line="480"/>
        <w:ind w:left="720"/>
        <w:jc w:val="both"/>
        <w:rPr>
          <w:szCs w:val="24"/>
        </w:rPr>
      </w:pPr>
      <w:r>
        <w:rPr>
          <w:szCs w:val="24"/>
        </w:rPr>
        <w:t>Penelitian ini diharapkan dapat</w:t>
      </w:r>
      <w:r>
        <w:rPr>
          <w:szCs w:val="24"/>
        </w:rPr>
        <w:t xml:space="preserve"> menjadi bahan </w:t>
      </w:r>
      <w:r>
        <w:rPr>
          <w:szCs w:val="24"/>
        </w:rPr>
        <w:t xml:space="preserve">dan </w:t>
      </w:r>
      <w:r>
        <w:rPr>
          <w:szCs w:val="24"/>
        </w:rPr>
        <w:t>informasi terkait profil risiko perusahaan serta</w:t>
      </w:r>
      <w:r>
        <w:rPr>
          <w:szCs w:val="24"/>
        </w:rPr>
        <w:t xml:space="preserve"> </w:t>
      </w:r>
      <w:r>
        <w:rPr>
          <w:szCs w:val="24"/>
        </w:rPr>
        <w:t>menjadi</w:t>
      </w:r>
      <w:r>
        <w:rPr>
          <w:szCs w:val="24"/>
        </w:rPr>
        <w:t xml:space="preserve"> referensi </w:t>
      </w:r>
      <w:r>
        <w:rPr>
          <w:szCs w:val="24"/>
        </w:rPr>
        <w:t>investor sebagai pertimbangan atau pengambilan keputusan dalam berinvestasi.</w:t>
      </w:r>
      <w:r>
        <w:rPr>
          <w:szCs w:val="24"/>
        </w:rPr>
        <w:t xml:space="preserve"> </w:t>
      </w:r>
    </w:p>
    <w:p>
      <w:pPr>
        <w:pStyle w:val="style179"/>
        <w:numPr>
          <w:ilvl w:val="0"/>
          <w:numId w:val="7"/>
        </w:numPr>
        <w:spacing w:after="0" w:lineRule="auto" w:line="480"/>
        <w:ind w:left="720"/>
        <w:jc w:val="both"/>
        <w:rPr>
          <w:szCs w:val="24"/>
        </w:rPr>
      </w:pPr>
      <w:r>
        <w:rPr>
          <w:szCs w:val="24"/>
        </w:rPr>
        <w:t xml:space="preserve">Bagi </w:t>
      </w:r>
      <w:r>
        <w:rPr>
          <w:szCs w:val="24"/>
        </w:rPr>
        <w:t>Pe</w:t>
      </w:r>
      <w:r>
        <w:rPr>
          <w:szCs w:val="24"/>
        </w:rPr>
        <w:t>rusahaan</w:t>
      </w:r>
    </w:p>
    <w:p>
      <w:pPr>
        <w:pStyle w:val="style0"/>
        <w:spacing w:after="0" w:lineRule="auto" w:line="480"/>
        <w:ind w:left="720"/>
        <w:jc w:val="both"/>
        <w:rPr/>
      </w:pPr>
      <w:r>
        <w:rPr>
          <w:szCs w:val="24"/>
        </w:rPr>
        <w:t xml:space="preserve">Penelitian ini diharapkan </w:t>
      </w:r>
      <w:r>
        <w:rPr>
          <w:szCs w:val="24"/>
        </w:rPr>
        <w:t xml:space="preserve">agar </w:t>
      </w:r>
      <w:r>
        <w:rPr>
          <w:szCs w:val="24"/>
        </w:rPr>
        <w:t xml:space="preserve">perusahaan dapat meningkatkan transparansi </w:t>
      </w:r>
      <w:r>
        <w:rPr>
          <w:i/>
          <w:iCs/>
          <w:szCs w:val="24"/>
        </w:rPr>
        <w:t xml:space="preserve">enterprise risk management </w:t>
      </w:r>
      <w:r>
        <w:rPr>
          <w:szCs w:val="24"/>
        </w:rPr>
        <w:t>yang ber</w:t>
      </w:r>
      <w:r>
        <w:rPr>
          <w:szCs w:val="24"/>
        </w:rPr>
        <w:t xml:space="preserve">tujuan </w:t>
      </w:r>
      <w:r>
        <w:rPr>
          <w:szCs w:val="24"/>
        </w:rPr>
        <w:t>untuk</w:t>
      </w:r>
      <w:r>
        <w:rPr>
          <w:szCs w:val="24"/>
        </w:rPr>
        <w:t xml:space="preserve"> meningkatkan</w:t>
      </w:r>
      <w:r>
        <w:rPr>
          <w:szCs w:val="24"/>
        </w:rPr>
        <w:t xml:space="preserve"> </w:t>
      </w:r>
      <w:r>
        <w:rPr>
          <w:i/>
          <w:iCs/>
          <w:color w:val="000000"/>
          <w:szCs w:val="24"/>
        </w:rPr>
        <w:t>firm valu</w:t>
      </w:r>
      <w:r>
        <w:rPr>
          <w:i/>
          <w:iCs/>
          <w:color w:val="000000"/>
          <w:szCs w:val="24"/>
        </w:rPr>
        <w:t>e</w:t>
      </w:r>
      <w:r>
        <w:rPr>
          <w:i/>
          <w:iCs/>
          <w:color w:val="000000"/>
          <w:szCs w:val="24"/>
        </w:rPr>
        <w:t xml:space="preserve"> </w:t>
      </w:r>
      <w:r>
        <w:rPr>
          <w:color w:val="000000"/>
          <w:szCs w:val="24"/>
        </w:rPr>
        <w:t>dan menarik investor</w:t>
      </w:r>
      <w:r>
        <w:rPr>
          <w:i/>
          <w:iCs/>
          <w:color w:val="000000"/>
          <w:szCs w:val="24"/>
        </w:rPr>
        <w:t xml:space="preserve">. </w:t>
      </w:r>
    </w:p>
    <w:p>
      <w:pPr>
        <w:pStyle w:val="style1"/>
        <w:spacing w:before="0" w:lineRule="auto" w:line="480"/>
        <w:rPr/>
        <w:sectPr>
          <w:headerReference w:type="default" r:id="rId11"/>
          <w:footerReference w:type="default" r:id="rId12"/>
          <w:footerReference w:type="first" r:id="rId13"/>
          <w:pgSz w:w="11906" w:h="16838" w:orient="portrait" w:code="9"/>
          <w:pgMar w:top="2268" w:right="1701" w:bottom="1701" w:left="2268" w:header="720" w:footer="720" w:gutter="0"/>
          <w:pgNumType w:start="1"/>
          <w:cols w:space="720"/>
          <w:titlePg/>
          <w:docGrid w:linePitch="360"/>
        </w:sectPr>
      </w:pPr>
    </w:p>
    <w:bookmarkStart w:id="23" w:name="_Toc218854596"/>
    <w:p>
      <w:pPr>
        <w:pStyle w:val="style1"/>
        <w:spacing w:before="0" w:lineRule="auto" w:line="480"/>
        <w:rPr>
          <w:rFonts w:cs="宋体"/>
        </w:rPr>
      </w:pPr>
      <w:r>
        <w:t>BAB II</w:t>
      </w:r>
      <w:bookmarkEnd w:id="23"/>
      <w:r>
        <w:t xml:space="preserve"> </w:t>
      </w:r>
    </w:p>
    <w:bookmarkStart w:id="24" w:name="_Toc218854597"/>
    <w:p>
      <w:pPr>
        <w:pStyle w:val="style1"/>
        <w:spacing w:before="0" w:lineRule="auto" w:line="480"/>
        <w:rPr>
          <w:rFonts w:cs="Times New Roman"/>
          <w:highlight w:val="yellow"/>
        </w:rPr>
      </w:pPr>
      <w:r>
        <w:rPr>
          <w:rFonts w:cs="Times New Roman"/>
        </w:rPr>
        <w:t>KAJIAN PUSTAKA</w:t>
      </w:r>
      <w:bookmarkEnd w:id="24"/>
    </w:p>
    <w:p>
      <w:pPr>
        <w:pStyle w:val="style2"/>
        <w:numPr>
          <w:ilvl w:val="0"/>
          <w:numId w:val="3"/>
        </w:numPr>
        <w:tabs>
          <w:tab w:val="left" w:leader="none" w:pos="630"/>
        </w:tabs>
        <w:spacing w:lineRule="auto" w:line="480"/>
        <w:ind w:left="630" w:hanging="630"/>
        <w:rPr/>
      </w:pPr>
      <w:r>
        <w:tab/>
      </w:r>
      <w:bookmarkStart w:id="25" w:name="_Toc218854598"/>
      <w:r>
        <w:t>Dasar Teori</w:t>
      </w:r>
      <w:bookmarkEnd w:id="25"/>
    </w:p>
    <w:bookmarkStart w:id="26" w:name="_Toc197116390"/>
    <w:bookmarkStart w:id="27" w:name="_Toc218854599"/>
    <w:p>
      <w:pPr>
        <w:pStyle w:val="style3"/>
        <w:rPr/>
      </w:pPr>
      <w:r>
        <w:t>2.1.1</w:t>
      </w:r>
      <w:bookmarkEnd w:id="26"/>
      <w:r>
        <w:t>.</w:t>
      </w:r>
      <w:r>
        <w:tab/>
      </w:r>
      <w:r>
        <w:rPr>
          <w:i/>
          <w:iCs/>
        </w:rPr>
        <w:t>Signalling Theory</w:t>
      </w:r>
      <w:bookmarkEnd w:id="27"/>
    </w:p>
    <w:p>
      <w:pPr>
        <w:pStyle w:val="style0"/>
        <w:spacing w:after="0" w:lineRule="auto" w:line="480"/>
        <w:ind w:firstLine="720"/>
        <w:jc w:val="both"/>
        <w:rPr>
          <w:rFonts w:cs="Times New Roman"/>
          <w:color w:val="000000"/>
        </w:rPr>
      </w:pPr>
      <w:r>
        <w:rPr>
          <w:rFonts w:cs="Times New Roman"/>
          <w:i/>
          <w:iCs/>
        </w:rPr>
        <w:t xml:space="preserve">Signalling theory </w:t>
      </w:r>
      <w:r>
        <w:rPr>
          <w:rFonts w:cs="Times New Roman"/>
        </w:rPr>
        <w:t xml:space="preserve">menjelaskan pentingnya </w:t>
      </w:r>
      <w:r>
        <w:rPr>
          <w:rFonts w:cs="Times New Roman"/>
          <w:color w:val="000000"/>
        </w:rPr>
        <w:t>memberikan</w:t>
      </w:r>
      <w:r>
        <w:rPr>
          <w:rFonts w:cs="Times New Roman"/>
        </w:rPr>
        <w:t xml:space="preserve"> informasi perusahaan kepada pihak eksternal. </w:t>
      </w:r>
      <w:r>
        <w:rPr>
          <w:rFonts w:cs="Times New Roman" w:eastAsia="Times New Roman"/>
          <w:color w:val="000000"/>
        </w:rPr>
        <w:t>Talmor (1981)</w:t>
      </w:r>
      <w:r>
        <w:rPr>
          <w:rFonts w:cs="Times New Roman"/>
        </w:rPr>
        <w:t xml:space="preserve"> menjelaskan bahwa teori ini muncul karena </w:t>
      </w:r>
      <w:r>
        <w:rPr>
          <w:rFonts w:cs="Times New Roman"/>
          <w:color w:val="000000"/>
        </w:rPr>
        <w:t>adanya ketidakseimbangan atau asimetri informasi antara perusahaan dan pihak eksternal</w:t>
      </w:r>
      <w:r>
        <w:rPr>
          <w:rFonts w:cs="Times New Roman"/>
        </w:rPr>
        <w:t>. Perusahaan perlu memberikan informasi yang sama dengan pihak eksternal sehingga dapat memberikan sinyal dan kepercayaan maupun loyalitas pemegang saham dan investor untuk berinvestasi. Pernyataan ini merupakan pengembangan dari teori oleh</w:t>
      </w:r>
      <w:r>
        <w:rPr>
          <w:rFonts w:cs="Times New Roman"/>
          <w:color w:val="000000"/>
        </w:rPr>
        <w:t xml:space="preserve"> </w:t>
      </w:r>
      <w:r>
        <w:rPr>
          <w:rFonts w:cs="Times New Roman"/>
          <w:color w:val="000000"/>
        </w:rPr>
        <w:t>Spence (1973)</w:t>
      </w:r>
      <w:r>
        <w:rPr>
          <w:rFonts w:cs="Times New Roman"/>
          <w:color w:val="000000"/>
        </w:rPr>
        <w:t xml:space="preserve"> yang menjelaskan cara perusahaan memberikan isyarat sebagai sinyal dengan informasi yang relevan bagi investor atau pihak penerima untuk menciptakan kepercayaan dalam keputusan berinvestasi. </w:t>
      </w:r>
    </w:p>
    <w:p>
      <w:pPr>
        <w:pStyle w:val="style0"/>
        <w:spacing w:after="0" w:lineRule="auto" w:line="480"/>
        <w:ind w:firstLine="720"/>
        <w:jc w:val="both"/>
        <w:rPr>
          <w:rFonts w:cs="Times New Roman"/>
          <w:color w:val="000000"/>
        </w:rPr>
      </w:pPr>
      <w:r>
        <w:rPr>
          <w:rFonts w:cs="Times New Roman"/>
          <w:color w:val="000000"/>
        </w:rPr>
        <w:t xml:space="preserve">Informasi yang yang berikan kepada pihak investor atau penerima sinyal dapat dalam bentuk keuangan maupun nonkeuangan. Bentuk informasi nonkeuangan perusahaan, seperti laporan tahunan maupun laporan keberlanjutan. Informasi ini berisi cara manajemen menciptakan peluang perusahaan untuk bertumbuh dan mengatasi risiko, seperti penerapan pada </w:t>
      </w:r>
      <w:r>
        <w:rPr>
          <w:rFonts w:cs="Times New Roman"/>
          <w:i/>
          <w:iCs/>
          <w:color w:val="000000"/>
        </w:rPr>
        <w:t>enterprise risk management</w:t>
      </w:r>
      <w:r>
        <w:rPr>
          <w:rFonts w:cs="Times New Roman"/>
          <w:color w:val="000000"/>
        </w:rPr>
        <w:t xml:space="preserve">. Penerapan </w:t>
      </w:r>
      <w:r>
        <w:rPr>
          <w:rFonts w:cs="Times New Roman"/>
          <w:i/>
          <w:iCs/>
          <w:color w:val="000000"/>
        </w:rPr>
        <w:t>enterprise risk management</w:t>
      </w:r>
      <w:r>
        <w:rPr>
          <w:rFonts w:cs="Times New Roman"/>
          <w:color w:val="000000"/>
        </w:rPr>
        <w:t xml:space="preserve"> memberikan sinyal kepada investor untuk berinvestasi</w:t>
      </w:r>
      <w:r>
        <w:rPr>
          <w:rFonts w:cs="Times New Roman"/>
          <w:i/>
          <w:iCs/>
          <w:color w:val="000000"/>
        </w:rPr>
        <w:t xml:space="preserve"> </w:t>
      </w:r>
      <w:r>
        <w:rPr>
          <w:rFonts w:cs="Times New Roman"/>
          <w:color w:val="000000"/>
        </w:rPr>
        <w:t xml:space="preserve">karena mampu mengelola risiko yang dihadapi dalam menciptakan laporan keuangan yang berkualitas. Perusahaan yang mampu bersaing </w:t>
      </w:r>
      <w:r>
        <w:rPr>
          <w:rFonts w:cs="Times New Roman"/>
          <w:color w:val="000000"/>
        </w:rPr>
        <w:t>dan mendapatkan keuntungan jangka panjang, maka akan memutuskan investor untuk berinvestasi</w:t>
      </w:r>
      <w:r>
        <w:rPr>
          <w:rFonts w:cs="Times New Roman"/>
          <w:i/>
          <w:iCs/>
          <w:color w:val="000000"/>
        </w:rPr>
        <w:t xml:space="preserve"> </w:t>
      </w:r>
      <w:r>
        <w:rPr>
          <w:rFonts w:cs="Times New Roman"/>
          <w:color w:val="000000"/>
        </w:rPr>
        <w:t xml:space="preserve">sehingga </w:t>
      </w:r>
      <w:r>
        <w:rPr>
          <w:rFonts w:cs="Times New Roman"/>
          <w:i/>
          <w:iCs/>
          <w:color w:val="000000"/>
        </w:rPr>
        <w:t xml:space="preserve">firm value </w:t>
      </w:r>
      <w:r>
        <w:rPr>
          <w:rFonts w:cs="Times New Roman"/>
          <w:color w:val="000000"/>
        </w:rPr>
        <w:t>mengalami peningkatan</w:t>
      </w:r>
      <w:r>
        <w:rPr>
          <w:rFonts w:cs="Times New Roman"/>
          <w:i/>
          <w:iCs/>
          <w:color w:val="000000"/>
        </w:rPr>
        <w:t>.</w:t>
      </w:r>
      <w:r>
        <w:rPr>
          <w:rFonts w:cs="Times New Roman" w:eastAsia="Times New Roman"/>
          <w:iCs/>
          <w:szCs w:val="24"/>
        </w:rPr>
        <w:t xml:space="preserve"> </w:t>
      </w:r>
    </w:p>
    <w:bookmarkStart w:id="28" w:name="_Toc218854600"/>
    <w:p>
      <w:pPr>
        <w:pStyle w:val="style3"/>
        <w:rPr/>
      </w:pPr>
      <w:r>
        <w:t>2.1.</w:t>
      </w:r>
      <w:r>
        <w:t>2</w:t>
      </w:r>
      <w:r>
        <w:t>.</w:t>
      </w:r>
      <w:r>
        <w:t xml:space="preserve"> </w:t>
      </w:r>
      <w:r>
        <w:tab/>
      </w:r>
      <w:r>
        <w:rPr>
          <w:i/>
          <w:iCs/>
        </w:rPr>
        <w:t>Agency Theory</w:t>
      </w:r>
      <w:bookmarkEnd w:id="28"/>
    </w:p>
    <w:p>
      <w:pPr>
        <w:pStyle w:val="style0"/>
        <w:tabs>
          <w:tab w:val="left" w:leader="none" w:pos="540"/>
          <w:tab w:val="left" w:leader="none" w:pos="720"/>
        </w:tabs>
        <w:spacing w:after="0" w:lineRule="auto" w:line="480"/>
        <w:jc w:val="both"/>
        <w:rPr>
          <w:rFonts w:cs="Times New Roman"/>
          <w:color w:val="000000"/>
        </w:rPr>
      </w:pPr>
      <w:r>
        <w:rPr>
          <w:rFonts w:cs="Times New Roman"/>
          <w:i/>
          <w:iCs/>
        </w:rPr>
        <w:tab/>
      </w:r>
      <w:r>
        <w:rPr>
          <w:rFonts w:cs="Times New Roman"/>
          <w:i/>
          <w:iCs/>
        </w:rPr>
        <w:t xml:space="preserve"> </w:t>
      </w:r>
      <w:r>
        <w:rPr>
          <w:rFonts w:cs="Times New Roman"/>
          <w:i/>
          <w:iCs/>
        </w:rPr>
        <w:tab/>
      </w:r>
      <w:r>
        <w:rPr>
          <w:rFonts w:cs="Times New Roman"/>
          <w:i/>
          <w:iCs/>
        </w:rPr>
        <w:t>Agency theory</w:t>
      </w:r>
      <w:r>
        <w:rPr>
          <w:rFonts w:cs="Times New Roman"/>
          <w:i/>
          <w:iCs/>
        </w:rPr>
        <w:t xml:space="preserve"> </w:t>
      </w:r>
      <w:r>
        <w:rPr>
          <w:rFonts w:cs="Times New Roman"/>
        </w:rPr>
        <w:t xml:space="preserve">menjelaskan pentingnya hubungan antara agen dan </w:t>
      </w:r>
      <w:r>
        <w:rPr>
          <w:rFonts w:cs="Times New Roman"/>
          <w:i/>
          <w:iCs/>
        </w:rPr>
        <w:t xml:space="preserve">principal </w:t>
      </w:r>
      <w:r>
        <w:rPr>
          <w:rFonts w:cs="Times New Roman"/>
        </w:rPr>
        <w:t xml:space="preserve">agar tidak menciptakan konflik antara kedua pihak tersebut. Agen merupakan pihak yang mengelola dan menangani perusahaan, sedangkan </w:t>
      </w:r>
      <w:r>
        <w:rPr>
          <w:rFonts w:cs="Times New Roman"/>
          <w:i/>
          <w:iCs/>
        </w:rPr>
        <w:t xml:space="preserve">principal </w:t>
      </w:r>
      <w:r>
        <w:rPr>
          <w:rFonts w:cs="Times New Roman"/>
        </w:rPr>
        <w:t>merupakan pihak yang memiliki atau mengendalikan (investor) dalam perusahaan tersebut.</w:t>
      </w:r>
      <w:r>
        <w:rPr>
          <w:rFonts w:cs="Times New Roman"/>
          <w:color w:val="000000"/>
        </w:rPr>
        <w:t xml:space="preserve"> </w:t>
      </w:r>
      <w:r>
        <w:rPr>
          <w:rFonts w:cs="Times New Roman"/>
          <w:color w:val="000000"/>
        </w:rPr>
        <w:t>Eisenhardt (1989)</w:t>
      </w:r>
      <w:r>
        <w:rPr>
          <w:rFonts w:cs="Times New Roman"/>
          <w:color w:val="000000"/>
        </w:rPr>
        <w:t xml:space="preserve"> menjelaskan teori ini terjadi karena kedua belah pihak memiliki kecenderungan dalam mementingkan kepentingannya. Konflik antara agen dan </w:t>
      </w:r>
      <w:r>
        <w:rPr>
          <w:rFonts w:cs="Times New Roman"/>
          <w:i/>
          <w:iCs/>
          <w:color w:val="000000"/>
        </w:rPr>
        <w:t>principal</w:t>
      </w:r>
      <w:r>
        <w:rPr>
          <w:rFonts w:cs="Times New Roman"/>
          <w:color w:val="000000"/>
        </w:rPr>
        <w:t xml:space="preserve"> tidak akan pernah lepas dari kehidupan. </w:t>
      </w:r>
      <w:r>
        <w:rPr>
          <w:rFonts w:cs="Times New Roman" w:eastAsia="Times New Roman"/>
          <w:color w:val="000000"/>
        </w:rPr>
        <w:t>Jensen &amp; Meckling (1976)</w:t>
      </w:r>
      <w:r>
        <w:rPr>
          <w:rFonts w:cs="Times New Roman"/>
          <w:color w:val="000000"/>
        </w:rPr>
        <w:t xml:space="preserve"> menjelaskan terkait hubungan antara agen dan </w:t>
      </w:r>
      <w:r>
        <w:rPr>
          <w:rFonts w:cs="Times New Roman"/>
          <w:i/>
          <w:iCs/>
          <w:color w:val="000000"/>
        </w:rPr>
        <w:t>principal</w:t>
      </w:r>
      <w:r>
        <w:rPr>
          <w:rFonts w:cs="Times New Roman"/>
          <w:color w:val="000000"/>
        </w:rPr>
        <w:t xml:space="preserve"> karena adanya konflik kepentingan</w:t>
      </w:r>
      <w:r>
        <w:rPr>
          <w:rFonts w:cs="Times New Roman"/>
          <w:color w:val="000000"/>
        </w:rPr>
        <w:t>.</w:t>
      </w:r>
      <w:r>
        <w:rPr>
          <w:rFonts w:cs="Times New Roman"/>
          <w:color w:val="000000"/>
        </w:rPr>
        <w:t xml:space="preserve"> </w:t>
      </w:r>
    </w:p>
    <w:p>
      <w:pPr>
        <w:pStyle w:val="style0"/>
        <w:tabs>
          <w:tab w:val="left" w:leader="none" w:pos="540"/>
          <w:tab w:val="left" w:leader="none" w:pos="720"/>
        </w:tabs>
        <w:spacing w:after="0" w:lineRule="auto" w:line="480"/>
        <w:jc w:val="both"/>
        <w:rPr>
          <w:rFonts w:cs="Times New Roman"/>
          <w:color w:val="000000"/>
        </w:rPr>
      </w:pPr>
      <w:r>
        <w:rPr>
          <w:rFonts w:cs="Times New Roman"/>
          <w:color w:val="000000"/>
        </w:rPr>
        <w:tab/>
      </w:r>
      <w:r>
        <w:rPr>
          <w:rFonts w:cs="Times New Roman"/>
          <w:color w:val="000000"/>
        </w:rPr>
        <w:tab/>
      </w:r>
      <w:r>
        <w:rPr>
          <w:rFonts w:cs="Times New Roman"/>
          <w:color w:val="000000"/>
        </w:rPr>
        <w:t>Kepemilikan saham oleh manajer</w:t>
      </w:r>
      <w:r>
        <w:rPr>
          <w:rFonts w:cs="Times New Roman"/>
          <w:color w:val="000000"/>
        </w:rPr>
        <w:t xml:space="preserve"> bertujuan meningkatkan nilai untuk jangka panjang </w:t>
      </w:r>
      <w:r>
        <w:rPr>
          <w:rFonts w:cs="Times New Roman"/>
          <w:color w:val="000000"/>
        </w:rPr>
        <w:t xml:space="preserve">sehingga dapat mendorong kinerja </w:t>
      </w:r>
      <w:r>
        <w:rPr>
          <w:rFonts w:cs="Times New Roman"/>
          <w:color w:val="000000"/>
        </w:rPr>
        <w:t>atau menyesuaikan kepentingan pemegang saham</w:t>
      </w:r>
      <w:r>
        <w:rPr>
          <w:rFonts w:cs="Times New Roman"/>
          <w:color w:val="000000"/>
        </w:rPr>
        <w:t xml:space="preserve"> </w:t>
      </w:r>
      <w:r>
        <w:rPr>
          <w:rFonts w:cs="Times New Roman"/>
          <w:color w:val="000000"/>
        </w:rPr>
        <w:t xml:space="preserve">(Hakim </w:t>
      </w:r>
      <w:r>
        <w:rPr>
          <w:rFonts w:cs="Times New Roman"/>
          <w:i/>
          <w:iCs/>
          <w:color w:val="000000"/>
        </w:rPr>
        <w:t>et al</w:t>
      </w:r>
      <w:r>
        <w:rPr>
          <w:rFonts w:cs="Times New Roman"/>
          <w:color w:val="000000"/>
        </w:rPr>
        <w:t>., 2025)</w:t>
      </w:r>
      <w:r>
        <w:rPr>
          <w:rFonts w:cs="Times New Roman"/>
          <w:color w:val="000000"/>
        </w:rPr>
        <w:t>.</w:t>
      </w:r>
      <w:r>
        <w:rPr>
          <w:rFonts w:cs="Times New Roman"/>
        </w:rPr>
        <w:t xml:space="preserve"> </w:t>
      </w:r>
      <w:r>
        <w:rPr>
          <w:rFonts w:cs="Times New Roman"/>
        </w:rPr>
        <w:t>K</w:t>
      </w:r>
      <w:r>
        <w:rPr>
          <w:rFonts w:cs="Times New Roman"/>
        </w:rPr>
        <w:t>epentingan manajer merupakan kepentingan perusahaan sebagai pengawasan atau kontrol internal</w:t>
      </w:r>
      <w:r>
        <w:rPr>
          <w:rFonts w:cs="Times New Roman"/>
        </w:rPr>
        <w:t xml:space="preserve"> sehingga </w:t>
      </w:r>
      <w:r>
        <w:rPr>
          <w:rFonts w:cs="Times New Roman"/>
        </w:rPr>
        <w:t>meningkatkan efisiensi dan efektivitas kinerja</w:t>
      </w:r>
      <w:r>
        <w:rPr>
          <w:rFonts w:cs="Times New Roman"/>
        </w:rPr>
        <w:t xml:space="preserve">. </w:t>
      </w:r>
      <w:r>
        <w:rPr>
          <w:rFonts w:cs="Times New Roman"/>
        </w:rPr>
        <w:t xml:space="preserve">Manajer </w:t>
      </w:r>
      <w:r>
        <w:rPr>
          <w:rFonts w:cs="Times New Roman"/>
          <w:color w:val="000000"/>
        </w:rPr>
        <w:t xml:space="preserve">sebagai agen </w:t>
      </w:r>
      <w:r>
        <w:rPr>
          <w:rFonts w:cs="Times New Roman"/>
        </w:rPr>
        <w:t xml:space="preserve">akan meningkatkan </w:t>
      </w:r>
      <w:r>
        <w:rPr>
          <w:rFonts w:cs="Times New Roman"/>
        </w:rPr>
        <w:t xml:space="preserve">kontrol atau pengawasan pada kinerja </w:t>
      </w:r>
      <w:r>
        <w:rPr>
          <w:rFonts w:cs="Times New Roman"/>
        </w:rPr>
        <w:t xml:space="preserve">karena </w:t>
      </w:r>
      <w:r>
        <w:rPr>
          <w:rFonts w:cs="Times New Roman"/>
          <w:i/>
          <w:iCs/>
        </w:rPr>
        <w:t xml:space="preserve">managerial ownership </w:t>
      </w:r>
      <w:r>
        <w:rPr>
          <w:rFonts w:cs="Times New Roman"/>
        </w:rPr>
        <w:t>sehingga m</w:t>
      </w:r>
      <w:r>
        <w:rPr>
          <w:rFonts w:cs="Times New Roman"/>
        </w:rPr>
        <w:t>anajer akan merasakan kerugian maupun manfaat dari keputusannya</w:t>
      </w:r>
      <w:r>
        <w:rPr>
          <w:rFonts w:cs="Times New Roman"/>
        </w:rPr>
        <w:t xml:space="preserve"> dar</w:t>
      </w:r>
      <w:r>
        <w:rPr>
          <w:rFonts w:cs="Times New Roman"/>
        </w:rPr>
        <w:t xml:space="preserve">i nilai saham perusahaan </w:t>
      </w:r>
      <w:r>
        <w:rPr>
          <w:rFonts w:cs="Times New Roman"/>
          <w:color w:val="000000"/>
        </w:rPr>
        <w:t xml:space="preserve">(Wijaya </w:t>
      </w:r>
      <w:r>
        <w:rPr>
          <w:rFonts w:cs="Times New Roman"/>
          <w:i/>
          <w:iCs/>
          <w:color w:val="000000"/>
        </w:rPr>
        <w:t>et al</w:t>
      </w:r>
      <w:r>
        <w:rPr>
          <w:rFonts w:cs="Times New Roman"/>
          <w:color w:val="000000"/>
        </w:rPr>
        <w:t>., 2023)</w:t>
      </w:r>
      <w:r>
        <w:rPr>
          <w:rFonts w:cs="Times New Roman"/>
        </w:rPr>
        <w:t>.</w:t>
      </w:r>
      <w:r>
        <w:rPr>
          <w:rFonts w:cs="Times New Roman"/>
          <w:color w:val="000000"/>
        </w:rPr>
        <w:t xml:space="preserve"> </w:t>
      </w:r>
    </w:p>
    <w:p>
      <w:pPr>
        <w:pStyle w:val="style0"/>
        <w:tabs>
          <w:tab w:val="left" w:leader="none" w:pos="540"/>
          <w:tab w:val="left" w:leader="none" w:pos="720"/>
        </w:tabs>
        <w:spacing w:after="0" w:lineRule="auto" w:line="480"/>
        <w:jc w:val="both"/>
        <w:rPr>
          <w:rFonts w:cs="Times New Roman"/>
          <w:szCs w:val="24"/>
        </w:rPr>
      </w:pPr>
      <w:r>
        <w:rPr>
          <w:rFonts w:cs="Times New Roman"/>
          <w:color w:val="000000"/>
        </w:rPr>
        <w:tab/>
      </w:r>
      <w:r>
        <w:rPr>
          <w:rFonts w:cs="Times New Roman"/>
          <w:color w:val="000000"/>
        </w:rPr>
        <w:tab/>
      </w:r>
      <w:r>
        <w:rPr>
          <w:rFonts w:cs="Times New Roman"/>
        </w:rPr>
        <w:t>P</w:t>
      </w:r>
      <w:r>
        <w:rPr>
          <w:rFonts w:cs="Times New Roman"/>
        </w:rPr>
        <w:t xml:space="preserve">eningkatan kontrol yang dilakukan oleh manajer karena adanya </w:t>
      </w:r>
      <w:r>
        <w:rPr>
          <w:rFonts w:cs="Times New Roman"/>
          <w:i/>
          <w:iCs/>
        </w:rPr>
        <w:t xml:space="preserve">managerial ownership </w:t>
      </w:r>
      <w:r>
        <w:rPr>
          <w:rFonts w:cs="Times New Roman"/>
        </w:rPr>
        <w:t xml:space="preserve">akan </w:t>
      </w:r>
      <w:r>
        <w:rPr>
          <w:rFonts w:cs="Times New Roman"/>
        </w:rPr>
        <w:t>memotivasi karyawan</w:t>
      </w:r>
      <w:r>
        <w:rPr>
          <w:rFonts w:cs="Times New Roman"/>
        </w:rPr>
        <w:t xml:space="preserve"> dan </w:t>
      </w:r>
      <w:r>
        <w:rPr>
          <w:rFonts w:cs="Times New Roman"/>
        </w:rPr>
        <w:t xml:space="preserve">berdampak pada optimalnya kegiatan perusahaan dalam mencapai tujuan </w:t>
      </w:r>
      <w:r>
        <w:rPr>
          <w:rFonts w:cs="Times New Roman" w:eastAsia="Times New Roman"/>
          <w:color w:val="000000"/>
        </w:rPr>
        <w:t xml:space="preserve">(Ifada </w:t>
      </w:r>
      <w:r>
        <w:rPr>
          <w:rFonts w:cs="Times New Roman" w:eastAsia="Times New Roman"/>
          <w:i/>
          <w:iCs/>
          <w:color w:val="000000"/>
        </w:rPr>
        <w:t>et al</w:t>
      </w:r>
      <w:r>
        <w:rPr>
          <w:rFonts w:cs="Times New Roman" w:eastAsia="Times New Roman"/>
          <w:color w:val="000000"/>
        </w:rPr>
        <w:t xml:space="preserve">., 2021; Edhitya CP &amp; </w:t>
      </w:r>
      <w:r>
        <w:rPr>
          <w:rFonts w:cs="Times New Roman" w:eastAsia="Times New Roman"/>
          <w:color w:val="000000"/>
        </w:rPr>
        <w:t xml:space="preserve">Suzan, 2023; Ismanto </w:t>
      </w:r>
      <w:r>
        <w:rPr>
          <w:rFonts w:cs="Times New Roman" w:eastAsia="Times New Roman"/>
          <w:i/>
          <w:iCs/>
          <w:color w:val="000000"/>
        </w:rPr>
        <w:t>et al</w:t>
      </w:r>
      <w:r>
        <w:rPr>
          <w:rFonts w:cs="Times New Roman" w:eastAsia="Times New Roman"/>
          <w:color w:val="000000"/>
        </w:rPr>
        <w:t>., 2023)</w:t>
      </w:r>
      <w:r>
        <w:rPr>
          <w:rFonts w:cs="Times New Roman"/>
        </w:rPr>
        <w:t xml:space="preserve">. </w:t>
      </w:r>
      <w:r>
        <w:rPr>
          <w:rFonts w:cs="Times New Roman"/>
          <w:color w:val="000000"/>
          <w:szCs w:val="24"/>
        </w:rPr>
        <w:t xml:space="preserve">Perusahaan memerlukan </w:t>
      </w:r>
      <w:r>
        <w:rPr>
          <w:rFonts w:cs="Times New Roman"/>
          <w:i/>
          <w:iCs/>
          <w:szCs w:val="24"/>
        </w:rPr>
        <w:t xml:space="preserve">managerial ownership </w:t>
      </w:r>
      <w:r>
        <w:rPr>
          <w:rFonts w:cs="Times New Roman"/>
          <w:szCs w:val="24"/>
        </w:rPr>
        <w:t>agar</w:t>
      </w:r>
      <w:r>
        <w:rPr>
          <w:rFonts w:cs="Times New Roman"/>
          <w:i/>
          <w:iCs/>
          <w:szCs w:val="24"/>
        </w:rPr>
        <w:t xml:space="preserve"> </w:t>
      </w:r>
      <w:r>
        <w:rPr>
          <w:rFonts w:cs="Times New Roman"/>
          <w:szCs w:val="24"/>
        </w:rPr>
        <w:t xml:space="preserve">memantau secara langsung kinerja perusahaan sehingga </w:t>
      </w:r>
      <w:r>
        <w:rPr>
          <w:rFonts w:cs="Times New Roman"/>
          <w:szCs w:val="24"/>
        </w:rPr>
        <w:t xml:space="preserve">dapat </w:t>
      </w:r>
      <w:r>
        <w:rPr>
          <w:rFonts w:cs="Times New Roman"/>
          <w:szCs w:val="24"/>
        </w:rPr>
        <w:t xml:space="preserve">mengurangi konflik </w:t>
      </w:r>
      <w:r>
        <w:rPr>
          <w:rFonts w:cs="Times New Roman"/>
        </w:rPr>
        <w:t xml:space="preserve">kepentingan </w:t>
      </w:r>
      <w:r>
        <w:rPr>
          <w:rFonts w:cs="Times New Roman"/>
          <w:i/>
          <w:iCs/>
        </w:rPr>
        <w:t>principal</w:t>
      </w:r>
      <w:r>
        <w:rPr>
          <w:rFonts w:cs="Times New Roman"/>
        </w:rPr>
        <w:t xml:space="preserve"> dan agen </w:t>
      </w:r>
      <w:r>
        <w:rPr>
          <w:rFonts w:cs="Times New Roman"/>
          <w:szCs w:val="24"/>
        </w:rPr>
        <w:t xml:space="preserve">yang terjadi pada </w:t>
      </w:r>
      <w:r>
        <w:rPr>
          <w:rFonts w:cs="Times New Roman"/>
          <w:i/>
          <w:iCs/>
          <w:szCs w:val="24"/>
        </w:rPr>
        <w:t xml:space="preserve">agency theory </w:t>
      </w:r>
      <w:r>
        <w:rPr>
          <w:rFonts w:cs="Times New Roman" w:eastAsia="Times New Roman"/>
          <w:color w:val="000000"/>
        </w:rPr>
        <w:t xml:space="preserve">(Shan, 2019; Firdaus </w:t>
      </w:r>
      <w:r>
        <w:rPr>
          <w:rFonts w:cs="Times New Roman" w:eastAsia="Times New Roman"/>
          <w:i/>
          <w:iCs/>
          <w:color w:val="000000"/>
        </w:rPr>
        <w:t>et al</w:t>
      </w:r>
      <w:r>
        <w:rPr>
          <w:rFonts w:cs="Times New Roman" w:eastAsia="Times New Roman"/>
          <w:color w:val="000000"/>
        </w:rPr>
        <w:t>., 2024; Yusmir &amp; Mulyani, 2024)</w:t>
      </w:r>
      <w:r>
        <w:rPr>
          <w:rFonts w:cs="Times New Roman"/>
          <w:szCs w:val="24"/>
        </w:rPr>
        <w:t>.</w:t>
      </w:r>
      <w:r>
        <w:rPr>
          <w:rFonts w:cs="Times New Roman"/>
          <w:szCs w:val="24"/>
        </w:rPr>
        <w:t xml:space="preserve"> </w:t>
      </w:r>
      <w:r>
        <w:rPr>
          <w:rFonts w:cs="Times New Roman"/>
          <w:color w:val="000000"/>
        </w:rPr>
        <w:t xml:space="preserve">Kepemilikan saham oleh manajer atau </w:t>
      </w:r>
      <w:r>
        <w:rPr>
          <w:rFonts w:cs="Times New Roman"/>
          <w:i/>
          <w:iCs/>
          <w:color w:val="000000"/>
        </w:rPr>
        <w:t>managerial ownership</w:t>
      </w:r>
      <w:r>
        <w:rPr>
          <w:rFonts w:cs="Times New Roman"/>
          <w:i/>
          <w:iCs/>
          <w:color w:val="000000"/>
        </w:rPr>
        <w:t xml:space="preserve"> </w:t>
      </w:r>
      <w:r>
        <w:rPr>
          <w:rFonts w:cs="Times New Roman"/>
          <w:color w:val="000000"/>
        </w:rPr>
        <w:t xml:space="preserve">disarankan agar tidak diterapkan secara terpisah sehingga perlu adanya mekanisme tata kelola lainnya seperti </w:t>
      </w:r>
      <w:r>
        <w:rPr>
          <w:rFonts w:cs="Times New Roman"/>
          <w:i/>
          <w:iCs/>
          <w:color w:val="000000"/>
        </w:rPr>
        <w:t>institutional ownership</w:t>
      </w:r>
      <w:r>
        <w:rPr>
          <w:rFonts w:cs="Times New Roman"/>
          <w:color w:val="000000"/>
        </w:rPr>
        <w:t xml:space="preserve"> atau kepemilikan saham oleh institusi </w:t>
      </w:r>
      <w:r>
        <w:rPr>
          <w:rFonts w:cs="Times New Roman"/>
          <w:color w:val="000000"/>
        </w:rPr>
        <w:t>(Shan, 2019)</w:t>
      </w:r>
      <w:r>
        <w:rPr>
          <w:rFonts w:cs="Times New Roman"/>
          <w:color w:val="000000"/>
        </w:rPr>
        <w:t>.</w:t>
      </w:r>
      <w:r>
        <w:rPr>
          <w:rFonts w:cs="Times New Roman"/>
        </w:rPr>
        <w:t xml:space="preserve"> </w:t>
      </w:r>
    </w:p>
    <w:p>
      <w:pPr>
        <w:pStyle w:val="style0"/>
        <w:spacing w:after="0" w:lineRule="auto" w:line="480"/>
        <w:ind w:firstLine="720"/>
        <w:jc w:val="both"/>
        <w:rPr>
          <w:rFonts w:cs="Times New Roman"/>
        </w:rPr>
      </w:pPr>
      <w:r>
        <w:rPr>
          <w:rFonts w:cs="Times New Roman"/>
          <w:color w:val="000000"/>
        </w:rPr>
        <w:t xml:space="preserve">Bathala </w:t>
      </w:r>
      <w:r>
        <w:rPr>
          <w:rFonts w:cs="Times New Roman"/>
          <w:i/>
          <w:iCs/>
          <w:color w:val="000000"/>
        </w:rPr>
        <w:t>et al</w:t>
      </w:r>
      <w:r>
        <w:rPr>
          <w:rFonts w:cs="Times New Roman"/>
          <w:color w:val="000000"/>
        </w:rPr>
        <w:t>. (1994)</w:t>
      </w:r>
      <w:r>
        <w:rPr>
          <w:rFonts w:cs="Times New Roman"/>
          <w:color w:val="000000"/>
        </w:rPr>
        <w:t xml:space="preserve"> menjelaska</w:t>
      </w:r>
      <w:r>
        <w:rPr>
          <w:rFonts w:cs="Times New Roman"/>
          <w:color w:val="000000"/>
        </w:rPr>
        <w:t xml:space="preserve">n pentingnya peran pemantauan atau pengawasan eksternal </w:t>
      </w:r>
      <w:r>
        <w:rPr>
          <w:rFonts w:cs="Times New Roman"/>
          <w:color w:val="000000"/>
        </w:rPr>
        <w:t>karena adanya kepemilikan saham oleh institusi</w:t>
      </w:r>
      <w:r>
        <w:rPr>
          <w:rFonts w:cs="Times New Roman"/>
          <w:color w:val="000000"/>
        </w:rPr>
        <w:t xml:space="preserve"> </w:t>
      </w:r>
      <w:r>
        <w:rPr>
          <w:rFonts w:cs="Times New Roman"/>
          <w:color w:val="000000"/>
        </w:rPr>
        <w:t>yang dapat</w:t>
      </w:r>
      <w:r>
        <w:rPr>
          <w:rFonts w:cs="Times New Roman"/>
          <w:color w:val="000000"/>
        </w:rPr>
        <w:t xml:space="preserve"> mengurangi konflik dari </w:t>
      </w:r>
      <w:r>
        <w:rPr>
          <w:rFonts w:cs="Times New Roman"/>
          <w:i/>
          <w:iCs/>
          <w:color w:val="000000"/>
        </w:rPr>
        <w:t>agency theory.</w:t>
      </w:r>
      <w:r>
        <w:rPr>
          <w:rFonts w:cs="Times New Roman"/>
          <w:i/>
          <w:iCs/>
          <w:color w:val="000000"/>
        </w:rPr>
        <w:t xml:space="preserve"> </w:t>
      </w:r>
      <w:r>
        <w:rPr>
          <w:rFonts w:cs="Times New Roman"/>
          <w:color w:val="000000"/>
        </w:rPr>
        <w:t>Institusi merupakan principal sebagai pihak pengawasan eksternal</w:t>
      </w:r>
      <w:r>
        <w:rPr>
          <w:rFonts w:cs="Times New Roman"/>
          <w:color w:val="000000"/>
        </w:rPr>
        <w:t xml:space="preserve">. </w:t>
      </w:r>
      <w:r>
        <w:rPr>
          <w:rFonts w:cs="Times New Roman" w:eastAsia="Times New Roman"/>
          <w:color w:val="000000"/>
        </w:rPr>
        <w:t>Agrawal &amp; Mandelker (1990)</w:t>
      </w:r>
      <w:r>
        <w:rPr>
          <w:rFonts w:cs="Times New Roman"/>
          <w:color w:val="000000"/>
        </w:rPr>
        <w:t xml:space="preserve"> </w:t>
      </w:r>
      <w:r>
        <w:rPr>
          <w:rFonts w:cs="Times New Roman"/>
          <w:color w:val="000000"/>
        </w:rPr>
        <w:t xml:space="preserve">menjelaskan </w:t>
      </w:r>
      <w:r>
        <w:rPr>
          <w:rFonts w:cs="Times New Roman"/>
          <w:color w:val="000000"/>
        </w:rPr>
        <w:t xml:space="preserve">kepemilikan saham oleh </w:t>
      </w:r>
      <w:r>
        <w:rPr>
          <w:rFonts w:cs="Times New Roman"/>
          <w:color w:val="000000"/>
        </w:rPr>
        <w:t xml:space="preserve">institusi </w:t>
      </w:r>
      <w:r>
        <w:rPr>
          <w:rFonts w:cs="Times New Roman"/>
          <w:color w:val="000000"/>
        </w:rPr>
        <w:t xml:space="preserve">atau </w:t>
      </w:r>
      <w:r>
        <w:rPr>
          <w:rFonts w:cs="Times New Roman"/>
          <w:i/>
          <w:iCs/>
          <w:color w:val="000000"/>
        </w:rPr>
        <w:t xml:space="preserve">institutional ownership </w:t>
      </w:r>
      <w:r>
        <w:rPr>
          <w:rFonts w:cs="Times New Roman"/>
          <w:color w:val="000000"/>
        </w:rPr>
        <w:t xml:space="preserve">sebagai pengawasan </w:t>
      </w:r>
      <w:r>
        <w:rPr>
          <w:rFonts w:cs="Times New Roman"/>
          <w:color w:val="000000"/>
        </w:rPr>
        <w:t>aktif</w:t>
      </w:r>
      <w:r>
        <w:rPr>
          <w:rFonts w:cs="Times New Roman"/>
          <w:color w:val="000000"/>
        </w:rPr>
        <w:t xml:space="preserve"> manajemen sehingga dapat melindungi dan memaksimalkan keuntungan pemegang saham.</w:t>
      </w:r>
      <w:r>
        <w:rPr>
          <w:rFonts w:cs="Times New Roman"/>
        </w:rPr>
        <w:t xml:space="preserve"> </w:t>
      </w:r>
      <w:r>
        <w:rPr>
          <w:rFonts w:cs="Times New Roman"/>
        </w:rPr>
        <w:t xml:space="preserve">Manajer (agen) diberikan batasan dalam mengambil keputusan </w:t>
      </w:r>
      <w:r>
        <w:rPr>
          <w:rFonts w:cs="Times New Roman"/>
        </w:rPr>
        <w:t xml:space="preserve">atau </w:t>
      </w:r>
      <w:r>
        <w:rPr>
          <w:rFonts w:cs="Times New Roman"/>
        </w:rPr>
        <w:t>untuk</w:t>
      </w:r>
      <w:r>
        <w:rPr>
          <w:rFonts w:cs="Times New Roman"/>
        </w:rPr>
        <w:t xml:space="preserve"> mencegah adanya perilaku tindakan kecurangan atau mementingkan kepentingan sendiri </w:t>
      </w:r>
      <w:r>
        <w:rPr>
          <w:rFonts w:cs="Times New Roman"/>
        </w:rPr>
        <w:t>karena tingkat kepemilikan yang terlalu tinggi</w:t>
      </w:r>
      <w:r>
        <w:rPr>
          <w:rFonts w:cs="Times New Roman"/>
        </w:rPr>
        <w:t xml:space="preserve"> </w:t>
      </w:r>
      <w:r>
        <w:rPr>
          <w:rFonts w:cs="Times New Roman" w:eastAsia="Times New Roman"/>
          <w:color w:val="000000"/>
        </w:rPr>
        <w:t>(Fama, 1980; Fama &amp; Jensen, 1983; Zogning, 2017)</w:t>
      </w:r>
      <w:r>
        <w:rPr>
          <w:rFonts w:cs="Times New Roman"/>
        </w:rPr>
        <w:t>.</w:t>
      </w:r>
      <w:r>
        <w:rPr>
          <w:rFonts w:cs="Times New Roman"/>
          <w:color w:val="000000"/>
        </w:rPr>
        <w:t xml:space="preserve"> </w:t>
      </w:r>
      <w:r>
        <w:rPr>
          <w:rFonts w:cs="Times New Roman" w:eastAsia="Times New Roman"/>
          <w:i/>
          <w:color w:val="000000"/>
          <w:szCs w:val="24"/>
        </w:rPr>
        <w:t>I</w:t>
      </w:r>
      <w:r>
        <w:rPr>
          <w:rFonts w:cs="Times New Roman"/>
          <w:i/>
          <w:iCs/>
        </w:rPr>
        <w:t>nstitutional ownership</w:t>
      </w:r>
      <w:r>
        <w:rPr>
          <w:rFonts w:cs="Times New Roman"/>
        </w:rPr>
        <w:t xml:space="preserve"> </w:t>
      </w:r>
      <w:r>
        <w:rPr>
          <w:rFonts w:cs="Times New Roman"/>
        </w:rPr>
        <w:t xml:space="preserve">juga </w:t>
      </w:r>
      <w:r>
        <w:rPr>
          <w:rFonts w:cs="Times New Roman"/>
        </w:rPr>
        <w:t>diperlukan agar meningkatkan pengawasan pada manajemen sehingga terciptanya penggunaan aset yang efektif dan menghindari pemborosan</w:t>
      </w:r>
      <w:r>
        <w:rPr>
          <w:rFonts w:cs="Times New Roman"/>
          <w:i/>
          <w:iCs/>
        </w:rPr>
        <w:t xml:space="preserve"> </w:t>
      </w:r>
      <w:r>
        <w:rPr>
          <w:rFonts w:cs="Times New Roman" w:eastAsia="Times New Roman"/>
          <w:color w:val="000000"/>
        </w:rPr>
        <w:t>(Cristofel &amp; Kurniawati, 2021)</w:t>
      </w:r>
      <w:r>
        <w:rPr>
          <w:rFonts w:cs="Times New Roman"/>
          <w:color w:val="000000"/>
        </w:rPr>
        <w:t>.</w:t>
      </w:r>
    </w:p>
    <w:p>
      <w:pPr>
        <w:pStyle w:val="style0"/>
        <w:spacing w:after="0" w:lineRule="auto" w:line="480"/>
        <w:ind w:firstLine="720"/>
        <w:jc w:val="both"/>
        <w:rPr>
          <w:rFonts w:cs="Times New Roman"/>
        </w:rPr>
      </w:pPr>
      <w:r>
        <w:rPr>
          <w:rFonts w:cs="Times New Roman"/>
          <w:color w:val="000000"/>
        </w:rPr>
        <w:t>P</w:t>
      </w:r>
      <w:r>
        <w:rPr>
          <w:rFonts w:cs="Times New Roman"/>
          <w:color w:val="000000"/>
        </w:rPr>
        <w:t xml:space="preserve">eran institusi dan manajer dalam perusahaan yang sama pentingnya sehingga dapat </w:t>
      </w:r>
      <w:r>
        <w:rPr>
          <w:rFonts w:cs="Times New Roman"/>
          <w:color w:val="000000"/>
        </w:rPr>
        <w:t xml:space="preserve">mengurangi konflik dari </w:t>
      </w:r>
      <w:r>
        <w:rPr>
          <w:rFonts w:cs="Times New Roman"/>
          <w:i/>
          <w:iCs/>
          <w:color w:val="000000"/>
        </w:rPr>
        <w:t xml:space="preserve">agency theory. </w:t>
      </w:r>
      <w:r>
        <w:rPr>
          <w:rFonts w:cs="Times New Roman" w:eastAsia="Times New Roman"/>
          <w:color w:val="000000"/>
        </w:rPr>
        <w:t>Jensen &amp; Meckling (1976)</w:t>
      </w:r>
      <w:r>
        <w:rPr>
          <w:rFonts w:cs="Times New Roman"/>
          <w:color w:val="000000"/>
        </w:rPr>
        <w:t xml:space="preserve">, </w:t>
      </w:r>
      <w:r>
        <w:rPr>
          <w:rFonts w:cs="Times New Roman"/>
          <w:color w:val="000000"/>
        </w:rPr>
        <w:t xml:space="preserve">Bathala </w:t>
      </w:r>
      <w:r>
        <w:rPr>
          <w:rFonts w:cs="Times New Roman"/>
          <w:i/>
          <w:iCs/>
          <w:color w:val="000000"/>
        </w:rPr>
        <w:t>et al</w:t>
      </w:r>
      <w:r>
        <w:rPr>
          <w:rFonts w:cs="Times New Roman"/>
          <w:color w:val="000000"/>
        </w:rPr>
        <w:t>. (1994)</w:t>
      </w:r>
      <w:r>
        <w:rPr>
          <w:rFonts w:cs="Times New Roman"/>
          <w:color w:val="000000"/>
        </w:rPr>
        <w:t>, dan</w:t>
      </w:r>
      <w:r>
        <w:rPr>
          <w:rFonts w:cs="Times New Roman"/>
        </w:rPr>
        <w:t xml:space="preserve"> </w:t>
      </w:r>
      <w:r>
        <w:rPr>
          <w:rFonts w:cs="Times New Roman" w:eastAsia="Times New Roman"/>
          <w:color w:val="000000"/>
        </w:rPr>
        <w:t>Demsetz &amp; Villalonga (2001)</w:t>
      </w:r>
      <w:r>
        <w:rPr>
          <w:rFonts w:cs="Times New Roman"/>
          <w:color w:val="000000"/>
        </w:rPr>
        <w:t xml:space="preserve"> </w:t>
      </w:r>
      <w:r>
        <w:rPr>
          <w:rFonts w:cs="Times New Roman"/>
          <w:color w:val="000000"/>
        </w:rPr>
        <w:t xml:space="preserve">menjelaskan terkait penyelesaian konflik </w:t>
      </w:r>
      <w:r>
        <w:rPr>
          <w:rFonts w:cs="Times New Roman"/>
          <w:i/>
          <w:iCs/>
          <w:color w:val="000000"/>
        </w:rPr>
        <w:t>agency</w:t>
      </w:r>
      <w:r>
        <w:rPr>
          <w:rFonts w:cs="Times New Roman"/>
          <w:color w:val="000000"/>
        </w:rPr>
        <w:t xml:space="preserve"> dengan menciptakan kepemilikan yang seimbang </w:t>
      </w:r>
      <w:r>
        <w:rPr>
          <w:rFonts w:cs="Times New Roman"/>
          <w:color w:val="000000"/>
        </w:rPr>
        <w:t>antara manajer dan institusi sehingga dapat memaksimalkan kinerja</w:t>
      </w:r>
      <w:r>
        <w:rPr>
          <w:rFonts w:cs="Times New Roman"/>
          <w:i/>
          <w:iCs/>
          <w:color w:val="000000"/>
        </w:rPr>
        <w:t xml:space="preserve">. </w:t>
      </w:r>
      <w:r>
        <w:rPr>
          <w:rFonts w:cs="Times New Roman"/>
        </w:rPr>
        <w:t xml:space="preserve">Besarnya kinerja perusahaan akan mempengaruhi </w:t>
      </w:r>
      <w:r>
        <w:rPr>
          <w:rFonts w:cs="Times New Roman"/>
          <w:i/>
          <w:iCs/>
        </w:rPr>
        <w:t xml:space="preserve">firm value </w:t>
      </w:r>
      <w:r>
        <w:rPr>
          <w:rFonts w:cs="Times New Roman"/>
        </w:rPr>
        <w:t xml:space="preserve">yang didapatkan </w:t>
      </w:r>
      <w:r>
        <w:rPr>
          <w:rFonts w:cs="Times New Roman"/>
          <w:szCs w:val="24"/>
        </w:rPr>
        <w:t xml:space="preserve">karena tetap menjaga kepercayaan investor dan </w:t>
      </w:r>
      <w:r>
        <w:rPr>
          <w:rFonts w:cs="Times New Roman"/>
          <w:color w:val="000000"/>
        </w:rPr>
        <w:t>harga saham yang sedia dibayar dapat naik</w:t>
      </w:r>
      <w:r>
        <w:rPr>
          <w:rFonts w:cs="Times New Roman"/>
        </w:rPr>
        <w:t>.</w:t>
      </w:r>
    </w:p>
    <w:bookmarkStart w:id="29" w:name="_Toc218854601"/>
    <w:p>
      <w:pPr>
        <w:pStyle w:val="style3"/>
        <w:rPr/>
      </w:pPr>
      <w:r>
        <w:t>2.1.</w:t>
      </w:r>
      <w:r>
        <w:t>3</w:t>
      </w:r>
      <w:r>
        <w:t>.</w:t>
      </w:r>
      <w:r>
        <w:t xml:space="preserve"> </w:t>
      </w:r>
      <w:r>
        <w:tab/>
      </w:r>
      <w:r>
        <w:rPr>
          <w:i/>
        </w:rPr>
        <w:t>Firm Value</w:t>
      </w:r>
      <w:bookmarkEnd w:id="29"/>
    </w:p>
    <w:p>
      <w:pPr>
        <w:pStyle w:val="style0"/>
        <w:spacing w:after="0" w:lineRule="auto" w:line="480"/>
        <w:ind w:firstLine="720"/>
        <w:jc w:val="both"/>
        <w:rPr>
          <w:rFonts w:cs="Times New Roman"/>
          <w:noProof/>
        </w:rPr>
      </w:pPr>
      <w:r>
        <w:t xml:space="preserve">Perusahaan melakukan peningkatan </w:t>
      </w:r>
      <w:r>
        <w:rPr>
          <w:i/>
          <w:iCs/>
        </w:rPr>
        <w:t>firm value</w:t>
      </w:r>
      <w:r>
        <w:rPr>
          <w:i/>
          <w:iCs/>
        </w:rPr>
        <w:t xml:space="preserve"> </w:t>
      </w:r>
      <w:r>
        <w:t>untuk mencapai tujuan dan targetnya</w:t>
      </w:r>
      <w:r>
        <w:t xml:space="preserve">. </w:t>
      </w:r>
      <w:r>
        <w:rPr>
          <w:i/>
          <w:iCs/>
          <w:color w:val="000000"/>
        </w:rPr>
        <w:t>F</w:t>
      </w:r>
      <w:r>
        <w:rPr>
          <w:i/>
          <w:iCs/>
          <w:color w:val="000000"/>
        </w:rPr>
        <w:t>irm value</w:t>
      </w:r>
      <w:r>
        <w:rPr>
          <w:color w:val="000000"/>
        </w:rPr>
        <w:t xml:space="preserve"> </w:t>
      </w:r>
      <w:r>
        <w:t xml:space="preserve">biasanya dihubungkan dengan harga saham. </w:t>
      </w:r>
      <w:r>
        <w:rPr>
          <w:rFonts w:cs="Times New Roman"/>
        </w:rPr>
        <w:t xml:space="preserve">Berdasarkan pengertiannya, </w:t>
      </w:r>
      <w:r>
        <w:rPr>
          <w:i/>
          <w:iCs/>
          <w:color w:val="000000"/>
        </w:rPr>
        <w:t>firm value</w:t>
      </w:r>
      <w:r>
        <w:rPr>
          <w:color w:val="000000"/>
        </w:rPr>
        <w:t xml:space="preserve"> </w:t>
      </w:r>
      <w:r>
        <w:t xml:space="preserve">didefinisikan sebagai </w:t>
      </w:r>
      <w:r>
        <w:rPr>
          <w:rFonts w:cs="Times New Roman"/>
        </w:rPr>
        <w:t xml:space="preserve">nilai yang dibayarkan dari hasil kinerja suatu perusahaan yang tercermin dari harga saham </w:t>
      </w:r>
      <w:r>
        <w:rPr>
          <w:rFonts w:cs="Times New Roman"/>
        </w:rPr>
        <w:t>yang dapat memengaruhi</w:t>
      </w:r>
      <w:r>
        <w:rPr>
          <w:rFonts w:cs="Times New Roman"/>
        </w:rPr>
        <w:t xml:space="preserve"> kepercayaan investor</w:t>
      </w:r>
      <w:r>
        <w:rPr>
          <w:rFonts w:cs="Times New Roman"/>
        </w:rPr>
        <w:t xml:space="preserve"> atau pemegang </w:t>
      </w:r>
      <w:r>
        <w:rPr>
          <w:rFonts w:cs="Times New Roman"/>
        </w:rPr>
        <w:t>saham</w:t>
      </w:r>
      <w:r>
        <w:rPr>
          <w:rFonts w:cs="Times New Roman"/>
          <w:color w:val="000000"/>
        </w:rPr>
        <w:t xml:space="preserve"> </w:t>
      </w:r>
      <w:r>
        <w:rPr>
          <w:rFonts w:cs="Times New Roman" w:eastAsia="Times New Roman"/>
          <w:color w:val="000000"/>
        </w:rPr>
        <w:t xml:space="preserve">(Fauziah </w:t>
      </w:r>
      <w:r>
        <w:rPr>
          <w:rFonts w:cs="Times New Roman" w:eastAsia="Times New Roman"/>
          <w:i/>
          <w:iCs/>
          <w:color w:val="000000"/>
        </w:rPr>
        <w:t>et al</w:t>
      </w:r>
      <w:r>
        <w:rPr>
          <w:rFonts w:cs="Times New Roman" w:eastAsia="Times New Roman"/>
          <w:color w:val="000000"/>
        </w:rPr>
        <w:t xml:space="preserve">., 2022; Ayem &amp; Seldis, 2023; Wahdah </w:t>
      </w:r>
      <w:r>
        <w:rPr>
          <w:rFonts w:cs="Times New Roman" w:eastAsia="Times New Roman"/>
          <w:i/>
          <w:iCs/>
          <w:color w:val="000000"/>
        </w:rPr>
        <w:t>et al</w:t>
      </w:r>
      <w:r>
        <w:rPr>
          <w:rFonts w:cs="Times New Roman" w:eastAsia="Times New Roman"/>
          <w:color w:val="000000"/>
        </w:rPr>
        <w:t>., 2024)</w:t>
      </w:r>
      <w:r>
        <w:rPr>
          <w:rFonts w:cs="Times New Roman"/>
          <w:color w:val="000000"/>
        </w:rPr>
        <w:t xml:space="preserve">. </w:t>
      </w:r>
      <w:r>
        <w:rPr>
          <w:rFonts w:cs="Times New Roman"/>
          <w:color w:val="000000"/>
        </w:rPr>
        <w:t>Oleh karena itu</w:t>
      </w:r>
      <w:r>
        <w:rPr>
          <w:rFonts w:cs="Times New Roman"/>
          <w:color w:val="000000"/>
        </w:rPr>
        <w:t>,</w:t>
      </w:r>
      <w:r>
        <w:rPr>
          <w:rFonts w:cs="Times New Roman"/>
          <w:color w:val="000000"/>
        </w:rPr>
        <w:t xml:space="preserve"> tinggi</w:t>
      </w:r>
      <w:r>
        <w:rPr>
          <w:rFonts w:cs="Times New Roman"/>
          <w:color w:val="000000"/>
        </w:rPr>
        <w:t>nya</w:t>
      </w:r>
      <w:r>
        <w:rPr>
          <w:rFonts w:cs="Times New Roman"/>
          <w:color w:val="000000"/>
        </w:rPr>
        <w:t xml:space="preserve"> harga saham suatu perusahaan</w:t>
      </w:r>
      <w:r>
        <w:rPr>
          <w:rFonts w:cs="Times New Roman"/>
          <w:color w:val="000000"/>
        </w:rPr>
        <w:t xml:space="preserve"> akan mempengaruhi</w:t>
      </w:r>
      <w:r>
        <w:rPr>
          <w:rFonts w:cs="Times New Roman"/>
          <w:color w:val="000000"/>
        </w:rPr>
        <w:t xml:space="preserve"> </w:t>
      </w:r>
      <w:r>
        <w:rPr>
          <w:i/>
          <w:iCs/>
          <w:color w:val="000000"/>
        </w:rPr>
        <w:t>firm value</w:t>
      </w:r>
      <w:r>
        <w:rPr>
          <w:rFonts w:cs="Times New Roman"/>
          <w:color w:val="000000"/>
        </w:rPr>
        <w:t>.</w:t>
      </w:r>
      <w:r>
        <w:rPr>
          <w:rFonts w:cs="Times New Roman"/>
          <w:color w:val="000000"/>
        </w:rPr>
        <w:t xml:space="preserve"> </w:t>
      </w:r>
    </w:p>
    <w:p>
      <w:pPr>
        <w:pStyle w:val="style0"/>
        <w:spacing w:after="0" w:lineRule="auto" w:line="480"/>
        <w:ind w:firstLine="720"/>
        <w:jc w:val="both"/>
        <w:rPr>
          <w:rFonts w:cs="Times New Roman"/>
          <w:noProof/>
        </w:rPr>
      </w:pPr>
      <w:r>
        <w:rPr>
          <w:rFonts w:cs="Times New Roman"/>
          <w:color w:val="000000"/>
        </w:rPr>
        <w:t>T</w:t>
      </w:r>
      <w:r>
        <w:rPr>
          <w:rFonts w:cs="Times New Roman"/>
          <w:color w:val="000000"/>
        </w:rPr>
        <w:t>inggi</w:t>
      </w:r>
      <w:r>
        <w:rPr>
          <w:rFonts w:cs="Times New Roman"/>
          <w:color w:val="000000"/>
        </w:rPr>
        <w:t>nya</w:t>
      </w:r>
      <w:r>
        <w:rPr>
          <w:rFonts w:cs="Times New Roman"/>
          <w:color w:val="000000"/>
        </w:rPr>
        <w:t xml:space="preserve"> </w:t>
      </w:r>
      <w:r>
        <w:rPr>
          <w:i/>
          <w:iCs/>
          <w:color w:val="000000"/>
        </w:rPr>
        <w:t>firm value</w:t>
      </w:r>
      <w:r>
        <w:rPr>
          <w:color w:val="000000"/>
        </w:rPr>
        <w:t xml:space="preserve"> </w:t>
      </w:r>
      <w:r>
        <w:rPr>
          <w:rFonts w:cs="Times New Roman"/>
          <w:color w:val="000000"/>
        </w:rPr>
        <w:t xml:space="preserve">dapat </w:t>
      </w:r>
      <w:r>
        <w:rPr>
          <w:rFonts w:cs="Times New Roman"/>
          <w:color w:val="000000"/>
        </w:rPr>
        <w:t xml:space="preserve">mencerminkan baiknya kondisi </w:t>
      </w:r>
      <w:r>
        <w:rPr>
          <w:rFonts w:cs="Times New Roman"/>
          <w:color w:val="000000"/>
        </w:rPr>
        <w:t xml:space="preserve">perusahaan dan </w:t>
      </w:r>
      <w:r>
        <w:rPr>
          <w:rFonts w:cs="Times New Roman"/>
          <w:color w:val="000000"/>
        </w:rPr>
        <w:t>tingginya tingkat pengembalian investasi</w:t>
      </w:r>
      <w:r>
        <w:rPr>
          <w:rFonts w:cs="Times New Roman"/>
          <w:color w:val="000000"/>
        </w:rPr>
        <w:t>. Hal ini</w:t>
      </w:r>
      <w:r>
        <w:rPr>
          <w:rFonts w:cs="Times New Roman"/>
          <w:color w:val="000000"/>
        </w:rPr>
        <w:t xml:space="preserve"> dapat mempengaruhi persepsi atau opini investor untuk berinvestasi </w:t>
      </w:r>
      <w:r>
        <w:rPr>
          <w:rFonts w:cs="Times New Roman"/>
          <w:color w:val="000000"/>
        </w:rPr>
        <w:t xml:space="preserve">pada </w:t>
      </w:r>
      <w:r>
        <w:rPr>
          <w:rFonts w:cs="Times New Roman"/>
          <w:color w:val="000000"/>
        </w:rPr>
        <w:t>perusahaan tersebut</w:t>
      </w:r>
      <w:r>
        <w:rPr>
          <w:rFonts w:cs="Times New Roman"/>
          <w:color w:val="000000"/>
        </w:rPr>
        <w:t xml:space="preserve">. </w:t>
      </w:r>
      <w:r>
        <w:rPr>
          <w:rFonts w:cs="Times New Roman"/>
          <w:color w:val="000000"/>
        </w:rPr>
        <w:t>Investor memberikan kepercayaan sehingga</w:t>
      </w:r>
      <w:r>
        <w:rPr>
          <w:rFonts w:cs="Times New Roman"/>
          <w:color w:val="000000"/>
        </w:rPr>
        <w:t xml:space="preserve"> </w:t>
      </w:r>
      <w:r>
        <w:rPr>
          <w:rFonts w:cs="Times New Roman"/>
          <w:color w:val="000000"/>
        </w:rPr>
        <w:t xml:space="preserve">bersedia membayar harga yang lebih tinggi karena </w:t>
      </w:r>
      <w:r>
        <w:rPr>
          <w:rFonts w:cs="Times New Roman"/>
          <w:color w:val="000000"/>
        </w:rPr>
        <w:t>besarnya</w:t>
      </w:r>
      <w:r>
        <w:rPr>
          <w:rFonts w:cs="Times New Roman"/>
          <w:color w:val="000000"/>
        </w:rPr>
        <w:t xml:space="preserve"> </w:t>
      </w:r>
      <w:r>
        <w:rPr>
          <w:i/>
          <w:iCs/>
          <w:color w:val="000000"/>
        </w:rPr>
        <w:t>firm value</w:t>
      </w:r>
      <w:r>
        <w:rPr>
          <w:color w:val="000000"/>
        </w:rPr>
        <w:t xml:space="preserve"> </w:t>
      </w:r>
      <w:r>
        <w:rPr>
          <w:rFonts w:cs="Times New Roman"/>
          <w:color w:val="000000"/>
        </w:rPr>
        <w:t xml:space="preserve">(Fauziah </w:t>
      </w:r>
      <w:r>
        <w:rPr>
          <w:rFonts w:cs="Times New Roman"/>
          <w:i/>
          <w:iCs/>
          <w:color w:val="000000"/>
        </w:rPr>
        <w:t>et al</w:t>
      </w:r>
      <w:r>
        <w:rPr>
          <w:rFonts w:cs="Times New Roman"/>
          <w:color w:val="000000"/>
        </w:rPr>
        <w:t>., 2022)</w:t>
      </w:r>
      <w:r>
        <w:rPr>
          <w:rFonts w:cs="Times New Roman"/>
          <w:color w:val="000000"/>
        </w:rPr>
        <w:t xml:space="preserve">. </w:t>
      </w:r>
    </w:p>
    <w:p>
      <w:pPr>
        <w:pStyle w:val="style0"/>
        <w:spacing w:after="0" w:lineRule="auto" w:line="480"/>
        <w:ind w:firstLine="720"/>
        <w:jc w:val="both"/>
        <w:rPr>
          <w:rFonts w:cs="Times New Roman"/>
          <w:color w:val="000000"/>
        </w:rPr>
      </w:pPr>
      <w:r>
        <w:rPr>
          <w:i/>
          <w:iCs/>
          <w:color w:val="000000"/>
        </w:rPr>
        <w:t>Firm value</w:t>
      </w:r>
      <w:r>
        <w:rPr>
          <w:color w:val="000000"/>
        </w:rPr>
        <w:t xml:space="preserve"> </w:t>
      </w:r>
      <w:r>
        <w:rPr>
          <w:rFonts w:cs="Times New Roman"/>
          <w:color w:val="000000"/>
        </w:rPr>
        <w:t>dapat digambarkan dengan menghitung menggunakan rasio</w:t>
      </w:r>
      <w:r>
        <w:rPr>
          <w:rFonts w:cs="Times New Roman"/>
          <w:color w:val="000000"/>
        </w:rPr>
        <w:t xml:space="preserve"> keuangan salah satunya yaitu rasio </w:t>
      </w:r>
      <w:r>
        <w:rPr>
          <w:rFonts w:cs="Times New Roman"/>
          <w:i/>
          <w:iCs/>
          <w:color w:val="000000"/>
        </w:rPr>
        <w:t>Tobin’s Q</w:t>
      </w:r>
      <w:r>
        <w:rPr>
          <w:rFonts w:cs="Times New Roman"/>
          <w:color w:val="000000"/>
        </w:rPr>
        <w:t>. Rasio ini menghitung dengan memasukkan unsur</w:t>
      </w:r>
      <w:r>
        <w:rPr>
          <w:rFonts w:cs="Times New Roman"/>
          <w:color w:val="000000"/>
        </w:rPr>
        <w:t>,</w:t>
      </w:r>
      <w:r>
        <w:rPr>
          <w:rFonts w:cs="Times New Roman"/>
          <w:color w:val="000000"/>
        </w:rPr>
        <w:t xml:space="preserve"> </w:t>
      </w:r>
      <w:r>
        <w:rPr>
          <w:rFonts w:cs="Times New Roman"/>
          <w:color w:val="000000"/>
        </w:rPr>
        <w:t>seperti aset, ekuitas, dan liabilitas</w:t>
      </w:r>
      <w:r>
        <w:rPr>
          <w:rFonts w:cs="Times New Roman"/>
          <w:color w:val="000000"/>
        </w:rPr>
        <w:t>. Dengan menggunakan rasio ini, p</w:t>
      </w:r>
      <w:r>
        <w:rPr>
          <w:rFonts w:cs="Times New Roman"/>
          <w:color w:val="000000"/>
        </w:rPr>
        <w:t xml:space="preserve">erusahaan dapat dikatakan memenuhi potensi </w:t>
      </w:r>
      <w:r>
        <w:rPr>
          <w:rFonts w:cs="Times New Roman"/>
          <w:color w:val="000000"/>
        </w:rPr>
        <w:t xml:space="preserve">atau pertumbuhan </w:t>
      </w:r>
      <w:r>
        <w:rPr>
          <w:rFonts w:cs="Times New Roman"/>
          <w:color w:val="000000"/>
        </w:rPr>
        <w:t>yang baik</w:t>
      </w:r>
      <w:r>
        <w:rPr>
          <w:rFonts w:cs="Times New Roman"/>
          <w:color w:val="000000"/>
        </w:rPr>
        <w:t>,</w:t>
      </w:r>
      <w:r>
        <w:rPr>
          <w:rFonts w:cs="Times New Roman"/>
          <w:color w:val="000000"/>
        </w:rPr>
        <w:t xml:space="preserve"> jika nilai pasar </w:t>
      </w:r>
      <w:r>
        <w:rPr>
          <w:rFonts w:cs="Times New Roman"/>
          <w:color w:val="000000"/>
        </w:rPr>
        <w:t xml:space="preserve">perusahaan </w:t>
      </w:r>
      <w:r>
        <w:rPr>
          <w:rFonts w:cs="Times New Roman"/>
          <w:color w:val="000000"/>
        </w:rPr>
        <w:t xml:space="preserve">lebih besar daripada biaya </w:t>
      </w:r>
      <w:r>
        <w:rPr>
          <w:rFonts w:cs="Times New Roman"/>
          <w:color w:val="000000"/>
        </w:rPr>
        <w:t>yang dikeluarkan</w:t>
      </w:r>
      <w:r>
        <w:rPr>
          <w:rFonts w:cs="Times New Roman"/>
          <w:color w:val="000000"/>
        </w:rPr>
        <w:t xml:space="preserve"> untuk mengganti </w:t>
      </w:r>
      <w:r>
        <w:rPr>
          <w:rFonts w:cs="Times New Roman"/>
          <w:color w:val="000000"/>
        </w:rPr>
        <w:t xml:space="preserve">asetnya sehingga memberikan minat investasi </w:t>
      </w:r>
      <w:r>
        <w:rPr>
          <w:rFonts w:cs="Times New Roman" w:eastAsia="Times New Roman"/>
          <w:color w:val="000000"/>
        </w:rPr>
        <w:t>(Ana &amp; Wibowo, 2025)</w:t>
      </w:r>
      <w:r>
        <w:rPr>
          <w:rFonts w:cs="Times New Roman"/>
          <w:color w:val="000000"/>
        </w:rPr>
        <w:t>.</w:t>
      </w:r>
      <w:r>
        <w:rPr>
          <w:rFonts w:cs="Times New Roman"/>
          <w:color w:val="000000"/>
        </w:rPr>
        <w:t xml:space="preserve"> </w:t>
      </w:r>
    </w:p>
    <w:bookmarkStart w:id="30" w:name="_Toc218854602"/>
    <w:p>
      <w:pPr>
        <w:pStyle w:val="style3"/>
        <w:rPr/>
      </w:pPr>
      <w:r>
        <w:t>2.1.</w:t>
      </w:r>
      <w:r>
        <w:t>4</w:t>
      </w:r>
      <w:r>
        <w:t>.</w:t>
      </w:r>
      <w:r>
        <w:t xml:space="preserve"> </w:t>
      </w:r>
      <w:r>
        <w:tab/>
      </w:r>
      <w:r>
        <w:rPr>
          <w:i/>
          <w:iCs/>
        </w:rPr>
        <w:t>Enterprise Risk Management</w:t>
      </w:r>
      <w:bookmarkEnd w:id="30"/>
    </w:p>
    <w:p>
      <w:pPr>
        <w:pStyle w:val="style0"/>
        <w:tabs>
          <w:tab w:val="left" w:leader="none" w:pos="720"/>
        </w:tabs>
        <w:spacing w:after="0" w:lineRule="auto" w:line="480"/>
        <w:jc w:val="both"/>
        <w:rPr>
          <w:rFonts w:cs="Times New Roman"/>
        </w:rPr>
      </w:pPr>
      <w:r>
        <w:rPr>
          <w:rFonts w:cs="Times New Roman"/>
          <w:i/>
          <w:iCs/>
        </w:rPr>
        <w:tab/>
      </w:r>
      <w:r>
        <w:rPr>
          <w:rFonts w:cs="Times New Roman"/>
          <w:i/>
          <w:iCs/>
        </w:rPr>
        <w:t xml:space="preserve">Enterprise risk management </w:t>
      </w:r>
      <w:r>
        <w:rPr>
          <w:rFonts w:cs="Times New Roman"/>
        </w:rPr>
        <w:t>adalah</w:t>
      </w:r>
      <w:r>
        <w:rPr>
          <w:rFonts w:cs="Times New Roman"/>
        </w:rPr>
        <w:t xml:space="preserve"> strategi yang digunakan perusahaan untuk mengontrol dan mengatur risiko perusahaan yang dapat menambah </w:t>
      </w:r>
      <w:r>
        <w:rPr>
          <w:i/>
          <w:iCs/>
          <w:color w:val="000000"/>
        </w:rPr>
        <w:t>firm value</w:t>
      </w:r>
      <w:r>
        <w:rPr>
          <w:color w:val="000000"/>
        </w:rPr>
        <w:t xml:space="preserve"> </w:t>
      </w:r>
      <w:r>
        <w:rPr>
          <w:rFonts w:cs="Times New Roman" w:eastAsia="Times New Roman"/>
          <w:color w:val="000000"/>
        </w:rPr>
        <w:t xml:space="preserve">(Amerta &amp; Soenarno, 2022; Fauziah </w:t>
      </w:r>
      <w:r>
        <w:rPr>
          <w:rFonts w:cs="Times New Roman" w:eastAsia="Times New Roman"/>
          <w:i/>
          <w:iCs/>
          <w:color w:val="000000"/>
        </w:rPr>
        <w:t>et al</w:t>
      </w:r>
      <w:r>
        <w:rPr>
          <w:rFonts w:cs="Times New Roman" w:eastAsia="Times New Roman"/>
          <w:color w:val="000000"/>
        </w:rPr>
        <w:t>., 2022; Hardi &amp; Baskara, 2024)</w:t>
      </w:r>
      <w:r>
        <w:rPr>
          <w:rFonts w:cs="Times New Roman"/>
          <w:color w:val="000000"/>
        </w:rPr>
        <w:t>.</w:t>
      </w:r>
      <w:r>
        <w:rPr>
          <w:rFonts w:cs="Times New Roman"/>
          <w:color w:val="000000"/>
        </w:rPr>
        <w:t xml:space="preserve"> </w:t>
      </w:r>
      <w:r>
        <w:rPr>
          <w:rFonts w:cs="Times New Roman"/>
          <w:i/>
          <w:iCs/>
        </w:rPr>
        <w:t>Enterprise risk management</w:t>
      </w:r>
      <w:r>
        <w:rPr>
          <w:rFonts w:cs="Times New Roman"/>
        </w:rPr>
        <w:t xml:space="preserve"> bertujuan agar perusahaan</w:t>
      </w:r>
      <w:r>
        <w:rPr>
          <w:rFonts w:cs="Times New Roman"/>
        </w:rPr>
        <w:t xml:space="preserve"> serta manajemen dapat dengan mudah dan</w:t>
      </w:r>
      <w:r>
        <w:rPr>
          <w:rFonts w:cs="Times New Roman"/>
        </w:rPr>
        <w:t xml:space="preserve"> </w:t>
      </w:r>
      <w:r>
        <w:rPr>
          <w:rFonts w:cs="Times New Roman"/>
        </w:rPr>
        <w:t>cekatan dalam mengambil keputusan</w:t>
      </w:r>
      <w:r>
        <w:rPr>
          <w:rFonts w:cs="Times New Roman"/>
        </w:rPr>
        <w:t xml:space="preserve"> dan mengendalikan</w:t>
      </w:r>
      <w:r>
        <w:rPr>
          <w:rFonts w:cs="Times New Roman"/>
        </w:rPr>
        <w:t xml:space="preserve"> </w:t>
      </w:r>
      <w:r>
        <w:rPr>
          <w:rFonts w:cs="Times New Roman"/>
          <w:color w:val="000000"/>
        </w:rPr>
        <w:t xml:space="preserve">risiko tersebut </w:t>
      </w:r>
      <w:r>
        <w:rPr>
          <w:rFonts w:cs="Times New Roman"/>
          <w:color w:val="000000"/>
        </w:rPr>
        <w:t xml:space="preserve">agar </w:t>
      </w:r>
      <w:r>
        <w:rPr>
          <w:rFonts w:cs="Times New Roman"/>
          <w:color w:val="000000"/>
        </w:rPr>
        <w:t>dapat terkontrol</w:t>
      </w:r>
      <w:r>
        <w:rPr>
          <w:rFonts w:cs="Times New Roman"/>
        </w:rPr>
        <w:t xml:space="preserve">. </w:t>
      </w:r>
    </w:p>
    <w:p>
      <w:pPr>
        <w:pStyle w:val="style0"/>
        <w:spacing w:after="0" w:lineRule="auto" w:line="480"/>
        <w:ind w:firstLine="720"/>
        <w:jc w:val="both"/>
        <w:rPr>
          <w:color w:val="000000"/>
        </w:rPr>
      </w:pPr>
      <w:r>
        <w:rPr>
          <w:rFonts w:cs="Times New Roman" w:eastAsia="Times New Roman"/>
          <w:iCs/>
          <w:szCs w:val="24"/>
        </w:rPr>
        <w:t>P</w:t>
      </w:r>
      <w:r>
        <w:rPr>
          <w:rFonts w:cs="Times New Roman" w:eastAsia="Times New Roman"/>
          <w:iCs/>
          <w:szCs w:val="24"/>
        </w:rPr>
        <w:t xml:space="preserve">enerapan </w:t>
      </w:r>
      <w:r>
        <w:rPr>
          <w:rFonts w:cs="Times New Roman" w:eastAsia="Times New Roman"/>
          <w:i/>
          <w:szCs w:val="24"/>
        </w:rPr>
        <w:t>enterprise risk management</w:t>
      </w:r>
      <w:r>
        <w:rPr>
          <w:rFonts w:cs="Times New Roman" w:eastAsia="Times New Roman"/>
          <w:iCs/>
          <w:szCs w:val="24"/>
        </w:rPr>
        <w:t xml:space="preserve"> pada perusahaan di Indonesia</w:t>
      </w:r>
      <w:r>
        <w:rPr>
          <w:rFonts w:cs="Times New Roman" w:eastAsia="Times New Roman"/>
          <w:i/>
          <w:szCs w:val="24"/>
        </w:rPr>
        <w:t xml:space="preserve"> </w:t>
      </w:r>
      <w:r>
        <w:rPr>
          <w:rFonts w:cs="Times New Roman" w:eastAsia="Times New Roman"/>
          <w:iCs/>
          <w:szCs w:val="24"/>
        </w:rPr>
        <w:t xml:space="preserve">kurang memadai </w:t>
      </w:r>
      <w:r>
        <w:rPr>
          <w:rFonts w:cs="Times New Roman" w:eastAsia="Times New Roman"/>
          <w:iCs/>
          <w:szCs w:val="24"/>
        </w:rPr>
        <w:t xml:space="preserve">dan </w:t>
      </w:r>
      <w:r>
        <w:rPr>
          <w:rFonts w:cs="Times New Roman" w:eastAsia="Times New Roman"/>
          <w:iCs/>
          <w:szCs w:val="24"/>
        </w:rPr>
        <w:t xml:space="preserve">hanya dilakukan karena adanya kebutuhan serta inisiatif saja </w:t>
      </w:r>
      <w:r>
        <w:rPr>
          <w:rFonts w:cs="Times New Roman" w:eastAsia="Times New Roman"/>
          <w:iCs/>
          <w:color w:val="000000"/>
          <w:szCs w:val="24"/>
        </w:rPr>
        <w:t xml:space="preserve">(Qalby </w:t>
      </w:r>
      <w:r>
        <w:rPr>
          <w:rFonts w:cs="Times New Roman" w:eastAsia="Times New Roman"/>
          <w:i/>
          <w:iCs/>
          <w:color w:val="000000"/>
          <w:szCs w:val="24"/>
        </w:rPr>
        <w:t>et al</w:t>
      </w:r>
      <w:r>
        <w:rPr>
          <w:rFonts w:cs="Times New Roman" w:eastAsia="Times New Roman"/>
          <w:iCs/>
          <w:color w:val="000000"/>
          <w:szCs w:val="24"/>
        </w:rPr>
        <w:t>., 2023; SISI, 2023)</w:t>
      </w:r>
      <w:r>
        <w:rPr>
          <w:rFonts w:cs="Times New Roman" w:eastAsia="Times New Roman"/>
          <w:iCs/>
          <w:szCs w:val="24"/>
        </w:rPr>
        <w:t>.</w:t>
      </w:r>
      <w:r>
        <w:rPr>
          <w:rFonts w:cs="Times New Roman"/>
        </w:rPr>
        <w:t xml:space="preserve"> </w:t>
      </w:r>
      <w:r>
        <w:rPr>
          <w:rFonts w:cs="Times New Roman"/>
        </w:rPr>
        <w:t>Perusahaan dapat bersaing dan mendapatkan keuntungan dalam waktu jangka panjang,</w:t>
      </w:r>
      <w:r>
        <w:rPr>
          <w:rFonts w:cs="Times New Roman"/>
          <w:i/>
          <w:iCs/>
        </w:rPr>
        <w:t xml:space="preserve"> </w:t>
      </w:r>
      <w:r>
        <w:rPr>
          <w:rFonts w:cs="Times New Roman"/>
        </w:rPr>
        <w:t xml:space="preserve">jika perusahaan tersebut telah menerapkan </w:t>
      </w:r>
      <w:r>
        <w:rPr>
          <w:rFonts w:cs="Times New Roman"/>
          <w:i/>
          <w:iCs/>
        </w:rPr>
        <w:t xml:space="preserve">enterprise risk management </w:t>
      </w:r>
      <w:r>
        <w:rPr>
          <w:rFonts w:cs="Times New Roman"/>
        </w:rPr>
        <w:t xml:space="preserve">yang baik dan ketersediaan informasi untuk dibagikan kepada pihak eksternal lengkap sehingga dapat meningkatkan </w:t>
      </w:r>
      <w:r>
        <w:rPr>
          <w:rFonts w:cs="Times New Roman"/>
          <w:i/>
          <w:iCs/>
        </w:rPr>
        <w:t xml:space="preserve">firm value </w:t>
      </w:r>
      <w:r>
        <w:rPr>
          <w:rFonts w:cs="Times New Roman" w:eastAsia="Times New Roman"/>
          <w:color w:val="000000"/>
        </w:rPr>
        <w:t xml:space="preserve">(Setiawati </w:t>
      </w:r>
      <w:r>
        <w:rPr>
          <w:rFonts w:cs="Times New Roman" w:eastAsia="Times New Roman"/>
          <w:i/>
          <w:iCs/>
          <w:color w:val="000000"/>
        </w:rPr>
        <w:t>et al</w:t>
      </w:r>
      <w:r>
        <w:rPr>
          <w:rFonts w:cs="Times New Roman" w:eastAsia="Times New Roman"/>
          <w:color w:val="000000"/>
        </w:rPr>
        <w:t>., 2022; Sitinjak &amp; Khabibah, 2022)</w:t>
      </w:r>
      <w:r>
        <w:rPr>
          <w:color w:val="000000"/>
        </w:rPr>
        <w:t xml:space="preserve">. </w:t>
      </w:r>
      <w:r>
        <w:rPr>
          <w:rFonts w:cs="Times New Roman"/>
        </w:rPr>
        <w:t xml:space="preserve">Perusahaan yang menerapkan </w:t>
      </w:r>
      <w:r>
        <w:rPr>
          <w:rFonts w:cs="Times New Roman"/>
          <w:i/>
          <w:iCs/>
        </w:rPr>
        <w:t>enterprise risk management</w:t>
      </w:r>
      <w:r>
        <w:rPr>
          <w:rFonts w:cs="Times New Roman"/>
        </w:rPr>
        <w:t xml:space="preserve"> akan</w:t>
      </w:r>
      <w:r>
        <w:rPr>
          <w:rFonts w:cs="Times New Roman"/>
          <w:i/>
          <w:iCs/>
        </w:rPr>
        <w:t xml:space="preserve"> </w:t>
      </w:r>
      <w:r>
        <w:rPr>
          <w:rFonts w:cs="Times New Roman"/>
        </w:rPr>
        <w:t>mengidentifikasi dan menganalisis risiko, kemudian menilai dan mengelompokkannya mulai dari prioritas untuk diatasi dengan cara mengoordinasika</w:t>
      </w:r>
      <w:r>
        <w:rPr>
          <w:rFonts w:cs="Times New Roman"/>
        </w:rPr>
        <w:t>n</w:t>
      </w:r>
      <w:r>
        <w:rPr>
          <w:rFonts w:cs="Times New Roman"/>
        </w:rPr>
        <w:t xml:space="preserve"> kepada unit kerja perusahaan </w:t>
      </w:r>
      <w:r>
        <w:rPr>
          <w:rFonts w:cs="Times New Roman"/>
          <w:color w:val="000000"/>
        </w:rPr>
        <w:t xml:space="preserve">(Fauziah </w:t>
      </w:r>
      <w:r>
        <w:rPr>
          <w:rFonts w:cs="Times New Roman"/>
          <w:i/>
          <w:iCs/>
          <w:color w:val="000000"/>
        </w:rPr>
        <w:t>et al</w:t>
      </w:r>
      <w:r>
        <w:rPr>
          <w:rFonts w:cs="Times New Roman"/>
          <w:color w:val="000000"/>
        </w:rPr>
        <w:t>., 2022)</w:t>
      </w:r>
      <w:r>
        <w:rPr>
          <w:rFonts w:cs="Times New Roman"/>
        </w:rPr>
        <w:t>.</w:t>
      </w:r>
      <w:r>
        <w:rPr>
          <w:rFonts w:cs="Times New Roman"/>
        </w:rPr>
        <w:t xml:space="preserve"> </w:t>
      </w:r>
    </w:p>
    <w:p>
      <w:pPr>
        <w:pStyle w:val="style0"/>
        <w:spacing w:after="0" w:lineRule="auto" w:line="480"/>
        <w:ind w:firstLine="720"/>
        <w:jc w:val="both"/>
        <w:rPr>
          <w:color w:val="000000"/>
        </w:rPr>
      </w:pPr>
      <w:r>
        <w:rPr>
          <w:color w:val="000000"/>
        </w:rPr>
        <w:t xml:space="preserve"> </w:t>
      </w:r>
      <w:r>
        <w:rPr>
          <w:rFonts w:cs="Times New Roman"/>
          <w:i/>
          <w:iCs/>
        </w:rPr>
        <w:t xml:space="preserve">Committee of Sponsoring Organizations </w:t>
      </w:r>
      <w:r>
        <w:rPr>
          <w:rFonts w:cs="Times New Roman"/>
        </w:rPr>
        <w:t>(</w:t>
      </w:r>
      <w:r>
        <w:rPr>
          <w:rFonts w:cs="Times New Roman"/>
        </w:rPr>
        <w:t>COSO</w:t>
      </w:r>
      <w:r>
        <w:rPr>
          <w:rFonts w:cs="Times New Roman"/>
        </w:rPr>
        <w:t>)</w:t>
      </w:r>
      <w:r>
        <w:rPr>
          <w:rFonts w:cs="Times New Roman"/>
        </w:rPr>
        <w:t xml:space="preserve"> merupakan pengukuran </w:t>
      </w:r>
      <w:r>
        <w:rPr>
          <w:rFonts w:cs="Times New Roman"/>
          <w:i/>
          <w:iCs/>
        </w:rPr>
        <w:t xml:space="preserve">enterprise risk management </w:t>
      </w:r>
      <w:r>
        <w:rPr>
          <w:rFonts w:cs="Times New Roman"/>
        </w:rPr>
        <w:t xml:space="preserve">yang terbaik serta efektif dan unggulan </w:t>
      </w:r>
      <w:r>
        <w:rPr>
          <w:rFonts w:cs="Times New Roman"/>
          <w:color w:val="000000"/>
        </w:rPr>
        <w:t xml:space="preserve">(Aryanti </w:t>
      </w:r>
      <w:r>
        <w:rPr>
          <w:rFonts w:cs="Times New Roman"/>
          <w:i/>
          <w:iCs/>
          <w:color w:val="000000"/>
        </w:rPr>
        <w:t>et al</w:t>
      </w:r>
      <w:r>
        <w:rPr>
          <w:rFonts w:cs="Times New Roman"/>
          <w:color w:val="000000"/>
        </w:rPr>
        <w:t xml:space="preserve">., 2021; Hidayah </w:t>
      </w:r>
      <w:r>
        <w:rPr>
          <w:rFonts w:cs="Times New Roman"/>
          <w:i/>
          <w:iCs/>
          <w:color w:val="000000"/>
        </w:rPr>
        <w:t>et al</w:t>
      </w:r>
      <w:r>
        <w:rPr>
          <w:rFonts w:cs="Times New Roman"/>
          <w:color w:val="000000"/>
        </w:rPr>
        <w:t>., 2025)</w:t>
      </w:r>
      <w:r>
        <w:rPr>
          <w:rFonts w:cs="Times New Roman"/>
        </w:rPr>
        <w:t xml:space="preserve">. </w:t>
      </w:r>
      <w:r>
        <w:rPr>
          <w:rFonts w:cs="Times New Roman"/>
          <w:i/>
          <w:iCs/>
        </w:rPr>
        <w:t xml:space="preserve">Committee of Sponsoring Organizations </w:t>
      </w:r>
      <w:r>
        <w:rPr>
          <w:rFonts w:cs="Times New Roman"/>
        </w:rPr>
        <w:t>(</w:t>
      </w:r>
      <w:r>
        <w:rPr>
          <w:rFonts w:cs="Times New Roman"/>
        </w:rPr>
        <w:t>COSO</w:t>
      </w:r>
      <w:r>
        <w:rPr>
          <w:rFonts w:cs="Times New Roman"/>
        </w:rPr>
        <w:t>)</w:t>
      </w:r>
      <w:r>
        <w:rPr>
          <w:rFonts w:cs="Times New Roman"/>
        </w:rPr>
        <w:t xml:space="preserve"> dibentuk </w:t>
      </w:r>
      <w:r>
        <w:rPr>
          <w:rFonts w:cs="Times New Roman"/>
        </w:rPr>
        <w:t xml:space="preserve">pada tahun 1985 dengan tujuan mengurangi perusahaan yang </w:t>
      </w:r>
      <w:r>
        <w:rPr>
          <w:rFonts w:cs="Times New Roman"/>
          <w:i/>
          <w:iCs/>
        </w:rPr>
        <w:t xml:space="preserve">fraud </w:t>
      </w:r>
      <w:r>
        <w:rPr>
          <w:rFonts w:cs="Times New Roman"/>
        </w:rPr>
        <w:t xml:space="preserve">di </w:t>
      </w:r>
      <w:r>
        <w:rPr>
          <w:rFonts w:cs="Times New Roman"/>
          <w:i/>
          <w:iCs/>
        </w:rPr>
        <w:t xml:space="preserve">United States of America </w:t>
      </w:r>
      <w:r>
        <w:rPr>
          <w:rFonts w:cs="Times New Roman"/>
        </w:rPr>
        <w:t xml:space="preserve">(USA) </w:t>
      </w:r>
      <w:r>
        <w:rPr>
          <w:rFonts w:cs="Times New Roman"/>
          <w:color w:val="000000"/>
        </w:rPr>
        <w:t xml:space="preserve">(Aryanti </w:t>
      </w:r>
      <w:r>
        <w:rPr>
          <w:rFonts w:cs="Times New Roman"/>
          <w:i/>
          <w:iCs/>
          <w:color w:val="000000"/>
        </w:rPr>
        <w:t>et al</w:t>
      </w:r>
      <w:r>
        <w:rPr>
          <w:rFonts w:cs="Times New Roman"/>
          <w:color w:val="000000"/>
        </w:rPr>
        <w:t>., 2021)</w:t>
      </w:r>
      <w:r>
        <w:rPr>
          <w:rFonts w:cs="Times New Roman"/>
        </w:rPr>
        <w:t xml:space="preserve">. </w:t>
      </w:r>
      <w:r>
        <w:rPr>
          <w:rFonts w:cs="Times New Roman"/>
          <w:i/>
          <w:iCs/>
        </w:rPr>
        <w:t xml:space="preserve">Enterprise risk management </w:t>
      </w:r>
      <w:r>
        <w:rPr>
          <w:rFonts w:cs="Times New Roman"/>
        </w:rPr>
        <w:t>dapat dikelompokkan menjadi 5 k</w:t>
      </w:r>
      <w:r>
        <w:rPr>
          <w:rFonts w:cs="Times New Roman"/>
        </w:rPr>
        <w:t>ompon</w:t>
      </w:r>
      <w:r>
        <w:rPr>
          <w:rFonts w:cs="Times New Roman"/>
        </w:rPr>
        <w:t>e</w:t>
      </w:r>
      <w:r>
        <w:rPr>
          <w:rFonts w:cs="Times New Roman"/>
        </w:rPr>
        <w:t>n</w:t>
      </w:r>
      <w:r>
        <w:rPr>
          <w:rFonts w:cs="Times New Roman"/>
        </w:rPr>
        <w:t xml:space="preserve"> berdasarkan </w:t>
      </w:r>
      <w:r>
        <w:rPr>
          <w:rFonts w:cs="Times New Roman"/>
          <w:i/>
          <w:iCs/>
        </w:rPr>
        <w:t xml:space="preserve">Committee of Sponsoring Organization </w:t>
      </w:r>
      <w:r>
        <w:rPr>
          <w:rFonts w:cs="Times New Roman"/>
        </w:rPr>
        <w:t>(</w:t>
      </w:r>
      <w:r>
        <w:rPr>
          <w:rFonts w:cs="Times New Roman"/>
          <w:color w:val="000000"/>
        </w:rPr>
        <w:t>(COSO</w:t>
      </w:r>
      <w:r>
        <w:rPr>
          <w:rFonts w:cs="Times New Roman"/>
        </w:rPr>
        <w:t>)</w:t>
      </w:r>
      <w:r>
        <w:rPr>
          <w:rFonts w:cs="Times New Roman"/>
        </w:rPr>
        <w:t xml:space="preserve"> </w:t>
      </w:r>
      <w:r>
        <w:rPr>
          <w:i/>
          <w:iCs/>
        </w:rPr>
        <w:t>e</w:t>
      </w:r>
      <w:r>
        <w:rPr>
          <w:i/>
          <w:iCs/>
        </w:rPr>
        <w:t xml:space="preserve">nterprise </w:t>
      </w:r>
      <w:r>
        <w:rPr>
          <w:i/>
          <w:iCs/>
        </w:rPr>
        <w:t>r</w:t>
      </w:r>
      <w:r>
        <w:rPr>
          <w:i/>
          <w:iCs/>
        </w:rPr>
        <w:t xml:space="preserve">isk </w:t>
      </w:r>
      <w:r>
        <w:rPr>
          <w:i/>
          <w:iCs/>
        </w:rPr>
        <w:t>m</w:t>
      </w:r>
      <w:r>
        <w:rPr>
          <w:i/>
          <w:iCs/>
        </w:rPr>
        <w:t>anagement</w:t>
      </w:r>
      <w:r>
        <w:rPr>
          <w:rFonts w:cs="Times New Roman"/>
        </w:rPr>
        <w:t xml:space="preserve"> </w:t>
      </w:r>
      <w:r>
        <w:rPr>
          <w:rFonts w:cs="Times New Roman"/>
          <w:i/>
          <w:iCs/>
        </w:rPr>
        <w:t xml:space="preserve">framework, </w:t>
      </w:r>
      <w:r>
        <w:rPr>
          <w:rFonts w:cs="Times New Roman"/>
        </w:rPr>
        <w:t xml:space="preserve">yaitu: </w:t>
      </w:r>
      <w:r>
        <w:rPr>
          <w:rFonts w:cs="Times New Roman"/>
        </w:rPr>
        <w:t xml:space="preserve">(1) </w:t>
      </w:r>
      <w:r>
        <w:rPr>
          <w:rFonts w:cs="Times New Roman"/>
          <w:i/>
          <w:iCs/>
        </w:rPr>
        <w:t>G</w:t>
      </w:r>
      <w:r>
        <w:rPr>
          <w:rFonts w:cs="Times New Roman"/>
          <w:i/>
          <w:iCs/>
        </w:rPr>
        <w:t>overnance and culture</w:t>
      </w:r>
      <w:r>
        <w:rPr>
          <w:rFonts w:cs="Times New Roman"/>
        </w:rPr>
        <w:t xml:space="preserve">; (2) </w:t>
      </w:r>
      <w:r>
        <w:rPr>
          <w:rFonts w:cs="Times New Roman"/>
          <w:i/>
          <w:iCs/>
        </w:rPr>
        <w:t>Strategy and objective-setting</w:t>
      </w:r>
      <w:r>
        <w:rPr>
          <w:rFonts w:cs="Times New Roman"/>
        </w:rPr>
        <w:t xml:space="preserve">; (3) </w:t>
      </w:r>
      <w:r>
        <w:rPr>
          <w:rFonts w:cs="Times New Roman"/>
          <w:i/>
          <w:iCs/>
        </w:rPr>
        <w:t>Performance</w:t>
      </w:r>
      <w:r>
        <w:rPr>
          <w:rFonts w:cs="Times New Roman"/>
        </w:rPr>
        <w:t xml:space="preserve">; (4) </w:t>
      </w:r>
      <w:r>
        <w:rPr>
          <w:rFonts w:cs="Times New Roman"/>
          <w:i/>
          <w:iCs/>
        </w:rPr>
        <w:t>Review and revision</w:t>
      </w:r>
      <w:r>
        <w:rPr>
          <w:rFonts w:cs="Times New Roman"/>
        </w:rPr>
        <w:t xml:space="preserve">; dan (5) </w:t>
      </w:r>
      <w:r>
        <w:rPr>
          <w:rFonts w:cs="Times New Roman"/>
          <w:i/>
          <w:iCs/>
        </w:rPr>
        <w:t>Information, communication, and reporting.</w:t>
      </w:r>
      <w:r>
        <w:rPr>
          <w:rFonts w:cs="Times New Roman"/>
        </w:rPr>
        <w:t xml:space="preserve"> </w:t>
      </w:r>
    </w:p>
    <w:bookmarkStart w:id="31" w:name="_Toc218854603"/>
    <w:p>
      <w:pPr>
        <w:pStyle w:val="style3"/>
        <w:rPr>
          <w:i/>
          <w:iCs/>
        </w:rPr>
      </w:pPr>
      <w:r>
        <w:t>2.1.</w:t>
      </w:r>
      <w:r>
        <w:t>5</w:t>
      </w:r>
      <w:r>
        <w:t>.</w:t>
      </w:r>
      <w:r>
        <w:t xml:space="preserve"> </w:t>
      </w:r>
      <w:r>
        <w:tab/>
      </w:r>
      <w:r>
        <w:rPr>
          <w:i/>
          <w:iCs/>
        </w:rPr>
        <w:t>Managerial Ownership</w:t>
      </w:r>
      <w:bookmarkEnd w:id="31"/>
    </w:p>
    <w:p>
      <w:pPr>
        <w:pStyle w:val="style0"/>
        <w:spacing w:after="0" w:lineRule="auto" w:line="480"/>
        <w:ind w:firstLine="720"/>
        <w:jc w:val="both"/>
        <w:rPr>
          <w:rFonts w:cs="Times New Roman"/>
          <w:i/>
          <w:iCs/>
          <w:szCs w:val="24"/>
        </w:rPr>
      </w:pPr>
      <w:r>
        <w:rPr>
          <w:i/>
          <w:iCs/>
        </w:rPr>
        <w:t>Managerial Ownership</w:t>
      </w:r>
      <w:r>
        <w:rPr>
          <w:rFonts w:cs="Times New Roman"/>
        </w:rPr>
        <w:t xml:space="preserve"> merupakan proporsi atau bagian dari pihak yang dapat aktif untuk mengambil keputusan, seperti komisaris maupun direksi. </w:t>
      </w:r>
      <w:r>
        <w:rPr>
          <w:i/>
          <w:iCs/>
        </w:rPr>
        <w:t>Managerial Ownership</w:t>
      </w:r>
      <w:r>
        <w:rPr>
          <w:rFonts w:cs="Times New Roman"/>
        </w:rPr>
        <w:t xml:space="preserve"> dapat dihitung dengan cara membagi </w:t>
      </w:r>
      <w:r>
        <w:rPr>
          <w:rFonts w:cs="Times New Roman" w:eastAsia="宋体"/>
          <w:szCs w:val="24"/>
        </w:rPr>
        <w:t>jumlah saham kepemilikan</w:t>
      </w:r>
      <w:r>
        <w:rPr>
          <w:rFonts w:cs="Times New Roman"/>
        </w:rPr>
        <w:t xml:space="preserve"> yang dimiliki manajerial dengan </w:t>
      </w:r>
      <w:r>
        <w:rPr>
          <w:rFonts w:cs="Times New Roman" w:eastAsia="宋体"/>
          <w:szCs w:val="24"/>
        </w:rPr>
        <w:t xml:space="preserve">jumlah saham yang beredar </w:t>
      </w:r>
      <w:r>
        <w:rPr>
          <w:rFonts w:cs="Times New Roman" w:eastAsia="宋体"/>
          <w:color w:val="000000"/>
          <w:szCs w:val="24"/>
        </w:rPr>
        <w:t xml:space="preserve">(Ismanto </w:t>
      </w:r>
      <w:r>
        <w:rPr>
          <w:rFonts w:cs="Times New Roman" w:eastAsia="宋体"/>
          <w:i/>
          <w:iCs/>
          <w:color w:val="000000"/>
          <w:szCs w:val="24"/>
        </w:rPr>
        <w:t>et al</w:t>
      </w:r>
      <w:r>
        <w:rPr>
          <w:rFonts w:cs="Times New Roman" w:eastAsia="宋体"/>
          <w:color w:val="000000"/>
          <w:szCs w:val="24"/>
        </w:rPr>
        <w:t>., 2023)</w:t>
      </w:r>
      <w:r>
        <w:rPr>
          <w:rFonts w:cs="Times New Roman" w:eastAsia="宋体"/>
          <w:szCs w:val="24"/>
        </w:rPr>
        <w:t xml:space="preserve">. </w:t>
      </w:r>
      <w:r>
        <w:rPr>
          <w:rFonts w:cs="Times New Roman"/>
          <w:i/>
          <w:iCs/>
        </w:rPr>
        <w:t>M</w:t>
      </w:r>
      <w:r>
        <w:rPr>
          <w:rFonts w:cs="Times New Roman"/>
          <w:i/>
          <w:iCs/>
        </w:rPr>
        <w:t xml:space="preserve">anagerial </w:t>
      </w:r>
      <w:r>
        <w:rPr>
          <w:rFonts w:cs="Times New Roman"/>
          <w:i/>
          <w:iCs/>
        </w:rPr>
        <w:t>ownership</w:t>
      </w:r>
      <w:r>
        <w:rPr>
          <w:rFonts w:cs="Times New Roman"/>
        </w:rPr>
        <w:t xml:space="preserve"> berkaitan dengan tata kelola pada perusahaan</w:t>
      </w:r>
      <w:r>
        <w:rPr>
          <w:rFonts w:cs="Times New Roman"/>
        </w:rPr>
        <w:t xml:space="preserve"> yang meliputi komisaris, direksi, maupun manajemen karena memiliki kepentingan dalam perusahaan dalam pengambilan keputusan </w:t>
      </w:r>
      <w:r>
        <w:rPr>
          <w:rFonts w:cs="Times New Roman" w:eastAsia="Times New Roman"/>
          <w:color w:val="000000"/>
        </w:rPr>
        <w:t xml:space="preserve">(Karinda </w:t>
      </w:r>
      <w:r>
        <w:rPr>
          <w:rFonts w:cs="Times New Roman" w:eastAsia="Times New Roman"/>
          <w:i/>
          <w:iCs/>
          <w:color w:val="000000"/>
        </w:rPr>
        <w:t>et al</w:t>
      </w:r>
      <w:r>
        <w:rPr>
          <w:rFonts w:cs="Times New Roman" w:eastAsia="Times New Roman"/>
          <w:color w:val="000000"/>
        </w:rPr>
        <w:t xml:space="preserve">., 2022; Widyatama &amp; Radianto, 2024; Wijaya </w:t>
      </w:r>
      <w:r>
        <w:rPr>
          <w:rFonts w:cs="Times New Roman" w:eastAsia="Times New Roman"/>
          <w:i/>
          <w:iCs/>
          <w:color w:val="000000"/>
        </w:rPr>
        <w:t>et al</w:t>
      </w:r>
      <w:r>
        <w:rPr>
          <w:rFonts w:cs="Times New Roman" w:eastAsia="Times New Roman"/>
          <w:color w:val="000000"/>
        </w:rPr>
        <w:t>., 2023)</w:t>
      </w:r>
      <w:r>
        <w:rPr>
          <w:rFonts w:cs="Times New Roman"/>
        </w:rPr>
        <w:t xml:space="preserve">. </w:t>
      </w:r>
      <w:r>
        <w:rPr>
          <w:rFonts w:cs="Times New Roman"/>
          <w:color w:val="000000"/>
          <w:szCs w:val="24"/>
        </w:rPr>
        <w:t xml:space="preserve">Perusahaan memerlukan </w:t>
      </w:r>
      <w:r>
        <w:rPr>
          <w:rFonts w:cs="Times New Roman"/>
          <w:i/>
          <w:iCs/>
          <w:szCs w:val="24"/>
        </w:rPr>
        <w:t xml:space="preserve">managerial ownership </w:t>
      </w:r>
      <w:r>
        <w:rPr>
          <w:rFonts w:cs="Times New Roman"/>
          <w:szCs w:val="24"/>
        </w:rPr>
        <w:t>agar dapat</w:t>
      </w:r>
      <w:r>
        <w:rPr>
          <w:rFonts w:cs="Times New Roman"/>
          <w:i/>
          <w:iCs/>
          <w:szCs w:val="24"/>
        </w:rPr>
        <w:t xml:space="preserve"> </w:t>
      </w:r>
      <w:r>
        <w:rPr>
          <w:rFonts w:cs="Times New Roman"/>
          <w:szCs w:val="24"/>
        </w:rPr>
        <w:t xml:space="preserve">memantau secara langsung kinerja perusahaan sehingga mengurangi konflik </w:t>
      </w:r>
      <w:r>
        <w:rPr>
          <w:rFonts w:cs="Times New Roman"/>
        </w:rPr>
        <w:t xml:space="preserve">kepentingan </w:t>
      </w:r>
      <w:r>
        <w:rPr>
          <w:rFonts w:cs="Times New Roman"/>
          <w:i/>
          <w:iCs/>
        </w:rPr>
        <w:t>principal</w:t>
      </w:r>
      <w:r>
        <w:rPr>
          <w:rFonts w:cs="Times New Roman"/>
        </w:rPr>
        <w:t xml:space="preserve"> dan agen </w:t>
      </w:r>
      <w:r>
        <w:rPr>
          <w:rFonts w:cs="Times New Roman"/>
          <w:szCs w:val="24"/>
        </w:rPr>
        <w:t xml:space="preserve">yang terjadi pada </w:t>
      </w:r>
      <w:r>
        <w:rPr>
          <w:rFonts w:cs="Times New Roman"/>
          <w:i/>
          <w:iCs/>
          <w:szCs w:val="24"/>
        </w:rPr>
        <w:t xml:space="preserve">agency theory </w:t>
      </w:r>
      <w:r>
        <w:rPr>
          <w:rFonts w:cs="Times New Roman" w:eastAsia="Times New Roman"/>
          <w:color w:val="000000"/>
        </w:rPr>
        <w:t xml:space="preserve">(Firdaus </w:t>
      </w:r>
      <w:r>
        <w:rPr>
          <w:rFonts w:cs="Times New Roman" w:eastAsia="Times New Roman"/>
          <w:i/>
          <w:iCs/>
          <w:color w:val="000000"/>
        </w:rPr>
        <w:t>et al</w:t>
      </w:r>
      <w:r>
        <w:rPr>
          <w:rFonts w:cs="Times New Roman" w:eastAsia="Times New Roman"/>
          <w:color w:val="000000"/>
        </w:rPr>
        <w:t>., 2024; Yusmir &amp; Mulyani, 2024)</w:t>
      </w:r>
      <w:r>
        <w:rPr>
          <w:rFonts w:cs="Times New Roman"/>
          <w:szCs w:val="24"/>
        </w:rPr>
        <w:t>.</w:t>
      </w:r>
    </w:p>
    <w:p>
      <w:pPr>
        <w:pStyle w:val="style0"/>
        <w:spacing w:after="0" w:lineRule="auto" w:line="480"/>
        <w:ind w:firstLine="720"/>
        <w:jc w:val="both"/>
        <w:rPr>
          <w:rFonts w:cs="Times New Roman"/>
          <w:color w:val="000000"/>
          <w:szCs w:val="24"/>
        </w:rPr>
      </w:pPr>
      <w:r>
        <w:rPr>
          <w:i/>
          <w:iCs/>
        </w:rPr>
        <w:t xml:space="preserve">Managerial </w:t>
      </w:r>
      <w:r>
        <w:rPr>
          <w:i/>
          <w:iCs/>
        </w:rPr>
        <w:t>O</w:t>
      </w:r>
      <w:r>
        <w:rPr>
          <w:i/>
          <w:iCs/>
        </w:rPr>
        <w:t>wnership</w:t>
      </w:r>
      <w:r>
        <w:rPr>
          <w:rFonts w:cs="Times New Roman"/>
        </w:rPr>
        <w:t xml:space="preserve"> berperan dalam pengambilan keputusan agar perusahaan tidak mengalami kerugian.</w:t>
      </w:r>
      <w:r>
        <w:rPr>
          <w:rFonts w:cs="Times New Roman"/>
          <w:szCs w:val="24"/>
        </w:rPr>
        <w:t xml:space="preserve"> </w:t>
      </w:r>
      <w:r>
        <w:rPr>
          <w:rFonts w:cs="Times New Roman"/>
        </w:rPr>
        <w:t>Manajer akan meningkatkan efisiensi dan efektivitas kinerja karena kepentingan manajer merupakan kepentingan perusahaan</w:t>
      </w:r>
      <w:r>
        <w:rPr>
          <w:rFonts w:cs="Times New Roman"/>
        </w:rPr>
        <w:t xml:space="preserve"> sebagai pengawasan internal</w:t>
      </w:r>
      <w:r>
        <w:rPr>
          <w:rFonts w:cs="Times New Roman"/>
        </w:rPr>
        <w:t>. Manajer akan merasakan kerugian maupun manfaat dari keputusannya sehingga mendorongnya untuk tidak berbuat kecurangan</w:t>
      </w:r>
      <w:r>
        <w:rPr>
          <w:rFonts w:cs="Times New Roman"/>
          <w:color w:val="000000"/>
        </w:rPr>
        <w:t xml:space="preserve"> </w:t>
      </w:r>
      <w:r>
        <w:rPr>
          <w:rFonts w:cs="Times New Roman"/>
          <w:color w:val="000000"/>
        </w:rPr>
        <w:t xml:space="preserve">(Wijaya </w:t>
      </w:r>
      <w:r>
        <w:rPr>
          <w:rFonts w:cs="Times New Roman"/>
          <w:i/>
          <w:iCs/>
          <w:color w:val="000000"/>
        </w:rPr>
        <w:t>et al</w:t>
      </w:r>
      <w:r>
        <w:rPr>
          <w:rFonts w:cs="Times New Roman"/>
          <w:color w:val="000000"/>
        </w:rPr>
        <w:t>., 2023)</w:t>
      </w:r>
      <w:r>
        <w:rPr>
          <w:rFonts w:cs="Times New Roman"/>
        </w:rPr>
        <w:t xml:space="preserve">. </w:t>
      </w:r>
      <w:r>
        <w:rPr>
          <w:rFonts w:cs="Times New Roman"/>
          <w:i/>
          <w:iCs/>
        </w:rPr>
        <w:t xml:space="preserve">Principal </w:t>
      </w:r>
      <w:r>
        <w:rPr>
          <w:rFonts w:cs="Times New Roman"/>
        </w:rPr>
        <w:t xml:space="preserve">akan memberikan kepercayaan pada manajer untuk memberikan keputusan. Manajer akan mengambil keputusan dengan meningkatkan </w:t>
      </w:r>
      <w:r>
        <w:rPr>
          <w:rFonts w:cs="Times New Roman"/>
        </w:rPr>
        <w:t xml:space="preserve">kinerja untuk meningkatkan </w:t>
      </w:r>
      <w:r>
        <w:rPr>
          <w:rFonts w:cs="Times New Roman"/>
          <w:i/>
          <w:iCs/>
        </w:rPr>
        <w:t xml:space="preserve">firm value </w:t>
      </w:r>
      <w:r>
        <w:rPr>
          <w:rFonts w:cs="Times New Roman"/>
        </w:rPr>
        <w:t>agar kepentingannya dan perusahaan dapat tercapai.</w:t>
      </w:r>
      <w:r>
        <w:rPr>
          <w:rFonts w:cs="Times New Roman"/>
        </w:rPr>
        <w:t xml:space="preserve"> </w:t>
      </w:r>
    </w:p>
    <w:bookmarkStart w:id="32" w:name="_Toc218854604"/>
    <w:p>
      <w:pPr>
        <w:pStyle w:val="style3"/>
        <w:rPr/>
      </w:pPr>
      <w:r>
        <w:t>2.1.6.</w:t>
      </w:r>
      <w:r>
        <w:t xml:space="preserve"> </w:t>
      </w:r>
      <w:r>
        <w:tab/>
      </w:r>
      <w:r>
        <w:rPr>
          <w:i/>
          <w:iCs/>
        </w:rPr>
        <w:t>Institutional Ownership</w:t>
      </w:r>
      <w:bookmarkEnd w:id="32"/>
    </w:p>
    <w:p>
      <w:pPr>
        <w:pStyle w:val="style0"/>
        <w:spacing w:after="0" w:lineRule="auto" w:line="480"/>
        <w:ind w:firstLine="720"/>
        <w:jc w:val="both"/>
        <w:rPr>
          <w:rFonts w:cs="Times New Roman"/>
        </w:rPr>
      </w:pPr>
      <w:r>
        <w:rPr>
          <w:rFonts w:cs="Times New Roman"/>
          <w:i/>
          <w:iCs/>
        </w:rPr>
        <w:t>Institutional ownership</w:t>
      </w:r>
      <w:r>
        <w:rPr>
          <w:rFonts w:cs="Times New Roman"/>
          <w:i/>
          <w:iCs/>
        </w:rPr>
        <w:t xml:space="preserve"> </w:t>
      </w:r>
      <w:r>
        <w:rPr>
          <w:rFonts w:cs="Times New Roman"/>
        </w:rPr>
        <w:t>adalah</w:t>
      </w:r>
      <w:r>
        <w:rPr>
          <w:rFonts w:cs="Times New Roman"/>
        </w:rPr>
        <w:t xml:space="preserve"> kepemilikan saham oleh lembaga atau institusi nonbank yang cukup berpengaruh daripada investor biasa sehingga memiliki peran untuk memonitor </w:t>
      </w:r>
      <w:r>
        <w:rPr>
          <w:rFonts w:cs="Times New Roman"/>
        </w:rPr>
        <w:t xml:space="preserve">atau pengawasan eksternal </w:t>
      </w:r>
      <w:r>
        <w:rPr>
          <w:rFonts w:cs="Times New Roman"/>
        </w:rPr>
        <w:t xml:space="preserve">perusahaan </w:t>
      </w:r>
      <w:r>
        <w:rPr>
          <w:rFonts w:cs="Times New Roman" w:eastAsia="Times New Roman"/>
          <w:color w:val="000000"/>
        </w:rPr>
        <w:t xml:space="preserve">(Yuwono &amp; Aurelia, 2021; Malik </w:t>
      </w:r>
      <w:r>
        <w:rPr>
          <w:rFonts w:cs="Times New Roman" w:eastAsia="Times New Roman"/>
          <w:i/>
          <w:iCs/>
          <w:color w:val="000000"/>
        </w:rPr>
        <w:t>et al</w:t>
      </w:r>
      <w:r>
        <w:rPr>
          <w:rFonts w:cs="Times New Roman" w:eastAsia="Times New Roman"/>
          <w:color w:val="000000"/>
        </w:rPr>
        <w:t>., 2024; Michelle &amp; Zubaidi, 2024)</w:t>
      </w:r>
      <w:r>
        <w:rPr>
          <w:rFonts w:cs="Times New Roman"/>
        </w:rPr>
        <w:t xml:space="preserve">. </w:t>
      </w:r>
      <w:r>
        <w:rPr>
          <w:rFonts w:cs="Times New Roman"/>
          <w:i/>
          <w:iCs/>
        </w:rPr>
        <w:t>Institutional ownership</w:t>
      </w:r>
      <w:r>
        <w:rPr>
          <w:rFonts w:cs="Times New Roman"/>
        </w:rPr>
        <w:t xml:space="preserve"> sebagai fungsi pengawasan </w:t>
      </w:r>
      <w:r>
        <w:rPr>
          <w:rFonts w:cs="Times New Roman"/>
        </w:rPr>
        <w:t xml:space="preserve">eksternal </w:t>
      </w:r>
      <w:r>
        <w:rPr>
          <w:rFonts w:cs="Times New Roman"/>
        </w:rPr>
        <w:t>yang aktif bagi manajer sehingga dapa</w:t>
      </w:r>
      <w:r>
        <w:rPr>
          <w:rFonts w:cs="Times New Roman"/>
        </w:rPr>
        <w:t xml:space="preserve">t </w:t>
      </w:r>
      <w:r>
        <w:rPr>
          <w:rFonts w:cs="Times New Roman"/>
        </w:rPr>
        <w:t>mendorong</w:t>
      </w:r>
      <w:r>
        <w:rPr>
          <w:rFonts w:cs="Times New Roman"/>
        </w:rPr>
        <w:t xml:space="preserve"> kinerja internal perusahaan</w:t>
      </w:r>
      <w:r>
        <w:rPr>
          <w:rFonts w:cs="Times New Roman" w:eastAsia="Times New Roman"/>
          <w:iCs/>
          <w:color w:val="000000"/>
          <w:szCs w:val="24"/>
        </w:rPr>
        <w:t>.</w:t>
      </w:r>
      <w:r>
        <w:rPr>
          <w:rFonts w:cs="Times New Roman" w:eastAsia="Times New Roman"/>
          <w:iCs/>
          <w:color w:val="000000"/>
          <w:szCs w:val="24"/>
        </w:rPr>
        <w:t xml:space="preserve"> </w:t>
      </w:r>
      <w:r>
        <w:rPr>
          <w:rFonts w:cs="Times New Roman" w:eastAsia="Times New Roman"/>
          <w:i/>
          <w:color w:val="000000"/>
          <w:szCs w:val="24"/>
        </w:rPr>
        <w:t>I</w:t>
      </w:r>
      <w:r>
        <w:rPr>
          <w:rFonts w:cs="Times New Roman"/>
          <w:i/>
          <w:iCs/>
        </w:rPr>
        <w:t>nstitutional ownership</w:t>
      </w:r>
      <w:r>
        <w:rPr>
          <w:rFonts w:cs="Times New Roman"/>
        </w:rPr>
        <w:t xml:space="preserve"> diperlukan agar dapat</w:t>
      </w:r>
      <w:r>
        <w:rPr>
          <w:rFonts w:cs="Times New Roman"/>
        </w:rPr>
        <w:t xml:space="preserve"> meningkatkan pengawasan pada manajemen sehingga terciptanya penggunaan aset yang efektif dan menghindari pemborosan</w:t>
      </w:r>
      <w:r>
        <w:rPr>
          <w:rFonts w:cs="Times New Roman"/>
          <w:i/>
          <w:iCs/>
        </w:rPr>
        <w:t xml:space="preserve"> </w:t>
      </w:r>
      <w:r>
        <w:rPr>
          <w:rFonts w:cs="Times New Roman" w:eastAsia="Times New Roman"/>
          <w:color w:val="000000"/>
        </w:rPr>
        <w:t>(Cristofel &amp; Kurniawati, 2021)</w:t>
      </w:r>
      <w:r>
        <w:rPr>
          <w:rFonts w:cs="Times New Roman"/>
          <w:color w:val="000000"/>
        </w:rPr>
        <w:t>.</w:t>
      </w:r>
    </w:p>
    <w:p>
      <w:pPr>
        <w:pStyle w:val="style0"/>
        <w:spacing w:after="0" w:lineRule="auto" w:line="480"/>
        <w:ind w:firstLine="720"/>
        <w:jc w:val="both"/>
        <w:rPr>
          <w:rFonts w:cs="Times New Roman"/>
          <w:color w:val="000000"/>
        </w:rPr>
      </w:pPr>
      <w:r>
        <w:rPr>
          <w:rFonts w:cs="Times New Roman"/>
          <w:i/>
          <w:iCs/>
        </w:rPr>
        <w:t>I</w:t>
      </w:r>
      <w:r>
        <w:rPr>
          <w:rFonts w:cs="Times New Roman"/>
          <w:i/>
          <w:iCs/>
        </w:rPr>
        <w:t>nstitutional ownership</w:t>
      </w:r>
      <w:r>
        <w:rPr>
          <w:rFonts w:cs="Times New Roman"/>
        </w:rPr>
        <w:t xml:space="preserve"> dapat memberikan kepercayaan</w:t>
      </w:r>
      <w:r>
        <w:rPr>
          <w:rFonts w:cs="Times New Roman"/>
        </w:rPr>
        <w:t xml:space="preserve"> pada</w:t>
      </w:r>
      <w:r>
        <w:rPr>
          <w:rFonts w:cs="Times New Roman"/>
        </w:rPr>
        <w:t xml:space="preserve"> investor bahwa perusahaan dapat mempertahankan keuntungannya dalam jangka panjang</w:t>
      </w:r>
      <w:r>
        <w:rPr>
          <w:rFonts w:cs="Times New Roman"/>
        </w:rPr>
        <w:t>, jika</w:t>
      </w:r>
      <w:r>
        <w:rPr>
          <w:rFonts w:cs="Times New Roman"/>
        </w:rPr>
        <w:t xml:space="preserve"> optimalnya pengawasan</w:t>
      </w:r>
      <w:r>
        <w:rPr>
          <w:rFonts w:cs="Times New Roman"/>
        </w:rPr>
        <w:t xml:space="preserve"> eksternal</w:t>
      </w:r>
      <w:r>
        <w:rPr>
          <w:rFonts w:cs="Times New Roman"/>
        </w:rPr>
        <w:t xml:space="preserve"> yang dilakukan oleh pihak institusi atau lembaga. Pihak institusi atau lembaga (</w:t>
      </w:r>
      <w:r>
        <w:rPr>
          <w:rFonts w:cs="Times New Roman"/>
          <w:i/>
          <w:iCs/>
        </w:rPr>
        <w:t>principal</w:t>
      </w:r>
      <w:r>
        <w:rPr>
          <w:rFonts w:cs="Times New Roman"/>
        </w:rPr>
        <w:t xml:space="preserve">) melakukan pengawasan pada kinerja kemudian akan didemonstrasikannya ke dalam </w:t>
      </w:r>
      <w:r>
        <w:rPr>
          <w:rFonts w:cs="Times New Roman"/>
          <w:i/>
          <w:iCs/>
        </w:rPr>
        <w:t>assessment</w:t>
      </w:r>
      <w:r>
        <w:rPr>
          <w:rFonts w:cs="Times New Roman"/>
          <w:i/>
          <w:iCs/>
        </w:rPr>
        <w:t xml:space="preserve"> </w:t>
      </w:r>
      <w:r>
        <w:rPr>
          <w:rFonts w:cs="Times New Roman"/>
        </w:rPr>
        <w:t>yang telah ditetapkan</w:t>
      </w:r>
      <w:r>
        <w:rPr>
          <w:rFonts w:cs="Times New Roman"/>
          <w:i/>
          <w:iCs/>
        </w:rPr>
        <w:t xml:space="preserve"> </w:t>
      </w:r>
      <w:r>
        <w:rPr>
          <w:rFonts w:cs="Times New Roman"/>
        </w:rPr>
        <w:t>oleh</w:t>
      </w:r>
      <w:r>
        <w:rPr>
          <w:rFonts w:cs="Times New Roman"/>
          <w:i/>
          <w:iCs/>
        </w:rPr>
        <w:t xml:space="preserve"> </w:t>
      </w:r>
      <w:r>
        <w:rPr>
          <w:rFonts w:cs="Times New Roman"/>
        </w:rPr>
        <w:t xml:space="preserve">perusahaan </w:t>
      </w:r>
      <w:r>
        <w:rPr>
          <w:rFonts w:cs="Times New Roman" w:eastAsia="Times New Roman"/>
          <w:color w:val="000000"/>
        </w:rPr>
        <w:t>(Yuwono &amp; Aurelia, 2021)</w:t>
      </w:r>
      <w:r>
        <w:rPr>
          <w:rFonts w:cs="Times New Roman"/>
        </w:rPr>
        <w:t>. Pengawasan yang dilakukan oleh pihak institusi atau lembaga (</w:t>
      </w:r>
      <w:r>
        <w:rPr>
          <w:rFonts w:cs="Times New Roman"/>
          <w:i/>
          <w:iCs/>
        </w:rPr>
        <w:t>principal</w:t>
      </w:r>
      <w:r>
        <w:rPr>
          <w:rFonts w:cs="Times New Roman"/>
        </w:rPr>
        <w:t xml:space="preserve">) dapat meningkatkan kinerja dan mendorong manajer untuk berhati-hati </w:t>
      </w:r>
      <w:r>
        <w:rPr>
          <w:rFonts w:cs="Times New Roman"/>
        </w:rPr>
        <w:t xml:space="preserve">dan mencegah adanya perilaku </w:t>
      </w:r>
      <w:r>
        <w:rPr>
          <w:rFonts w:cs="Times New Roman"/>
        </w:rPr>
        <w:t>tindakan kecurangan</w:t>
      </w:r>
      <w:r>
        <w:rPr>
          <w:rFonts w:cs="Times New Roman"/>
        </w:rPr>
        <w:t xml:space="preserve"> atau mementingkan kepentingan sendiri (oportunistik)</w:t>
      </w:r>
      <w:r>
        <w:rPr>
          <w:rFonts w:cs="Times New Roman"/>
          <w:color w:val="000000"/>
        </w:rPr>
        <w:t xml:space="preserve"> </w:t>
      </w:r>
      <w:r>
        <w:rPr>
          <w:rFonts w:cs="Times New Roman" w:eastAsia="Times New Roman"/>
          <w:color w:val="000000"/>
        </w:rPr>
        <w:t>(Wardoyo &amp; Fauziah, 2024)</w:t>
      </w:r>
      <w:r>
        <w:rPr>
          <w:rFonts w:cs="Times New Roman"/>
        </w:rPr>
        <w:t>.</w:t>
      </w:r>
      <w:r>
        <w:rPr>
          <w:rFonts w:cs="Times New Roman"/>
          <w:i/>
          <w:iCs/>
        </w:rPr>
        <w:t xml:space="preserve"> </w:t>
      </w:r>
      <w:r>
        <w:rPr>
          <w:rFonts w:cs="Times New Roman"/>
        </w:rPr>
        <w:t xml:space="preserve">Peningkatan kinerja menggambarkan perusahaan tersebut baik dalam segi pengelolaannya sehingga dapat menaikkan reputasi yang dibagun dan </w:t>
      </w:r>
      <w:r>
        <w:rPr>
          <w:rFonts w:cs="Times New Roman"/>
        </w:rPr>
        <w:t xml:space="preserve">berdampak pada kenaikan </w:t>
      </w:r>
      <w:r>
        <w:rPr>
          <w:rFonts w:cs="Times New Roman"/>
          <w:i/>
          <w:iCs/>
        </w:rPr>
        <w:t>firm value</w:t>
      </w:r>
      <w:r>
        <w:rPr>
          <w:rFonts w:cs="Times New Roman"/>
          <w:i/>
          <w:iCs/>
        </w:rPr>
        <w:t xml:space="preserve"> </w:t>
      </w:r>
      <w:r>
        <w:rPr>
          <w:rFonts w:cs="Times New Roman" w:eastAsia="Times New Roman"/>
          <w:color w:val="000000"/>
        </w:rPr>
        <w:t>(Cristofel &amp; Kurniawati, 2021; Yuwono &amp; Aurelia, 2021)</w:t>
      </w:r>
      <w:r>
        <w:rPr>
          <w:rFonts w:cs="Times New Roman"/>
        </w:rPr>
        <w:t>.</w:t>
      </w:r>
      <w:r>
        <w:rPr>
          <w:rFonts w:cs="Times New Roman"/>
        </w:rPr>
        <w:t xml:space="preserve"> </w:t>
      </w:r>
    </w:p>
    <w:p>
      <w:pPr>
        <w:pStyle w:val="style2"/>
        <w:numPr>
          <w:ilvl w:val="0"/>
          <w:numId w:val="3"/>
        </w:numPr>
        <w:tabs>
          <w:tab w:val="left" w:leader="none" w:pos="720"/>
        </w:tabs>
        <w:spacing w:lineRule="auto" w:line="480"/>
        <w:rPr/>
      </w:pPr>
      <w:r>
        <w:t xml:space="preserve"> </w:t>
      </w:r>
      <w:r>
        <w:tab/>
      </w:r>
      <w:bookmarkStart w:id="33" w:name="_Toc218854605"/>
      <w:r>
        <w:t>Penelitian Terdahulu</w:t>
      </w:r>
      <w:bookmarkEnd w:id="33"/>
    </w:p>
    <w:p>
      <w:pPr>
        <w:pStyle w:val="style0"/>
        <w:tabs>
          <w:tab w:val="left" w:leader="none" w:pos="630"/>
        </w:tabs>
        <w:spacing w:after="0" w:lineRule="auto" w:line="480"/>
        <w:ind w:firstLine="720"/>
        <w:jc w:val="both"/>
        <w:rPr/>
      </w:pPr>
      <w:r>
        <w:t>Ter</w:t>
      </w:r>
      <w:r>
        <w:t>dapat</w:t>
      </w:r>
      <w:r>
        <w:t xml:space="preserve"> beberapa penelitian terdahulu menjadi referensi </w:t>
      </w:r>
      <w:r>
        <w:t xml:space="preserve">dan </w:t>
      </w:r>
      <w:r>
        <w:t>dirangkum</w:t>
      </w:r>
      <w:r>
        <w:t xml:space="preserve"> yang dapat dilihat pada tabel 2.1</w:t>
      </w:r>
      <w:r>
        <w:t>:</w:t>
      </w:r>
    </w:p>
    <w:bookmarkStart w:id="34" w:name="_Toc195764207"/>
    <w:bookmarkStart w:id="35" w:name="_Toc215602299"/>
    <w:bookmarkStart w:id="36" w:name="_Toc216129255"/>
    <w:bookmarkStart w:id="37" w:name="_Toc216804036"/>
    <w:p>
      <w:pPr>
        <w:pStyle w:val="style34"/>
        <w:rPr>
          <w:b w:val="false"/>
          <w:bCs/>
          <w:i/>
          <w:iCs w:val="false"/>
          <w:color w:val="auto"/>
          <w:sz w:val="22"/>
          <w:szCs w:val="22"/>
        </w:rPr>
      </w:pPr>
      <w:r>
        <w:rPr>
          <w:bCs/>
          <w:iCs w:val="false"/>
          <w:color w:val="auto"/>
          <w:sz w:val="22"/>
          <w:szCs w:val="22"/>
        </w:rPr>
        <w:t xml:space="preserve">Tabel 2. </w:t>
      </w:r>
      <w:r>
        <w:rPr>
          <w:b w:val="false"/>
          <w:bCs/>
          <w:i/>
          <w:iCs w:val="false"/>
          <w:color w:val="auto"/>
          <w:sz w:val="22"/>
          <w:szCs w:val="22"/>
        </w:rPr>
        <w:fldChar w:fldCharType="begin"/>
      </w:r>
      <w:r>
        <w:rPr>
          <w:bCs/>
          <w:iCs w:val="false"/>
          <w:color w:val="auto"/>
          <w:sz w:val="22"/>
          <w:szCs w:val="22"/>
        </w:rPr>
        <w:instrText xml:space="preserve"> SEQ Tabel_ \* ARABIC </w:instrText>
      </w:r>
      <w:r>
        <w:rPr>
          <w:b w:val="false"/>
          <w:bCs/>
          <w:i/>
          <w:iCs w:val="false"/>
          <w:color w:val="auto"/>
          <w:sz w:val="22"/>
          <w:szCs w:val="22"/>
        </w:rPr>
        <w:fldChar w:fldCharType="separate"/>
      </w:r>
      <w:r>
        <w:rPr>
          <w:bCs/>
          <w:iCs w:val="false"/>
          <w:noProof/>
          <w:color w:val="auto"/>
          <w:sz w:val="22"/>
          <w:szCs w:val="22"/>
        </w:rPr>
        <w:t>1</w:t>
      </w:r>
      <w:r>
        <w:rPr>
          <w:b w:val="false"/>
          <w:bCs/>
          <w:i/>
          <w:iCs w:val="false"/>
          <w:color w:val="auto"/>
          <w:sz w:val="22"/>
          <w:szCs w:val="22"/>
        </w:rPr>
        <w:fldChar w:fldCharType="end"/>
      </w:r>
      <w:r>
        <w:rPr>
          <w:bCs/>
          <w:iCs w:val="false"/>
          <w:color w:val="auto"/>
          <w:sz w:val="22"/>
          <w:szCs w:val="22"/>
        </w:rPr>
        <w:t>. Tinjauan Penelitian Terdahulu</w:t>
      </w:r>
      <w:bookmarkEnd w:id="34"/>
      <w:bookmarkEnd w:id="35"/>
      <w:bookmarkEnd w:id="36"/>
      <w:bookmarkEnd w:id="37"/>
    </w:p>
    <w:tbl>
      <w:tblPr>
        <w:tblStyle w:val="style154"/>
        <w:tblW w:w="7920" w:type="dxa"/>
        <w:tblInd w:w="-5" w:type="dxa"/>
        <w:tblLayout w:type="fixed"/>
        <w:tblLook w:val="04A0" w:firstRow="1" w:lastRow="0" w:firstColumn="1" w:lastColumn="0" w:noHBand="0" w:noVBand="1"/>
      </w:tblPr>
      <w:tblGrid>
        <w:gridCol w:w="444"/>
        <w:gridCol w:w="1356"/>
        <w:gridCol w:w="2880"/>
        <w:gridCol w:w="990"/>
        <w:gridCol w:w="2250"/>
      </w:tblGrid>
      <w:tr>
        <w:trPr>
          <w:trHeight w:val="144" w:hRule="atLeast"/>
        </w:trPr>
        <w:tc>
          <w:tcPr>
            <w:tcW w:w="444" w:type="dxa"/>
            <w:tcBorders>
              <w:top w:val="single" w:sz="4" w:space="0" w:color="auto"/>
            </w:tcBorders>
          </w:tcPr>
          <w:p>
            <w:pPr>
              <w:pStyle w:val="style0"/>
              <w:ind w:left="-111" w:right="-111"/>
              <w:jc w:val="center"/>
              <w:rPr>
                <w:rFonts w:cs="Times New Roman"/>
                <w:b/>
                <w:bCs/>
                <w:sz w:val="20"/>
                <w:szCs w:val="20"/>
              </w:rPr>
            </w:pPr>
            <w:r>
              <w:rPr>
                <w:rFonts w:cs="Times New Roman"/>
                <w:b/>
                <w:bCs/>
                <w:sz w:val="20"/>
                <w:szCs w:val="20"/>
              </w:rPr>
              <w:t>No.</w:t>
            </w:r>
          </w:p>
        </w:tc>
        <w:tc>
          <w:tcPr>
            <w:tcW w:w="1356" w:type="dxa"/>
            <w:tcBorders>
              <w:top w:val="single" w:sz="4" w:space="0" w:color="auto"/>
            </w:tcBorders>
          </w:tcPr>
          <w:p>
            <w:pPr>
              <w:pStyle w:val="style0"/>
              <w:jc w:val="center"/>
              <w:rPr>
                <w:rFonts w:cs="Times New Roman"/>
                <w:b/>
                <w:bCs/>
                <w:sz w:val="20"/>
                <w:szCs w:val="20"/>
              </w:rPr>
            </w:pPr>
            <w:r>
              <w:rPr>
                <w:rFonts w:cs="Times New Roman"/>
                <w:b/>
                <w:bCs/>
                <w:sz w:val="20"/>
                <w:szCs w:val="20"/>
              </w:rPr>
              <w:t>Peneliti</w:t>
            </w:r>
          </w:p>
        </w:tc>
        <w:tc>
          <w:tcPr>
            <w:tcW w:w="2880" w:type="dxa"/>
            <w:tcBorders>
              <w:top w:val="single" w:sz="4" w:space="0" w:color="auto"/>
            </w:tcBorders>
          </w:tcPr>
          <w:p>
            <w:pPr>
              <w:pStyle w:val="style0"/>
              <w:jc w:val="center"/>
              <w:rPr>
                <w:rFonts w:cs="Times New Roman"/>
                <w:b/>
                <w:bCs/>
                <w:sz w:val="20"/>
                <w:szCs w:val="20"/>
              </w:rPr>
            </w:pPr>
            <w:r>
              <w:rPr>
                <w:rFonts w:cs="Times New Roman"/>
                <w:b/>
                <w:bCs/>
                <w:sz w:val="20"/>
                <w:szCs w:val="20"/>
              </w:rPr>
              <w:t>Variabel</w:t>
            </w:r>
          </w:p>
        </w:tc>
        <w:tc>
          <w:tcPr>
            <w:tcW w:w="990" w:type="dxa"/>
            <w:tcBorders>
              <w:top w:val="single" w:sz="4" w:space="0" w:color="auto"/>
            </w:tcBorders>
          </w:tcPr>
          <w:p>
            <w:pPr>
              <w:pStyle w:val="style0"/>
              <w:jc w:val="center"/>
              <w:rPr>
                <w:rFonts w:cs="Times New Roman"/>
                <w:b/>
                <w:bCs/>
                <w:sz w:val="20"/>
                <w:szCs w:val="20"/>
              </w:rPr>
            </w:pPr>
            <w:r>
              <w:rPr>
                <w:rFonts w:cs="Times New Roman"/>
                <w:b/>
                <w:bCs/>
                <w:sz w:val="20"/>
                <w:szCs w:val="20"/>
              </w:rPr>
              <w:t>Metode</w:t>
            </w:r>
          </w:p>
        </w:tc>
        <w:tc>
          <w:tcPr>
            <w:tcW w:w="2250" w:type="dxa"/>
            <w:tcBorders>
              <w:top w:val="single" w:sz="4" w:space="0" w:color="auto"/>
            </w:tcBorders>
          </w:tcPr>
          <w:p>
            <w:pPr>
              <w:pStyle w:val="style0"/>
              <w:jc w:val="center"/>
              <w:rPr>
                <w:rFonts w:cs="Times New Roman"/>
                <w:b/>
                <w:bCs/>
                <w:sz w:val="20"/>
                <w:szCs w:val="20"/>
              </w:rPr>
            </w:pPr>
            <w:r>
              <w:rPr>
                <w:rFonts w:cs="Times New Roman"/>
                <w:b/>
                <w:bCs/>
                <w:sz w:val="20"/>
                <w:szCs w:val="20"/>
              </w:rPr>
              <w:t xml:space="preserve">Hasil </w:t>
            </w:r>
          </w:p>
        </w:tc>
      </w:tr>
      <w:tr>
        <w:tblPrEx/>
        <w:trPr>
          <w:trHeight w:val="2258"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1.</w:t>
            </w:r>
          </w:p>
        </w:tc>
        <w:tc>
          <w:tcPr>
            <w:tcW w:w="1356" w:type="dxa"/>
            <w:tcBorders>
              <w:top w:val="single" w:sz="4" w:space="0" w:color="auto"/>
              <w:bottom w:val="single" w:sz="4" w:space="0" w:color="auto"/>
            </w:tcBorders>
          </w:tcPr>
          <w:p>
            <w:pPr>
              <w:pStyle w:val="style0"/>
              <w:rPr>
                <w:rFonts w:cs="Times New Roman"/>
                <w:b/>
                <w:bCs/>
                <w:sz w:val="20"/>
                <w:szCs w:val="20"/>
              </w:rPr>
            </w:pPr>
            <w:r>
              <w:rPr>
                <w:rFonts w:cs="Times New Roman" w:eastAsia="Times New Roman"/>
                <w:color w:val="000000"/>
                <w:sz w:val="20"/>
              </w:rPr>
              <w:t>Septyanto &amp; Nugraha (2021)</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ind w:left="162" w:hanging="157"/>
              <w:rPr>
                <w:rFonts w:cs="Times New Roman" w:eastAsia="Times New Roman"/>
                <w:sz w:val="20"/>
                <w:szCs w:val="20"/>
              </w:rPr>
            </w:pPr>
            <w:r>
              <w:rPr>
                <w:rFonts w:cs="Times New Roman" w:eastAsia="Times New Roman"/>
                <w:i/>
                <w:sz w:val="20"/>
                <w:szCs w:val="20"/>
              </w:rPr>
              <w:t>Enterprise Risk Management</w:t>
            </w:r>
          </w:p>
          <w:p>
            <w:pPr>
              <w:pStyle w:val="style179"/>
              <w:numPr>
                <w:ilvl w:val="0"/>
                <w:numId w:val="8"/>
              </w:numPr>
              <w:ind w:left="162" w:right="-130" w:hanging="157"/>
              <w:rPr>
                <w:rFonts w:cs="Times New Roman" w:eastAsia="Times New Roman"/>
                <w:sz w:val="20"/>
                <w:szCs w:val="20"/>
              </w:rPr>
            </w:pPr>
            <w:r>
              <w:rPr>
                <w:rFonts w:cs="Times New Roman" w:eastAsia="Times New Roman"/>
                <w:i/>
                <w:sz w:val="20"/>
                <w:szCs w:val="20"/>
              </w:rPr>
              <w:t>Leverage</w:t>
            </w:r>
            <w:r>
              <w:rPr>
                <w:rFonts w:cs="Times New Roman" w:eastAsia="Times New Roman"/>
                <w:sz w:val="20"/>
                <w:szCs w:val="20"/>
              </w:rPr>
              <w:t xml:space="preserve"> </w:t>
            </w:r>
          </w:p>
          <w:p>
            <w:pPr>
              <w:pStyle w:val="style179"/>
              <w:numPr>
                <w:ilvl w:val="0"/>
                <w:numId w:val="8"/>
              </w:numPr>
              <w:ind w:left="162" w:right="-130" w:hanging="157"/>
              <w:rPr>
                <w:rFonts w:cs="Times New Roman" w:eastAsia="Times New Roman"/>
                <w:sz w:val="20"/>
                <w:szCs w:val="20"/>
              </w:rPr>
            </w:pPr>
            <w:r>
              <w:rPr>
                <w:rFonts w:cs="Times New Roman" w:eastAsia="Times New Roman"/>
                <w:i/>
                <w:iCs/>
                <w:sz w:val="20"/>
                <w:szCs w:val="20"/>
              </w:rPr>
              <w:t>F</w:t>
            </w:r>
            <w:r>
              <w:rPr>
                <w:rFonts w:cs="Times New Roman" w:eastAsia="Times New Roman"/>
                <w:i/>
                <w:sz w:val="20"/>
                <w:szCs w:val="20"/>
              </w:rPr>
              <w:t>irm Size</w:t>
            </w:r>
          </w:p>
          <w:p>
            <w:pPr>
              <w:pStyle w:val="style179"/>
              <w:numPr>
                <w:ilvl w:val="0"/>
                <w:numId w:val="8"/>
              </w:numPr>
              <w:ind w:left="162" w:right="-130" w:hanging="157"/>
              <w:rPr>
                <w:rFonts w:cs="Times New Roman" w:eastAsia="Times New Roman"/>
                <w:sz w:val="20"/>
                <w:szCs w:val="20"/>
              </w:rPr>
            </w:pPr>
            <w:r>
              <w:rPr>
                <w:rFonts w:cs="Times New Roman" w:eastAsia="Times New Roman"/>
                <w:i/>
                <w:sz w:val="20"/>
                <w:szCs w:val="20"/>
              </w:rPr>
              <w:t>Profitability</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rPr>
                <w:rFonts w:cs="Times New Roman"/>
                <w:b/>
                <w:bCs/>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b/>
                <w:bCs/>
                <w:sz w:val="20"/>
                <w:szCs w:val="20"/>
              </w:rPr>
            </w:pPr>
            <w:r>
              <w:rPr>
                <w:rFonts w:cs="Times New Roman"/>
                <w:sz w:val="20"/>
                <w:szCs w:val="20"/>
              </w:rPr>
              <w:t>Analisis Regresi Data Panel</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Berpengaruh signifikan positif:</w:t>
            </w:r>
          </w:p>
          <w:p>
            <w:pPr>
              <w:pStyle w:val="style0"/>
              <w:rPr>
                <w:rFonts w:cs="Times New Roman"/>
                <w:i/>
                <w:iCs/>
                <w:sz w:val="20"/>
                <w:szCs w:val="20"/>
              </w:rPr>
            </w:pPr>
            <w:r>
              <w:rPr>
                <w:rFonts w:cs="Times New Roman"/>
                <w:i/>
                <w:iCs/>
                <w:sz w:val="20"/>
                <w:szCs w:val="20"/>
              </w:rPr>
              <w:t>Enterprise Risk Management</w:t>
            </w:r>
          </w:p>
          <w:p>
            <w:pPr>
              <w:pStyle w:val="style0"/>
              <w:rPr>
                <w:rFonts w:cs="Times New Roman"/>
                <w:sz w:val="20"/>
                <w:szCs w:val="20"/>
              </w:rPr>
            </w:pPr>
          </w:p>
          <w:p>
            <w:pPr>
              <w:pStyle w:val="style0"/>
              <w:rPr>
                <w:rFonts w:cs="Times New Roman"/>
                <w:sz w:val="20"/>
                <w:szCs w:val="20"/>
              </w:rPr>
            </w:pPr>
          </w:p>
        </w:tc>
      </w:tr>
      <w:tr>
        <w:tblPrEx/>
        <w:trPr>
          <w:trHeight w:val="1880"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2.</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eastAsia="Times New Roman"/>
                <w:color w:val="000000"/>
                <w:sz w:val="20"/>
              </w:rPr>
              <w:t>Amerta &amp; Soenarno (2022)</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ind w:left="160" w:right="-130" w:hanging="155"/>
              <w:rPr>
                <w:rFonts w:cs="Times New Roman" w:eastAsia="Times New Roman"/>
                <w:sz w:val="20"/>
                <w:szCs w:val="20"/>
              </w:rPr>
            </w:pPr>
            <w:r>
              <w:rPr>
                <w:rFonts w:cs="Times New Roman" w:eastAsia="Times New Roman"/>
                <w:i/>
                <w:sz w:val="20"/>
                <w:szCs w:val="20"/>
              </w:rPr>
              <w:t>Enterprise Risk Management</w:t>
            </w:r>
            <w:r>
              <w:rPr>
                <w:rFonts w:cs="Times New Roman" w:eastAsia="Times New Roman"/>
                <w:sz w:val="20"/>
                <w:szCs w:val="20"/>
              </w:rPr>
              <w:t xml:space="preserve"> </w:t>
            </w:r>
          </w:p>
          <w:p>
            <w:pPr>
              <w:pStyle w:val="style179"/>
              <w:numPr>
                <w:ilvl w:val="0"/>
                <w:numId w:val="8"/>
              </w:numPr>
              <w:ind w:left="160" w:right="-130" w:hanging="155"/>
              <w:rPr>
                <w:rFonts w:cs="Times New Roman" w:eastAsia="Times New Roman"/>
                <w:sz w:val="20"/>
                <w:szCs w:val="20"/>
              </w:rPr>
            </w:pPr>
            <w:r>
              <w:rPr>
                <w:rFonts w:cs="Times New Roman" w:eastAsia="Times New Roman"/>
                <w:i/>
                <w:iCs/>
                <w:sz w:val="20"/>
                <w:szCs w:val="20"/>
              </w:rPr>
              <w:t>Corporate Social Responsibility</w:t>
            </w:r>
          </w:p>
          <w:p>
            <w:pPr>
              <w:pStyle w:val="style179"/>
              <w:numPr>
                <w:ilvl w:val="0"/>
                <w:numId w:val="8"/>
              </w:numPr>
              <w:ind w:left="160" w:right="-130" w:hanging="155"/>
              <w:rPr>
                <w:rFonts w:cs="Times New Roman" w:eastAsia="Times New Roman"/>
                <w:sz w:val="20"/>
                <w:szCs w:val="20"/>
              </w:rPr>
            </w:pPr>
            <w:r>
              <w:rPr>
                <w:rFonts w:cs="Times New Roman" w:eastAsia="Times New Roman"/>
                <w:i/>
                <w:iCs/>
                <w:sz w:val="20"/>
                <w:szCs w:val="20"/>
              </w:rPr>
              <w:t>Sustainablity Report</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sz w:val="20"/>
                <w:szCs w:val="20"/>
              </w:rPr>
            </w:pPr>
            <w:r>
              <w:rPr>
                <w:rFonts w:cs="Times New Roman"/>
                <w:sz w:val="20"/>
                <w:szCs w:val="20"/>
              </w:rPr>
              <w:t>Analisis Regresi Data Panel</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Berpengaruh signifikan positif:</w:t>
            </w:r>
          </w:p>
          <w:p>
            <w:pPr>
              <w:pStyle w:val="style0"/>
              <w:rPr>
                <w:rFonts w:cs="Times New Roman"/>
                <w:sz w:val="20"/>
                <w:szCs w:val="20"/>
              </w:rPr>
            </w:pPr>
            <w:r>
              <w:rPr>
                <w:rFonts w:cs="Times New Roman"/>
                <w:i/>
                <w:iCs/>
                <w:sz w:val="20"/>
                <w:szCs w:val="20"/>
              </w:rPr>
              <w:t>Enterprise Risk Management</w:t>
            </w:r>
          </w:p>
          <w:p>
            <w:pPr>
              <w:pStyle w:val="style0"/>
              <w:rPr>
                <w:rFonts w:cs="Times New Roman"/>
                <w:i/>
                <w:iCs/>
                <w:sz w:val="20"/>
                <w:szCs w:val="20"/>
              </w:rPr>
            </w:pPr>
          </w:p>
          <w:p>
            <w:pPr>
              <w:pStyle w:val="style0"/>
              <w:rPr>
                <w:rFonts w:cs="Times New Roman"/>
                <w:sz w:val="20"/>
                <w:szCs w:val="20"/>
              </w:rPr>
            </w:pPr>
          </w:p>
        </w:tc>
      </w:tr>
      <w:tr>
        <w:tblPrEx/>
        <w:trPr>
          <w:trHeight w:val="2240"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 xml:space="preserve">3. </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color w:val="000000"/>
                <w:sz w:val="20"/>
                <w:szCs w:val="20"/>
              </w:rPr>
              <w:t xml:space="preserve">Wahdah </w:t>
            </w:r>
            <w:r>
              <w:rPr>
                <w:rFonts w:cs="Times New Roman"/>
                <w:i/>
                <w:iCs/>
                <w:color w:val="000000"/>
                <w:sz w:val="20"/>
                <w:szCs w:val="20"/>
              </w:rPr>
              <w:t>et al</w:t>
            </w:r>
            <w:r>
              <w:rPr>
                <w:rFonts w:cs="Times New Roman"/>
                <w:color w:val="000000"/>
                <w:sz w:val="20"/>
                <w:szCs w:val="20"/>
              </w:rPr>
              <w:t>. (2024)</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ind w:left="162" w:hanging="157"/>
              <w:rPr>
                <w:rFonts w:cs="Times New Roman" w:eastAsia="Times New Roman"/>
                <w:sz w:val="20"/>
                <w:szCs w:val="20"/>
              </w:rPr>
            </w:pPr>
            <w:r>
              <w:rPr>
                <w:rFonts w:cs="Times New Roman" w:eastAsia="Times New Roman"/>
                <w:i/>
                <w:sz w:val="20"/>
                <w:szCs w:val="20"/>
              </w:rPr>
              <w:t>Enterprise Risk Management</w:t>
            </w:r>
          </w:p>
          <w:p>
            <w:pPr>
              <w:pStyle w:val="style179"/>
              <w:numPr>
                <w:ilvl w:val="0"/>
                <w:numId w:val="8"/>
              </w:numPr>
              <w:ind w:left="162" w:right="-130" w:hanging="157"/>
              <w:rPr>
                <w:rFonts w:cs="Times New Roman" w:eastAsia="Times New Roman"/>
                <w:sz w:val="20"/>
                <w:szCs w:val="20"/>
              </w:rPr>
            </w:pPr>
            <w:r>
              <w:rPr>
                <w:rFonts w:cs="Times New Roman" w:eastAsia="Times New Roman"/>
                <w:i/>
                <w:sz w:val="20"/>
                <w:szCs w:val="20"/>
              </w:rPr>
              <w:t>Corporate Social Responsibility</w:t>
            </w:r>
          </w:p>
          <w:p>
            <w:pPr>
              <w:pStyle w:val="style179"/>
              <w:numPr>
                <w:ilvl w:val="0"/>
                <w:numId w:val="8"/>
              </w:numPr>
              <w:ind w:left="162" w:right="-130" w:hanging="157"/>
              <w:rPr>
                <w:rFonts w:cs="Times New Roman" w:eastAsia="Times New Roman"/>
                <w:sz w:val="20"/>
                <w:szCs w:val="20"/>
              </w:rPr>
            </w:pPr>
            <w:r>
              <w:rPr>
                <w:rFonts w:cs="Times New Roman" w:eastAsia="Times New Roman"/>
                <w:i/>
                <w:sz w:val="20"/>
                <w:szCs w:val="20"/>
              </w:rPr>
              <w:t>Cost of Capital</w:t>
            </w:r>
            <w:r>
              <w:rPr>
                <w:rFonts w:cs="Times New Roman" w:eastAsia="Times New Roman"/>
                <w:sz w:val="20"/>
                <w:szCs w:val="20"/>
              </w:rPr>
              <w:t xml:space="preserve"> </w:t>
            </w:r>
          </w:p>
          <w:p>
            <w:pPr>
              <w:pStyle w:val="style179"/>
              <w:numPr>
                <w:ilvl w:val="0"/>
                <w:numId w:val="8"/>
              </w:numPr>
              <w:ind w:left="162" w:right="-130" w:hanging="157"/>
              <w:rPr>
                <w:rFonts w:cs="Times New Roman"/>
                <w:sz w:val="20"/>
                <w:szCs w:val="20"/>
              </w:rPr>
            </w:pPr>
            <w:r>
              <w:rPr>
                <w:rFonts w:cs="Times New Roman" w:eastAsia="Times New Roman"/>
                <w:i/>
                <w:sz w:val="20"/>
                <w:szCs w:val="20"/>
              </w:rPr>
              <w:t>Firm Size</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sz w:val="20"/>
                <w:szCs w:val="20"/>
              </w:rPr>
            </w:pPr>
            <w:r>
              <w:rPr>
                <w:rFonts w:cs="Times New Roman"/>
                <w:sz w:val="20"/>
                <w:szCs w:val="20"/>
              </w:rPr>
              <w:t>Analisis Regresi Data Panel</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Berpengaruh signifikan positif:</w:t>
            </w:r>
          </w:p>
          <w:p>
            <w:pPr>
              <w:pStyle w:val="style0"/>
              <w:rPr>
                <w:rFonts w:cs="Times New Roman"/>
                <w:i/>
                <w:iCs/>
                <w:sz w:val="20"/>
                <w:szCs w:val="20"/>
              </w:rPr>
            </w:pPr>
            <w:r>
              <w:rPr>
                <w:rFonts w:cs="Times New Roman"/>
                <w:i/>
                <w:iCs/>
                <w:sz w:val="20"/>
                <w:szCs w:val="20"/>
              </w:rPr>
              <w:t xml:space="preserve">Enterprise Risk Management </w:t>
            </w:r>
          </w:p>
          <w:p>
            <w:pPr>
              <w:pStyle w:val="style0"/>
              <w:rPr>
                <w:rFonts w:cs="Times New Roman"/>
                <w:i/>
                <w:iCs/>
                <w:sz w:val="20"/>
                <w:szCs w:val="20"/>
              </w:rPr>
            </w:pPr>
          </w:p>
          <w:p>
            <w:pPr>
              <w:pStyle w:val="style0"/>
              <w:rPr>
                <w:rFonts w:cs="Times New Roman"/>
                <w:sz w:val="20"/>
                <w:szCs w:val="20"/>
              </w:rPr>
            </w:pPr>
            <w:r>
              <w:rPr>
                <w:rFonts w:cs="Times New Roman"/>
                <w:sz w:val="20"/>
                <w:szCs w:val="20"/>
              </w:rPr>
              <w:t xml:space="preserve"> </w:t>
            </w:r>
          </w:p>
        </w:tc>
      </w:tr>
      <w:tr>
        <w:tblPrEx/>
        <w:trPr>
          <w:trHeight w:val="2429"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4.</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eastAsia="Times New Roman"/>
                <w:color w:val="000000"/>
                <w:sz w:val="20"/>
              </w:rPr>
              <w:t>Yuwono &amp; Aurelia (2021)</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Variabel X:</w:t>
            </w:r>
          </w:p>
          <w:p>
            <w:pPr>
              <w:pStyle w:val="style179"/>
              <w:numPr>
                <w:ilvl w:val="0"/>
                <w:numId w:val="8"/>
              </w:numPr>
              <w:ind w:left="252" w:right="-130" w:hanging="247"/>
              <w:rPr>
                <w:rFonts w:cs="Times New Roman" w:eastAsia="Times New Roman"/>
                <w:i/>
                <w:sz w:val="20"/>
                <w:szCs w:val="20"/>
              </w:rPr>
            </w:pPr>
            <w:r>
              <w:rPr>
                <w:rFonts w:cs="Times New Roman" w:eastAsia="Times New Roman"/>
                <w:i/>
                <w:sz w:val="20"/>
                <w:szCs w:val="20"/>
              </w:rPr>
              <w:t>Profitability</w:t>
            </w:r>
          </w:p>
          <w:p>
            <w:pPr>
              <w:pStyle w:val="style179"/>
              <w:numPr>
                <w:ilvl w:val="0"/>
                <w:numId w:val="8"/>
              </w:numPr>
              <w:ind w:left="252" w:right="-130" w:hanging="247"/>
              <w:rPr>
                <w:rFonts w:cs="Times New Roman" w:eastAsia="Times New Roman"/>
                <w:i/>
                <w:sz w:val="20"/>
                <w:szCs w:val="20"/>
              </w:rPr>
            </w:pPr>
            <w:r>
              <w:rPr>
                <w:rFonts w:cs="Times New Roman" w:eastAsia="Times New Roman"/>
                <w:i/>
                <w:sz w:val="20"/>
                <w:szCs w:val="20"/>
              </w:rPr>
              <w:t>Leverage</w:t>
            </w:r>
          </w:p>
          <w:p>
            <w:pPr>
              <w:pStyle w:val="style179"/>
              <w:numPr>
                <w:ilvl w:val="0"/>
                <w:numId w:val="8"/>
              </w:numPr>
              <w:ind w:left="252" w:right="-130" w:hanging="247"/>
              <w:rPr>
                <w:rFonts w:cs="Times New Roman" w:eastAsia="Times New Roman"/>
                <w:i/>
                <w:sz w:val="20"/>
                <w:szCs w:val="20"/>
              </w:rPr>
            </w:pPr>
            <w:r>
              <w:rPr>
                <w:rFonts w:cs="Times New Roman" w:eastAsia="Times New Roman"/>
                <w:i/>
                <w:sz w:val="20"/>
                <w:szCs w:val="20"/>
              </w:rPr>
              <w:t>Institutional Ownersip</w:t>
            </w:r>
          </w:p>
          <w:p>
            <w:pPr>
              <w:pStyle w:val="style179"/>
              <w:numPr>
                <w:ilvl w:val="0"/>
                <w:numId w:val="8"/>
              </w:numPr>
              <w:ind w:left="252" w:right="-130" w:hanging="247"/>
              <w:rPr>
                <w:rFonts w:cs="Times New Roman" w:eastAsia="Times New Roman"/>
                <w:i/>
                <w:sz w:val="20"/>
                <w:szCs w:val="20"/>
              </w:rPr>
            </w:pPr>
            <w:r>
              <w:rPr>
                <w:rFonts w:cs="Times New Roman" w:eastAsia="Times New Roman"/>
                <w:i/>
                <w:sz w:val="20"/>
                <w:szCs w:val="20"/>
              </w:rPr>
              <w:t>Managerial Ownership</w:t>
            </w:r>
          </w:p>
          <w:p>
            <w:pPr>
              <w:pStyle w:val="style179"/>
              <w:numPr>
                <w:ilvl w:val="0"/>
                <w:numId w:val="8"/>
              </w:numPr>
              <w:ind w:left="252" w:right="-130" w:hanging="247"/>
              <w:rPr>
                <w:rFonts w:cs="Times New Roman" w:eastAsia="Times New Roman"/>
                <w:i/>
                <w:sz w:val="20"/>
                <w:szCs w:val="20"/>
              </w:rPr>
            </w:pPr>
            <w:r>
              <w:rPr>
                <w:rFonts w:cs="Times New Roman" w:eastAsia="Times New Roman"/>
                <w:i/>
                <w:sz w:val="20"/>
                <w:szCs w:val="20"/>
              </w:rPr>
              <w:t>Dividend Policy</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sz w:val="20"/>
                <w:szCs w:val="20"/>
              </w:rPr>
            </w:pPr>
            <w:r>
              <w:rPr>
                <w:rFonts w:cs="Times New Roman"/>
                <w:sz w:val="20"/>
                <w:szCs w:val="20"/>
              </w:rPr>
              <w:t>Analisis Regresi Linier Berganda</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Berpengaruh signifikan positif:</w:t>
            </w:r>
          </w:p>
          <w:p>
            <w:pPr>
              <w:pStyle w:val="style179"/>
              <w:numPr>
                <w:ilvl w:val="0"/>
                <w:numId w:val="8"/>
              </w:numPr>
              <w:ind w:left="160" w:hanging="155"/>
              <w:rPr>
                <w:rFonts w:cs="Times New Roman"/>
                <w:sz w:val="20"/>
                <w:szCs w:val="20"/>
              </w:rPr>
            </w:pPr>
            <w:r>
              <w:rPr>
                <w:rFonts w:cs="Times New Roman" w:eastAsia="Times New Roman"/>
                <w:i/>
                <w:sz w:val="20"/>
                <w:szCs w:val="20"/>
              </w:rPr>
              <w:t>Managerial Ownership</w:t>
            </w:r>
          </w:p>
          <w:p>
            <w:pPr>
              <w:pStyle w:val="style179"/>
              <w:numPr>
                <w:ilvl w:val="0"/>
                <w:numId w:val="8"/>
              </w:numPr>
              <w:ind w:left="160" w:right="-111" w:hanging="155"/>
              <w:rPr>
                <w:rFonts w:cs="Times New Roman"/>
                <w:i/>
                <w:iCs/>
                <w:sz w:val="20"/>
                <w:szCs w:val="20"/>
              </w:rPr>
            </w:pPr>
            <w:r>
              <w:rPr>
                <w:rFonts w:cs="Times New Roman"/>
                <w:i/>
                <w:iCs/>
                <w:sz w:val="20"/>
                <w:szCs w:val="20"/>
              </w:rPr>
              <w:t>Institutional Ownership</w:t>
            </w:r>
          </w:p>
          <w:p>
            <w:pPr>
              <w:pStyle w:val="style0"/>
              <w:rPr>
                <w:rFonts w:cs="Times New Roman"/>
                <w:sz w:val="20"/>
                <w:szCs w:val="20"/>
              </w:rPr>
            </w:pPr>
          </w:p>
        </w:tc>
      </w:tr>
      <w:tr>
        <w:tblPrEx/>
        <w:trPr>
          <w:trHeight w:val="59" w:hRule="atLeast"/>
        </w:trPr>
        <w:tc>
          <w:tcPr>
            <w:tcW w:w="7920" w:type="dxa"/>
            <w:gridSpan w:val="5"/>
            <w:tcBorders>
              <w:top w:val="single" w:sz="4" w:space="0" w:color="auto"/>
              <w:left w:val="nil"/>
              <w:bottom w:val="nil"/>
              <w:right w:val="nil"/>
            </w:tcBorders>
          </w:tcPr>
          <w:p>
            <w:pPr>
              <w:pStyle w:val="style0"/>
              <w:rPr>
                <w:rFonts w:cs="Times New Roman"/>
                <w:sz w:val="20"/>
                <w:szCs w:val="20"/>
              </w:rPr>
            </w:pPr>
            <w:r>
              <w:rPr>
                <w:rFonts w:cs="Times New Roman"/>
                <w:i/>
                <w:iCs/>
                <w:sz w:val="20"/>
                <w:szCs w:val="20"/>
              </w:rPr>
              <w:t>Disambung pada halaman selanjutnya</w:t>
            </w:r>
          </w:p>
        </w:tc>
      </w:tr>
      <w:tr>
        <w:tblPrEx/>
        <w:trPr>
          <w:trHeight w:val="368" w:hRule="atLeast"/>
        </w:trPr>
        <w:tc>
          <w:tcPr>
            <w:tcW w:w="7920" w:type="dxa"/>
            <w:gridSpan w:val="5"/>
            <w:tcBorders>
              <w:top w:val="nil"/>
              <w:left w:val="nil"/>
              <w:bottom w:val="single" w:sz="4" w:space="0" w:color="auto"/>
              <w:right w:val="nil"/>
            </w:tcBorders>
          </w:tcPr>
          <w:p>
            <w:pPr>
              <w:pStyle w:val="style0"/>
              <w:rPr>
                <w:rFonts w:cs="Times New Roman"/>
                <w:sz w:val="20"/>
                <w:szCs w:val="20"/>
              </w:rPr>
            </w:pPr>
            <w:r>
              <w:rPr>
                <w:rFonts w:cs="Times New Roman"/>
                <w:b/>
                <w:bCs/>
                <w:sz w:val="22"/>
              </w:rPr>
              <w:t>Tabel 2. 1. Sambungan Tinjauan Penelitian Terdahulu</w:t>
            </w:r>
          </w:p>
        </w:tc>
      </w:tr>
      <w:tr>
        <w:tblPrEx/>
        <w:trPr>
          <w:trHeight w:val="59"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b/>
                <w:bCs/>
                <w:sz w:val="20"/>
                <w:szCs w:val="20"/>
              </w:rPr>
              <w:t>No.</w:t>
            </w:r>
          </w:p>
        </w:tc>
        <w:tc>
          <w:tcPr>
            <w:tcW w:w="1356" w:type="dxa"/>
            <w:tcBorders>
              <w:top w:val="single" w:sz="4" w:space="0" w:color="auto"/>
              <w:bottom w:val="single" w:sz="4" w:space="0" w:color="auto"/>
            </w:tcBorders>
          </w:tcPr>
          <w:p>
            <w:pPr>
              <w:pStyle w:val="style0"/>
              <w:jc w:val="center"/>
              <w:rPr>
                <w:rFonts w:cs="Times New Roman"/>
                <w:color w:val="000000"/>
                <w:sz w:val="20"/>
                <w:szCs w:val="20"/>
              </w:rPr>
            </w:pPr>
            <w:r>
              <w:rPr>
                <w:rFonts w:cs="Times New Roman"/>
                <w:b/>
                <w:bCs/>
                <w:sz w:val="20"/>
                <w:szCs w:val="20"/>
              </w:rPr>
              <w:t>Peneliti</w:t>
            </w:r>
          </w:p>
        </w:tc>
        <w:tc>
          <w:tcPr>
            <w:tcW w:w="2880" w:type="dxa"/>
            <w:tcBorders>
              <w:top w:val="single" w:sz="4" w:space="0" w:color="auto"/>
              <w:bottom w:val="single" w:sz="4" w:space="0" w:color="auto"/>
            </w:tcBorders>
          </w:tcPr>
          <w:p>
            <w:pPr>
              <w:pStyle w:val="style0"/>
              <w:ind w:left="10" w:right="-130"/>
              <w:jc w:val="center"/>
              <w:rPr>
                <w:rFonts w:cs="Times New Roman" w:eastAsia="Times New Roman"/>
                <w:sz w:val="20"/>
                <w:szCs w:val="20"/>
              </w:rPr>
            </w:pPr>
            <w:r>
              <w:rPr>
                <w:rFonts w:cs="Times New Roman"/>
                <w:b/>
                <w:bCs/>
                <w:sz w:val="20"/>
                <w:szCs w:val="20"/>
              </w:rPr>
              <w:t>Variabel</w:t>
            </w:r>
          </w:p>
        </w:tc>
        <w:tc>
          <w:tcPr>
            <w:tcW w:w="990" w:type="dxa"/>
            <w:tcBorders>
              <w:top w:val="single" w:sz="4" w:space="0" w:color="auto"/>
              <w:bottom w:val="single" w:sz="4" w:space="0" w:color="auto"/>
            </w:tcBorders>
          </w:tcPr>
          <w:p>
            <w:pPr>
              <w:pStyle w:val="style0"/>
              <w:jc w:val="center"/>
              <w:rPr>
                <w:rFonts w:cs="Times New Roman"/>
                <w:sz w:val="20"/>
                <w:szCs w:val="20"/>
              </w:rPr>
            </w:pPr>
            <w:r>
              <w:rPr>
                <w:rFonts w:cs="Times New Roman"/>
                <w:b/>
                <w:bCs/>
                <w:sz w:val="20"/>
                <w:szCs w:val="20"/>
              </w:rPr>
              <w:t>Metode</w:t>
            </w:r>
          </w:p>
        </w:tc>
        <w:tc>
          <w:tcPr>
            <w:tcW w:w="2250" w:type="dxa"/>
            <w:tcBorders>
              <w:top w:val="single" w:sz="4" w:space="0" w:color="auto"/>
              <w:bottom w:val="single" w:sz="4" w:space="0" w:color="auto"/>
            </w:tcBorders>
          </w:tcPr>
          <w:p>
            <w:pPr>
              <w:pStyle w:val="style0"/>
              <w:jc w:val="center"/>
              <w:rPr>
                <w:rFonts w:cs="Times New Roman"/>
                <w:sz w:val="20"/>
                <w:szCs w:val="20"/>
              </w:rPr>
            </w:pPr>
            <w:r>
              <w:rPr>
                <w:rFonts w:cs="Times New Roman"/>
                <w:b/>
                <w:bCs/>
                <w:sz w:val="20"/>
                <w:szCs w:val="20"/>
              </w:rPr>
              <w:t>Hasil</w:t>
            </w:r>
          </w:p>
        </w:tc>
      </w:tr>
      <w:tr>
        <w:tblPrEx/>
        <w:trPr>
          <w:trHeight w:val="971"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5.</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color w:val="000000"/>
                <w:sz w:val="20"/>
                <w:szCs w:val="20"/>
              </w:rPr>
              <w:t xml:space="preserve">Malik </w:t>
            </w:r>
            <w:r>
              <w:rPr>
                <w:rFonts w:cs="Times New Roman"/>
                <w:i/>
                <w:iCs/>
                <w:color w:val="000000"/>
                <w:sz w:val="20"/>
                <w:szCs w:val="20"/>
              </w:rPr>
              <w:t>et al</w:t>
            </w:r>
            <w:r>
              <w:rPr>
                <w:rFonts w:cs="Times New Roman"/>
                <w:color w:val="000000"/>
                <w:sz w:val="20"/>
                <w:szCs w:val="20"/>
              </w:rPr>
              <w:t>. (2024)</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ind w:left="162" w:hanging="157"/>
              <w:rPr>
                <w:rFonts w:cs="Times New Roman" w:eastAsia="Times New Roman"/>
                <w:sz w:val="20"/>
                <w:szCs w:val="20"/>
              </w:rPr>
            </w:pPr>
            <w:r>
              <w:rPr>
                <w:rFonts w:cs="Times New Roman" w:eastAsia="Times New Roman"/>
                <w:iCs/>
                <w:sz w:val="20"/>
                <w:szCs w:val="20"/>
              </w:rPr>
              <w:t>Pengungkapan Manajemen Risiko</w:t>
            </w:r>
          </w:p>
          <w:p>
            <w:pPr>
              <w:pStyle w:val="style179"/>
              <w:numPr>
                <w:ilvl w:val="0"/>
                <w:numId w:val="8"/>
              </w:numPr>
              <w:ind w:left="162" w:right="-130" w:hanging="157"/>
              <w:rPr>
                <w:rFonts w:cs="Times New Roman"/>
                <w:sz w:val="20"/>
                <w:szCs w:val="20"/>
              </w:rPr>
            </w:pPr>
            <w:r>
              <w:rPr>
                <w:rFonts w:cs="Times New Roman" w:eastAsia="Times New Roman"/>
                <w:i/>
                <w:sz w:val="20"/>
                <w:szCs w:val="20"/>
              </w:rPr>
              <w:t>Managerial Ownership</w:t>
            </w:r>
          </w:p>
          <w:p>
            <w:pPr>
              <w:pStyle w:val="style179"/>
              <w:numPr>
                <w:ilvl w:val="0"/>
                <w:numId w:val="8"/>
              </w:numPr>
              <w:ind w:left="162" w:right="-130" w:hanging="157"/>
              <w:rPr>
                <w:rFonts w:cs="Times New Roman"/>
                <w:sz w:val="20"/>
                <w:szCs w:val="20"/>
              </w:rPr>
            </w:pPr>
            <w:r>
              <w:rPr>
                <w:rFonts w:cs="Times New Roman" w:eastAsia="Times New Roman"/>
                <w:i/>
                <w:sz w:val="20"/>
                <w:szCs w:val="20"/>
              </w:rPr>
              <w:t>Institutional Ownership</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sz w:val="20"/>
                <w:szCs w:val="20"/>
              </w:rPr>
            </w:pPr>
            <w:r>
              <w:rPr>
                <w:rFonts w:cs="Times New Roman"/>
                <w:sz w:val="20"/>
                <w:szCs w:val="20"/>
              </w:rPr>
              <w:t>Analisis Regresi Data Panel</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Berpengaruh signifikan positif:</w:t>
            </w:r>
          </w:p>
          <w:p>
            <w:pPr>
              <w:pStyle w:val="style179"/>
              <w:numPr>
                <w:ilvl w:val="0"/>
                <w:numId w:val="8"/>
              </w:numPr>
              <w:ind w:left="165" w:right="-111" w:hanging="165"/>
              <w:rPr>
                <w:rFonts w:cs="Times New Roman"/>
                <w:sz w:val="20"/>
                <w:szCs w:val="20"/>
              </w:rPr>
            </w:pPr>
            <w:r>
              <w:rPr>
                <w:rFonts w:cs="Times New Roman" w:eastAsia="Times New Roman"/>
                <w:i/>
                <w:sz w:val="20"/>
                <w:szCs w:val="20"/>
              </w:rPr>
              <w:t>Managerial Ownership</w:t>
            </w:r>
          </w:p>
          <w:p>
            <w:pPr>
              <w:pStyle w:val="style179"/>
              <w:numPr>
                <w:ilvl w:val="0"/>
                <w:numId w:val="8"/>
              </w:numPr>
              <w:ind w:left="165" w:right="-111" w:hanging="165"/>
              <w:rPr>
                <w:rFonts w:cs="Times New Roman"/>
                <w:sz w:val="20"/>
                <w:szCs w:val="20"/>
              </w:rPr>
            </w:pPr>
            <w:r>
              <w:rPr>
                <w:rFonts w:cs="Times New Roman" w:eastAsia="Times New Roman"/>
                <w:i/>
                <w:sz w:val="20"/>
                <w:szCs w:val="20"/>
              </w:rPr>
              <w:t>Institutional Ownership</w:t>
            </w:r>
          </w:p>
          <w:p>
            <w:pPr>
              <w:pStyle w:val="style0"/>
              <w:rPr>
                <w:rFonts w:cs="Times New Roman"/>
                <w:sz w:val="20"/>
                <w:szCs w:val="20"/>
              </w:rPr>
            </w:pPr>
          </w:p>
        </w:tc>
      </w:tr>
      <w:tr>
        <w:tblPrEx/>
        <w:trPr>
          <w:trHeight w:val="782"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6.</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eastAsia="Times New Roman"/>
                <w:color w:val="000000"/>
                <w:sz w:val="20"/>
              </w:rPr>
              <w:t>Cristofel &amp; Kurniawati (2021)</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ind w:left="162" w:right="-17" w:hanging="157"/>
              <w:rPr>
                <w:rFonts w:cs="Times New Roman" w:eastAsia="Times New Roman"/>
                <w:sz w:val="20"/>
                <w:szCs w:val="20"/>
              </w:rPr>
            </w:pPr>
            <w:r>
              <w:rPr>
                <w:rFonts w:cs="Times New Roman" w:eastAsia="Times New Roman"/>
                <w:i/>
                <w:sz w:val="20"/>
                <w:szCs w:val="20"/>
              </w:rPr>
              <w:t>Enterprise Risk Management</w:t>
            </w:r>
          </w:p>
          <w:p>
            <w:pPr>
              <w:pStyle w:val="style179"/>
              <w:numPr>
                <w:ilvl w:val="0"/>
                <w:numId w:val="8"/>
              </w:numPr>
              <w:ind w:left="162" w:right="-17" w:hanging="157"/>
              <w:rPr>
                <w:rFonts w:cs="Times New Roman" w:eastAsia="Times New Roman"/>
                <w:sz w:val="20"/>
                <w:szCs w:val="20"/>
              </w:rPr>
            </w:pPr>
            <w:r>
              <w:rPr>
                <w:rFonts w:cs="Times New Roman" w:eastAsia="Times New Roman"/>
                <w:i/>
                <w:sz w:val="20"/>
                <w:szCs w:val="20"/>
              </w:rPr>
              <w:t>Corporate Social Responsibilty</w:t>
            </w:r>
          </w:p>
          <w:p>
            <w:pPr>
              <w:pStyle w:val="style179"/>
              <w:numPr>
                <w:ilvl w:val="0"/>
                <w:numId w:val="8"/>
              </w:numPr>
              <w:ind w:left="162" w:right="-130" w:hanging="157"/>
              <w:rPr>
                <w:rFonts w:cs="Times New Roman"/>
                <w:sz w:val="20"/>
                <w:szCs w:val="20"/>
              </w:rPr>
            </w:pPr>
            <w:r>
              <w:rPr>
                <w:rFonts w:cs="Times New Roman" w:eastAsia="Times New Roman"/>
                <w:i/>
                <w:sz w:val="20"/>
                <w:szCs w:val="20"/>
              </w:rPr>
              <w:t>Institutional Ownership</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sz w:val="20"/>
                <w:szCs w:val="20"/>
              </w:rPr>
            </w:pPr>
            <w:r>
              <w:rPr>
                <w:rFonts w:cs="Times New Roman"/>
                <w:sz w:val="20"/>
                <w:szCs w:val="20"/>
              </w:rPr>
              <w:t>Analisis Regresi Linier Berganda</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Berpengaruh signifikan positif:</w:t>
            </w:r>
          </w:p>
          <w:p>
            <w:pPr>
              <w:pStyle w:val="style0"/>
              <w:rPr>
                <w:rFonts w:cs="Times New Roman"/>
                <w:sz w:val="20"/>
                <w:szCs w:val="20"/>
              </w:rPr>
            </w:pPr>
            <w:r>
              <w:rPr>
                <w:rFonts w:cs="Times New Roman" w:eastAsia="Times New Roman"/>
                <w:i/>
                <w:sz w:val="20"/>
                <w:szCs w:val="20"/>
              </w:rPr>
              <w:t>Institutional Ownership</w:t>
            </w:r>
          </w:p>
          <w:p>
            <w:pPr>
              <w:pStyle w:val="style179"/>
              <w:ind w:left="169" w:hanging="180"/>
              <w:rPr>
                <w:rFonts w:cs="Times New Roman"/>
                <w:sz w:val="20"/>
                <w:szCs w:val="20"/>
              </w:rPr>
            </w:pPr>
          </w:p>
          <w:p>
            <w:pPr>
              <w:pStyle w:val="style0"/>
              <w:rPr>
                <w:rFonts w:cs="Times New Roman"/>
                <w:sz w:val="20"/>
                <w:szCs w:val="20"/>
              </w:rPr>
            </w:pPr>
            <w:r>
              <w:rPr>
                <w:rFonts w:cs="Times New Roman"/>
                <w:sz w:val="20"/>
                <w:szCs w:val="20"/>
              </w:rPr>
              <w:t>Berpengaruh signifikan negatif:</w:t>
            </w:r>
          </w:p>
          <w:p>
            <w:pPr>
              <w:pStyle w:val="style179"/>
              <w:ind w:left="0" w:right="-104"/>
              <w:rPr>
                <w:rFonts w:cs="Times New Roman"/>
                <w:sz w:val="20"/>
                <w:szCs w:val="20"/>
              </w:rPr>
            </w:pPr>
            <w:r>
              <w:rPr>
                <w:rFonts w:cs="Times New Roman" w:eastAsia="Times New Roman"/>
                <w:i/>
                <w:sz w:val="20"/>
                <w:szCs w:val="20"/>
              </w:rPr>
              <w:t>Enterprise Risk Management</w:t>
            </w:r>
          </w:p>
        </w:tc>
      </w:tr>
      <w:tr>
        <w:tblPrEx/>
        <w:trPr>
          <w:trHeight w:val="440"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7.</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color w:val="000000"/>
                <w:sz w:val="20"/>
                <w:szCs w:val="20"/>
              </w:rPr>
              <w:t xml:space="preserve">Fauziah </w:t>
            </w:r>
            <w:r>
              <w:rPr>
                <w:rFonts w:cs="Times New Roman"/>
                <w:i/>
                <w:iCs/>
                <w:color w:val="000000"/>
                <w:sz w:val="20"/>
                <w:szCs w:val="20"/>
              </w:rPr>
              <w:t>et al</w:t>
            </w:r>
            <w:r>
              <w:rPr>
                <w:rFonts w:cs="Times New Roman"/>
                <w:color w:val="000000"/>
                <w:sz w:val="20"/>
                <w:szCs w:val="20"/>
              </w:rPr>
              <w:t>. (2022)</w:t>
            </w:r>
          </w:p>
        </w:tc>
        <w:tc>
          <w:tcPr>
            <w:tcW w:w="2880" w:type="dxa"/>
            <w:tcBorders>
              <w:top w:val="single" w:sz="4" w:space="0" w:color="auto"/>
              <w:bottom w:val="single" w:sz="4" w:space="0" w:color="auto"/>
            </w:tcBorders>
          </w:tcPr>
          <w:p>
            <w:pPr>
              <w:pStyle w:val="style0"/>
              <w:ind w:left="1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ind w:left="179" w:right="-40" w:hanging="174"/>
              <w:rPr>
                <w:rFonts w:cs="Times New Roman" w:eastAsia="Times New Roman"/>
                <w:sz w:val="20"/>
                <w:szCs w:val="20"/>
              </w:rPr>
            </w:pPr>
            <w:r>
              <w:rPr>
                <w:rFonts w:cs="Times New Roman" w:eastAsia="Times New Roman"/>
                <w:i/>
                <w:sz w:val="20"/>
                <w:szCs w:val="20"/>
              </w:rPr>
              <w:t>Enterprise Risk Management</w:t>
            </w:r>
          </w:p>
          <w:p>
            <w:pPr>
              <w:pStyle w:val="style179"/>
              <w:numPr>
                <w:ilvl w:val="0"/>
                <w:numId w:val="8"/>
              </w:numPr>
              <w:ind w:left="179" w:right="-40" w:hanging="174"/>
              <w:rPr>
                <w:rFonts w:cs="Times New Roman" w:eastAsia="Times New Roman"/>
                <w:sz w:val="20"/>
                <w:szCs w:val="20"/>
              </w:rPr>
            </w:pPr>
            <w:r>
              <w:rPr>
                <w:rFonts w:cs="Times New Roman" w:eastAsia="Times New Roman"/>
                <w:i/>
                <w:sz w:val="20"/>
                <w:szCs w:val="20"/>
              </w:rPr>
              <w:t>Return on Asset</w:t>
            </w:r>
            <w:r>
              <w:rPr>
                <w:rFonts w:cs="Times New Roman" w:eastAsia="Times New Roman"/>
                <w:sz w:val="20"/>
                <w:szCs w:val="20"/>
              </w:rPr>
              <w:t xml:space="preserve"> </w:t>
            </w:r>
          </w:p>
          <w:p>
            <w:pPr>
              <w:pStyle w:val="style179"/>
              <w:numPr>
                <w:ilvl w:val="0"/>
                <w:numId w:val="8"/>
              </w:numPr>
              <w:ind w:left="179" w:right="-40" w:hanging="174"/>
              <w:rPr>
                <w:rFonts w:cs="Times New Roman"/>
                <w:sz w:val="20"/>
                <w:szCs w:val="20"/>
              </w:rPr>
            </w:pPr>
            <w:r>
              <w:rPr>
                <w:rFonts w:cs="Times New Roman" w:eastAsia="Times New Roman"/>
                <w:i/>
                <w:sz w:val="20"/>
                <w:szCs w:val="20"/>
              </w:rPr>
              <w:t>Managerial Ownership</w:t>
            </w:r>
          </w:p>
          <w:p>
            <w:pPr>
              <w:pStyle w:val="style179"/>
              <w:numPr>
                <w:ilvl w:val="0"/>
                <w:numId w:val="8"/>
              </w:numPr>
              <w:ind w:left="179" w:right="-40" w:hanging="174"/>
              <w:rPr>
                <w:rFonts w:cs="Times New Roman"/>
                <w:sz w:val="20"/>
                <w:szCs w:val="20"/>
              </w:rPr>
            </w:pPr>
            <w:r>
              <w:rPr>
                <w:rFonts w:cs="Times New Roman" w:eastAsia="Times New Roman"/>
                <w:i/>
                <w:sz w:val="20"/>
                <w:szCs w:val="20"/>
              </w:rPr>
              <w:t>Firm Size</w:t>
            </w:r>
          </w:p>
          <w:p>
            <w:pPr>
              <w:pStyle w:val="style0"/>
              <w:spacing w:before="24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i/>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sz w:val="20"/>
                <w:szCs w:val="20"/>
              </w:rPr>
            </w:pPr>
            <w:r>
              <w:rPr>
                <w:rFonts w:cs="Times New Roman"/>
                <w:sz w:val="20"/>
                <w:szCs w:val="20"/>
              </w:rPr>
              <w:t>Analisis Regresi Data Panel</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Berpengaruh signifikan positif:</w:t>
            </w:r>
          </w:p>
          <w:p>
            <w:pPr>
              <w:pStyle w:val="style0"/>
              <w:rPr>
                <w:rFonts w:cs="Times New Roman" w:eastAsia="Times New Roman"/>
                <w:i/>
                <w:sz w:val="20"/>
                <w:szCs w:val="20"/>
              </w:rPr>
            </w:pPr>
            <w:r>
              <w:rPr>
                <w:rFonts w:cs="Times New Roman" w:eastAsia="Times New Roman"/>
                <w:i/>
                <w:sz w:val="20"/>
                <w:szCs w:val="20"/>
              </w:rPr>
              <w:t>Managerial Ownership</w:t>
            </w:r>
          </w:p>
          <w:p>
            <w:pPr>
              <w:pStyle w:val="style0"/>
              <w:rPr>
                <w:rFonts w:cs="Times New Roman" w:eastAsia="Times New Roman"/>
                <w:i/>
                <w:sz w:val="20"/>
                <w:szCs w:val="20"/>
              </w:rPr>
            </w:pPr>
          </w:p>
          <w:p>
            <w:pPr>
              <w:pStyle w:val="style0"/>
              <w:rPr>
                <w:rFonts w:cs="Times New Roman"/>
                <w:sz w:val="20"/>
                <w:szCs w:val="20"/>
              </w:rPr>
            </w:pPr>
            <w:r>
              <w:rPr>
                <w:rFonts w:cs="Times New Roman"/>
                <w:sz w:val="20"/>
                <w:szCs w:val="20"/>
              </w:rPr>
              <w:t>Tidak berpengaruh signifikan:</w:t>
            </w:r>
          </w:p>
          <w:p>
            <w:pPr>
              <w:pStyle w:val="style0"/>
              <w:rPr>
                <w:rFonts w:cs="Times New Roman"/>
                <w:sz w:val="20"/>
                <w:szCs w:val="20"/>
              </w:rPr>
            </w:pPr>
            <w:r>
              <w:rPr>
                <w:rFonts w:cs="Times New Roman"/>
                <w:i/>
                <w:iCs/>
                <w:sz w:val="20"/>
                <w:szCs w:val="20"/>
              </w:rPr>
              <w:t>Enterprise Risk Management</w:t>
            </w:r>
          </w:p>
        </w:tc>
      </w:tr>
      <w:tr>
        <w:tblPrEx/>
        <w:trPr>
          <w:trHeight w:val="1340"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8.</w:t>
            </w:r>
          </w:p>
        </w:tc>
        <w:tc>
          <w:tcPr>
            <w:tcW w:w="1356" w:type="dxa"/>
            <w:tcBorders>
              <w:top w:val="single" w:sz="4" w:space="0" w:color="auto"/>
              <w:bottom w:val="single" w:sz="4" w:space="0" w:color="auto"/>
            </w:tcBorders>
          </w:tcPr>
          <w:p>
            <w:pPr>
              <w:pStyle w:val="style0"/>
              <w:rPr>
                <w:rFonts w:cs="Times New Roman"/>
                <w:b/>
                <w:bCs/>
                <w:sz w:val="20"/>
                <w:szCs w:val="20"/>
              </w:rPr>
            </w:pPr>
            <w:r>
              <w:rPr>
                <w:rFonts w:cs="Times New Roman" w:eastAsia="Times New Roman"/>
                <w:color w:val="000000"/>
                <w:sz w:val="20"/>
              </w:rPr>
              <w:t>D. M. Sari &amp; Wulandari (2021)</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Variabel X:</w:t>
            </w:r>
          </w:p>
          <w:p>
            <w:pPr>
              <w:pStyle w:val="style179"/>
              <w:numPr>
                <w:ilvl w:val="0"/>
                <w:numId w:val="8"/>
              </w:numPr>
              <w:ind w:left="252" w:right="-130" w:hanging="247"/>
              <w:rPr>
                <w:rFonts w:cs="Times New Roman" w:eastAsia="Times New Roman"/>
                <w:i/>
                <w:sz w:val="20"/>
                <w:szCs w:val="20"/>
              </w:rPr>
            </w:pPr>
            <w:r>
              <w:rPr>
                <w:rFonts w:cs="Times New Roman" w:eastAsia="Times New Roman"/>
                <w:i/>
                <w:sz w:val="20"/>
                <w:szCs w:val="20"/>
              </w:rPr>
              <w:t>Managerial Ownership</w:t>
            </w:r>
          </w:p>
          <w:p>
            <w:pPr>
              <w:pStyle w:val="style179"/>
              <w:numPr>
                <w:ilvl w:val="0"/>
                <w:numId w:val="8"/>
              </w:numPr>
              <w:ind w:left="252" w:right="-130" w:hanging="247"/>
              <w:rPr>
                <w:rFonts w:cs="Times New Roman" w:eastAsia="Times New Roman"/>
                <w:i/>
                <w:sz w:val="20"/>
                <w:szCs w:val="20"/>
              </w:rPr>
            </w:pPr>
            <w:r>
              <w:rPr>
                <w:rFonts w:cs="Times New Roman" w:eastAsia="Times New Roman"/>
                <w:i/>
                <w:sz w:val="20"/>
                <w:szCs w:val="20"/>
              </w:rPr>
              <w:t>Institutional Ownersip</w:t>
            </w:r>
          </w:p>
          <w:p>
            <w:pPr>
              <w:pStyle w:val="style179"/>
              <w:numPr>
                <w:ilvl w:val="0"/>
                <w:numId w:val="8"/>
              </w:numPr>
              <w:ind w:left="252" w:right="-130" w:hanging="247"/>
              <w:rPr>
                <w:rFonts w:cs="Times New Roman" w:eastAsia="Times New Roman"/>
                <w:i/>
                <w:sz w:val="20"/>
                <w:szCs w:val="20"/>
              </w:rPr>
            </w:pPr>
            <w:r>
              <w:rPr>
                <w:rFonts w:cs="Times New Roman" w:eastAsia="Times New Roman"/>
                <w:iCs/>
                <w:sz w:val="20"/>
                <w:szCs w:val="20"/>
              </w:rPr>
              <w:t>Kebijakan Dividen</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rPr>
                <w:rFonts w:cs="Times New Roman" w:eastAsia="Times New Roman"/>
                <w:i/>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b/>
                <w:bCs/>
                <w:sz w:val="20"/>
                <w:szCs w:val="20"/>
              </w:rPr>
            </w:pPr>
            <w:r>
              <w:rPr>
                <w:rFonts w:cs="Times New Roman"/>
                <w:sz w:val="20"/>
                <w:szCs w:val="20"/>
              </w:rPr>
              <w:t>Analisis Regresi Linier Berganda</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Berpengaruh signifikan positif:</w:t>
            </w:r>
          </w:p>
          <w:p>
            <w:pPr>
              <w:pStyle w:val="style0"/>
              <w:rPr>
                <w:rFonts w:cs="Times New Roman" w:eastAsia="Times New Roman"/>
                <w:i/>
                <w:sz w:val="20"/>
                <w:szCs w:val="20"/>
              </w:rPr>
            </w:pPr>
            <w:r>
              <w:rPr>
                <w:rFonts w:cs="Times New Roman" w:eastAsia="Times New Roman"/>
                <w:i/>
                <w:sz w:val="20"/>
                <w:szCs w:val="20"/>
              </w:rPr>
              <w:t>Managerial Ownership</w:t>
            </w:r>
          </w:p>
          <w:p>
            <w:pPr>
              <w:pStyle w:val="style0"/>
              <w:rPr>
                <w:rFonts w:cs="Times New Roman" w:eastAsia="Times New Roman"/>
                <w:i/>
                <w:sz w:val="20"/>
                <w:szCs w:val="20"/>
              </w:rPr>
            </w:pPr>
          </w:p>
          <w:p>
            <w:pPr>
              <w:pStyle w:val="style0"/>
              <w:rPr>
                <w:rFonts w:cs="Times New Roman"/>
                <w:sz w:val="20"/>
                <w:szCs w:val="20"/>
              </w:rPr>
            </w:pPr>
            <w:r>
              <w:rPr>
                <w:rFonts w:cs="Times New Roman"/>
                <w:sz w:val="20"/>
                <w:szCs w:val="20"/>
              </w:rPr>
              <w:t>Tidak berpengaruh signifikan:</w:t>
            </w:r>
          </w:p>
          <w:p>
            <w:pPr>
              <w:pStyle w:val="style0"/>
              <w:rPr>
                <w:rFonts w:cs="Times New Roman"/>
                <w:sz w:val="20"/>
                <w:szCs w:val="20"/>
              </w:rPr>
            </w:pPr>
            <w:r>
              <w:rPr>
                <w:rFonts w:cs="Times New Roman"/>
                <w:i/>
                <w:iCs/>
                <w:sz w:val="20"/>
                <w:szCs w:val="20"/>
              </w:rPr>
              <w:t>Institutional Ownership</w:t>
            </w:r>
          </w:p>
        </w:tc>
      </w:tr>
      <w:tr>
        <w:tblPrEx/>
        <w:trPr>
          <w:trHeight w:val="1385"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9.</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color w:val="000000"/>
                <w:sz w:val="20"/>
                <w:szCs w:val="20"/>
              </w:rPr>
              <w:t xml:space="preserve">Karina </w:t>
            </w:r>
            <w:r>
              <w:rPr>
                <w:rFonts w:cs="Times New Roman"/>
                <w:i/>
                <w:iCs/>
                <w:color w:val="000000"/>
                <w:sz w:val="20"/>
                <w:szCs w:val="20"/>
              </w:rPr>
              <w:t>et al</w:t>
            </w:r>
            <w:r>
              <w:rPr>
                <w:rFonts w:cs="Times New Roman"/>
                <w:color w:val="000000"/>
                <w:sz w:val="20"/>
                <w:szCs w:val="20"/>
              </w:rPr>
              <w:t>. (2023)</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0"/>
              <w:ind w:right="-130"/>
              <w:rPr>
                <w:rFonts w:cs="Times New Roman" w:eastAsia="Times New Roman"/>
                <w:sz w:val="20"/>
                <w:szCs w:val="20"/>
              </w:rPr>
            </w:pPr>
            <w:r>
              <w:rPr>
                <w:rFonts w:cs="Times New Roman" w:eastAsia="Times New Roman"/>
                <w:i/>
                <w:sz w:val="20"/>
                <w:szCs w:val="20"/>
              </w:rPr>
              <w:t>Enterprise Risk Management</w:t>
            </w:r>
            <w:r>
              <w:rPr>
                <w:rFonts w:cs="Times New Roman" w:eastAsia="Times New Roman"/>
                <w:sz w:val="20"/>
                <w:szCs w:val="20"/>
              </w:rPr>
              <w:t xml:space="preserve"> </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179"/>
              <w:numPr>
                <w:ilvl w:val="0"/>
                <w:numId w:val="8"/>
              </w:numPr>
              <w:ind w:left="162" w:right="-130" w:hanging="157"/>
              <w:rPr>
                <w:rFonts w:cs="Times New Roman" w:eastAsia="Times New Roman"/>
                <w:sz w:val="20"/>
                <w:szCs w:val="20"/>
              </w:rPr>
            </w:pPr>
            <w:r>
              <w:rPr>
                <w:rFonts w:cs="Times New Roman" w:eastAsia="Times New Roman"/>
                <w:i/>
                <w:iCs/>
                <w:sz w:val="20"/>
                <w:szCs w:val="20"/>
              </w:rPr>
              <w:t>Financial Performance</w:t>
            </w:r>
          </w:p>
          <w:p>
            <w:pPr>
              <w:pStyle w:val="style179"/>
              <w:numPr>
                <w:ilvl w:val="0"/>
                <w:numId w:val="8"/>
              </w:numPr>
              <w:ind w:left="162" w:right="-130" w:hanging="157"/>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sz w:val="20"/>
                <w:szCs w:val="20"/>
              </w:rPr>
            </w:pPr>
            <w:r>
              <w:rPr>
                <w:rFonts w:cs="Times New Roman"/>
                <w:sz w:val="20"/>
                <w:szCs w:val="20"/>
              </w:rPr>
              <w:t>Analisis Regresi Data Panel</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Tidak berpengaruh signifikan:</w:t>
            </w:r>
          </w:p>
          <w:p>
            <w:pPr>
              <w:pStyle w:val="style0"/>
              <w:rPr>
                <w:rFonts w:cs="Times New Roman"/>
                <w:sz w:val="20"/>
                <w:szCs w:val="20"/>
              </w:rPr>
            </w:pPr>
            <w:r>
              <w:rPr>
                <w:rFonts w:cs="Times New Roman"/>
                <w:i/>
                <w:iCs/>
                <w:sz w:val="20"/>
                <w:szCs w:val="20"/>
              </w:rPr>
              <w:t>Enterprise Risk Management</w:t>
            </w:r>
          </w:p>
        </w:tc>
      </w:tr>
      <w:tr>
        <w:tblPrEx/>
        <w:trPr>
          <w:trHeight w:val="1259"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10.</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eastAsia="Times New Roman"/>
                <w:color w:val="000000"/>
                <w:sz w:val="20"/>
              </w:rPr>
              <w:t>Hardi &amp; Baskara (2024)</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ind w:left="162" w:right="-130" w:hanging="157"/>
              <w:rPr>
                <w:rFonts w:cs="Times New Roman" w:eastAsia="Times New Roman"/>
                <w:sz w:val="20"/>
                <w:szCs w:val="20"/>
              </w:rPr>
            </w:pPr>
            <w:r>
              <w:rPr>
                <w:rFonts w:cs="Times New Roman" w:eastAsia="Times New Roman"/>
                <w:i/>
                <w:sz w:val="20"/>
                <w:szCs w:val="20"/>
              </w:rPr>
              <w:t>Enterprise Risk Management</w:t>
            </w:r>
            <w:r>
              <w:rPr>
                <w:rFonts w:cs="Times New Roman" w:eastAsia="Times New Roman"/>
                <w:sz w:val="20"/>
                <w:szCs w:val="20"/>
              </w:rPr>
              <w:t xml:space="preserve"> </w:t>
            </w:r>
          </w:p>
          <w:p>
            <w:pPr>
              <w:pStyle w:val="style179"/>
              <w:numPr>
                <w:ilvl w:val="0"/>
                <w:numId w:val="8"/>
              </w:numPr>
              <w:ind w:left="162" w:right="-470" w:hanging="157"/>
              <w:rPr>
                <w:rFonts w:cs="Times New Roman" w:eastAsia="Times New Roman"/>
                <w:sz w:val="20"/>
                <w:szCs w:val="20"/>
              </w:rPr>
            </w:pPr>
            <w:r>
              <w:rPr>
                <w:rFonts w:cs="Times New Roman" w:eastAsia="Times New Roman"/>
                <w:sz w:val="20"/>
                <w:szCs w:val="20"/>
              </w:rPr>
              <w:t>Corporate Social Responsibility</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ind w:left="-41"/>
              <w:jc w:val="center"/>
              <w:rPr>
                <w:rFonts w:cs="Times New Roman"/>
                <w:sz w:val="20"/>
                <w:szCs w:val="20"/>
              </w:rPr>
            </w:pPr>
            <w:r>
              <w:rPr>
                <w:rFonts w:cs="Times New Roman"/>
                <w:sz w:val="20"/>
                <w:szCs w:val="20"/>
              </w:rPr>
              <w:t>Analisis Regresi Linear</w:t>
            </w:r>
          </w:p>
          <w:p>
            <w:pPr>
              <w:pStyle w:val="style0"/>
              <w:jc w:val="center"/>
              <w:rPr>
                <w:rFonts w:cs="Times New Roman"/>
                <w:sz w:val="20"/>
                <w:szCs w:val="20"/>
              </w:rPr>
            </w:pPr>
            <w:r>
              <w:rPr>
                <w:rFonts w:cs="Times New Roman"/>
                <w:sz w:val="20"/>
                <w:szCs w:val="20"/>
              </w:rPr>
              <w:t>Berganda</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Tidak berpengaruh signifikan:</w:t>
            </w:r>
          </w:p>
          <w:p>
            <w:pPr>
              <w:pStyle w:val="style0"/>
              <w:rPr>
                <w:rFonts w:cs="Times New Roman"/>
                <w:sz w:val="20"/>
                <w:szCs w:val="20"/>
              </w:rPr>
            </w:pPr>
            <w:r>
              <w:rPr>
                <w:rFonts w:cs="Times New Roman"/>
                <w:i/>
                <w:iCs/>
                <w:sz w:val="20"/>
                <w:szCs w:val="20"/>
              </w:rPr>
              <w:t>Enterprise Risk Management</w:t>
            </w:r>
          </w:p>
          <w:p>
            <w:pPr>
              <w:pStyle w:val="style0"/>
              <w:rPr>
                <w:rFonts w:cs="Times New Roman"/>
                <w:sz w:val="20"/>
                <w:szCs w:val="20"/>
              </w:rPr>
            </w:pPr>
          </w:p>
          <w:p>
            <w:pPr>
              <w:pStyle w:val="style0"/>
              <w:rPr>
                <w:rFonts w:cs="Times New Roman"/>
                <w:sz w:val="20"/>
                <w:szCs w:val="20"/>
              </w:rPr>
            </w:pPr>
          </w:p>
        </w:tc>
      </w:tr>
      <w:tr>
        <w:tblPrEx/>
        <w:trPr>
          <w:trHeight w:val="1925"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11.</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color w:val="000000"/>
                <w:sz w:val="20"/>
                <w:szCs w:val="20"/>
              </w:rPr>
              <w:t xml:space="preserve">Kurniawan </w:t>
            </w:r>
            <w:r>
              <w:rPr>
                <w:rFonts w:cs="Times New Roman"/>
                <w:i/>
                <w:iCs/>
                <w:color w:val="000000"/>
                <w:sz w:val="20"/>
                <w:szCs w:val="20"/>
              </w:rPr>
              <w:t>et al</w:t>
            </w:r>
            <w:r>
              <w:rPr>
                <w:rFonts w:cs="Times New Roman"/>
                <w:color w:val="000000"/>
                <w:sz w:val="20"/>
                <w:szCs w:val="20"/>
              </w:rPr>
              <w:t>. (2024)</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spacing w:after="56"/>
              <w:ind w:left="162" w:right="-130" w:hanging="157"/>
              <w:rPr>
                <w:rFonts w:cs="Times New Roman" w:eastAsia="Times New Roman"/>
                <w:sz w:val="20"/>
                <w:szCs w:val="20"/>
              </w:rPr>
            </w:pPr>
            <w:r>
              <w:rPr>
                <w:rFonts w:cs="Times New Roman" w:eastAsia="Times New Roman"/>
                <w:i/>
                <w:sz w:val="20"/>
                <w:szCs w:val="20"/>
              </w:rPr>
              <w:t>Enterprise Risk Management</w:t>
            </w:r>
            <w:r>
              <w:rPr>
                <w:rFonts w:cs="Times New Roman" w:eastAsia="Times New Roman"/>
                <w:sz w:val="20"/>
                <w:szCs w:val="20"/>
              </w:rPr>
              <w:t xml:space="preserve"> </w:t>
            </w:r>
          </w:p>
          <w:p>
            <w:pPr>
              <w:pStyle w:val="style179"/>
              <w:numPr>
                <w:ilvl w:val="0"/>
                <w:numId w:val="8"/>
              </w:numPr>
              <w:spacing w:after="56"/>
              <w:ind w:left="162" w:right="-130" w:hanging="157"/>
              <w:rPr>
                <w:rFonts w:cs="Times New Roman"/>
                <w:sz w:val="20"/>
                <w:szCs w:val="20"/>
              </w:rPr>
            </w:pPr>
            <w:r>
              <w:rPr>
                <w:rFonts w:cs="Times New Roman" w:eastAsia="Times New Roman"/>
                <w:i/>
                <w:sz w:val="20"/>
                <w:szCs w:val="20"/>
              </w:rPr>
              <w:t>Managerial Ownership</w:t>
            </w:r>
          </w:p>
          <w:p>
            <w:pPr>
              <w:pStyle w:val="style179"/>
              <w:numPr>
                <w:ilvl w:val="0"/>
                <w:numId w:val="8"/>
              </w:numPr>
              <w:spacing w:after="66"/>
              <w:ind w:left="162" w:right="-130" w:hanging="157"/>
              <w:rPr>
                <w:rFonts w:cs="Times New Roman"/>
                <w:sz w:val="20"/>
                <w:szCs w:val="20"/>
              </w:rPr>
            </w:pPr>
            <w:r>
              <w:rPr>
                <w:rFonts w:cs="Times New Roman" w:eastAsia="Times New Roman"/>
                <w:i/>
                <w:sz w:val="20"/>
                <w:szCs w:val="20"/>
              </w:rPr>
              <w:t>Firm Size</w:t>
            </w:r>
          </w:p>
          <w:p>
            <w:pPr>
              <w:pStyle w:val="style179"/>
              <w:numPr>
                <w:ilvl w:val="0"/>
                <w:numId w:val="8"/>
              </w:numPr>
              <w:spacing w:after="66"/>
              <w:ind w:left="162" w:right="-130" w:hanging="157"/>
              <w:rPr>
                <w:rFonts w:cs="Times New Roman"/>
                <w:sz w:val="20"/>
                <w:szCs w:val="20"/>
              </w:rPr>
            </w:pPr>
            <w:r>
              <w:rPr>
                <w:rFonts w:cs="Times New Roman" w:eastAsia="Times New Roman"/>
                <w:i/>
                <w:sz w:val="20"/>
                <w:szCs w:val="20"/>
              </w:rPr>
              <w:t>Return on Asset</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ind w:left="-41"/>
              <w:jc w:val="center"/>
              <w:rPr>
                <w:rFonts w:cs="Times New Roman"/>
                <w:sz w:val="20"/>
                <w:szCs w:val="20"/>
              </w:rPr>
            </w:pPr>
            <w:r>
              <w:rPr>
                <w:rFonts w:cs="Times New Roman"/>
                <w:sz w:val="20"/>
                <w:szCs w:val="20"/>
              </w:rPr>
              <w:t>Analisis Regresi Linear Berganda</w:t>
            </w:r>
          </w:p>
        </w:tc>
        <w:tc>
          <w:tcPr>
            <w:tcW w:w="2250" w:type="dxa"/>
            <w:tcBorders>
              <w:top w:val="single" w:sz="4" w:space="0" w:color="auto"/>
              <w:bottom w:val="single" w:sz="4" w:space="0" w:color="auto"/>
            </w:tcBorders>
          </w:tcPr>
          <w:p>
            <w:pPr>
              <w:pStyle w:val="style0"/>
              <w:spacing w:after="5"/>
              <w:rPr>
                <w:rFonts w:cs="Times New Roman"/>
                <w:sz w:val="20"/>
                <w:szCs w:val="20"/>
              </w:rPr>
            </w:pPr>
            <w:r>
              <w:rPr>
                <w:rFonts w:cs="Times New Roman"/>
                <w:sz w:val="20"/>
                <w:szCs w:val="20"/>
              </w:rPr>
              <w:t>Tidak berpengaruh signifikan:</w:t>
            </w:r>
          </w:p>
          <w:p>
            <w:pPr>
              <w:pStyle w:val="style179"/>
              <w:numPr>
                <w:ilvl w:val="0"/>
                <w:numId w:val="8"/>
              </w:numPr>
              <w:spacing w:after="5"/>
              <w:ind w:left="165" w:hanging="165"/>
              <w:rPr>
                <w:rFonts w:cs="Times New Roman"/>
                <w:sz w:val="20"/>
                <w:szCs w:val="20"/>
              </w:rPr>
            </w:pPr>
            <w:r>
              <w:rPr>
                <w:rFonts w:cs="Times New Roman"/>
                <w:i/>
                <w:iCs/>
                <w:sz w:val="20"/>
                <w:szCs w:val="20"/>
              </w:rPr>
              <w:t>Enterprise Risk Management</w:t>
            </w:r>
          </w:p>
          <w:p>
            <w:pPr>
              <w:pStyle w:val="style179"/>
              <w:numPr>
                <w:ilvl w:val="0"/>
                <w:numId w:val="8"/>
              </w:numPr>
              <w:spacing w:after="5"/>
              <w:ind w:left="165" w:right="-111" w:hanging="165"/>
              <w:rPr>
                <w:rFonts w:cs="Times New Roman"/>
                <w:sz w:val="20"/>
                <w:szCs w:val="20"/>
              </w:rPr>
            </w:pPr>
            <w:r>
              <w:rPr>
                <w:rFonts w:cs="Times New Roman" w:eastAsia="Times New Roman"/>
                <w:i/>
                <w:sz w:val="20"/>
                <w:szCs w:val="20"/>
              </w:rPr>
              <w:t>Managerial Ownership</w:t>
            </w:r>
          </w:p>
          <w:p>
            <w:pPr>
              <w:pStyle w:val="style0"/>
              <w:rPr>
                <w:rFonts w:cs="Times New Roman"/>
                <w:sz w:val="20"/>
                <w:szCs w:val="20"/>
              </w:rPr>
            </w:pPr>
          </w:p>
        </w:tc>
      </w:tr>
      <w:tr>
        <w:tblPrEx/>
        <w:trPr>
          <w:trHeight w:val="80" w:hRule="atLeast"/>
        </w:trPr>
        <w:tc>
          <w:tcPr>
            <w:tcW w:w="7920" w:type="dxa"/>
            <w:gridSpan w:val="5"/>
            <w:tcBorders>
              <w:top w:val="single" w:sz="4" w:space="0" w:color="auto"/>
              <w:left w:val="nil"/>
              <w:bottom w:val="nil"/>
              <w:right w:val="nil"/>
            </w:tcBorders>
          </w:tcPr>
          <w:p>
            <w:pPr>
              <w:pStyle w:val="style0"/>
              <w:spacing w:after="5"/>
              <w:rPr>
                <w:rFonts w:cs="Times New Roman"/>
                <w:i/>
                <w:iCs/>
                <w:sz w:val="20"/>
                <w:szCs w:val="20"/>
              </w:rPr>
            </w:pPr>
            <w:r>
              <w:rPr>
                <w:rFonts w:cs="Times New Roman"/>
                <w:i/>
                <w:iCs/>
                <w:sz w:val="20"/>
                <w:szCs w:val="20"/>
              </w:rPr>
              <w:t>Disambung pada halaman selanjutnya</w:t>
            </w:r>
          </w:p>
        </w:tc>
      </w:tr>
      <w:tr>
        <w:tblPrEx/>
        <w:trPr>
          <w:trHeight w:val="360" w:hRule="atLeast"/>
        </w:trPr>
        <w:tc>
          <w:tcPr>
            <w:tcW w:w="7920" w:type="dxa"/>
            <w:gridSpan w:val="5"/>
            <w:tcBorders>
              <w:top w:val="nil"/>
              <w:left w:val="nil"/>
              <w:bottom w:val="single" w:sz="4" w:space="0" w:color="auto"/>
              <w:right w:val="nil"/>
            </w:tcBorders>
          </w:tcPr>
          <w:p>
            <w:pPr>
              <w:pStyle w:val="style0"/>
              <w:spacing w:after="5"/>
              <w:rPr>
                <w:rFonts w:cs="Times New Roman"/>
                <w:sz w:val="20"/>
                <w:szCs w:val="20"/>
              </w:rPr>
            </w:pPr>
            <w:r>
              <w:rPr>
                <w:rFonts w:cs="Times New Roman"/>
                <w:b/>
                <w:bCs/>
                <w:sz w:val="22"/>
              </w:rPr>
              <w:t>Tabel 2. 1. Sambungan Tinjauan Penelitian Terdahulu</w:t>
            </w:r>
          </w:p>
        </w:tc>
      </w:tr>
      <w:tr>
        <w:tblPrEx/>
        <w:trPr>
          <w:trHeight w:val="80"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b/>
                <w:bCs/>
                <w:sz w:val="20"/>
                <w:szCs w:val="20"/>
              </w:rPr>
              <w:t>No.</w:t>
            </w:r>
          </w:p>
        </w:tc>
        <w:tc>
          <w:tcPr>
            <w:tcW w:w="1356" w:type="dxa"/>
            <w:tcBorders>
              <w:top w:val="single" w:sz="4" w:space="0" w:color="auto"/>
              <w:bottom w:val="single" w:sz="4" w:space="0" w:color="auto"/>
            </w:tcBorders>
          </w:tcPr>
          <w:p>
            <w:pPr>
              <w:pStyle w:val="style0"/>
              <w:jc w:val="center"/>
              <w:rPr>
                <w:rFonts w:cs="Times New Roman"/>
                <w:color w:val="000000"/>
                <w:sz w:val="20"/>
                <w:szCs w:val="20"/>
              </w:rPr>
            </w:pPr>
            <w:r>
              <w:rPr>
                <w:rFonts w:cs="Times New Roman"/>
                <w:b/>
                <w:bCs/>
                <w:sz w:val="20"/>
                <w:szCs w:val="20"/>
              </w:rPr>
              <w:t>Peneliti</w:t>
            </w:r>
          </w:p>
        </w:tc>
        <w:tc>
          <w:tcPr>
            <w:tcW w:w="2880" w:type="dxa"/>
            <w:tcBorders>
              <w:top w:val="single" w:sz="4" w:space="0" w:color="auto"/>
              <w:bottom w:val="single" w:sz="4" w:space="0" w:color="auto"/>
            </w:tcBorders>
          </w:tcPr>
          <w:p>
            <w:pPr>
              <w:pStyle w:val="style0"/>
              <w:ind w:left="10" w:right="-130"/>
              <w:jc w:val="center"/>
              <w:rPr>
                <w:rFonts w:cs="Times New Roman" w:eastAsia="Times New Roman"/>
                <w:sz w:val="20"/>
                <w:szCs w:val="20"/>
              </w:rPr>
            </w:pPr>
            <w:r>
              <w:rPr>
                <w:rFonts w:cs="Times New Roman"/>
                <w:b/>
                <w:bCs/>
                <w:sz w:val="20"/>
                <w:szCs w:val="20"/>
              </w:rPr>
              <w:t>Variabel</w:t>
            </w:r>
          </w:p>
        </w:tc>
        <w:tc>
          <w:tcPr>
            <w:tcW w:w="990" w:type="dxa"/>
            <w:tcBorders>
              <w:top w:val="single" w:sz="4" w:space="0" w:color="auto"/>
              <w:bottom w:val="single" w:sz="4" w:space="0" w:color="auto"/>
            </w:tcBorders>
          </w:tcPr>
          <w:p>
            <w:pPr>
              <w:pStyle w:val="style0"/>
              <w:ind w:left="-41"/>
              <w:jc w:val="center"/>
              <w:rPr>
                <w:rFonts w:cs="Times New Roman"/>
                <w:sz w:val="20"/>
                <w:szCs w:val="20"/>
              </w:rPr>
            </w:pPr>
            <w:r>
              <w:rPr>
                <w:rFonts w:cs="Times New Roman"/>
                <w:b/>
                <w:bCs/>
                <w:sz w:val="20"/>
                <w:szCs w:val="20"/>
              </w:rPr>
              <w:t>Metode</w:t>
            </w:r>
          </w:p>
        </w:tc>
        <w:tc>
          <w:tcPr>
            <w:tcW w:w="2250" w:type="dxa"/>
            <w:tcBorders>
              <w:top w:val="single" w:sz="4" w:space="0" w:color="auto"/>
              <w:bottom w:val="single" w:sz="4" w:space="0" w:color="auto"/>
            </w:tcBorders>
          </w:tcPr>
          <w:p>
            <w:pPr>
              <w:pStyle w:val="style0"/>
              <w:spacing w:after="5"/>
              <w:jc w:val="center"/>
              <w:rPr>
                <w:rFonts w:cs="Times New Roman"/>
                <w:sz w:val="20"/>
                <w:szCs w:val="20"/>
              </w:rPr>
            </w:pPr>
            <w:r>
              <w:rPr>
                <w:rFonts w:cs="Times New Roman"/>
                <w:b/>
                <w:bCs/>
                <w:sz w:val="20"/>
                <w:szCs w:val="20"/>
              </w:rPr>
              <w:t>Hasil</w:t>
            </w:r>
          </w:p>
        </w:tc>
      </w:tr>
      <w:tr>
        <w:tblPrEx/>
        <w:trPr>
          <w:trHeight w:val="1520"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12.</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color w:val="000000"/>
                <w:sz w:val="20"/>
                <w:szCs w:val="20"/>
              </w:rPr>
              <w:t xml:space="preserve">Ismanto </w:t>
            </w:r>
            <w:r>
              <w:rPr>
                <w:rFonts w:cs="Times New Roman"/>
                <w:i/>
                <w:iCs/>
                <w:color w:val="000000"/>
                <w:sz w:val="20"/>
                <w:szCs w:val="20"/>
              </w:rPr>
              <w:t>et al</w:t>
            </w:r>
            <w:r>
              <w:rPr>
                <w:rFonts w:cs="Times New Roman"/>
                <w:color w:val="000000"/>
                <w:sz w:val="20"/>
                <w:szCs w:val="20"/>
              </w:rPr>
              <w:t>. (2023)</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spacing w:after="56"/>
              <w:ind w:left="162" w:right="-110" w:hanging="157"/>
              <w:rPr>
                <w:rFonts w:cs="Times New Roman" w:eastAsia="Times New Roman"/>
                <w:sz w:val="20"/>
                <w:szCs w:val="20"/>
              </w:rPr>
            </w:pPr>
            <w:r>
              <w:rPr>
                <w:rFonts w:cs="Times New Roman" w:eastAsia="Times New Roman"/>
                <w:i/>
                <w:sz w:val="20"/>
                <w:szCs w:val="20"/>
              </w:rPr>
              <w:t>Enterprise Risk Management</w:t>
            </w:r>
          </w:p>
          <w:p>
            <w:pPr>
              <w:pStyle w:val="style179"/>
              <w:numPr>
                <w:ilvl w:val="0"/>
                <w:numId w:val="8"/>
              </w:numPr>
              <w:spacing w:after="56"/>
              <w:ind w:left="162" w:right="-130" w:hanging="157"/>
              <w:rPr>
                <w:rFonts w:cs="Times New Roman" w:eastAsia="Times New Roman"/>
                <w:iCs/>
                <w:sz w:val="20"/>
                <w:szCs w:val="20"/>
              </w:rPr>
            </w:pPr>
            <w:r>
              <w:rPr>
                <w:rFonts w:cs="Times New Roman" w:eastAsia="Times New Roman"/>
                <w:iCs/>
                <w:sz w:val="20"/>
                <w:szCs w:val="20"/>
              </w:rPr>
              <w:t xml:space="preserve">Profitabilitas </w:t>
            </w:r>
          </w:p>
          <w:p>
            <w:pPr>
              <w:pStyle w:val="style179"/>
              <w:numPr>
                <w:ilvl w:val="0"/>
                <w:numId w:val="8"/>
              </w:numPr>
              <w:spacing w:after="56"/>
              <w:ind w:left="162" w:right="-130" w:hanging="157"/>
              <w:rPr>
                <w:rFonts w:cs="Times New Roman"/>
                <w:sz w:val="20"/>
                <w:szCs w:val="20"/>
              </w:rPr>
            </w:pPr>
            <w:r>
              <w:rPr>
                <w:rFonts w:cs="Times New Roman" w:eastAsia="Times New Roman"/>
                <w:i/>
                <w:sz w:val="20"/>
                <w:szCs w:val="20"/>
              </w:rPr>
              <w:t>Managerial Ownership</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ind w:left="-41"/>
              <w:jc w:val="center"/>
              <w:rPr>
                <w:rFonts w:cs="Times New Roman"/>
                <w:sz w:val="20"/>
                <w:szCs w:val="20"/>
              </w:rPr>
            </w:pPr>
            <w:r>
              <w:rPr>
                <w:rFonts w:cs="Times New Roman"/>
                <w:sz w:val="20"/>
                <w:szCs w:val="20"/>
              </w:rPr>
              <w:t>Analisis Regresi Data Panel</w:t>
            </w:r>
          </w:p>
        </w:tc>
        <w:tc>
          <w:tcPr>
            <w:tcW w:w="2250" w:type="dxa"/>
            <w:tcBorders>
              <w:top w:val="single" w:sz="4" w:space="0" w:color="auto"/>
              <w:bottom w:val="single" w:sz="4" w:space="0" w:color="auto"/>
            </w:tcBorders>
          </w:tcPr>
          <w:p>
            <w:pPr>
              <w:pStyle w:val="style0"/>
              <w:spacing w:after="5"/>
              <w:rPr>
                <w:rFonts w:cs="Times New Roman"/>
                <w:sz w:val="20"/>
                <w:szCs w:val="20"/>
              </w:rPr>
            </w:pPr>
            <w:r>
              <w:rPr>
                <w:rFonts w:cs="Times New Roman"/>
                <w:sz w:val="20"/>
                <w:szCs w:val="20"/>
              </w:rPr>
              <w:t>Tidak berpengaruh signifikan:</w:t>
            </w:r>
          </w:p>
          <w:p>
            <w:pPr>
              <w:pStyle w:val="style179"/>
              <w:numPr>
                <w:ilvl w:val="0"/>
                <w:numId w:val="8"/>
              </w:numPr>
              <w:spacing w:after="5"/>
              <w:ind w:left="165" w:hanging="165"/>
              <w:rPr>
                <w:rFonts w:cs="Times New Roman"/>
                <w:i/>
                <w:iCs/>
                <w:sz w:val="20"/>
                <w:szCs w:val="20"/>
              </w:rPr>
            </w:pPr>
            <w:r>
              <w:rPr>
                <w:rFonts w:cs="Times New Roman"/>
                <w:i/>
                <w:iCs/>
                <w:sz w:val="20"/>
                <w:szCs w:val="20"/>
              </w:rPr>
              <w:t>Enterprise Risk Management</w:t>
            </w:r>
          </w:p>
          <w:p>
            <w:pPr>
              <w:pStyle w:val="style179"/>
              <w:numPr>
                <w:ilvl w:val="0"/>
                <w:numId w:val="8"/>
              </w:numPr>
              <w:spacing w:after="5"/>
              <w:ind w:left="165" w:right="-201" w:hanging="165"/>
              <w:rPr>
                <w:rFonts w:cs="Times New Roman" w:eastAsia="Times New Roman"/>
                <w:i/>
                <w:sz w:val="20"/>
                <w:szCs w:val="20"/>
              </w:rPr>
            </w:pPr>
            <w:r>
              <w:rPr>
                <w:rFonts w:cs="Times New Roman" w:eastAsia="Times New Roman"/>
                <w:i/>
                <w:sz w:val="20"/>
                <w:szCs w:val="20"/>
              </w:rPr>
              <w:t>Managerial Ownership</w:t>
            </w:r>
          </w:p>
          <w:p>
            <w:pPr>
              <w:pStyle w:val="style0"/>
              <w:spacing w:after="5"/>
              <w:rPr>
                <w:rFonts w:cs="Times New Roman"/>
                <w:sz w:val="20"/>
                <w:szCs w:val="20"/>
              </w:rPr>
            </w:pPr>
          </w:p>
        </w:tc>
      </w:tr>
      <w:tr>
        <w:tblPrEx/>
        <w:trPr>
          <w:trHeight w:val="1547"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13.</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eastAsia="Times New Roman"/>
                <w:color w:val="000000"/>
                <w:sz w:val="20"/>
              </w:rPr>
              <w:t>Gustriadhi Nugroho &amp; Muid (2024)</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ind w:left="161" w:right="-130" w:hanging="156"/>
              <w:rPr>
                <w:rFonts w:cs="Times New Roman"/>
                <w:sz w:val="20"/>
                <w:szCs w:val="20"/>
              </w:rPr>
            </w:pPr>
            <w:r>
              <w:rPr>
                <w:rFonts w:cs="Times New Roman" w:eastAsia="Times New Roman"/>
                <w:i/>
                <w:sz w:val="20"/>
                <w:szCs w:val="20"/>
              </w:rPr>
              <w:t>Managerial Ownership</w:t>
            </w:r>
          </w:p>
          <w:p>
            <w:pPr>
              <w:pStyle w:val="style179"/>
              <w:numPr>
                <w:ilvl w:val="0"/>
                <w:numId w:val="8"/>
              </w:numPr>
              <w:ind w:left="161" w:right="-130" w:hanging="156"/>
              <w:rPr>
                <w:rFonts w:cs="Times New Roman"/>
                <w:sz w:val="20"/>
                <w:szCs w:val="20"/>
              </w:rPr>
            </w:pPr>
            <w:r>
              <w:rPr>
                <w:rFonts w:cs="Times New Roman" w:eastAsia="Times New Roman"/>
                <w:i/>
                <w:sz w:val="20"/>
                <w:szCs w:val="20"/>
              </w:rPr>
              <w:t>Return on Assets</w:t>
            </w:r>
          </w:p>
          <w:p>
            <w:pPr>
              <w:pStyle w:val="style179"/>
              <w:numPr>
                <w:ilvl w:val="0"/>
                <w:numId w:val="8"/>
              </w:numPr>
              <w:ind w:left="161" w:right="-130" w:hanging="156"/>
              <w:rPr>
                <w:rFonts w:cs="Times New Roman"/>
                <w:sz w:val="20"/>
                <w:szCs w:val="20"/>
              </w:rPr>
            </w:pPr>
            <w:r>
              <w:rPr>
                <w:rFonts w:cs="Times New Roman" w:eastAsia="Times New Roman"/>
                <w:i/>
                <w:sz w:val="20"/>
                <w:szCs w:val="20"/>
              </w:rPr>
              <w:t>Firm Size</w:t>
            </w:r>
          </w:p>
          <w:p>
            <w:pPr>
              <w:pStyle w:val="style179"/>
              <w:numPr>
                <w:ilvl w:val="0"/>
                <w:numId w:val="8"/>
              </w:numPr>
              <w:ind w:left="161" w:right="-130" w:hanging="156"/>
              <w:rPr>
                <w:rFonts w:cs="Times New Roman"/>
                <w:sz w:val="20"/>
                <w:szCs w:val="20"/>
              </w:rPr>
            </w:pPr>
            <w:r>
              <w:rPr>
                <w:rFonts w:cs="Times New Roman" w:eastAsia="Times New Roman"/>
                <w:i/>
                <w:sz w:val="20"/>
                <w:szCs w:val="20"/>
              </w:rPr>
              <w:t>Debt to Equity</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spacing w:after="56"/>
              <w:ind w:left="10" w:right="-130"/>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ind w:left="-41"/>
              <w:jc w:val="center"/>
              <w:rPr>
                <w:rFonts w:cs="Times New Roman"/>
                <w:sz w:val="20"/>
                <w:szCs w:val="20"/>
              </w:rPr>
            </w:pPr>
            <w:r>
              <w:rPr>
                <w:rFonts w:cs="Times New Roman"/>
                <w:sz w:val="20"/>
                <w:szCs w:val="20"/>
              </w:rPr>
              <w:t>Analisis Linear Berganda</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 xml:space="preserve"> Tidak berpengaruh:</w:t>
            </w:r>
          </w:p>
          <w:p>
            <w:pPr>
              <w:pStyle w:val="style0"/>
              <w:spacing w:after="5"/>
              <w:rPr>
                <w:rFonts w:cs="Times New Roman"/>
                <w:sz w:val="20"/>
                <w:szCs w:val="20"/>
              </w:rPr>
            </w:pPr>
            <w:r>
              <w:rPr>
                <w:rFonts w:cs="Times New Roman" w:eastAsia="Times New Roman"/>
                <w:i/>
                <w:sz w:val="20"/>
                <w:szCs w:val="20"/>
              </w:rPr>
              <w:t>Managerial Ownership</w:t>
            </w:r>
          </w:p>
        </w:tc>
      </w:tr>
      <w:tr>
        <w:tblPrEx/>
        <w:trPr>
          <w:trHeight w:val="1637"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14.</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eastAsia="Times New Roman"/>
                <w:color w:val="000000"/>
                <w:sz w:val="20"/>
              </w:rPr>
              <w:t>Ayem &amp; Seldis (2023)</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ind w:left="162" w:right="-130" w:hanging="157"/>
              <w:rPr>
                <w:rFonts w:cs="Times New Roman"/>
                <w:sz w:val="20"/>
                <w:szCs w:val="20"/>
              </w:rPr>
            </w:pPr>
            <w:r>
              <w:rPr>
                <w:rFonts w:cs="Times New Roman" w:eastAsia="Times New Roman"/>
                <w:i/>
                <w:sz w:val="20"/>
                <w:szCs w:val="20"/>
              </w:rPr>
              <w:t>Managerial Ownership</w:t>
            </w:r>
          </w:p>
          <w:p>
            <w:pPr>
              <w:pStyle w:val="style179"/>
              <w:numPr>
                <w:ilvl w:val="0"/>
                <w:numId w:val="8"/>
              </w:numPr>
              <w:ind w:left="162" w:right="-130" w:hanging="157"/>
              <w:rPr>
                <w:rFonts w:cs="Times New Roman"/>
                <w:sz w:val="20"/>
                <w:szCs w:val="20"/>
              </w:rPr>
            </w:pPr>
            <w:r>
              <w:rPr>
                <w:rFonts w:cs="Times New Roman" w:eastAsia="Times New Roman"/>
                <w:i/>
                <w:sz w:val="20"/>
                <w:szCs w:val="20"/>
              </w:rPr>
              <w:t>Firm Size</w:t>
            </w:r>
          </w:p>
          <w:p>
            <w:pPr>
              <w:pStyle w:val="style179"/>
              <w:numPr>
                <w:ilvl w:val="0"/>
                <w:numId w:val="8"/>
              </w:numPr>
              <w:ind w:left="162" w:right="-130" w:hanging="157"/>
              <w:rPr>
                <w:rFonts w:cs="Times New Roman"/>
                <w:sz w:val="20"/>
                <w:szCs w:val="20"/>
              </w:rPr>
            </w:pPr>
            <w:r>
              <w:rPr>
                <w:rFonts w:cs="Times New Roman" w:eastAsia="Times New Roman"/>
                <w:iCs/>
                <w:sz w:val="20"/>
                <w:szCs w:val="20"/>
              </w:rPr>
              <w:t>Profitabilitas</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i/>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sz w:val="20"/>
                <w:szCs w:val="20"/>
              </w:rPr>
            </w:pPr>
            <w:r>
              <w:rPr>
                <w:rFonts w:cs="Times New Roman"/>
                <w:sz w:val="20"/>
                <w:szCs w:val="20"/>
              </w:rPr>
              <w:t>Analisis Regresi Linear Berganda.</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Tidak berpengaruh signifikan:</w:t>
            </w:r>
          </w:p>
          <w:p>
            <w:pPr>
              <w:pStyle w:val="style0"/>
              <w:rPr>
                <w:rFonts w:cs="Times New Roman"/>
                <w:sz w:val="20"/>
                <w:szCs w:val="20"/>
              </w:rPr>
            </w:pPr>
            <w:r>
              <w:rPr>
                <w:rFonts w:cs="Times New Roman" w:eastAsia="Times New Roman"/>
                <w:i/>
                <w:sz w:val="20"/>
                <w:szCs w:val="20"/>
              </w:rPr>
              <w:t>Managerial Ownership</w:t>
            </w:r>
          </w:p>
        </w:tc>
      </w:tr>
      <w:tr>
        <w:tblPrEx/>
        <w:trPr>
          <w:trHeight w:val="350"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15.</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eastAsia="Times New Roman"/>
                <w:color w:val="000000"/>
                <w:sz w:val="20"/>
              </w:rPr>
              <w:t>Wardoyo &amp; Fauziah, (2024)</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spacing w:after="56"/>
              <w:ind w:left="162" w:right="-130" w:hanging="157"/>
              <w:rPr>
                <w:rFonts w:cs="Times New Roman" w:eastAsia="Times New Roman"/>
                <w:iCs/>
                <w:sz w:val="20"/>
                <w:szCs w:val="20"/>
              </w:rPr>
            </w:pPr>
            <w:r>
              <w:rPr>
                <w:rFonts w:cs="Times New Roman" w:eastAsia="Times New Roman"/>
                <w:i/>
                <w:sz w:val="20"/>
                <w:szCs w:val="20"/>
              </w:rPr>
              <w:t>Institutional Ownership</w:t>
            </w:r>
          </w:p>
          <w:p>
            <w:pPr>
              <w:pStyle w:val="style179"/>
              <w:numPr>
                <w:ilvl w:val="0"/>
                <w:numId w:val="8"/>
              </w:numPr>
              <w:spacing w:after="56"/>
              <w:ind w:left="162" w:right="-130" w:hanging="157"/>
              <w:rPr>
                <w:rFonts w:cs="Times New Roman" w:eastAsia="Times New Roman"/>
                <w:iCs/>
                <w:sz w:val="20"/>
                <w:szCs w:val="20"/>
              </w:rPr>
            </w:pPr>
            <w:r>
              <w:rPr>
                <w:rFonts w:cs="Times New Roman" w:eastAsia="Times New Roman"/>
                <w:iCs/>
                <w:sz w:val="20"/>
                <w:szCs w:val="20"/>
              </w:rPr>
              <w:t>Profitabilitas</w:t>
            </w:r>
          </w:p>
          <w:p>
            <w:pPr>
              <w:pStyle w:val="style179"/>
              <w:numPr>
                <w:ilvl w:val="0"/>
                <w:numId w:val="8"/>
              </w:numPr>
              <w:spacing w:after="56"/>
              <w:ind w:left="162" w:right="-130" w:hanging="157"/>
              <w:rPr>
                <w:rFonts w:cs="Times New Roman" w:eastAsia="Times New Roman"/>
                <w:iCs/>
                <w:sz w:val="20"/>
                <w:szCs w:val="20"/>
              </w:rPr>
            </w:pPr>
            <w:r>
              <w:rPr>
                <w:rFonts w:cs="Times New Roman" w:eastAsia="Times New Roman"/>
                <w:iCs/>
                <w:sz w:val="20"/>
                <w:szCs w:val="20"/>
              </w:rPr>
              <w:t xml:space="preserve">Struktur modal </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sz w:val="20"/>
                <w:szCs w:val="20"/>
              </w:rPr>
            </w:pPr>
            <w:r>
              <w:rPr>
                <w:rFonts w:cs="Times New Roman"/>
                <w:sz w:val="20"/>
                <w:szCs w:val="20"/>
              </w:rPr>
              <w:t>Analisis Regresi Data Panel</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Tidak berpengaruh signifikan:</w:t>
            </w:r>
          </w:p>
          <w:p>
            <w:pPr>
              <w:pStyle w:val="style0"/>
              <w:rPr>
                <w:rFonts w:cs="Times New Roman"/>
                <w:sz w:val="20"/>
                <w:szCs w:val="20"/>
              </w:rPr>
            </w:pPr>
            <w:r>
              <w:rPr>
                <w:rFonts w:cs="Times New Roman"/>
                <w:i/>
                <w:iCs/>
                <w:sz w:val="20"/>
                <w:szCs w:val="20"/>
              </w:rPr>
              <w:t>Institutional Ownership</w:t>
            </w:r>
          </w:p>
        </w:tc>
      </w:tr>
      <w:tr>
        <w:tblPrEx/>
        <w:trPr>
          <w:trHeight w:val="1781" w:hRule="atLeast"/>
        </w:trPr>
        <w:tc>
          <w:tcPr>
            <w:tcW w:w="444" w:type="dxa"/>
            <w:tcBorders>
              <w:top w:val="single" w:sz="4" w:space="0" w:color="auto"/>
              <w:bottom w:val="single" w:sz="4" w:space="0" w:color="auto"/>
            </w:tcBorders>
          </w:tcPr>
          <w:p>
            <w:pPr>
              <w:pStyle w:val="style0"/>
              <w:ind w:left="-111" w:right="-111"/>
              <w:jc w:val="center"/>
              <w:rPr>
                <w:rFonts w:cs="Times New Roman"/>
                <w:sz w:val="20"/>
                <w:szCs w:val="20"/>
              </w:rPr>
            </w:pPr>
            <w:r>
              <w:rPr>
                <w:rFonts w:cs="Times New Roman"/>
                <w:sz w:val="20"/>
                <w:szCs w:val="20"/>
              </w:rPr>
              <w:t>16</w:t>
            </w:r>
          </w:p>
        </w:tc>
        <w:tc>
          <w:tcPr>
            <w:tcW w:w="1356" w:type="dxa"/>
            <w:tcBorders>
              <w:top w:val="single" w:sz="4" w:space="0" w:color="auto"/>
              <w:bottom w:val="single" w:sz="4" w:space="0" w:color="auto"/>
            </w:tcBorders>
          </w:tcPr>
          <w:p>
            <w:pPr>
              <w:pStyle w:val="style0"/>
              <w:rPr>
                <w:rFonts w:cs="Times New Roman"/>
                <w:color w:val="000000"/>
                <w:sz w:val="20"/>
                <w:szCs w:val="20"/>
              </w:rPr>
            </w:pPr>
            <w:r>
              <w:rPr>
                <w:rFonts w:cs="Times New Roman" w:eastAsia="Times New Roman"/>
                <w:color w:val="000000"/>
                <w:sz w:val="20"/>
              </w:rPr>
              <w:t>Wardoyo &amp; Fauziah, (2024)</w:t>
            </w:r>
          </w:p>
        </w:tc>
        <w:tc>
          <w:tcPr>
            <w:tcW w:w="2880" w:type="dxa"/>
            <w:tcBorders>
              <w:top w:val="single" w:sz="4" w:space="0" w:color="auto"/>
              <w:bottom w:val="single" w:sz="4" w:space="0" w:color="auto"/>
            </w:tcBorders>
          </w:tcPr>
          <w:p>
            <w:pPr>
              <w:pStyle w:val="style0"/>
              <w:ind w:left="10" w:right="-130"/>
              <w:rPr>
                <w:rFonts w:cs="Times New Roman" w:eastAsia="Times New Roman"/>
                <w:sz w:val="20"/>
                <w:szCs w:val="20"/>
              </w:rPr>
            </w:pPr>
            <w:r>
              <w:rPr>
                <w:rFonts w:cs="Times New Roman" w:eastAsia="Times New Roman"/>
                <w:sz w:val="20"/>
                <w:szCs w:val="20"/>
              </w:rPr>
              <w:t xml:space="preserve">Variabel X: </w:t>
            </w:r>
          </w:p>
          <w:p>
            <w:pPr>
              <w:pStyle w:val="style179"/>
              <w:numPr>
                <w:ilvl w:val="0"/>
                <w:numId w:val="8"/>
              </w:numPr>
              <w:spacing w:after="56"/>
              <w:ind w:left="162" w:right="-130" w:hanging="157"/>
              <w:rPr>
                <w:rFonts w:cs="Times New Roman" w:eastAsia="Times New Roman"/>
                <w:iCs/>
                <w:sz w:val="20"/>
                <w:szCs w:val="20"/>
              </w:rPr>
            </w:pPr>
            <w:r>
              <w:rPr>
                <w:rFonts w:cs="Times New Roman" w:eastAsia="Times New Roman"/>
                <w:i/>
                <w:sz w:val="20"/>
                <w:szCs w:val="20"/>
              </w:rPr>
              <w:t>Institutional Ownership</w:t>
            </w:r>
          </w:p>
          <w:p>
            <w:pPr>
              <w:pStyle w:val="style179"/>
              <w:numPr>
                <w:ilvl w:val="0"/>
                <w:numId w:val="8"/>
              </w:numPr>
              <w:spacing w:after="56"/>
              <w:ind w:left="162" w:right="-130" w:hanging="157"/>
              <w:rPr>
                <w:rFonts w:cs="Times New Roman" w:eastAsia="Times New Roman"/>
                <w:iCs/>
                <w:sz w:val="20"/>
                <w:szCs w:val="20"/>
              </w:rPr>
            </w:pPr>
            <w:r>
              <w:rPr>
                <w:rFonts w:cs="Times New Roman" w:eastAsia="Times New Roman"/>
                <w:iCs/>
                <w:sz w:val="20"/>
                <w:szCs w:val="20"/>
              </w:rPr>
              <w:t>Profitabilitas</w:t>
            </w:r>
          </w:p>
          <w:p>
            <w:pPr>
              <w:pStyle w:val="style179"/>
              <w:numPr>
                <w:ilvl w:val="0"/>
                <w:numId w:val="8"/>
              </w:numPr>
              <w:spacing w:after="56"/>
              <w:ind w:left="162" w:right="-130" w:hanging="157"/>
              <w:rPr>
                <w:rFonts w:cs="Times New Roman" w:eastAsia="Times New Roman"/>
                <w:iCs/>
                <w:sz w:val="20"/>
                <w:szCs w:val="20"/>
              </w:rPr>
            </w:pPr>
            <w:r>
              <w:rPr>
                <w:rFonts w:cs="Times New Roman" w:eastAsia="Times New Roman"/>
                <w:iCs/>
                <w:sz w:val="20"/>
                <w:szCs w:val="20"/>
              </w:rPr>
              <w:t xml:space="preserve">Struktur modal </w:t>
            </w:r>
          </w:p>
          <w:p>
            <w:pPr>
              <w:pStyle w:val="style0"/>
              <w:spacing w:before="240"/>
              <w:ind w:right="-130"/>
              <w:rPr>
                <w:rFonts w:cs="Times New Roman" w:eastAsia="Times New Roman"/>
                <w:sz w:val="20"/>
                <w:szCs w:val="20"/>
              </w:rPr>
            </w:pPr>
            <w:r>
              <w:rPr>
                <w:rFonts w:cs="Times New Roman" w:eastAsia="Times New Roman"/>
                <w:sz w:val="20"/>
                <w:szCs w:val="20"/>
              </w:rPr>
              <w:t xml:space="preserve">Variabel Y: </w:t>
            </w:r>
          </w:p>
          <w:p>
            <w:pPr>
              <w:pStyle w:val="style0"/>
              <w:ind w:left="10" w:right="-130"/>
              <w:rPr>
                <w:rFonts w:cs="Times New Roman" w:eastAsia="Times New Roman"/>
                <w:sz w:val="20"/>
                <w:szCs w:val="20"/>
              </w:rPr>
            </w:pPr>
            <w:r>
              <w:rPr>
                <w:rFonts w:cs="Times New Roman" w:eastAsia="Times New Roman"/>
                <w:i/>
                <w:sz w:val="20"/>
                <w:szCs w:val="20"/>
              </w:rPr>
              <w:t>Firm Value</w:t>
            </w:r>
          </w:p>
        </w:tc>
        <w:tc>
          <w:tcPr>
            <w:tcW w:w="990" w:type="dxa"/>
            <w:tcBorders>
              <w:top w:val="single" w:sz="4" w:space="0" w:color="auto"/>
              <w:bottom w:val="single" w:sz="4" w:space="0" w:color="auto"/>
            </w:tcBorders>
          </w:tcPr>
          <w:p>
            <w:pPr>
              <w:pStyle w:val="style0"/>
              <w:jc w:val="center"/>
              <w:rPr>
                <w:rFonts w:cs="Times New Roman"/>
                <w:sz w:val="20"/>
                <w:szCs w:val="20"/>
              </w:rPr>
            </w:pPr>
            <w:r>
              <w:rPr>
                <w:rFonts w:cs="Times New Roman"/>
                <w:sz w:val="20"/>
                <w:szCs w:val="20"/>
              </w:rPr>
              <w:t>Analisis Regresi Data Panel</w:t>
            </w:r>
          </w:p>
        </w:tc>
        <w:tc>
          <w:tcPr>
            <w:tcW w:w="2250" w:type="dxa"/>
            <w:tcBorders>
              <w:top w:val="single" w:sz="4" w:space="0" w:color="auto"/>
              <w:bottom w:val="single" w:sz="4" w:space="0" w:color="auto"/>
            </w:tcBorders>
          </w:tcPr>
          <w:p>
            <w:pPr>
              <w:pStyle w:val="style0"/>
              <w:rPr>
                <w:rFonts w:cs="Times New Roman"/>
                <w:sz w:val="20"/>
                <w:szCs w:val="20"/>
              </w:rPr>
            </w:pPr>
            <w:r>
              <w:rPr>
                <w:rFonts w:cs="Times New Roman"/>
                <w:sz w:val="20"/>
                <w:szCs w:val="20"/>
              </w:rPr>
              <w:t>Tidak berpengaruh signifikan:</w:t>
            </w:r>
          </w:p>
          <w:p>
            <w:pPr>
              <w:pStyle w:val="style0"/>
              <w:rPr>
                <w:rFonts w:cs="Times New Roman"/>
                <w:sz w:val="20"/>
                <w:szCs w:val="20"/>
              </w:rPr>
            </w:pPr>
            <w:r>
              <w:rPr>
                <w:rFonts w:cs="Times New Roman"/>
                <w:i/>
                <w:iCs/>
                <w:sz w:val="20"/>
                <w:szCs w:val="20"/>
              </w:rPr>
              <w:t>Institutional Ownership</w:t>
            </w:r>
          </w:p>
        </w:tc>
      </w:tr>
    </w:tbl>
    <w:p>
      <w:pPr>
        <w:pStyle w:val="style0"/>
        <w:spacing w:lineRule="auto" w:line="240"/>
        <w:rPr>
          <w:i/>
          <w:iCs/>
          <w:sz w:val="20"/>
          <w:szCs w:val="20"/>
        </w:rPr>
      </w:pPr>
      <w:r>
        <w:rPr>
          <w:i/>
          <w:iCs/>
          <w:sz w:val="20"/>
          <w:szCs w:val="20"/>
        </w:rPr>
        <w:t>S</w:t>
      </w:r>
      <w:r>
        <w:rPr>
          <w:i/>
          <w:iCs/>
          <w:sz w:val="20"/>
          <w:szCs w:val="20"/>
        </w:rPr>
        <w:t>umber</w:t>
      </w:r>
      <w:r>
        <w:rPr>
          <w:i/>
          <w:iCs/>
          <w:sz w:val="20"/>
          <w:szCs w:val="20"/>
        </w:rPr>
        <w:t>:</w:t>
      </w:r>
      <w:r>
        <w:rPr>
          <w:i/>
          <w:iCs/>
          <w:sz w:val="20"/>
          <w:szCs w:val="20"/>
        </w:rPr>
        <w:t xml:space="preserve"> </w:t>
      </w:r>
      <w:r>
        <w:rPr>
          <w:i/>
          <w:iCs/>
          <w:sz w:val="20"/>
          <w:szCs w:val="20"/>
        </w:rPr>
        <w:t>Review dari beberapa artikel</w:t>
      </w:r>
    </w:p>
    <w:bookmarkStart w:id="38" w:name="_Toc218854606"/>
    <w:p>
      <w:pPr>
        <w:pStyle w:val="style2"/>
        <w:tabs>
          <w:tab w:val="left" w:leader="none" w:pos="720"/>
        </w:tabs>
        <w:spacing w:lineRule="auto" w:line="480"/>
        <w:rPr>
          <w:highlight w:val="yellow"/>
        </w:rPr>
      </w:pPr>
      <w:r>
        <w:t xml:space="preserve">2.3. </w:t>
      </w:r>
      <w:r>
        <w:tab/>
      </w:r>
      <w:r>
        <w:t>Kerangka Konsep</w:t>
      </w:r>
      <w:bookmarkEnd w:id="38"/>
      <w:r>
        <w:t xml:space="preserve"> </w:t>
      </w:r>
    </w:p>
    <w:bookmarkStart w:id="39" w:name="_Hlk215242171"/>
    <w:p>
      <w:pPr>
        <w:pStyle w:val="style0"/>
        <w:spacing w:after="0" w:lineRule="auto" w:line="480"/>
        <w:ind w:firstLine="720"/>
        <w:jc w:val="both"/>
        <w:rPr>
          <w:rFonts w:cs="Times New Roman"/>
          <w:color w:val="000000"/>
        </w:rPr>
      </w:pPr>
      <w:r>
        <w:rPr>
          <w:i/>
          <w:iCs/>
        </w:rPr>
        <w:t>S</w:t>
      </w:r>
      <w:r>
        <w:rPr>
          <w:i/>
          <w:iCs/>
        </w:rPr>
        <w:t>ignalling theory</w:t>
      </w:r>
      <w:r>
        <w:t xml:space="preserve"> menjelaskan pentingnya perusahaan </w:t>
      </w:r>
      <w:r>
        <w:rPr>
          <w:rFonts w:cs="Times New Roman"/>
          <w:color w:val="000000"/>
        </w:rPr>
        <w:t>memberikan</w:t>
      </w:r>
      <w:r>
        <w:rPr>
          <w:rFonts w:cs="Times New Roman"/>
        </w:rPr>
        <w:t xml:space="preserve"> informasi perusahaan kepada pihak eksternal </w:t>
      </w:r>
      <w:r>
        <w:rPr>
          <w:rFonts w:cs="Times New Roman"/>
          <w:color w:val="000000"/>
        </w:rPr>
        <w:t>sehingga dapat mengurangi ketidakseimbangan atau asimetri informasi di antara kedua belah pihak.</w:t>
      </w:r>
      <w:r>
        <w:t xml:space="preserve"> </w:t>
      </w:r>
      <w:r>
        <w:rPr>
          <w:rFonts w:cs="Times New Roman"/>
          <w:color w:val="000000"/>
        </w:rPr>
        <w:t xml:space="preserve">Perusahaan menciptakan serta memberikan informasi yang relevan bagi investor atau pihak </w:t>
      </w:r>
      <w:r>
        <w:rPr>
          <w:rFonts w:cs="Times New Roman"/>
          <w:color w:val="000000"/>
        </w:rPr>
        <w:t>eksternal untuk menciptakan kepercayaan berinvestasi dan</w:t>
      </w:r>
      <w:r>
        <w:rPr>
          <w:rFonts w:cs="Times New Roman"/>
        </w:rPr>
        <w:t xml:space="preserve"> </w:t>
      </w:r>
      <w:r>
        <w:rPr>
          <w:rFonts w:cs="Times New Roman"/>
          <w:color w:val="000000"/>
        </w:rPr>
        <w:t>mendorong loyalitas investor atau pihak eksternal berinvestasi</w:t>
      </w:r>
      <w:r>
        <w:t xml:space="preserve"> dalam bentuk</w:t>
      </w:r>
      <w:r>
        <w:rPr>
          <w:rFonts w:cs="Times New Roman"/>
          <w:color w:val="000000"/>
        </w:rPr>
        <w:t xml:space="preserve"> laporan keuangan tahunan. </w:t>
      </w:r>
    </w:p>
    <w:p>
      <w:pPr>
        <w:pStyle w:val="style0"/>
        <w:spacing w:after="0" w:lineRule="auto" w:line="480"/>
        <w:ind w:firstLine="720"/>
        <w:jc w:val="both"/>
        <w:rPr>
          <w:rFonts w:cs="Times New Roman"/>
          <w:color w:val="000000"/>
        </w:rPr>
      </w:pPr>
      <w:r>
        <w:rPr>
          <w:rFonts w:cs="Times New Roman"/>
          <w:color w:val="000000"/>
        </w:rPr>
        <w:t xml:space="preserve">Pihak eksternal menganalisa informasi dari perusahaan untuk pengambilan keputusan dalam berinvestasi. Informasi ini berisi cara manajemen </w:t>
      </w:r>
      <w:r>
        <w:rPr>
          <w:rFonts w:cs="Times New Roman"/>
          <w:color w:val="000000"/>
        </w:rPr>
        <w:t xml:space="preserve">dalam </w:t>
      </w:r>
      <w:r>
        <w:rPr>
          <w:rFonts w:cs="Times New Roman"/>
          <w:color w:val="000000"/>
        </w:rPr>
        <w:t xml:space="preserve">menciptakan peluang untuk bertumbuh dan mengatasi risiko, seperti penerapan pada </w:t>
      </w:r>
      <w:r>
        <w:rPr>
          <w:rFonts w:cs="Times New Roman"/>
          <w:i/>
          <w:iCs/>
          <w:color w:val="000000"/>
        </w:rPr>
        <w:t>enterprise risk management</w:t>
      </w:r>
      <w:r>
        <w:rPr>
          <w:rFonts w:cs="Times New Roman"/>
          <w:color w:val="000000"/>
        </w:rPr>
        <w:t xml:space="preserve">. Perusahaan yang menerapkan </w:t>
      </w:r>
      <w:r>
        <w:rPr>
          <w:rFonts w:cs="Times New Roman"/>
          <w:i/>
          <w:iCs/>
          <w:color w:val="000000"/>
        </w:rPr>
        <w:t>enterprise risk management</w:t>
      </w:r>
      <w:r>
        <w:rPr>
          <w:rFonts w:cs="Times New Roman"/>
          <w:color w:val="000000"/>
        </w:rPr>
        <w:t xml:space="preserve"> mampu mengelola risiko dihadapi dalam menciptakan laporan keuangan yang berkualitas sehingga dapat membuat investor memutuskan untuk berinvestasi. Harga saham yang sedia dibayar investor atau pihak eksternal akan mempengaruhi tingginya </w:t>
      </w:r>
      <w:r>
        <w:rPr>
          <w:rFonts w:cs="Times New Roman"/>
          <w:i/>
          <w:iCs/>
          <w:color w:val="000000"/>
        </w:rPr>
        <w:t xml:space="preserve">firm value. </w:t>
      </w:r>
      <w:r>
        <w:rPr>
          <w:rFonts w:cs="Times New Roman"/>
          <w:color w:val="000000"/>
        </w:rPr>
        <w:t xml:space="preserve">Semakin tinggi harga sahamnya, maka semakin tinggi pula </w:t>
      </w:r>
      <w:r>
        <w:rPr>
          <w:rFonts w:cs="Times New Roman"/>
          <w:i/>
          <w:iCs/>
          <w:color w:val="000000"/>
        </w:rPr>
        <w:t xml:space="preserve">firm value </w:t>
      </w:r>
      <w:r>
        <w:rPr>
          <w:rFonts w:cs="Times New Roman"/>
          <w:color w:val="000000"/>
        </w:rPr>
        <w:t>pada perusahaan tersebut.</w:t>
      </w:r>
    </w:p>
    <w:p>
      <w:pPr>
        <w:pStyle w:val="style0"/>
        <w:spacing w:after="0" w:lineRule="auto" w:line="480"/>
        <w:ind w:firstLine="720"/>
        <w:jc w:val="both"/>
        <w:rPr>
          <w:rFonts w:cs="Times New Roman"/>
        </w:rPr>
      </w:pPr>
      <w:r>
        <w:rPr>
          <w:i/>
          <w:iCs/>
        </w:rPr>
        <w:t>Agency theory</w:t>
      </w:r>
      <w:r>
        <w:t xml:space="preserve"> </w:t>
      </w:r>
      <w:r>
        <w:rPr>
          <w:rFonts w:cs="Times New Roman"/>
        </w:rPr>
        <w:t xml:space="preserve">menjelaskan hubungan antara agen dan </w:t>
      </w:r>
      <w:r>
        <w:rPr>
          <w:rFonts w:cs="Times New Roman"/>
          <w:i/>
          <w:iCs/>
        </w:rPr>
        <w:t xml:space="preserve">principal </w:t>
      </w:r>
      <w:r>
        <w:rPr>
          <w:rFonts w:cs="Times New Roman"/>
        </w:rPr>
        <w:t>yang disebabkan oleh konflik kepentingan</w:t>
      </w:r>
      <w:r>
        <w:rPr>
          <w:rFonts w:cs="Times New Roman"/>
          <w:i/>
          <w:iCs/>
        </w:rPr>
        <w:t xml:space="preserve">. </w:t>
      </w:r>
      <w:r>
        <w:rPr>
          <w:rFonts w:cs="Times New Roman"/>
        </w:rPr>
        <w:t xml:space="preserve">Konflik kepentingan yang terjadi antara agen dan </w:t>
      </w:r>
      <w:r>
        <w:rPr>
          <w:rFonts w:cs="Times New Roman"/>
          <w:i/>
          <w:iCs/>
        </w:rPr>
        <w:t xml:space="preserve">principal </w:t>
      </w:r>
      <w:r>
        <w:rPr>
          <w:rFonts w:cs="Times New Roman"/>
        </w:rPr>
        <w:t>sehingga</w:t>
      </w:r>
      <w:r>
        <w:rPr>
          <w:rFonts w:cs="Times New Roman"/>
        </w:rPr>
        <w:t xml:space="preserve"> perlu adanya </w:t>
      </w:r>
      <w:r>
        <w:rPr>
          <w:rFonts w:cs="Times New Roman"/>
        </w:rPr>
        <w:t xml:space="preserve">kepemilikan </w:t>
      </w:r>
      <w:r>
        <w:rPr>
          <w:rFonts w:cs="Times New Roman"/>
        </w:rPr>
        <w:t xml:space="preserve">yang seimbang </w:t>
      </w:r>
      <w:r>
        <w:rPr>
          <w:rFonts w:cs="Times New Roman"/>
        </w:rPr>
        <w:t xml:space="preserve">antara agen dan </w:t>
      </w:r>
      <w:r>
        <w:rPr>
          <w:rFonts w:cs="Times New Roman"/>
          <w:i/>
          <w:iCs/>
        </w:rPr>
        <w:t>principal</w:t>
      </w:r>
      <w:r>
        <w:rPr>
          <w:rFonts w:cs="Times New Roman"/>
        </w:rPr>
        <w:t>.</w:t>
      </w:r>
      <w:r>
        <w:rPr>
          <w:rFonts w:cs="Times New Roman"/>
        </w:rPr>
        <w:t xml:space="preserve"> </w:t>
      </w:r>
      <w:r>
        <w:rPr>
          <w:i/>
          <w:iCs/>
        </w:rPr>
        <w:t>M</w:t>
      </w:r>
      <w:r>
        <w:rPr>
          <w:i/>
          <w:iCs/>
        </w:rPr>
        <w:t xml:space="preserve">anagerial </w:t>
      </w:r>
      <w:r>
        <w:rPr>
          <w:i/>
          <w:iCs/>
        </w:rPr>
        <w:t>o</w:t>
      </w:r>
      <w:r>
        <w:rPr>
          <w:i/>
          <w:iCs/>
        </w:rPr>
        <w:t>wnership</w:t>
      </w:r>
      <w:r>
        <w:rPr>
          <w:rFonts w:cs="Times New Roman"/>
        </w:rPr>
        <w:t xml:space="preserve"> berperan </w:t>
      </w:r>
      <w:r>
        <w:rPr>
          <w:rFonts w:cs="Times New Roman"/>
        </w:rPr>
        <w:t xml:space="preserve">sebagai agen atau pengawasan internal bertujuan </w:t>
      </w:r>
      <w:r>
        <w:rPr>
          <w:rFonts w:cs="Times New Roman"/>
        </w:rPr>
        <w:t>agar manajer berhak dalam pengambilan keputusan perusahaan serta mengontrol kinerja pada karyawan</w:t>
      </w:r>
      <w:r>
        <w:rPr>
          <w:rFonts w:cs="Times New Roman"/>
        </w:rPr>
        <w:t>.</w:t>
      </w:r>
      <w:r>
        <w:rPr>
          <w:rFonts w:cs="Times New Roman"/>
        </w:rPr>
        <w:t xml:space="preserve"> </w:t>
      </w:r>
      <w:r>
        <w:rPr>
          <w:rFonts w:cs="Times New Roman"/>
        </w:rPr>
        <w:t xml:space="preserve">Di sisi lain, </w:t>
      </w:r>
      <w:r>
        <w:rPr>
          <w:rFonts w:cs="Times New Roman"/>
          <w:i/>
          <w:iCs/>
        </w:rPr>
        <w:t xml:space="preserve">institutional ownership </w:t>
      </w:r>
      <w:r>
        <w:rPr>
          <w:rFonts w:cs="Times New Roman"/>
        </w:rPr>
        <w:t xml:space="preserve">berperan </w:t>
      </w:r>
      <w:r>
        <w:rPr>
          <w:rFonts w:cs="Times New Roman"/>
        </w:rPr>
        <w:t xml:space="preserve">sebagai </w:t>
      </w:r>
      <w:r>
        <w:rPr>
          <w:rFonts w:cs="Times New Roman"/>
          <w:i/>
          <w:iCs/>
        </w:rPr>
        <w:t xml:space="preserve">principal </w:t>
      </w:r>
      <w:r>
        <w:rPr>
          <w:rFonts w:cs="Times New Roman"/>
        </w:rPr>
        <w:t>atau pengawasan eksternal</w:t>
      </w:r>
      <w:r>
        <w:rPr>
          <w:rFonts w:cs="Times New Roman"/>
        </w:rPr>
        <w:t xml:space="preserve">. </w:t>
      </w:r>
      <w:r>
        <w:rPr>
          <w:rFonts w:cs="Times New Roman"/>
        </w:rPr>
        <w:t>Pengawasan yang dilakukan oleh pihak institusi (</w:t>
      </w:r>
      <w:r>
        <w:rPr>
          <w:rFonts w:cs="Times New Roman"/>
          <w:i/>
          <w:iCs/>
        </w:rPr>
        <w:t>principal</w:t>
      </w:r>
      <w:r>
        <w:rPr>
          <w:rFonts w:cs="Times New Roman"/>
        </w:rPr>
        <w:t xml:space="preserve">) dapat meningkatkan kinerja dan mendorong manajer untuk berhati-hati dan mencegah adanya perilaku tindakan kecurangan atau mementingkan kepentingan sendiri (oportunistik). </w:t>
      </w:r>
      <w:r>
        <w:rPr>
          <w:rFonts w:cs="Times New Roman"/>
        </w:rPr>
        <w:t xml:space="preserve">Besarnya kinerja perusahaan akan mempengaruhi </w:t>
      </w:r>
      <w:r>
        <w:rPr>
          <w:rFonts w:cs="Times New Roman"/>
          <w:i/>
          <w:iCs/>
        </w:rPr>
        <w:t xml:space="preserve">firm value </w:t>
      </w:r>
      <w:r>
        <w:rPr>
          <w:rFonts w:cs="Times New Roman"/>
        </w:rPr>
        <w:t xml:space="preserve">yang didapatkan </w:t>
      </w:r>
      <w:r>
        <w:rPr>
          <w:rFonts w:cs="Times New Roman"/>
          <w:szCs w:val="24"/>
        </w:rPr>
        <w:t xml:space="preserve">karena tetap menjaga kepercayaan investor dan </w:t>
      </w:r>
      <w:r>
        <w:rPr>
          <w:rFonts w:cs="Times New Roman"/>
          <w:color w:val="000000"/>
        </w:rPr>
        <w:t>harga saham yang sedia dibayar dapat naik</w:t>
      </w:r>
      <w:r>
        <w:rPr>
          <w:rFonts w:cs="Times New Roman"/>
        </w:rPr>
        <w:t>.</w:t>
      </w:r>
    </w:p>
    <w:p>
      <w:pPr>
        <w:pStyle w:val="style0"/>
        <w:spacing w:after="0" w:lineRule="auto" w:line="480"/>
        <w:ind w:firstLine="720"/>
        <w:jc w:val="both"/>
        <w:rPr>
          <w:noProof/>
        </w:rPr>
      </w:pPr>
      <w:r>
        <w:t xml:space="preserve">Berdasarkan pemaparan dari </w:t>
      </w:r>
      <w:r>
        <w:rPr>
          <w:i/>
          <w:iCs/>
        </w:rPr>
        <w:t xml:space="preserve">signalling theory </w:t>
      </w:r>
      <w:r>
        <w:t xml:space="preserve">dan </w:t>
      </w:r>
      <w:r>
        <w:rPr>
          <w:i/>
          <w:iCs/>
        </w:rPr>
        <w:t xml:space="preserve">agency theory, </w:t>
      </w:r>
      <w:r>
        <w:t>t</w:t>
      </w:r>
      <w:r>
        <w:t>erdapat kerangka</w:t>
      </w:r>
      <w:r>
        <w:t xml:space="preserve"> </w:t>
      </w:r>
      <w:r>
        <w:t>konsep</w:t>
      </w:r>
      <w:r>
        <w:t xml:space="preserve"> yang </w:t>
      </w:r>
      <w:r>
        <w:t>dapat dilihat pada gambar 2.1</w:t>
      </w:r>
      <w:r>
        <w:t>:</w:t>
      </w:r>
      <w:r>
        <w:rPr>
          <w:noProof/>
        </w:rPr>
        <w:t xml:space="preserve"> </w:t>
      </w:r>
    </w:p>
    <w:bookmarkStart w:id="40" w:name="_Toc195764792"/>
    <w:bookmarkEnd w:id="39"/>
    <w:p>
      <w:pPr>
        <w:pStyle w:val="style0"/>
        <w:keepNext/>
        <w:spacing w:after="0" w:lineRule="auto" w:line="240"/>
        <w:jc w:val="both"/>
        <w:rPr/>
      </w:pPr>
      <w:r>
        <w:rPr>
          <w:noProof/>
        </w:rPr>
      </w:r>
      <w:r>
        <w:rPr>
          <w:noProof/>
        </w:rPr>
      </w:r>
      <w:r>
        <w:rPr>
          <w:noProof/>
        </w:rPr>
      </w:r>
      <w:r>
        <w:rPr>
          <w:noProof/>
        </w:rPr>
        <mc:AlternateContent>
          <mc:Choice Requires="wpc">
            <w:drawing>
              <wp:inline distL="0" distT="0" distB="0" distR="0">
                <wp:extent cx="5095875" cy="3498273"/>
                <wp:effectExtent l="0" t="0" r="28575" b="26035"/>
                <wp:docPr id="1029" name="Canvas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Canvas">
                    <wpc:wpc>
                      <wpc:bg>
                        <a:solidFill>
                          <a:srgbClr val="ffffff"/>
                        </a:solidFill>
                      </wpc:bg>
                      <wpc:whole/>
                      <wps:wsp>
                        <wps:cNvSpPr/>
                        <wps:spPr>
                          <a:xfrm rot="0">
                            <a:off x="543445" y="84260"/>
                            <a:ext cx="1409175" cy="296031"/>
                          </a:xfrm>
                          <a:prstGeom prst="rect"/>
                          <a:solidFill>
                            <a:srgbClr val="ffffff"/>
                          </a:solidFill>
                          <a:ln cmpd="sng" cap="flat" w="19050">
                            <a:solidFill>
                              <a:srgbClr val="000000"/>
                            </a:solidFill>
                            <a:prstDash val="solid"/>
                            <a:miter/>
                            <a:headEnd/>
                            <a:tailEnd/>
                          </a:ln>
                        </wps:spPr>
                        <wps:txbx id="1031">
                          <w:txbxContent>
                            <w:p>
                              <w:pPr>
                                <w:pStyle w:val="style0"/>
                                <w:spacing w:after="0" w:lineRule="auto" w:line="251"/>
                                <w:jc w:val="center"/>
                                <w:rPr>
                                  <w:rFonts w:eastAsia="Calibri"/>
                                  <w:i/>
                                  <w:iCs/>
                                  <w:sz w:val="20"/>
                                  <w:szCs w:val="20"/>
                                  <w14:ligatures xmlns:w14="http://schemas.microsoft.com/office/word/2010/wordml" w14:val="none"/>
                                </w:rPr>
                              </w:pPr>
                              <w:r>
                                <w:rPr>
                                  <w:rFonts w:eastAsia="Calibri"/>
                                  <w:i/>
                                  <w:iCs/>
                                  <w:sz w:val="20"/>
                                  <w:szCs w:val="20"/>
                                </w:rPr>
                                <w:t xml:space="preserve">Signalling Theory        </w:t>
                              </w:r>
                            </w:p>
                          </w:txbxContent>
                        </wps:txbx>
                        <wps:bodyPr lIns="91440" rIns="91440" tIns="45720" bIns="45720" vert="horz" anchor="ctr" wrap="square">
                          <a:prstTxWarp prst="textNoShape"/>
                          <a:noAutofit/>
                        </wps:bodyPr>
                      </wps:wsp>
                      <wps:wsp>
                        <wps:cNvSpPr/>
                        <wps:spPr>
                          <a:xfrm rot="0">
                            <a:off x="3960010" y="1234693"/>
                            <a:ext cx="1132791" cy="305749"/>
                          </a:xfrm>
                          <a:prstGeom prst="rect"/>
                          <a:solidFill>
                            <a:srgbClr val="ffffff"/>
                          </a:solidFill>
                          <a:ln cmpd="sng" cap="flat" w="19050">
                            <a:solidFill>
                              <a:srgbClr val="000000"/>
                            </a:solidFill>
                            <a:prstDash val="solid"/>
                            <a:miter/>
                            <a:headEnd/>
                            <a:tailEnd/>
                          </a:ln>
                        </wps:spPr>
                        <wps:txbx id="1032">
                          <w:txbxContent>
                            <w:p>
                              <w:pPr>
                                <w:pStyle w:val="style0"/>
                                <w:spacing w:after="0" w:lineRule="auto" w:line="251"/>
                                <w:jc w:val="center"/>
                                <w:rPr>
                                  <w:rFonts w:eastAsia="Calibri"/>
                                  <w:i/>
                                  <w:iCs/>
                                  <w:sz w:val="20"/>
                                  <w:szCs w:val="20"/>
                                  <w14:ligatures xmlns:w14="http://schemas.microsoft.com/office/word/2010/wordml" w14:val="none"/>
                                </w:rPr>
                              </w:pPr>
                              <w:r>
                                <w:rPr>
                                  <w:rFonts w:eastAsia="Calibri"/>
                                  <w:i/>
                                  <w:iCs/>
                                  <w:sz w:val="20"/>
                                  <w:szCs w:val="20"/>
                                </w:rPr>
                                <w:t xml:space="preserve">Principal        </w:t>
                              </w:r>
                            </w:p>
                          </w:txbxContent>
                        </wps:txbx>
                        <wps:bodyPr lIns="91440" rIns="91440" tIns="45720" bIns="45720" vert="horz" anchor="ctr" wrap="square">
                          <a:prstTxWarp prst="textNoShape"/>
                          <a:noAutofit/>
                        </wps:bodyPr>
                      </wps:wsp>
                      <wps:wsp>
                        <wps:cNvSpPr/>
                        <wps:spPr>
                          <a:xfrm rot="0">
                            <a:off x="2655899" y="1228347"/>
                            <a:ext cx="1132739" cy="305749"/>
                          </a:xfrm>
                          <a:prstGeom prst="rect"/>
                          <a:solidFill>
                            <a:srgbClr val="ffffff"/>
                          </a:solidFill>
                          <a:ln cmpd="sng" cap="flat" w="19050">
                            <a:solidFill>
                              <a:srgbClr val="000000"/>
                            </a:solidFill>
                            <a:prstDash val="solid"/>
                            <a:miter/>
                            <a:headEnd/>
                            <a:tailEnd/>
                          </a:ln>
                        </wps:spPr>
                        <wps:txbx id="1033">
                          <w:txbxContent>
                            <w:p>
                              <w:pPr>
                                <w:pStyle w:val="style0"/>
                                <w:spacing w:after="0" w:lineRule="auto" w:line="251"/>
                                <w:jc w:val="center"/>
                                <w:rPr>
                                  <w:rFonts w:eastAsia="Calibri"/>
                                  <w:sz w:val="20"/>
                                  <w:szCs w:val="20"/>
                                  <w14:ligatures xmlns:w14="http://schemas.microsoft.com/office/word/2010/wordml" w14:val="none"/>
                                </w:rPr>
                              </w:pPr>
                              <w:r>
                                <w:rPr>
                                  <w:rFonts w:eastAsia="Calibri"/>
                                  <w:sz w:val="20"/>
                                  <w:szCs w:val="20"/>
                                </w:rPr>
                                <w:t xml:space="preserve">Agen        </w:t>
                              </w:r>
                            </w:p>
                          </w:txbxContent>
                        </wps:txbx>
                        <wps:bodyPr lIns="91440" rIns="91440" tIns="45720" bIns="45720" vert="horz" anchor="ctr" wrap="square">
                          <a:prstTxWarp prst="textNoShape"/>
                          <a:noAutofit/>
                        </wps:bodyPr>
                      </wps:wsp>
                      <wps:wsp>
                        <wps:cNvSpPr/>
                        <wps:spPr>
                          <a:xfrm rot="0">
                            <a:off x="3148771" y="84260"/>
                            <a:ext cx="1409132" cy="295895"/>
                          </a:xfrm>
                          <a:prstGeom prst="rect"/>
                          <a:solidFill>
                            <a:srgbClr val="ffffff"/>
                          </a:solidFill>
                          <a:ln cmpd="sng" cap="flat" w="19050">
                            <a:solidFill>
                              <a:srgbClr val="000000"/>
                            </a:solidFill>
                            <a:prstDash val="solid"/>
                            <a:miter/>
                            <a:headEnd/>
                            <a:tailEnd/>
                          </a:ln>
                        </wps:spPr>
                        <wps:txbx id="1034">
                          <w:txbxContent>
                            <w:p>
                              <w:pPr>
                                <w:pStyle w:val="style0"/>
                                <w:spacing w:after="0" w:lineRule="auto" w:line="251"/>
                                <w:jc w:val="center"/>
                                <w:rPr>
                                  <w:rFonts w:eastAsia="Calibri"/>
                                  <w:i/>
                                  <w:iCs/>
                                  <w:sz w:val="20"/>
                                  <w:szCs w:val="20"/>
                                  <w14:ligatures xmlns:w14="http://schemas.microsoft.com/office/word/2010/wordml" w14:val="none"/>
                                </w:rPr>
                              </w:pPr>
                              <w:r>
                                <w:rPr>
                                  <w:rFonts w:eastAsia="Calibri"/>
                                  <w:i/>
                                  <w:iCs/>
                                  <w:sz w:val="20"/>
                                  <w:szCs w:val="20"/>
                                </w:rPr>
                                <w:t xml:space="preserve">Agency Theory        </w:t>
                              </w:r>
                            </w:p>
                          </w:txbxContent>
                        </wps:txbx>
                        <wps:bodyPr lIns="91440" rIns="91440" tIns="45720" bIns="45720" vert="horz" anchor="ctr" wrap="square">
                          <a:prstTxWarp prst="textNoShape"/>
                          <a:noAutofit/>
                        </wps:bodyPr>
                      </wps:wsp>
                      <wps:wsp>
                        <wps:cNvSpPr/>
                        <wps:spPr>
                          <a:xfrm rot="0">
                            <a:off x="34833" y="1791231"/>
                            <a:ext cx="1130299" cy="415722"/>
                          </a:xfrm>
                          <a:prstGeom prst="rect"/>
                          <a:solidFill>
                            <a:srgbClr val="ffffff"/>
                          </a:solidFill>
                          <a:ln cmpd="sng" cap="flat" w="19050">
                            <a:solidFill>
                              <a:srgbClr val="000000"/>
                            </a:solidFill>
                            <a:prstDash val="solid"/>
                            <a:miter/>
                            <a:headEnd/>
                            <a:tailEnd/>
                          </a:ln>
                        </wps:spPr>
                        <wps:txbx id="1035">
                          <w:txbxContent>
                            <w:p>
                              <w:pPr>
                                <w:pStyle w:val="style0"/>
                                <w:spacing w:after="0" w:lineRule="auto" w:line="251"/>
                                <w:jc w:val="center"/>
                                <w:rPr>
                                  <w:rFonts w:eastAsia="Calibri"/>
                                  <w:i/>
                                  <w:iCs/>
                                  <w:sz w:val="20"/>
                                  <w:szCs w:val="20"/>
                                  <w14:ligatures xmlns:w14="http://schemas.microsoft.com/office/word/2010/wordml" w14:val="none"/>
                                </w:rPr>
                              </w:pPr>
                              <w:r>
                                <w:rPr>
                                  <w:rFonts w:eastAsia="Calibri"/>
                                  <w:sz w:val="20"/>
                                  <w:szCs w:val="20"/>
                                </w:rPr>
                                <w:t>Informasi</w:t>
                              </w:r>
                              <w:r>
                                <w:rPr>
                                  <w:rFonts w:eastAsia="Calibri"/>
                                  <w:i/>
                                  <w:iCs/>
                                  <w:sz w:val="20"/>
                                  <w:szCs w:val="20"/>
                                </w:rPr>
                                <w:t> </w:t>
                              </w:r>
                            </w:p>
                          </w:txbxContent>
                        </wps:txbx>
                        <wps:bodyPr lIns="91440" rIns="91440" tIns="45720" bIns="45720" vert="horz" anchor="ctr" wrap="square">
                          <a:prstTxWarp prst="textNoShape"/>
                          <a:noAutofit/>
                        </wps:bodyPr>
                      </wps:wsp>
                      <wps:wsp>
                        <wps:cNvSpPr/>
                        <wps:spPr>
                          <a:xfrm rot="0">
                            <a:off x="698077" y="2438705"/>
                            <a:ext cx="1132321" cy="443857"/>
                          </a:xfrm>
                          <a:prstGeom prst="rect"/>
                          <a:solidFill>
                            <a:srgbClr val="ffffff"/>
                          </a:solidFill>
                          <a:ln cmpd="sng" cap="flat" w="19050">
                            <a:solidFill>
                              <a:srgbClr val="000000"/>
                            </a:solidFill>
                            <a:prstDash val="solid"/>
                            <a:miter/>
                            <a:headEnd/>
                            <a:tailEnd/>
                          </a:ln>
                        </wps:spPr>
                        <wps:txbx id="1036">
                          <w:txbxContent>
                            <w:p>
                              <w:pPr>
                                <w:pStyle w:val="style0"/>
                                <w:spacing w:after="0" w:lineRule="auto" w:line="251"/>
                                <w:ind w:right="-80"/>
                                <w:jc w:val="center"/>
                                <w:rPr>
                                  <w:rFonts w:eastAsia="Calibri"/>
                                  <w:sz w:val="20"/>
                                  <w:szCs w:val="20"/>
                                  <w14:ligatures xmlns:w14="http://schemas.microsoft.com/office/word/2010/wordml" w14:val="none"/>
                                </w:rPr>
                              </w:pPr>
                              <w:r>
                                <w:rPr>
                                  <w:rFonts w:eastAsia="Calibri"/>
                                  <w:i/>
                                  <w:iCs/>
                                  <w:sz w:val="20"/>
                                  <w:szCs w:val="20"/>
                                </w:rPr>
                                <w:t>Enterprise Risk Management</w:t>
                              </w:r>
                              <w:r>
                                <w:rPr>
                                  <w:rFonts w:eastAsia="Calibri"/>
                                  <w:sz w:val="20"/>
                                  <w:szCs w:val="20"/>
                                </w:rPr>
                                <w:t xml:space="preserve">     </w:t>
                              </w:r>
                            </w:p>
                          </w:txbxContent>
                        </wps:txbx>
                        <wps:bodyPr lIns="91440" rIns="91440" tIns="45720" bIns="45720" vert="horz" anchor="ctr" wrap="square">
                          <a:prstTxWarp prst="textNoShape"/>
                          <a:noAutofit/>
                        </wps:bodyPr>
                      </wps:wsp>
                      <wps:wsp>
                        <wps:cNvSpPr/>
                        <wps:spPr>
                          <a:xfrm rot="0">
                            <a:off x="544827" y="642577"/>
                            <a:ext cx="1409132" cy="295571"/>
                          </a:xfrm>
                          <a:prstGeom prst="rect"/>
                          <a:solidFill>
                            <a:srgbClr val="ffffff"/>
                          </a:solidFill>
                          <a:ln cmpd="sng" cap="flat" w="19050">
                            <a:solidFill>
                              <a:srgbClr val="000000"/>
                            </a:solidFill>
                            <a:prstDash val="solid"/>
                            <a:miter/>
                            <a:headEnd/>
                            <a:tailEnd/>
                          </a:ln>
                        </wps:spPr>
                        <wps:txbx id="1037">
                          <w:txbxContent>
                            <w:p>
                              <w:pPr>
                                <w:pStyle w:val="style0"/>
                                <w:spacing w:after="0" w:lineRule="auto" w:line="251"/>
                                <w:jc w:val="center"/>
                                <w:rPr>
                                  <w:rFonts w:eastAsia="Calibri"/>
                                  <w:sz w:val="20"/>
                                  <w:szCs w:val="20"/>
                                  <w14:ligatures xmlns:w14="http://schemas.microsoft.com/office/word/2010/wordml" w14:val="none"/>
                                </w:rPr>
                              </w:pPr>
                              <w:r>
                                <w:rPr>
                                  <w:rFonts w:eastAsia="Calibri"/>
                                  <w:sz w:val="20"/>
                                  <w:szCs w:val="20"/>
                                </w:rPr>
                                <w:t>Asimetri Informasi</w:t>
                              </w:r>
                            </w:p>
                          </w:txbxContent>
                        </wps:txbx>
                        <wps:bodyPr lIns="91440" rIns="91440" tIns="45720" bIns="45720" vert="horz" anchor="ctr" wrap="square">
                          <a:prstTxWarp prst="textNoShape"/>
                          <a:noAutofit/>
                        </wps:bodyPr>
                      </wps:wsp>
                      <wps:wsp>
                        <wps:cNvSpPr/>
                        <wps:spPr>
                          <a:xfrm rot="0">
                            <a:off x="3959711" y="1801018"/>
                            <a:ext cx="1132739" cy="405489"/>
                          </a:xfrm>
                          <a:prstGeom prst="rect"/>
                          <a:solidFill>
                            <a:srgbClr val="ffffff"/>
                          </a:solidFill>
                          <a:ln cmpd="sng" cap="flat" w="19050">
                            <a:solidFill>
                              <a:srgbClr val="000000"/>
                            </a:solidFill>
                            <a:prstDash val="solid"/>
                            <a:miter/>
                            <a:headEnd/>
                            <a:tailEnd/>
                          </a:ln>
                        </wps:spPr>
                        <wps:txbx id="1038">
                          <w:txbxContent>
                            <w:p>
                              <w:pPr>
                                <w:pStyle w:val="style0"/>
                                <w:spacing w:after="0" w:lineRule="auto" w:line="251"/>
                                <w:jc w:val="center"/>
                                <w:rPr>
                                  <w:rFonts w:eastAsia="Calibri"/>
                                  <w:i/>
                                  <w:iCs/>
                                  <w:sz w:val="20"/>
                                  <w:szCs w:val="20"/>
                                  <w14:ligatures xmlns:w14="http://schemas.microsoft.com/office/word/2010/wordml" w14:val="none"/>
                                </w:rPr>
                              </w:pPr>
                              <w:r>
                                <w:rPr>
                                  <w:rFonts w:eastAsia="Calibri"/>
                                  <w:sz w:val="20"/>
                                  <w:szCs w:val="20"/>
                                </w:rPr>
                                <w:t>Pengawasan</w:t>
                              </w:r>
                              <w:r>
                                <w:rPr>
                                  <w:rFonts w:eastAsia="Calibri"/>
                                  <w:sz w:val="20"/>
                                  <w:szCs w:val="20"/>
                                </w:rPr>
                                <w:t xml:space="preserve"> Eksternal</w:t>
                              </w:r>
                              <w:r>
                                <w:rPr>
                                  <w:rFonts w:eastAsia="Calibri"/>
                                  <w:i/>
                                  <w:iCs/>
                                  <w:sz w:val="20"/>
                                  <w:szCs w:val="20"/>
                                </w:rPr>
                                <w:t xml:space="preserve">       </w:t>
                              </w:r>
                            </w:p>
                          </w:txbxContent>
                        </wps:txbx>
                        <wps:bodyPr lIns="91440" rIns="91440" tIns="45720" bIns="45720" vert="horz" anchor="ctr" wrap="square">
                          <a:prstTxWarp prst="textNoShape"/>
                          <a:noAutofit/>
                        </wps:bodyPr>
                      </wps:wsp>
                      <wps:wsp>
                        <wps:cNvSpPr/>
                        <wps:spPr>
                          <a:xfrm rot="0">
                            <a:off x="1248033" y="380291"/>
                            <a:ext cx="1360" cy="262286"/>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a:off x="3147372" y="638297"/>
                            <a:ext cx="1409131" cy="295880"/>
                          </a:xfrm>
                          <a:prstGeom prst="rect"/>
                          <a:solidFill>
                            <a:srgbClr val="ffffff"/>
                          </a:solidFill>
                          <a:ln cmpd="sng" cap="flat" w="19050">
                            <a:solidFill>
                              <a:srgbClr val="000000"/>
                            </a:solidFill>
                            <a:prstDash val="solid"/>
                            <a:miter/>
                            <a:headEnd/>
                            <a:tailEnd/>
                          </a:ln>
                        </wps:spPr>
                        <wps:txbx id="1040">
                          <w:txbxContent>
                            <w:p>
                              <w:pPr>
                                <w:pStyle w:val="style0"/>
                                <w:spacing w:after="0" w:lineRule="auto" w:line="251"/>
                                <w:jc w:val="center"/>
                                <w:rPr>
                                  <w:rFonts w:eastAsia="Calibri"/>
                                  <w:i/>
                                  <w:iCs/>
                                  <w:sz w:val="20"/>
                                  <w:szCs w:val="20"/>
                                  <w14:ligatures xmlns:w14="http://schemas.microsoft.com/office/word/2010/wordml" w14:val="none"/>
                                </w:rPr>
                              </w:pPr>
                              <w:r>
                                <w:rPr>
                                  <w:rFonts w:eastAsia="Calibri"/>
                                  <w:sz w:val="20"/>
                                  <w:szCs w:val="20"/>
                                </w:rPr>
                                <w:t xml:space="preserve"> </w:t>
                              </w:r>
                              <w:r>
                                <w:rPr>
                                  <w:rFonts w:eastAsia="Calibri"/>
                                  <w:sz w:val="20"/>
                                  <w:szCs w:val="20"/>
                                </w:rPr>
                                <w:t>Konflik Kepentingan</w:t>
                              </w:r>
                              <w:r>
                                <w:rPr>
                                  <w:rFonts w:eastAsia="Calibri"/>
                                  <w:i/>
                                  <w:iCs/>
                                  <w:sz w:val="20"/>
                                  <w:szCs w:val="20"/>
                                </w:rPr>
                                <w:t xml:space="preserve">       </w:t>
                              </w:r>
                            </w:p>
                          </w:txbxContent>
                        </wps:txbx>
                        <wps:bodyPr lIns="91440" rIns="91440" tIns="45720" bIns="45720" vert="horz" anchor="ctr" wrap="square">
                          <a:prstTxWarp prst="textNoShape"/>
                          <a:noAutofit/>
                        </wps:bodyPr>
                      </wps:wsp>
                      <wps:wsp>
                        <wps:cNvSpPr/>
                        <wps:spPr>
                          <a:xfrm rot="0" flipH="1">
                            <a:off x="3222269" y="934177"/>
                            <a:ext cx="629669" cy="294170"/>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a:off x="3851938" y="934177"/>
                            <a:ext cx="674468" cy="300516"/>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a:off x="1287590" y="3138773"/>
                            <a:ext cx="2647950" cy="359749"/>
                          </a:xfrm>
                          <a:prstGeom prst="rect"/>
                          <a:solidFill>
                            <a:srgbClr val="ffffff"/>
                          </a:solidFill>
                          <a:ln cmpd="sng" cap="flat" w="19050">
                            <a:solidFill>
                              <a:srgbClr val="000000"/>
                            </a:solidFill>
                            <a:prstDash val="solid"/>
                            <a:miter/>
                            <a:headEnd/>
                            <a:tailEnd/>
                          </a:ln>
                        </wps:spPr>
                        <wps:txbx id="1043">
                          <w:txbxContent>
                            <w:p>
                              <w:pPr>
                                <w:pStyle w:val="style0"/>
                                <w:spacing w:after="0" w:lineRule="auto" w:line="251"/>
                                <w:jc w:val="center"/>
                                <w:rPr>
                                  <w:rFonts w:eastAsia="Calibri"/>
                                  <w:sz w:val="20"/>
                                  <w:szCs w:val="20"/>
                                  <w14:ligatures xmlns:w14="http://schemas.microsoft.com/office/word/2010/wordml" w14:val="none"/>
                                </w:rPr>
                              </w:pPr>
                              <w:r>
                                <w:rPr>
                                  <w:rFonts w:eastAsia="Calibri"/>
                                  <w:i/>
                                  <w:iCs/>
                                  <w:sz w:val="20"/>
                                  <w:szCs w:val="20"/>
                                </w:rPr>
                                <w:t>Firm Value</w:t>
                              </w:r>
                            </w:p>
                          </w:txbxContent>
                        </wps:txbx>
                        <wps:bodyPr lIns="91440" rIns="91440" tIns="45720" bIns="45720" vert="horz" anchor="ctr" wrap="square">
                          <a:prstTxWarp prst="textNoShape"/>
                          <a:noAutofit/>
                        </wps:bodyPr>
                      </wps:wsp>
                      <wps:wsp>
                        <wps:cNvSpPr/>
                        <wps:spPr>
                          <a:xfrm rot="0" flipH="1">
                            <a:off x="4526081" y="1540442"/>
                            <a:ext cx="325" cy="260576"/>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a:off x="2655733" y="1792126"/>
                            <a:ext cx="1132672" cy="405046"/>
                          </a:xfrm>
                          <a:prstGeom prst="rect"/>
                          <a:solidFill>
                            <a:srgbClr val="ffffff"/>
                          </a:solidFill>
                          <a:ln cmpd="sng" cap="flat" w="19050">
                            <a:solidFill>
                              <a:srgbClr val="000000"/>
                            </a:solidFill>
                            <a:prstDash val="solid"/>
                            <a:miter/>
                            <a:headEnd/>
                            <a:tailEnd/>
                          </a:ln>
                        </wps:spPr>
                        <wps:txbx id="1045">
                          <w:txbxContent>
                            <w:p>
                              <w:pPr>
                                <w:pStyle w:val="style0"/>
                                <w:spacing w:after="0" w:lineRule="auto" w:line="251"/>
                                <w:jc w:val="center"/>
                                <w:rPr>
                                  <w:rFonts w:eastAsia="Calibri"/>
                                  <w:sz w:val="20"/>
                                  <w:szCs w:val="20"/>
                                  <w14:ligatures xmlns:w14="http://schemas.microsoft.com/office/word/2010/wordml" w14:val="none"/>
                                </w:rPr>
                              </w:pPr>
                              <w:r>
                                <w:rPr>
                                  <w:rFonts w:eastAsia="Calibri"/>
                                  <w:sz w:val="20"/>
                                  <w:szCs w:val="20"/>
                                </w:rPr>
                                <w:t>Pengawasan Internal</w:t>
                              </w:r>
                              <w:r>
                                <w:rPr>
                                  <w:rFonts w:eastAsia="Calibri"/>
                                  <w:i/>
                                  <w:iCs/>
                                  <w:sz w:val="20"/>
                                  <w:szCs w:val="20"/>
                                </w:rPr>
                                <w:t xml:space="preserve">      </w:t>
                              </w:r>
                            </w:p>
                          </w:txbxContent>
                        </wps:txbx>
                        <wps:bodyPr lIns="91440" rIns="91440" tIns="45720" bIns="45720" vert="horz" anchor="ctr" wrap="square">
                          <a:prstTxWarp prst="textNoShape"/>
                          <a:noAutofit/>
                        </wps:bodyPr>
                      </wps:wsp>
                      <wps:wsp>
                        <wps:cNvSpPr/>
                        <wps:spPr>
                          <a:xfrm rot="0" flipH="1">
                            <a:off x="3222069" y="1534096"/>
                            <a:ext cx="200" cy="258030"/>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a:off x="1354212" y="1228026"/>
                            <a:ext cx="1132672" cy="306070"/>
                          </a:xfrm>
                          <a:prstGeom prst="rect"/>
                          <a:solidFill>
                            <a:srgbClr val="ffffff"/>
                          </a:solidFill>
                          <a:ln cmpd="sng" cap="flat" w="19050">
                            <a:solidFill>
                              <a:srgbClr val="000000"/>
                            </a:solidFill>
                            <a:prstDash val="solid"/>
                            <a:miter/>
                            <a:headEnd/>
                            <a:tailEnd/>
                          </a:ln>
                        </wps:spPr>
                        <wps:txbx id="1047">
                          <w:txbxContent>
                            <w:p>
                              <w:pPr>
                                <w:pStyle w:val="style0"/>
                                <w:spacing w:after="0" w:lineRule="auto" w:line="251"/>
                                <w:jc w:val="center"/>
                                <w:rPr>
                                  <w:rFonts w:eastAsia="Calibri"/>
                                  <w:i/>
                                  <w:iCs/>
                                  <w:sz w:val="20"/>
                                  <w:szCs w:val="20"/>
                                  <w14:ligatures xmlns:w14="http://schemas.microsoft.com/office/word/2010/wordml" w14:val="none"/>
                                </w:rPr>
                              </w:pPr>
                              <w:r>
                                <w:rPr>
                                  <w:rFonts w:eastAsia="Calibri"/>
                                  <w:sz w:val="20"/>
                                  <w:szCs w:val="20"/>
                                </w:rPr>
                                <w:t>Pihak Eksternal</w:t>
                              </w:r>
                              <w:r>
                                <w:rPr>
                                  <w:rFonts w:eastAsia="Calibri"/>
                                  <w:i/>
                                  <w:iCs/>
                                  <w:sz w:val="20"/>
                                  <w:szCs w:val="20"/>
                                </w:rPr>
                                <w:t xml:space="preserve">    </w:t>
                              </w:r>
                            </w:p>
                          </w:txbxContent>
                        </wps:txbx>
                        <wps:bodyPr lIns="91440" rIns="91440" tIns="45720" bIns="45720" vert="horz" anchor="ctr" wrap="square">
                          <a:prstTxWarp prst="textNoShape"/>
                          <a:noAutofit/>
                        </wps:bodyPr>
                      </wps:wsp>
                      <wps:wsp>
                        <wps:cNvSpPr/>
                        <wps:spPr>
                          <a:xfrm rot="0">
                            <a:off x="37072" y="1234376"/>
                            <a:ext cx="1132672" cy="306070"/>
                          </a:xfrm>
                          <a:prstGeom prst="rect"/>
                          <a:solidFill>
                            <a:srgbClr val="ffffff"/>
                          </a:solidFill>
                          <a:ln cmpd="sng" cap="flat" w="19050">
                            <a:solidFill>
                              <a:srgbClr val="000000"/>
                            </a:solidFill>
                            <a:prstDash val="solid"/>
                            <a:miter/>
                            <a:headEnd/>
                            <a:tailEnd/>
                          </a:ln>
                        </wps:spPr>
                        <wps:txbx id="1048">
                          <w:txbxContent>
                            <w:p>
                              <w:pPr>
                                <w:pStyle w:val="style0"/>
                                <w:spacing w:after="0" w:lineRule="auto" w:line="251"/>
                                <w:jc w:val="center"/>
                                <w:rPr>
                                  <w:rFonts w:eastAsia="Calibri"/>
                                  <w:sz w:val="20"/>
                                  <w:szCs w:val="20"/>
                                  <w14:ligatures xmlns:w14="http://schemas.microsoft.com/office/word/2010/wordml" w14:val="none"/>
                                </w:rPr>
                              </w:pPr>
                              <w:r>
                                <w:rPr>
                                  <w:rFonts w:eastAsia="Calibri"/>
                                  <w:sz w:val="20"/>
                                  <w:szCs w:val="20"/>
                                </w:rPr>
                                <w:t>Perus</w:t>
                              </w:r>
                              <w:r>
                                <w:rPr>
                                  <w:rFonts w:eastAsia="Calibri"/>
                                  <w:sz w:val="20"/>
                                  <w:szCs w:val="20"/>
                                </w:rPr>
                                <w:t>a</w:t>
                              </w:r>
                              <w:r>
                                <w:rPr>
                                  <w:rFonts w:eastAsia="Calibri"/>
                                  <w:sz w:val="20"/>
                                  <w:szCs w:val="20"/>
                                </w:rPr>
                                <w:t xml:space="preserve">haan        </w:t>
                              </w:r>
                            </w:p>
                          </w:txbxContent>
                        </wps:txbx>
                        <wps:bodyPr lIns="91440" rIns="91440" tIns="45720" bIns="45720" vert="horz" anchor="ctr" wrap="square">
                          <a:prstTxWarp prst="textNoShape"/>
                          <a:noAutofit/>
                        </wps:bodyPr>
                      </wps:wsp>
                      <wps:wsp>
                        <wps:cNvSpPr/>
                        <wps:spPr>
                          <a:xfrm rot="0" flipH="1">
                            <a:off x="603408" y="938148"/>
                            <a:ext cx="645984" cy="296228"/>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a:off x="1249393" y="938148"/>
                            <a:ext cx="671155" cy="289877"/>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flipH="1">
                            <a:off x="599984" y="1540446"/>
                            <a:ext cx="3424" cy="250785"/>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a:off x="1355094" y="1791272"/>
                            <a:ext cx="1129665" cy="411697"/>
                          </a:xfrm>
                          <a:prstGeom prst="rect"/>
                          <a:solidFill>
                            <a:srgbClr val="ffffff"/>
                          </a:solidFill>
                          <a:ln cmpd="sng" cap="flat" w="19050">
                            <a:solidFill>
                              <a:srgbClr val="000000"/>
                            </a:solidFill>
                            <a:prstDash val="solid"/>
                            <a:miter/>
                            <a:headEnd/>
                            <a:tailEnd/>
                          </a:ln>
                        </wps:spPr>
                        <wps:txbx id="1052">
                          <w:txbxContent>
                            <w:p>
                              <w:pPr>
                                <w:pStyle w:val="style0"/>
                                <w:spacing w:after="0" w:lineRule="auto" w:line="240"/>
                                <w:jc w:val="center"/>
                                <w:rPr>
                                  <w:rFonts w:eastAsia="Calibri"/>
                                  <w:sz w:val="20"/>
                                  <w:szCs w:val="20"/>
                                  <w14:ligatures xmlns:w14="http://schemas.microsoft.com/office/word/2010/wordml" w14:val="none"/>
                                </w:rPr>
                              </w:pPr>
                              <w:r>
                                <w:rPr>
                                  <w:rFonts w:eastAsia="Calibri"/>
                                  <w:sz w:val="20"/>
                                  <w:szCs w:val="20"/>
                                </w:rPr>
                                <w:t>Menganalisa Informasi</w:t>
                              </w:r>
                              <w:r>
                                <w:rPr>
                                  <w:rFonts w:eastAsia="Calibri"/>
                                  <w:i/>
                                  <w:iCs/>
                                  <w:sz w:val="20"/>
                                  <w:szCs w:val="20"/>
                                </w:rPr>
                                <w:t> </w:t>
                              </w:r>
                            </w:p>
                          </w:txbxContent>
                        </wps:txbx>
                        <wps:bodyPr lIns="91440" rIns="91440" tIns="45720" bIns="45720" vert="horz" anchor="ctr" wrap="square">
                          <a:prstTxWarp prst="textNoShape"/>
                          <a:noAutofit/>
                        </wps:bodyPr>
                      </wps:wsp>
                      <wps:wsp>
                        <wps:cNvSpPr/>
                        <wps:spPr>
                          <a:xfrm rot="0" flipH="1">
                            <a:off x="1919927" y="1534096"/>
                            <a:ext cx="621" cy="257176"/>
                          </a:xfrm>
                          <a:prstGeom prst="straightConnector1"/>
                          <a:ln cmpd="sng" cap="flat" w="12700">
                            <a:solidFill>
                              <a:srgbClr val="000000"/>
                            </a:solidFill>
                            <a:prstDash val="solid"/>
                            <a:miter/>
                            <a:headEnd/>
                            <a:tailEnd len="med" w="med" type="triangle"/>
                          </a:ln>
                        </wps:spPr>
                        <wps:bodyPr>
                          <a:prstTxWarp prst="textNoShape"/>
                        </wps:bodyPr>
                      </wps:wsp>
                      <wps:wsp>
                        <wps:cNvSpPr/>
                        <wps:spPr>
                          <a:xfrm rot="16200000" flipH="1">
                            <a:off x="1809796" y="2337003"/>
                            <a:ext cx="256210" cy="1347327"/>
                          </a:xfrm>
                          <a:prstGeom prst="bentConnector3">
                            <a:avLst>
                              <a:gd name="adj1" fmla="val 50000"/>
                            </a:avLst>
                          </a:prstGeom>
                          <a:ln cmpd="sng" cap="flat" w="12700">
                            <a:solidFill>
                              <a:srgbClr val="000000"/>
                            </a:solidFill>
                            <a:prstDash val="solid"/>
                            <a:miter/>
                            <a:headEnd/>
                            <a:tailEnd len="med" w="med" type="triangle"/>
                          </a:ln>
                        </wps:spPr>
                        <wps:bodyPr>
                          <a:prstTxWarp prst="textNoShape"/>
                        </wps:bodyPr>
                      </wps:wsp>
                      <wps:wsp>
                        <wps:cNvSpPr/>
                        <wps:spPr>
                          <a:xfrm rot="0" flipH="1">
                            <a:off x="3851938" y="380155"/>
                            <a:ext cx="1398" cy="258142"/>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a:off x="2656434" y="2442867"/>
                            <a:ext cx="1132204" cy="445745"/>
                          </a:xfrm>
                          <a:prstGeom prst="rect"/>
                          <a:solidFill>
                            <a:srgbClr val="ffffff"/>
                          </a:solidFill>
                          <a:ln cmpd="sng" cap="flat" w="19050">
                            <a:solidFill>
                              <a:srgbClr val="000000"/>
                            </a:solidFill>
                            <a:prstDash val="solid"/>
                            <a:miter/>
                            <a:headEnd/>
                            <a:tailEnd/>
                          </a:ln>
                        </wps:spPr>
                        <wps:txbx id="1056">
                          <w:txbxContent>
                            <w:p>
                              <w:pPr>
                                <w:pStyle w:val="style0"/>
                                <w:spacing w:after="0" w:lineRule="auto" w:line="251"/>
                                <w:jc w:val="center"/>
                                <w:rPr>
                                  <w:rFonts w:eastAsia="Calibri"/>
                                  <w:sz w:val="20"/>
                                  <w:szCs w:val="20"/>
                                  <w14:ligatures xmlns:w14="http://schemas.microsoft.com/office/word/2010/wordml" w14:val="none"/>
                                </w:rPr>
                              </w:pPr>
                              <w:r>
                                <w:rPr>
                                  <w:rFonts w:eastAsia="Calibri"/>
                                  <w:i/>
                                  <w:iCs/>
                                  <w:sz w:val="20"/>
                                  <w:szCs w:val="20"/>
                                </w:rPr>
                                <w:t xml:space="preserve">Managerial Ownership      </w:t>
                              </w:r>
                            </w:p>
                          </w:txbxContent>
                        </wps:txbx>
                        <wps:bodyPr lIns="91440" rIns="91440" tIns="45720" bIns="45720" vert="horz" anchor="ctr" wrap="square">
                          <a:prstTxWarp prst="textNoShape"/>
                          <a:noAutofit/>
                        </wps:bodyPr>
                      </wps:wsp>
                      <wps:wsp>
                        <wps:cNvSpPr/>
                        <wps:spPr>
                          <a:xfrm rot="0">
                            <a:off x="3963670" y="2438935"/>
                            <a:ext cx="1132204" cy="443249"/>
                          </a:xfrm>
                          <a:prstGeom prst="rect"/>
                          <a:solidFill>
                            <a:srgbClr val="ffffff"/>
                          </a:solidFill>
                          <a:ln cmpd="sng" cap="flat" w="19050">
                            <a:solidFill>
                              <a:srgbClr val="000000"/>
                            </a:solidFill>
                            <a:prstDash val="solid"/>
                            <a:miter/>
                            <a:headEnd/>
                            <a:tailEnd/>
                          </a:ln>
                        </wps:spPr>
                        <wps:txbx id="1057">
                          <w:txbxContent>
                            <w:p>
                              <w:pPr>
                                <w:pStyle w:val="style0"/>
                                <w:spacing w:lineRule="auto" w:line="251"/>
                                <w:jc w:val="center"/>
                                <w:rPr>
                                  <w:rFonts w:eastAsia="Calibri"/>
                                  <w:sz w:val="20"/>
                                  <w:szCs w:val="20"/>
                                  <w14:ligatures xmlns:w14="http://schemas.microsoft.com/office/word/2010/wordml" w14:val="none"/>
                                </w:rPr>
                              </w:pPr>
                              <w:r>
                                <w:rPr>
                                  <w:rFonts w:eastAsia="Calibri"/>
                                  <w:i/>
                                  <w:iCs/>
                                  <w:sz w:val="20"/>
                                  <w:szCs w:val="20"/>
                                </w:rPr>
                                <w:t xml:space="preserve">Institutional Ownership      </w:t>
                              </w:r>
                            </w:p>
                          </w:txbxContent>
                        </wps:txbx>
                        <wps:bodyPr lIns="91440" rIns="91440" tIns="45720" bIns="45720" vert="horz" anchor="ctr" wrap="square">
                          <a:prstTxWarp prst="textNoShape"/>
                          <a:noAutofit/>
                        </wps:bodyPr>
                      </wps:wsp>
                      <wps:wsp>
                        <wps:cNvSpPr/>
                        <wps:spPr>
                          <a:xfrm rot="0">
                            <a:off x="599984" y="2206953"/>
                            <a:ext cx="664253" cy="231752"/>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a:off x="3222069" y="2197172"/>
                            <a:ext cx="468" cy="245694"/>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a:off x="4526081" y="2206507"/>
                            <a:ext cx="3692" cy="232428"/>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flipH="1">
                            <a:off x="1264238" y="2202969"/>
                            <a:ext cx="655689" cy="235736"/>
                          </a:xfrm>
                          <a:prstGeom prst="straightConnector1"/>
                          <a:ln cmpd="sng" cap="flat" w="12700">
                            <a:solidFill>
                              <a:srgbClr val="000000"/>
                            </a:solidFill>
                            <a:prstDash val="solid"/>
                            <a:miter/>
                            <a:headEnd/>
                            <a:tailEnd len="med" w="med" type="triangle"/>
                          </a:ln>
                        </wps:spPr>
                        <wps:bodyPr>
                          <a:prstTxWarp prst="textNoShape"/>
                        </wps:bodyPr>
                      </wps:wsp>
                      <wps:wsp>
                        <wps:cNvSpPr/>
                        <wps:spPr>
                          <a:xfrm rot="5400000">
                            <a:off x="3442375" y="2051374"/>
                            <a:ext cx="256589" cy="1918208"/>
                          </a:xfrm>
                          <a:prstGeom prst="bentConnector3">
                            <a:avLst>
                              <a:gd name="adj1" fmla="val 50000"/>
                            </a:avLst>
                          </a:prstGeom>
                          <a:ln cmpd="sng" cap="flat" w="12700">
                            <a:solidFill>
                              <a:srgbClr val="000000"/>
                            </a:solidFill>
                            <a:prstDash val="solid"/>
                            <a:miter/>
                            <a:headEnd/>
                            <a:tailEnd len="med" w="med" type="triangle"/>
                          </a:ln>
                        </wps:spPr>
                        <wps:bodyPr>
                          <a:prstTxWarp prst="textNoShape"/>
                        </wps:bodyPr>
                      </wps:wsp>
                      <wps:wsp>
                        <wps:cNvSpPr/>
                        <wps:spPr>
                          <a:xfrm rot="5400000">
                            <a:off x="2791971" y="2708206"/>
                            <a:ext cx="250161" cy="610972"/>
                          </a:xfrm>
                          <a:prstGeom prst="bentConnector3">
                            <a:avLst>
                              <a:gd name="adj1" fmla="val 50000"/>
                            </a:avLst>
                          </a:prstGeom>
                          <a:ln cmpd="sng" cap="flat" w="12700">
                            <a:solidFill>
                              <a:srgbClr val="000000"/>
                            </a:solidFill>
                            <a:prstDash val="solid"/>
                            <a:miter/>
                            <a:headEnd/>
                            <a:tailEnd len="med" w="med" type="triangle"/>
                          </a:ln>
                        </wps:spPr>
                        <wps:bodyPr>
                          <a:prstTxWarp prst="textNoShape"/>
                        </wps:bodyPr>
                      </wps:wsp>
                    </wpc:wpc>
                  </a:graphicData>
                </a:graphic>
              </wp:inline>
            </w:drawing>
          </mc:Choice>
          <mc:Fallback>
            <w:pict>
              <v:group id="1029" filled="f" stroked="f" style="margin-left:0.0pt;margin-top:0.0pt;width:401.25pt;height:275.45pt;mso-wrap-distance-left:0.0pt;mso-wrap-distance-right:0.0pt;visibility:visible;" coordsize="5095875,3498273" editas="canvas">
                <v:shape id="1030" type="#_x0000_t75" fillcolor="white" stroked="f" style="position:absolute;left:0;top:0;width:5095875;height:3498273;z-index:2;mso-position-horizontal-relative:page;mso-position-vertical-relative:page;mso-width-relative:page;mso-height-relative:page;visibility:visible;">
                  <w10:wrap type="square"/>
                  <v:fill/>
                </v:shape>
                <v:rect id="1031" fillcolor="white" stroked="t" style="position:absolute;left:543445;top:84260;width:1409175;height:296031;z-index:3;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i/>
                            <w:iCs/>
                            <w:sz w:val="20"/>
                            <w:szCs w:val="20"/>
                            <w14:ligatures xmlns:w14="http://schemas.microsoft.com/office/word/2010/wordml" w14:val="none"/>
                          </w:rPr>
                        </w:pPr>
                        <w:r>
                          <w:rPr>
                            <w:rFonts w:eastAsia="Calibri"/>
                            <w:i/>
                            <w:iCs/>
                            <w:sz w:val="20"/>
                            <w:szCs w:val="20"/>
                          </w:rPr>
                          <w:t xml:space="preserve">Signalling Theory        </w:t>
                        </w:r>
                      </w:p>
                    </w:txbxContent>
                  </v:textbox>
                </v:rect>
                <v:rect id="1032" fillcolor="white" stroked="t" style="position:absolute;left:3960010;top:1234693;width:1132791;height:305749;z-index:4;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i/>
                            <w:iCs/>
                            <w:sz w:val="20"/>
                            <w:szCs w:val="20"/>
                            <w14:ligatures xmlns:w14="http://schemas.microsoft.com/office/word/2010/wordml" w14:val="none"/>
                          </w:rPr>
                        </w:pPr>
                        <w:r>
                          <w:rPr>
                            <w:rFonts w:eastAsia="Calibri"/>
                            <w:i/>
                            <w:iCs/>
                            <w:sz w:val="20"/>
                            <w:szCs w:val="20"/>
                          </w:rPr>
                          <w:t xml:space="preserve">Principal        </w:t>
                        </w:r>
                      </w:p>
                    </w:txbxContent>
                  </v:textbox>
                </v:rect>
                <v:rect id="1033" fillcolor="white" stroked="t" style="position:absolute;left:2655899;top:1228347;width:1132740;height:305749;z-index:5;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sz w:val="20"/>
                            <w:szCs w:val="20"/>
                            <w14:ligatures xmlns:w14="http://schemas.microsoft.com/office/word/2010/wordml" w14:val="none"/>
                          </w:rPr>
                        </w:pPr>
                        <w:r>
                          <w:rPr>
                            <w:rFonts w:eastAsia="Calibri"/>
                            <w:sz w:val="20"/>
                            <w:szCs w:val="20"/>
                          </w:rPr>
                          <w:t xml:space="preserve">Agen        </w:t>
                        </w:r>
                      </w:p>
                    </w:txbxContent>
                  </v:textbox>
                </v:rect>
                <v:rect id="1034" fillcolor="white" stroked="t" style="position:absolute;left:3148771;top:84260;width:1409132;height:295895;z-index:6;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i/>
                            <w:iCs/>
                            <w:sz w:val="20"/>
                            <w:szCs w:val="20"/>
                            <w14:ligatures xmlns:w14="http://schemas.microsoft.com/office/word/2010/wordml" w14:val="none"/>
                          </w:rPr>
                        </w:pPr>
                        <w:r>
                          <w:rPr>
                            <w:rFonts w:eastAsia="Calibri"/>
                            <w:i/>
                            <w:iCs/>
                            <w:sz w:val="20"/>
                            <w:szCs w:val="20"/>
                          </w:rPr>
                          <w:t xml:space="preserve">Agency Theory        </w:t>
                        </w:r>
                      </w:p>
                    </w:txbxContent>
                  </v:textbox>
                </v:rect>
                <v:rect id="1035" fillcolor="white" stroked="t" style="position:absolute;left:34834;top:1791231;width:1130299;height:415722;z-index:7;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i/>
                            <w:iCs/>
                            <w:sz w:val="20"/>
                            <w:szCs w:val="20"/>
                            <w14:ligatures xmlns:w14="http://schemas.microsoft.com/office/word/2010/wordml" w14:val="none"/>
                          </w:rPr>
                        </w:pPr>
                        <w:r>
                          <w:rPr>
                            <w:rFonts w:eastAsia="Calibri"/>
                            <w:sz w:val="20"/>
                            <w:szCs w:val="20"/>
                          </w:rPr>
                          <w:t>Informasi</w:t>
                        </w:r>
                        <w:r>
                          <w:rPr>
                            <w:rFonts w:eastAsia="Calibri"/>
                            <w:i/>
                            <w:iCs/>
                            <w:sz w:val="20"/>
                            <w:szCs w:val="20"/>
                          </w:rPr>
                          <w:t> </w:t>
                        </w:r>
                      </w:p>
                    </w:txbxContent>
                  </v:textbox>
                </v:rect>
                <v:rect id="1036" fillcolor="white" stroked="t" style="position:absolute;left:698077;top:2438705;width:1132322;height:443857;z-index:8;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ind w:right="-80"/>
                          <w:jc w:val="center"/>
                          <w:rPr>
                            <w:rFonts w:eastAsia="Calibri"/>
                            <w:sz w:val="20"/>
                            <w:szCs w:val="20"/>
                            <w14:ligatures xmlns:w14="http://schemas.microsoft.com/office/word/2010/wordml" w14:val="none"/>
                          </w:rPr>
                        </w:pPr>
                        <w:r>
                          <w:rPr>
                            <w:rFonts w:eastAsia="Calibri"/>
                            <w:i/>
                            <w:iCs/>
                            <w:sz w:val="20"/>
                            <w:szCs w:val="20"/>
                          </w:rPr>
                          <w:t>Enterprise Risk Management</w:t>
                        </w:r>
                        <w:r>
                          <w:rPr>
                            <w:rFonts w:eastAsia="Calibri"/>
                            <w:sz w:val="20"/>
                            <w:szCs w:val="20"/>
                          </w:rPr>
                          <w:t xml:space="preserve">     </w:t>
                        </w:r>
                      </w:p>
                    </w:txbxContent>
                  </v:textbox>
                </v:rect>
                <v:rect id="1037" fillcolor="white" stroked="t" style="position:absolute;left:544827;top:642577;width:1409132;height:295571;z-index:9;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sz w:val="20"/>
                            <w:szCs w:val="20"/>
                            <w14:ligatures xmlns:w14="http://schemas.microsoft.com/office/word/2010/wordml" w14:val="none"/>
                          </w:rPr>
                        </w:pPr>
                        <w:r>
                          <w:rPr>
                            <w:rFonts w:eastAsia="Calibri"/>
                            <w:sz w:val="20"/>
                            <w:szCs w:val="20"/>
                          </w:rPr>
                          <w:t>Asimetri Informasi</w:t>
                        </w:r>
                      </w:p>
                    </w:txbxContent>
                  </v:textbox>
                </v:rect>
                <v:rect id="1038" fillcolor="white" stroked="t" style="position:absolute;left:3959711;top:1801018;width:1132740;height:405489;z-index:10;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i/>
                            <w:iCs/>
                            <w:sz w:val="20"/>
                            <w:szCs w:val="20"/>
                            <w14:ligatures xmlns:w14="http://schemas.microsoft.com/office/word/2010/wordml" w14:val="none"/>
                          </w:rPr>
                        </w:pPr>
                        <w:r>
                          <w:rPr>
                            <w:rFonts w:eastAsia="Calibri"/>
                            <w:sz w:val="20"/>
                            <w:szCs w:val="20"/>
                          </w:rPr>
                          <w:t>Pengawasan</w:t>
                        </w:r>
                        <w:r>
                          <w:rPr>
                            <w:rFonts w:eastAsia="Calibri"/>
                            <w:sz w:val="20"/>
                            <w:szCs w:val="20"/>
                          </w:rPr>
                          <w:t xml:space="preserve"> Eksternal</w:t>
                        </w:r>
                        <w:r>
                          <w:rPr>
                            <w:rFonts w:eastAsia="Calibri"/>
                            <w:i/>
                            <w:iCs/>
                            <w:sz w:val="20"/>
                            <w:szCs w:val="20"/>
                          </w:rPr>
                          <w:t xml:space="preserve">       </w:t>
                        </w:r>
                      </w:p>
                    </w:txbxContent>
                  </v:textbox>
                </v:rect>
                <v:shapetype id="_x0000_t32" coordsize="21600,21600" o:spt="32" o:oned="t" path="m,l21600,21600e">
                  <v:path arrowok="t" fillok="f" o:connecttype="none"/>
                  <o:lock v:ext="edit" shapetype="t"/>
                </v:shapetype>
                <v:shape id="1039" type="#_x0000_t32" filled="f" style="position:absolute;left:1248033;top:380291;width:1360;height:262286;z-index:11;mso-position-horizontal-relative:page;mso-position-vertical-relative:page;mso-width-relative:page;mso-height-relative:page;visibility:visible;">
                  <v:stroke endarrow="block" joinstyle="miter" weight="1.0pt"/>
                  <v:fill/>
                </v:shape>
                <v:rect id="1040" fillcolor="white" stroked="t" style="position:absolute;left:3147372;top:638297;width:1409132;height:295880;z-index:12;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i/>
                            <w:iCs/>
                            <w:sz w:val="20"/>
                            <w:szCs w:val="20"/>
                            <w14:ligatures xmlns:w14="http://schemas.microsoft.com/office/word/2010/wordml" w14:val="none"/>
                          </w:rPr>
                        </w:pPr>
                        <w:r>
                          <w:rPr>
                            <w:rFonts w:eastAsia="Calibri"/>
                            <w:sz w:val="20"/>
                            <w:szCs w:val="20"/>
                          </w:rPr>
                          <w:t xml:space="preserve"> </w:t>
                        </w:r>
                        <w:r>
                          <w:rPr>
                            <w:rFonts w:eastAsia="Calibri"/>
                            <w:sz w:val="20"/>
                            <w:szCs w:val="20"/>
                          </w:rPr>
                          <w:t>Konflik Kepentingan</w:t>
                        </w:r>
                        <w:r>
                          <w:rPr>
                            <w:rFonts w:eastAsia="Calibri"/>
                            <w:i/>
                            <w:iCs/>
                            <w:sz w:val="20"/>
                            <w:szCs w:val="20"/>
                          </w:rPr>
                          <w:t xml:space="preserve">       </w:t>
                        </w:r>
                      </w:p>
                    </w:txbxContent>
                  </v:textbox>
                </v:rect>
                <v:shape id="1041" type="#_x0000_t32" filled="f" style="position:absolute;left:3222269;top:934177;width:629669;height:294170;z-index:13;mso-position-horizontal-relative:page;mso-position-vertical-relative:page;mso-width-relative:page;mso-height-relative:page;visibility:visible;flip:x;">
                  <v:stroke endarrow="block" joinstyle="miter" weight="1.0pt"/>
                  <v:fill/>
                </v:shape>
                <v:shape id="1042" type="#_x0000_t32" filled="f" style="position:absolute;left:3851938;top:934177;width:674468;height:300516;z-index:14;mso-position-horizontal-relative:page;mso-position-vertical-relative:page;mso-width-relative:page;mso-height-relative:page;visibility:visible;">
                  <v:stroke endarrow="block" joinstyle="miter" weight="1.0pt"/>
                  <v:fill/>
                </v:shape>
                <v:rect id="1043" fillcolor="white" stroked="t" style="position:absolute;left:1287590;top:3138773;width:2647950;height:359750;z-index:15;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sz w:val="20"/>
                            <w:szCs w:val="20"/>
                            <w14:ligatures xmlns:w14="http://schemas.microsoft.com/office/word/2010/wordml" w14:val="none"/>
                          </w:rPr>
                        </w:pPr>
                        <w:r>
                          <w:rPr>
                            <w:rFonts w:eastAsia="Calibri"/>
                            <w:i/>
                            <w:iCs/>
                            <w:sz w:val="20"/>
                            <w:szCs w:val="20"/>
                          </w:rPr>
                          <w:t>Firm Value</w:t>
                        </w:r>
                      </w:p>
                    </w:txbxContent>
                  </v:textbox>
                </v:rect>
                <v:shape id="1044" type="#_x0000_t32" filled="f" style="position:absolute;left:4526081;top:1540442;width:325;height:260576;z-index:16;mso-position-horizontal-relative:page;mso-position-vertical-relative:page;mso-width-relative:page;mso-height-relative:page;visibility:visible;flip:x;">
                  <v:stroke endarrow="block" joinstyle="miter" weight="1.0pt"/>
                  <v:fill/>
                </v:shape>
                <v:rect id="1045" fillcolor="white" stroked="t" style="position:absolute;left:2655733;top:1792126;width:1132672;height:405046;z-index:17;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sz w:val="20"/>
                            <w:szCs w:val="20"/>
                            <w14:ligatures xmlns:w14="http://schemas.microsoft.com/office/word/2010/wordml" w14:val="none"/>
                          </w:rPr>
                        </w:pPr>
                        <w:r>
                          <w:rPr>
                            <w:rFonts w:eastAsia="Calibri"/>
                            <w:sz w:val="20"/>
                            <w:szCs w:val="20"/>
                          </w:rPr>
                          <w:t>Pengawasan Internal</w:t>
                        </w:r>
                        <w:r>
                          <w:rPr>
                            <w:rFonts w:eastAsia="Calibri"/>
                            <w:i/>
                            <w:iCs/>
                            <w:sz w:val="20"/>
                            <w:szCs w:val="20"/>
                          </w:rPr>
                          <w:t xml:space="preserve">      </w:t>
                        </w:r>
                      </w:p>
                    </w:txbxContent>
                  </v:textbox>
                </v:rect>
                <v:shape id="1046" type="#_x0000_t32" filled="f" style="position:absolute;left:3222069;top:1534096;width:200;height:258030;z-index:18;mso-position-horizontal-relative:page;mso-position-vertical-relative:page;mso-width-relative:page;mso-height-relative:page;visibility:visible;flip:x;">
                  <v:stroke endarrow="block" joinstyle="miter" weight="1.0pt"/>
                  <v:fill/>
                </v:shape>
                <v:rect id="1047" fillcolor="white" stroked="t" style="position:absolute;left:1354212;top:1228026;width:1132672;height:306070;z-index:19;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i/>
                            <w:iCs/>
                            <w:sz w:val="20"/>
                            <w:szCs w:val="20"/>
                            <w14:ligatures xmlns:w14="http://schemas.microsoft.com/office/word/2010/wordml" w14:val="none"/>
                          </w:rPr>
                        </w:pPr>
                        <w:r>
                          <w:rPr>
                            <w:rFonts w:eastAsia="Calibri"/>
                            <w:sz w:val="20"/>
                            <w:szCs w:val="20"/>
                          </w:rPr>
                          <w:t>Pihak Eksternal</w:t>
                        </w:r>
                        <w:r>
                          <w:rPr>
                            <w:rFonts w:eastAsia="Calibri"/>
                            <w:i/>
                            <w:iCs/>
                            <w:sz w:val="20"/>
                            <w:szCs w:val="20"/>
                          </w:rPr>
                          <w:t xml:space="preserve">    </w:t>
                        </w:r>
                      </w:p>
                    </w:txbxContent>
                  </v:textbox>
                </v:rect>
                <v:rect id="1048" fillcolor="white" stroked="t" style="position:absolute;left:37072;top:1234376;width:1132672;height:306070;z-index:20;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sz w:val="20"/>
                            <w:szCs w:val="20"/>
                            <w14:ligatures xmlns:w14="http://schemas.microsoft.com/office/word/2010/wordml" w14:val="none"/>
                          </w:rPr>
                        </w:pPr>
                        <w:r>
                          <w:rPr>
                            <w:rFonts w:eastAsia="Calibri"/>
                            <w:sz w:val="20"/>
                            <w:szCs w:val="20"/>
                          </w:rPr>
                          <w:t>Perus</w:t>
                        </w:r>
                        <w:r>
                          <w:rPr>
                            <w:rFonts w:eastAsia="Calibri"/>
                            <w:sz w:val="20"/>
                            <w:szCs w:val="20"/>
                          </w:rPr>
                          <w:t>a</w:t>
                        </w:r>
                        <w:r>
                          <w:rPr>
                            <w:rFonts w:eastAsia="Calibri"/>
                            <w:sz w:val="20"/>
                            <w:szCs w:val="20"/>
                          </w:rPr>
                          <w:t xml:space="preserve">haan        </w:t>
                        </w:r>
                      </w:p>
                    </w:txbxContent>
                  </v:textbox>
                </v:rect>
                <v:shape id="1049" type="#_x0000_t32" filled="f" style="position:absolute;left:603408;top:938148;width:645985;height:296228;z-index:21;mso-position-horizontal-relative:page;mso-position-vertical-relative:page;mso-width-relative:page;mso-height-relative:page;visibility:visible;flip:x;">
                  <v:stroke endarrow="block" joinstyle="miter" weight="1.0pt"/>
                  <v:fill/>
                </v:shape>
                <v:shape id="1050" type="#_x0000_t32" filled="f" style="position:absolute;left:1249393;top:938148;width:671155;height:289878;z-index:22;mso-position-horizontal-relative:page;mso-position-vertical-relative:page;mso-width-relative:page;mso-height-relative:page;visibility:visible;">
                  <v:stroke endarrow="block" joinstyle="miter" weight="1.0pt"/>
                  <v:fill/>
                </v:shape>
                <v:shape id="1051" type="#_x0000_t32" filled="f" style="position:absolute;left:599984;top:1540446;width:3424;height:250785;z-index:23;mso-position-horizontal-relative:page;mso-position-vertical-relative:page;mso-width-relative:page;mso-height-relative:page;visibility:visible;flip:x;">
                  <v:stroke endarrow="block" joinstyle="miter" weight="1.0pt"/>
                  <v:fill/>
                </v:shape>
                <v:rect id="1052" fillcolor="white" stroked="t" style="position:absolute;left:1355094;top:1791272;width:1129665;height:411697;z-index:24;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40"/>
                          <w:jc w:val="center"/>
                          <w:rPr>
                            <w:rFonts w:eastAsia="Calibri"/>
                            <w:sz w:val="20"/>
                            <w:szCs w:val="20"/>
                            <w14:ligatures xmlns:w14="http://schemas.microsoft.com/office/word/2010/wordml" w14:val="none"/>
                          </w:rPr>
                        </w:pPr>
                        <w:r>
                          <w:rPr>
                            <w:rFonts w:eastAsia="Calibri"/>
                            <w:sz w:val="20"/>
                            <w:szCs w:val="20"/>
                          </w:rPr>
                          <w:t>Menganalisa Informasi</w:t>
                        </w:r>
                        <w:r>
                          <w:rPr>
                            <w:rFonts w:eastAsia="Calibri"/>
                            <w:i/>
                            <w:iCs/>
                            <w:sz w:val="20"/>
                            <w:szCs w:val="20"/>
                          </w:rPr>
                          <w:t> </w:t>
                        </w:r>
                      </w:p>
                    </w:txbxContent>
                  </v:textbox>
                </v:rect>
                <v:shape id="1053" type="#_x0000_t32" filled="f" style="position:absolute;left:1919927;top:1534096;width:621;height:257176;z-index:25;mso-position-horizontal-relative:page;mso-position-vertical-relative:page;mso-width-relative:page;mso-height-relative:page;visibility:visible;flip:x;">
                  <v:stroke endarrow="block" joinstyle="miter" weight="1.0pt"/>
                  <v:fill/>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054" type="#_x0000_t34" adj="10800," filled="f" style="position:absolute;left:1809796;top:2337003;width:256211;height:1347327;z-index:26;mso-position-horizontal-relative:page;mso-position-vertical-relative:page;mso-width-relative:page;mso-height-relative:page;visibility:visible;rotation:5898240fd;flip:x;">
                  <v:stroke endarrow="block" joinstyle="miter" weight="1.0pt"/>
                  <v:fill/>
                </v:shape>
                <v:shape id="1055" type="#_x0000_t32" filled="f" style="position:absolute;left:3851938;top:380155;width:1399;height:258142;z-index:27;mso-position-horizontal-relative:page;mso-position-vertical-relative:page;mso-width-relative:page;mso-height-relative:page;visibility:visible;flip:x;">
                  <v:stroke endarrow="block" joinstyle="miter" weight="1.0pt"/>
                  <v:fill/>
                </v:shape>
                <v:rect id="1056" fillcolor="white" stroked="t" style="position:absolute;left:2656434;top:2442867;width:1132205;height:445745;z-index:28;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1"/>
                          <w:jc w:val="center"/>
                          <w:rPr>
                            <w:rFonts w:eastAsia="Calibri"/>
                            <w:sz w:val="20"/>
                            <w:szCs w:val="20"/>
                            <w14:ligatures xmlns:w14="http://schemas.microsoft.com/office/word/2010/wordml" w14:val="none"/>
                          </w:rPr>
                        </w:pPr>
                        <w:r>
                          <w:rPr>
                            <w:rFonts w:eastAsia="Calibri"/>
                            <w:i/>
                            <w:iCs/>
                            <w:sz w:val="20"/>
                            <w:szCs w:val="20"/>
                          </w:rPr>
                          <w:t xml:space="preserve">Managerial Ownership      </w:t>
                        </w:r>
                      </w:p>
                    </w:txbxContent>
                  </v:textbox>
                </v:rect>
                <v:rect id="1057" fillcolor="white" stroked="t" style="position:absolute;left:3963670;top:2438935;width:1132205;height:443249;z-index:29;mso-position-horizontal-relative:page;mso-position-vertical-relative:page;mso-width-relative:page;mso-height-relative:page;visibility:visible;v-text-anchor:middle;">
                  <v:stroke joinstyle="miter" weight="1.5pt"/>
                  <v:fill/>
                  <v:textbox inset="7.2pt,3.6pt,7.2pt,3.6pt">
                    <w:txbxContent>
                      <w:p>
                        <w:pPr>
                          <w:pStyle w:val="style0"/>
                          <w:spacing w:lineRule="auto" w:line="251"/>
                          <w:jc w:val="center"/>
                          <w:rPr>
                            <w:rFonts w:eastAsia="Calibri"/>
                            <w:sz w:val="20"/>
                            <w:szCs w:val="20"/>
                            <w14:ligatures xmlns:w14="http://schemas.microsoft.com/office/word/2010/wordml" w14:val="none"/>
                          </w:rPr>
                        </w:pPr>
                        <w:r>
                          <w:rPr>
                            <w:rFonts w:eastAsia="Calibri"/>
                            <w:i/>
                            <w:iCs/>
                            <w:sz w:val="20"/>
                            <w:szCs w:val="20"/>
                          </w:rPr>
                          <w:t xml:space="preserve">Institutional Ownership      </w:t>
                        </w:r>
                      </w:p>
                    </w:txbxContent>
                  </v:textbox>
                </v:rect>
                <v:shape id="1058" type="#_x0000_t32" filled="f" style="position:absolute;left:599984;top:2206953;width:664254;height:231752;z-index:30;mso-position-horizontal-relative:page;mso-position-vertical-relative:page;mso-width-relative:page;mso-height-relative:page;visibility:visible;">
                  <v:stroke endarrow="block" joinstyle="miter" weight="1.0pt"/>
                  <v:fill/>
                </v:shape>
                <v:shape id="1059" type="#_x0000_t32" filled="f" style="position:absolute;left:3222069;top:2197172;width:468;height:245695;z-index:31;mso-position-horizontal-relative:page;mso-position-vertical-relative:page;mso-width-relative:page;mso-height-relative:page;visibility:visible;">
                  <v:stroke endarrow="block" joinstyle="miter" weight="1.0pt"/>
                  <v:fill/>
                </v:shape>
                <v:shape id="1060" type="#_x0000_t32" filled="f" style="position:absolute;left:4526081;top:2206507;width:3692;height:232428;z-index:32;mso-position-horizontal-relative:page;mso-position-vertical-relative:page;mso-width-relative:page;mso-height-relative:page;visibility:visible;">
                  <v:stroke endarrow="block" joinstyle="miter" weight="1.0pt"/>
                  <v:fill/>
                </v:shape>
                <v:shape id="1061" type="#_x0000_t32" filled="f" style="position:absolute;left:1264238;top:2202969;width:655689;height:235736;z-index:33;mso-position-horizontal-relative:page;mso-position-vertical-relative:page;mso-width-relative:page;mso-height-relative:page;visibility:visible;flip:x;">
                  <v:stroke endarrow="block" joinstyle="miter" weight="1.0pt"/>
                  <v:fill/>
                </v:shape>
                <v:shape id="1062" type="#_x0000_t34" adj="10800," filled="f" style="position:absolute;left:3442375;top:2051374;width:256589;height:1918208;z-index:34;mso-position-horizontal-relative:page;mso-position-vertical-relative:page;mso-width-relative:page;mso-height-relative:page;visibility:visible;rotation:5898240fd;">
                  <v:stroke endarrow="block" joinstyle="miter" weight="1.0pt"/>
                  <v:fill/>
                </v:shape>
                <v:shape id="1063" type="#_x0000_t34" adj="10800," filled="f" style="position:absolute;left:2791971;top:2708206;width:250161;height:610972;z-index:35;mso-position-horizontal-relative:page;mso-position-vertical-relative:page;mso-width-relative:page;mso-height-relative:page;visibility:visible;rotation:5898240fd;">
                  <v:stroke endarrow="block" joinstyle="miter" weight="1.0pt"/>
                  <v:fill/>
                </v:shape>
                <w10:anchorlock/>
                <v:fill rotate="true"/>
              </v:group>
            </w:pict>
          </mc:Fallback>
        </mc:AlternateContent>
      </w:r>
      <w:r>
        <w:rPr>
          <w:noProof/>
        </w:rPr>
      </w:r>
      <w:r>
        <w:rPr>
          <w:noProof/>
        </w:rPr>
      </w:r>
    </w:p>
    <w:bookmarkStart w:id="41" w:name="_Toc215602271"/>
    <w:p>
      <w:pPr>
        <w:pStyle w:val="style34"/>
        <w:spacing w:after="0"/>
        <w:jc w:val="center"/>
        <w:rPr>
          <w:b w:val="false"/>
          <w:bCs/>
          <w:i/>
          <w:iCs w:val="false"/>
          <w:sz w:val="22"/>
          <w:szCs w:val="22"/>
        </w:rPr>
      </w:pPr>
      <w:r>
        <w:rPr>
          <w:bCs/>
          <w:iCs w:val="false"/>
          <w:color w:val="auto"/>
          <w:sz w:val="22"/>
          <w:szCs w:val="22"/>
        </w:rPr>
        <w:t>Gambar</w:t>
      </w:r>
      <w:r>
        <w:rPr>
          <w:b w:val="false"/>
          <w:bCs/>
          <w:i/>
          <w:iCs w:val="false"/>
          <w:color w:val="ffffff"/>
          <w:sz w:val="22"/>
          <w:szCs w:val="22"/>
        </w:rPr>
        <w:fldChar w:fldCharType="begin"/>
      </w:r>
      <w:r>
        <w:rPr>
          <w:bCs/>
          <w:iCs w:val="false"/>
          <w:color w:val="ffffff"/>
          <w:sz w:val="22"/>
          <w:szCs w:val="22"/>
        </w:rPr>
        <w:instrText xml:space="preserve"> SEQ Gambar \* ARABIC </w:instrText>
      </w:r>
      <w:r>
        <w:rPr>
          <w:b w:val="false"/>
          <w:bCs/>
          <w:i/>
          <w:iCs w:val="false"/>
          <w:color w:val="ffffff"/>
          <w:sz w:val="22"/>
          <w:szCs w:val="22"/>
        </w:rPr>
        <w:fldChar w:fldCharType="separate"/>
      </w:r>
      <w:r>
        <w:rPr>
          <w:bCs/>
          <w:iCs w:val="false"/>
          <w:noProof/>
          <w:color w:val="ffffff"/>
          <w:sz w:val="22"/>
          <w:szCs w:val="22"/>
        </w:rPr>
        <w:t>3</w:t>
      </w:r>
      <w:r>
        <w:rPr>
          <w:b w:val="false"/>
          <w:bCs/>
          <w:i/>
          <w:iCs w:val="false"/>
          <w:color w:val="ffffff"/>
          <w:sz w:val="22"/>
          <w:szCs w:val="22"/>
        </w:rPr>
        <w:fldChar w:fldCharType="end"/>
      </w:r>
      <w:r>
        <w:rPr>
          <w:bCs/>
          <w:iCs w:val="false"/>
          <w:color w:val="auto"/>
          <w:sz w:val="22"/>
          <w:szCs w:val="22"/>
        </w:rPr>
        <w:t>2.1. Kerangka Konsep</w:t>
      </w:r>
      <w:bookmarkEnd w:id="40"/>
      <w:bookmarkEnd w:id="41"/>
    </w:p>
    <w:p>
      <w:pPr>
        <w:pStyle w:val="style34"/>
        <w:ind w:left="630"/>
        <w:jc w:val="center"/>
        <w:rPr>
          <w:b w:val="false"/>
          <w:bCs/>
          <w:i/>
          <w:iCs w:val="false"/>
          <w:color w:val="auto"/>
          <w:sz w:val="20"/>
          <w:szCs w:val="20"/>
        </w:rPr>
      </w:pPr>
      <w:r>
        <w:rPr>
          <w:b w:val="false"/>
          <w:bCs/>
          <w:iCs w:val="false"/>
          <w:color w:val="auto"/>
          <w:sz w:val="20"/>
          <w:szCs w:val="20"/>
        </w:rPr>
        <w:t>Sumber: Kerangka konsep dikembangkan pada penelitia</w:t>
      </w:r>
      <w:r>
        <w:rPr>
          <w:b w:val="false"/>
          <w:bCs/>
          <w:iCs w:val="false"/>
          <w:color w:val="auto"/>
          <w:sz w:val="20"/>
          <w:szCs w:val="20"/>
        </w:rPr>
        <w:t>n</w:t>
      </w:r>
    </w:p>
    <w:bookmarkStart w:id="42" w:name="_Toc218854607"/>
    <w:p>
      <w:pPr>
        <w:pStyle w:val="style2"/>
        <w:tabs>
          <w:tab w:val="left" w:leader="none" w:pos="720"/>
        </w:tabs>
        <w:spacing w:lineRule="auto" w:line="480"/>
        <w:rPr>
          <w:highlight w:val="yellow"/>
        </w:rPr>
      </w:pPr>
      <w:r>
        <w:t>2.4.</w:t>
      </w:r>
      <w:r>
        <w:t xml:space="preserve"> </w:t>
      </w:r>
      <w:r>
        <w:tab/>
      </w:r>
      <w:r>
        <w:t>Pengembangan Hipotesis</w:t>
      </w:r>
      <w:bookmarkEnd w:id="42"/>
      <w:r>
        <w:t xml:space="preserve"> </w:t>
      </w:r>
    </w:p>
    <w:bookmarkStart w:id="43" w:name="_Toc218854608"/>
    <w:p>
      <w:pPr>
        <w:pStyle w:val="style3"/>
        <w:rPr/>
      </w:pPr>
      <w:r>
        <w:t>2.4.1.</w:t>
      </w:r>
      <w:r>
        <w:tab/>
      </w:r>
      <w:r>
        <w:t>Pengaruh</w:t>
      </w:r>
      <w:r>
        <w:t xml:space="preserve"> </w:t>
      </w:r>
      <w:r>
        <w:rPr>
          <w:i/>
          <w:iCs/>
        </w:rPr>
        <w:t xml:space="preserve">Enterprise Risk Management </w:t>
      </w:r>
      <w:r>
        <w:t>terhadap</w:t>
      </w:r>
      <w:r>
        <w:t xml:space="preserve"> </w:t>
      </w:r>
      <w:r>
        <w:rPr>
          <w:i/>
          <w:iCs/>
        </w:rPr>
        <w:t>Firm Value</w:t>
      </w:r>
      <w:bookmarkEnd w:id="43"/>
    </w:p>
    <w:p>
      <w:pPr>
        <w:pStyle w:val="style0"/>
        <w:tabs>
          <w:tab w:val="left" w:leader="none" w:pos="630"/>
          <w:tab w:val="left" w:leader="none" w:pos="720"/>
        </w:tabs>
        <w:spacing w:after="0" w:lineRule="auto" w:line="480"/>
        <w:jc w:val="both"/>
        <w:rPr/>
      </w:pPr>
      <w:r>
        <w:rPr>
          <w:rFonts w:cs="Times New Roman"/>
        </w:rPr>
        <w:tab/>
      </w:r>
      <w:r>
        <w:rPr>
          <w:rFonts w:cs="Times New Roman"/>
        </w:rPr>
        <w:tab/>
      </w:r>
      <w:r>
        <w:rPr>
          <w:rFonts w:cs="Times New Roman"/>
        </w:rPr>
        <w:t>Pada</w:t>
      </w:r>
      <w:r>
        <w:rPr>
          <w:rFonts w:cs="Times New Roman"/>
        </w:rPr>
        <w:t xml:space="preserve"> perspektif</w:t>
      </w:r>
      <w:r>
        <w:rPr>
          <w:rFonts w:cs="Times New Roman"/>
        </w:rPr>
        <w:t xml:space="preserve"> </w:t>
      </w:r>
      <w:r>
        <w:rPr>
          <w:rFonts w:cs="Times New Roman"/>
          <w:i/>
          <w:iCs/>
        </w:rPr>
        <w:t>s</w:t>
      </w:r>
      <w:r>
        <w:rPr>
          <w:rFonts w:cs="Times New Roman"/>
          <w:i/>
          <w:iCs/>
        </w:rPr>
        <w:t xml:space="preserve">ignalling </w:t>
      </w:r>
      <w:r>
        <w:rPr>
          <w:rFonts w:cs="Times New Roman"/>
          <w:i/>
          <w:iCs/>
        </w:rPr>
        <w:t>t</w:t>
      </w:r>
      <w:r>
        <w:rPr>
          <w:rFonts w:cs="Times New Roman"/>
          <w:i/>
          <w:iCs/>
        </w:rPr>
        <w:t>heory</w:t>
      </w:r>
      <w:r>
        <w:rPr>
          <w:rFonts w:cs="Times New Roman"/>
          <w:i/>
          <w:iCs/>
        </w:rPr>
        <w:t>,</w:t>
      </w:r>
      <w:r>
        <w:rPr>
          <w:rFonts w:cs="Times New Roman"/>
          <w:color w:val="000000"/>
        </w:rPr>
        <w:t xml:space="preserve"> </w:t>
      </w:r>
      <w:r>
        <w:rPr>
          <w:rFonts w:cs="Times New Roman"/>
          <w:color w:val="000000"/>
        </w:rPr>
        <w:t xml:space="preserve">penerapan </w:t>
      </w:r>
      <w:r>
        <w:rPr>
          <w:rFonts w:cs="Times New Roman"/>
          <w:i/>
          <w:iCs/>
          <w:color w:val="000000"/>
        </w:rPr>
        <w:t xml:space="preserve">enterprise risk management </w:t>
      </w:r>
      <w:r>
        <w:rPr>
          <w:rFonts w:cs="Times New Roman"/>
          <w:color w:val="000000"/>
        </w:rPr>
        <w:t>yang baik</w:t>
      </w:r>
      <w:r>
        <w:rPr>
          <w:rFonts w:cs="Times New Roman"/>
          <w:i/>
          <w:iCs/>
          <w:color w:val="000000"/>
        </w:rPr>
        <w:t xml:space="preserve"> </w:t>
      </w:r>
      <w:r>
        <w:rPr>
          <w:rFonts w:cs="Times New Roman"/>
          <w:color w:val="000000"/>
        </w:rPr>
        <w:t>dapat</w:t>
      </w:r>
      <w:r>
        <w:rPr>
          <w:rFonts w:cs="Times New Roman"/>
          <w:color w:val="000000"/>
        </w:rPr>
        <w:t xml:space="preserve"> </w:t>
      </w:r>
      <w:r>
        <w:rPr>
          <w:rFonts w:cs="Times New Roman"/>
          <w:color w:val="000000"/>
        </w:rPr>
        <w:t xml:space="preserve">mengurangi adanya ketidakseimbangan atau asimetri informasi </w:t>
      </w:r>
      <w:r>
        <w:rPr>
          <w:rFonts w:cs="Times New Roman"/>
          <w:color w:val="000000"/>
        </w:rPr>
        <w:t xml:space="preserve">yang terjadi </w:t>
      </w:r>
      <w:r>
        <w:rPr>
          <w:rFonts w:cs="Times New Roman"/>
          <w:color w:val="000000"/>
        </w:rPr>
        <w:t>antara perusahaan dan pihak eksternal</w:t>
      </w:r>
      <w:r>
        <w:rPr>
          <w:rFonts w:cs="Times New Roman"/>
          <w:i/>
          <w:iCs/>
          <w:color w:val="000000"/>
        </w:rPr>
        <w:t>.</w:t>
      </w:r>
      <w:r>
        <w:rPr>
          <w:rFonts w:cs="Times New Roman"/>
          <w:color w:val="000000"/>
        </w:rPr>
        <w:t xml:space="preserve"> Penerapan </w:t>
      </w:r>
      <w:r>
        <w:rPr>
          <w:rFonts w:cs="Times New Roman"/>
          <w:i/>
          <w:iCs/>
          <w:color w:val="000000"/>
        </w:rPr>
        <w:t xml:space="preserve">enterprise risk management </w:t>
      </w:r>
      <w:r>
        <w:rPr>
          <w:rFonts w:cs="Times New Roman"/>
          <w:color w:val="000000"/>
        </w:rPr>
        <w:t>yang baik</w:t>
      </w:r>
      <w:r>
        <w:rPr>
          <w:rFonts w:cs="Times New Roman"/>
          <w:i/>
          <w:iCs/>
          <w:color w:val="000000"/>
        </w:rPr>
        <w:t xml:space="preserve"> </w:t>
      </w:r>
      <w:r>
        <w:rPr>
          <w:rFonts w:cs="Times New Roman"/>
          <w:color w:val="000000"/>
        </w:rPr>
        <w:t>dapat</w:t>
      </w:r>
      <w:r>
        <w:rPr>
          <w:rFonts w:cs="Times New Roman"/>
          <w:color w:val="000000"/>
        </w:rPr>
        <w:t xml:space="preserve"> </w:t>
      </w:r>
      <w:r>
        <w:rPr>
          <w:rFonts w:cs="Times New Roman"/>
          <w:color w:val="000000"/>
        </w:rPr>
        <w:t>memberikan</w:t>
      </w:r>
      <w:r>
        <w:rPr>
          <w:rFonts w:cs="Times New Roman"/>
        </w:rPr>
        <w:t xml:space="preserve"> informasi perusahaan </w:t>
      </w:r>
      <w:r>
        <w:rPr>
          <w:rFonts w:cs="Times New Roman"/>
        </w:rPr>
        <w:t xml:space="preserve">secara lengkap </w:t>
      </w:r>
      <w:r>
        <w:rPr>
          <w:rFonts w:cs="Times New Roman"/>
        </w:rPr>
        <w:t>kepada pihak eksternal</w:t>
      </w:r>
      <w:r>
        <w:rPr>
          <w:rFonts w:cs="Times New Roman"/>
        </w:rPr>
        <w:t xml:space="preserve"> sehingga dapat meningkatkan kualitas </w:t>
      </w:r>
      <w:r>
        <w:rPr>
          <w:rFonts w:cs="Times New Roman"/>
          <w:color w:val="000000"/>
        </w:rPr>
        <w:t xml:space="preserve">laporan keuangan </w:t>
      </w:r>
      <w:r>
        <w:rPr>
          <w:rFonts w:cs="Times New Roman"/>
          <w:color w:val="000000"/>
        </w:rPr>
        <w:t xml:space="preserve">dan </w:t>
      </w:r>
      <w:r>
        <w:rPr>
          <w:rFonts w:cs="Times New Roman"/>
          <w:color w:val="000000"/>
        </w:rPr>
        <w:t xml:space="preserve">mampu mendapatkan keuntungan </w:t>
      </w:r>
      <w:r>
        <w:rPr>
          <w:rFonts w:cs="Times New Roman"/>
          <w:color w:val="000000"/>
        </w:rPr>
        <w:t>jangka panjang</w:t>
      </w:r>
      <w:r>
        <w:rPr>
          <w:i/>
          <w:iCs/>
          <w:color w:val="000000"/>
        </w:rPr>
        <w:t xml:space="preserve"> </w:t>
      </w:r>
      <w:r>
        <w:rPr>
          <w:rFonts w:cs="Times New Roman"/>
          <w:color w:val="000000"/>
        </w:rPr>
        <w:t xml:space="preserve">(Setiawati </w:t>
      </w:r>
      <w:r>
        <w:rPr>
          <w:rFonts w:cs="Times New Roman"/>
          <w:i/>
          <w:iCs/>
          <w:color w:val="000000"/>
        </w:rPr>
        <w:t>et al</w:t>
      </w:r>
      <w:r>
        <w:rPr>
          <w:rFonts w:cs="Times New Roman"/>
          <w:color w:val="000000"/>
        </w:rPr>
        <w:t>., 2022)</w:t>
      </w:r>
      <w:r>
        <w:rPr>
          <w:rFonts w:cs="Times New Roman"/>
          <w:color w:val="000000"/>
        </w:rPr>
        <w:t>.</w:t>
      </w:r>
      <w:r>
        <w:t xml:space="preserve"> </w:t>
      </w:r>
    </w:p>
    <w:p>
      <w:pPr>
        <w:pStyle w:val="style0"/>
        <w:spacing w:after="0" w:lineRule="auto" w:line="480"/>
        <w:ind w:firstLine="720"/>
        <w:jc w:val="both"/>
        <w:rPr>
          <w:rFonts w:cs="Times New Roman"/>
          <w:color w:val="000000"/>
        </w:rPr>
      </w:pPr>
      <w:r>
        <w:rPr>
          <w:i/>
          <w:iCs/>
        </w:rPr>
        <w:t xml:space="preserve">Enterprise risk management </w:t>
      </w:r>
      <w:r>
        <w:t>sebagai informasi mengenai risiko yang berhubungan dengan perusahaan</w:t>
      </w:r>
      <w:r>
        <w:t>.</w:t>
      </w:r>
      <w:r>
        <w:t xml:space="preserve"> </w:t>
      </w:r>
      <w:r>
        <w:rPr>
          <w:i/>
          <w:iCs/>
        </w:rPr>
        <w:t>Enterprise risk management</w:t>
      </w:r>
      <w:r>
        <w:t xml:space="preserve"> </w:t>
      </w:r>
      <w:r>
        <w:t xml:space="preserve">bertujuan agar </w:t>
      </w:r>
      <w:r>
        <w:t xml:space="preserve">investor dapat mengetahui kemampuan dalam menerapkan strategi </w:t>
      </w:r>
      <w:r>
        <w:t>untuk</w:t>
      </w:r>
      <w:r>
        <w:t xml:space="preserve"> menghadapi maupun mengidentifikasi risiko </w:t>
      </w:r>
      <w:r>
        <w:t xml:space="preserve">pada </w:t>
      </w:r>
      <w:r>
        <w:t>suatu perusahaan</w:t>
      </w:r>
      <w:r>
        <w:rPr>
          <w:i/>
          <w:iCs/>
          <w:color w:val="000000"/>
        </w:rPr>
        <w:t xml:space="preserve"> </w:t>
      </w:r>
      <w:r>
        <w:rPr>
          <w:rFonts w:cs="Times New Roman" w:eastAsia="Times New Roman"/>
          <w:color w:val="000000"/>
        </w:rPr>
        <w:t xml:space="preserve">(Amerta &amp; Soenarno, 2022; Ismanto </w:t>
      </w:r>
      <w:r>
        <w:rPr>
          <w:rFonts w:cs="Times New Roman" w:eastAsia="Times New Roman"/>
          <w:i/>
          <w:iCs/>
          <w:color w:val="000000"/>
        </w:rPr>
        <w:t>et al</w:t>
      </w:r>
      <w:r>
        <w:rPr>
          <w:rFonts w:cs="Times New Roman" w:eastAsia="Times New Roman"/>
          <w:color w:val="000000"/>
        </w:rPr>
        <w:t xml:space="preserve">., 2023; Kurniawan </w:t>
      </w:r>
      <w:r>
        <w:rPr>
          <w:rFonts w:cs="Times New Roman" w:eastAsia="Times New Roman"/>
          <w:i/>
          <w:iCs/>
          <w:color w:val="000000"/>
        </w:rPr>
        <w:t>et al</w:t>
      </w:r>
      <w:r>
        <w:rPr>
          <w:rFonts w:cs="Times New Roman" w:eastAsia="Times New Roman"/>
          <w:color w:val="000000"/>
        </w:rPr>
        <w:t>., 2024)</w:t>
      </w:r>
      <w:r>
        <w:t>.</w:t>
      </w:r>
      <w:r>
        <w:rPr>
          <w:i/>
          <w:iCs/>
        </w:rPr>
        <w:t xml:space="preserve"> </w:t>
      </w:r>
      <w:r>
        <w:rPr>
          <w:rFonts w:cs="Times New Roman"/>
        </w:rPr>
        <w:t>Perusahaan dapat bersaing dan mendapatkan keuntungan dalam waktu jangka panjang,</w:t>
      </w:r>
      <w:r>
        <w:rPr>
          <w:rFonts w:cs="Times New Roman"/>
          <w:i/>
          <w:iCs/>
        </w:rPr>
        <w:t xml:space="preserve"> </w:t>
      </w:r>
      <w:r>
        <w:rPr>
          <w:rFonts w:cs="Times New Roman"/>
        </w:rPr>
        <w:t xml:space="preserve">jika telah menerapkan </w:t>
      </w:r>
      <w:r>
        <w:rPr>
          <w:rFonts w:cs="Times New Roman"/>
          <w:i/>
          <w:iCs/>
        </w:rPr>
        <w:t xml:space="preserve">enterprise risk management </w:t>
      </w:r>
      <w:r>
        <w:rPr>
          <w:rFonts w:cs="Times New Roman"/>
        </w:rPr>
        <w:t>dengan</w:t>
      </w:r>
      <w:r>
        <w:rPr>
          <w:rFonts w:cs="Times New Roman"/>
        </w:rPr>
        <w:t xml:space="preserve"> baik dan ketersediaan informasi untuk dibagikan kepada pihak eksternal lengkap </w:t>
      </w:r>
      <w:r>
        <w:rPr>
          <w:rFonts w:cs="Times New Roman"/>
        </w:rPr>
        <w:t>yang terciptanya kenaikan</w:t>
      </w:r>
      <w:r>
        <w:rPr>
          <w:rFonts w:cs="Times New Roman"/>
        </w:rPr>
        <w:t xml:space="preserve"> harga saham</w:t>
      </w:r>
      <w:r>
        <w:rPr>
          <w:rFonts w:cs="Times New Roman"/>
        </w:rPr>
        <w:t xml:space="preserve"> </w:t>
      </w:r>
      <w:r>
        <w:rPr>
          <w:rFonts w:cs="Times New Roman"/>
          <w:i/>
          <w:iCs/>
        </w:rPr>
        <w:t xml:space="preserve"> </w:t>
      </w:r>
      <w:r>
        <w:rPr>
          <w:rFonts w:cs="Times New Roman" w:eastAsia="Times New Roman"/>
          <w:color w:val="000000"/>
        </w:rPr>
        <w:t xml:space="preserve">(Setiawati </w:t>
      </w:r>
      <w:r>
        <w:rPr>
          <w:rFonts w:cs="Times New Roman" w:eastAsia="Times New Roman"/>
          <w:i/>
          <w:iCs/>
          <w:color w:val="000000"/>
        </w:rPr>
        <w:t>et al</w:t>
      </w:r>
      <w:r>
        <w:rPr>
          <w:rFonts w:cs="Times New Roman" w:eastAsia="Times New Roman"/>
          <w:color w:val="000000"/>
        </w:rPr>
        <w:t>., 2022; Sitinjak &amp; Khabibah, 2022)</w:t>
      </w:r>
      <w:r>
        <w:rPr>
          <w:color w:val="000000"/>
        </w:rPr>
        <w:t>.</w:t>
      </w:r>
      <w:r>
        <w:rPr>
          <w:color w:val="000000"/>
        </w:rPr>
        <w:t xml:space="preserve"> </w:t>
      </w:r>
      <w:r>
        <w:rPr>
          <w:rFonts w:cs="Times New Roman"/>
          <w:color w:val="000000"/>
        </w:rPr>
        <w:t xml:space="preserve">Harga saham yang sedia dibayar investor atau pihak eksternal akan mempengaruhi tingginya </w:t>
      </w:r>
      <w:r>
        <w:rPr>
          <w:rFonts w:cs="Times New Roman"/>
          <w:i/>
          <w:iCs/>
          <w:color w:val="000000"/>
        </w:rPr>
        <w:t xml:space="preserve">firm value. </w:t>
      </w:r>
      <w:r>
        <w:rPr>
          <w:rFonts w:cs="Times New Roman"/>
          <w:color w:val="000000"/>
        </w:rPr>
        <w:t xml:space="preserve">Semakin tinggi harga sahamnya, maka semakin tinggi pula </w:t>
      </w:r>
      <w:r>
        <w:rPr>
          <w:rFonts w:cs="Times New Roman"/>
          <w:i/>
          <w:iCs/>
          <w:color w:val="000000"/>
        </w:rPr>
        <w:t xml:space="preserve">firm value </w:t>
      </w:r>
      <w:r>
        <w:rPr>
          <w:rFonts w:cs="Times New Roman"/>
          <w:color w:val="000000"/>
        </w:rPr>
        <w:t>pada perusahaan tersebut.</w:t>
      </w:r>
    </w:p>
    <w:p>
      <w:pPr>
        <w:pStyle w:val="style0"/>
        <w:tabs>
          <w:tab w:val="left" w:leader="none" w:pos="720"/>
          <w:tab w:val="left" w:leader="none" w:pos="810"/>
        </w:tabs>
        <w:spacing w:after="0" w:lineRule="auto" w:line="480"/>
        <w:jc w:val="both"/>
        <w:rPr>
          <w:i/>
          <w:iCs/>
        </w:rPr>
      </w:pPr>
      <w:r>
        <w:rPr>
          <w:i/>
          <w:iCs/>
        </w:rPr>
        <w:tab/>
      </w:r>
      <w:r>
        <w:t xml:space="preserve">Beberapa </w:t>
      </w:r>
      <w:r>
        <w:t>p</w:t>
      </w:r>
      <w:r>
        <w:t>enelitian</w:t>
      </w:r>
      <w:r>
        <w:t xml:space="preserve"> terdahulu</w:t>
      </w:r>
      <w:r>
        <w:t xml:space="preserve"> yang </w:t>
      </w:r>
      <w:r>
        <w:t>dapat membuktikan</w:t>
      </w:r>
      <w:r>
        <w:t xml:space="preserve"> </w:t>
      </w:r>
      <w:r>
        <w:rPr>
          <w:color w:val="000000"/>
        </w:rPr>
        <w:t xml:space="preserve">bahwa </w:t>
      </w:r>
      <w:r>
        <w:rPr>
          <w:i/>
          <w:iCs/>
          <w:color w:val="000000"/>
        </w:rPr>
        <w:t xml:space="preserve">enterprise risk management </w:t>
      </w:r>
      <w:r>
        <w:rPr>
          <w:color w:val="000000"/>
        </w:rPr>
        <w:t>berpengaruh</w:t>
      </w:r>
      <w:r>
        <w:rPr>
          <w:color w:val="000000"/>
        </w:rPr>
        <w:t xml:space="preserve"> </w:t>
      </w:r>
      <w:r>
        <w:rPr>
          <w:color w:val="000000"/>
        </w:rPr>
        <w:t xml:space="preserve">signifikan </w:t>
      </w:r>
      <w:r>
        <w:rPr>
          <w:color w:val="000000"/>
        </w:rPr>
        <w:t>positif</w:t>
      </w:r>
      <w:r>
        <w:rPr>
          <w:color w:val="000000"/>
        </w:rPr>
        <w:t xml:space="preserve"> </w:t>
      </w:r>
      <w:r>
        <w:rPr>
          <w:color w:val="000000"/>
        </w:rPr>
        <w:t xml:space="preserve">terhadap </w:t>
      </w:r>
      <w:r>
        <w:rPr>
          <w:i/>
          <w:iCs/>
          <w:color w:val="000000"/>
        </w:rPr>
        <w:t xml:space="preserve">firm value </w:t>
      </w:r>
      <w:r>
        <w:rPr>
          <w:color w:val="000000"/>
        </w:rPr>
        <w:t xml:space="preserve">yaitu penelitian </w:t>
      </w:r>
      <w:r>
        <w:rPr>
          <w:color w:val="000000"/>
        </w:rPr>
        <w:t>pada</w:t>
      </w:r>
      <w:r>
        <w:rPr>
          <w:color w:val="000000"/>
        </w:rPr>
        <w:t xml:space="preserve"> </w:t>
      </w:r>
      <w:r>
        <w:rPr>
          <w:rFonts w:cs="Times New Roman" w:eastAsia="Times New Roman"/>
          <w:color w:val="000000"/>
        </w:rPr>
        <w:t xml:space="preserve">Amerta &amp; Soenarno (2022), Ayem &amp; Seldis (2023), dan Wahdah </w:t>
      </w:r>
      <w:r>
        <w:rPr>
          <w:rFonts w:cs="Times New Roman" w:eastAsia="Times New Roman"/>
          <w:i/>
          <w:iCs/>
          <w:color w:val="000000"/>
        </w:rPr>
        <w:t>et al</w:t>
      </w:r>
      <w:r>
        <w:rPr>
          <w:rFonts w:cs="Times New Roman" w:eastAsia="Times New Roman"/>
          <w:color w:val="000000"/>
        </w:rPr>
        <w:t>. (2024)</w:t>
      </w:r>
      <w:r>
        <w:rPr>
          <w:color w:val="000000"/>
        </w:rPr>
        <w:t>.</w:t>
      </w:r>
      <w:r>
        <w:rPr>
          <w:color w:val="000000"/>
        </w:rPr>
        <w:t xml:space="preserve"> </w:t>
      </w:r>
      <w:r>
        <w:t>Berdasarkan pemaparan tersebut</w:t>
      </w:r>
      <w:r>
        <w:t>,</w:t>
      </w:r>
      <w:r>
        <w:t xml:space="preserve"> maka hipotesis yang dapat dirumuskan pertama</w:t>
      </w:r>
      <w:r>
        <w:t>,</w:t>
      </w:r>
      <w:r>
        <w:t xml:space="preserve"> </w:t>
      </w:r>
      <w:r>
        <w:t>sebagai</w:t>
      </w:r>
      <w:r>
        <w:t xml:space="preserve"> berikut:</w:t>
      </w:r>
      <w:r>
        <w:t xml:space="preserve"> </w:t>
      </w:r>
    </w:p>
    <w:p>
      <w:pPr>
        <w:pStyle w:val="style0"/>
        <w:tabs>
          <w:tab w:val="left" w:leader="none" w:pos="0"/>
        </w:tabs>
        <w:spacing w:after="0" w:lineRule="auto" w:line="480"/>
        <w:jc w:val="both"/>
        <w:rPr>
          <w:i/>
          <w:iCs/>
        </w:rPr>
      </w:pPr>
      <m:oMath>
        <m:sSub>
          <m:sSubPr>
            <m:ctrlPr>
              <w:rPr>
                <w:rFonts w:ascii="Cambria Math" w:cs="Times New Roman" w:hAnsi="Cambria Math"/>
                <w:iCs/>
              </w:rPr>
            </m:ctrlPr>
          </m:sSubPr>
          <m:e>
            <m:r>
              <m:rPr>
                <m:sty m:val="p"/>
              </m:rPr>
              <w:rPr>
                <w:rFonts w:ascii="Cambria Math" w:cs="Times New Roman" w:hAnsi="Cambria Math"/>
              </w:rPr>
              <m:t>H</m:t>
            </m:r>
          </m:e>
          <m:sub>
            <m:r>
              <m:rPr>
                <m:sty m:val="p"/>
              </m:rPr>
              <w:rPr>
                <w:rFonts w:ascii="Cambria Math" w:cs="Times New Roman" w:hAnsi="Cambria Math"/>
              </w:rPr>
              <m:t>1</m:t>
            </m:r>
          </m:sub>
        </m:sSub>
      </m:oMath>
      <w:r>
        <w:rPr>
          <w:rFonts w:eastAsia="宋体"/>
        </w:rPr>
        <w:t xml:space="preserve"> </w:t>
      </w:r>
      <w:r>
        <w:rPr>
          <w:rFonts w:eastAsia="宋体"/>
        </w:rPr>
        <w:t>:</w:t>
      </w:r>
      <w:r>
        <w:rPr>
          <w:rFonts w:eastAsia="宋体"/>
        </w:rPr>
        <w:t xml:space="preserve"> </w:t>
      </w:r>
      <w:r>
        <w:rPr>
          <w:rFonts w:eastAsia="宋体"/>
          <w:i/>
          <w:iCs/>
        </w:rPr>
        <w:t xml:space="preserve">Enterprise </w:t>
      </w:r>
      <w:r>
        <w:rPr>
          <w:rFonts w:eastAsia="宋体"/>
          <w:i/>
          <w:iCs/>
        </w:rPr>
        <w:t xml:space="preserve">risk management </w:t>
      </w:r>
      <w:r>
        <w:rPr>
          <w:rFonts w:eastAsia="宋体"/>
        </w:rPr>
        <w:t>berpengaruh signifikan</w:t>
      </w:r>
      <w:r>
        <w:rPr>
          <w:rFonts w:eastAsia="宋体"/>
        </w:rPr>
        <w:t xml:space="preserve"> </w:t>
      </w:r>
      <w:r>
        <w:rPr>
          <w:rFonts w:eastAsia="宋体"/>
        </w:rPr>
        <w:t xml:space="preserve">positif terhadap </w:t>
      </w:r>
      <w:r>
        <w:rPr>
          <w:rFonts w:eastAsia="宋体"/>
          <w:i/>
          <w:iCs/>
        </w:rPr>
        <w:t>firm value</w:t>
      </w:r>
    </w:p>
    <w:bookmarkStart w:id="44" w:name="_Toc218854609"/>
    <w:p>
      <w:pPr>
        <w:pStyle w:val="style3"/>
        <w:rPr/>
      </w:pPr>
      <w:r>
        <w:t xml:space="preserve">2.4.2. </w:t>
      </w:r>
      <w:r>
        <w:tab/>
      </w:r>
      <w:r>
        <w:t>Pengaruh</w:t>
      </w:r>
      <w:r>
        <w:rPr>
          <w:i/>
          <w:iCs/>
        </w:rPr>
        <w:t xml:space="preserve"> </w:t>
      </w:r>
      <w:r>
        <w:rPr>
          <w:i/>
          <w:iCs/>
        </w:rPr>
        <w:t>Managerial Ownership</w:t>
      </w:r>
      <w:r>
        <w:t xml:space="preserve"> </w:t>
      </w:r>
      <w:r>
        <w:t>terhadap</w:t>
      </w:r>
      <w:r>
        <w:t xml:space="preserve"> </w:t>
      </w:r>
      <w:r>
        <w:rPr>
          <w:i/>
          <w:iCs/>
        </w:rPr>
        <w:t>Firm Value</w:t>
      </w:r>
      <w:bookmarkEnd w:id="44"/>
    </w:p>
    <w:p>
      <w:pPr>
        <w:pStyle w:val="style0"/>
        <w:tabs>
          <w:tab w:val="left" w:leader="none" w:pos="720"/>
          <w:tab w:val="left" w:leader="none" w:pos="810"/>
        </w:tabs>
        <w:spacing w:after="0" w:lineRule="auto" w:line="480"/>
        <w:jc w:val="both"/>
        <w:rPr>
          <w:b/>
          <w:bCs/>
        </w:rPr>
      </w:pPr>
      <w:r>
        <w:rPr>
          <w:rFonts w:cs="Times New Roman"/>
        </w:rPr>
        <w:tab/>
      </w:r>
      <w:r>
        <w:rPr>
          <w:rFonts w:cs="Times New Roman"/>
        </w:rPr>
        <w:t xml:space="preserve">Pada perspektif </w:t>
      </w:r>
      <w:r>
        <w:rPr>
          <w:rFonts w:cs="Times New Roman"/>
          <w:i/>
          <w:iCs/>
        </w:rPr>
        <w:t>agency theory,</w:t>
      </w:r>
      <w:r>
        <w:rPr>
          <w:rFonts w:cs="Times New Roman"/>
        </w:rPr>
        <w:t xml:space="preserve"> t</w:t>
      </w:r>
      <w:r>
        <w:rPr>
          <w:rFonts w:cs="Times New Roman"/>
        </w:rPr>
        <w:t>eori ini digunakan untuk mengurangi adanya konflik dalam perusahaan</w:t>
      </w:r>
      <w:r>
        <w:rPr>
          <w:rFonts w:cs="Times New Roman"/>
        </w:rPr>
        <w:t xml:space="preserve"> sebagai pengawasan internal</w:t>
      </w:r>
      <w:r>
        <w:rPr>
          <w:rFonts w:cs="Times New Roman"/>
        </w:rPr>
        <w:t xml:space="preserve">. Proporsi </w:t>
      </w:r>
      <w:r>
        <w:rPr>
          <w:rFonts w:cs="Times New Roman"/>
          <w:i/>
          <w:iCs/>
        </w:rPr>
        <w:t xml:space="preserve">managerial </w:t>
      </w:r>
      <w:r>
        <w:rPr>
          <w:rFonts w:cs="Times New Roman"/>
          <w:i/>
          <w:iCs/>
        </w:rPr>
        <w:t>ownership</w:t>
      </w:r>
      <w:r>
        <w:rPr>
          <w:rFonts w:cs="Times New Roman"/>
        </w:rPr>
        <w:t xml:space="preserve"> yang </w:t>
      </w:r>
      <w:r>
        <w:rPr>
          <w:rFonts w:cs="Times New Roman"/>
        </w:rPr>
        <w:t>tinggi</w:t>
      </w:r>
      <w:r>
        <w:rPr>
          <w:rFonts w:cs="Times New Roman"/>
        </w:rPr>
        <w:t xml:space="preserve"> akan mendorong kinerja karena manajer memiliki tanggung jawab untuk tujuannya maupun perusahaan. Oleh karena itu, </w:t>
      </w:r>
      <w:r>
        <w:rPr>
          <w:rFonts w:cs="Times New Roman"/>
          <w:i/>
          <w:iCs/>
        </w:rPr>
        <w:t xml:space="preserve">managerial ownership </w:t>
      </w:r>
      <w:r>
        <w:rPr>
          <w:rFonts w:cs="Times New Roman"/>
        </w:rPr>
        <w:t xml:space="preserve">dipercaya untuk menciptakan keseimbangan atau </w:t>
      </w:r>
      <w:r>
        <w:rPr>
          <w:rFonts w:cs="Times New Roman"/>
        </w:rPr>
        <w:t xml:space="preserve">mengurangi konflik antara kepentingan </w:t>
      </w:r>
      <w:r>
        <w:rPr>
          <w:rFonts w:cs="Times New Roman"/>
          <w:i/>
          <w:iCs/>
        </w:rPr>
        <w:t xml:space="preserve">principal </w:t>
      </w:r>
      <w:r>
        <w:rPr>
          <w:rFonts w:cs="Times New Roman"/>
        </w:rPr>
        <w:t>dan agen</w:t>
      </w:r>
      <w:r>
        <w:rPr>
          <w:rFonts w:cs="Times New Roman"/>
        </w:rPr>
        <w:t xml:space="preserve"> pada </w:t>
      </w:r>
      <w:r>
        <w:rPr>
          <w:rFonts w:cs="Times New Roman"/>
          <w:i/>
          <w:iCs/>
        </w:rPr>
        <w:t>agency theory</w:t>
      </w:r>
      <w:r>
        <w:rPr>
          <w:rFonts w:cs="Times New Roman"/>
        </w:rPr>
        <w:t xml:space="preserve"> </w:t>
      </w:r>
      <w:r>
        <w:rPr>
          <w:rFonts w:cs="Times New Roman" w:eastAsia="Times New Roman"/>
          <w:color w:val="000000"/>
        </w:rPr>
        <w:t>(Maulana &amp; Widyawati, 2024)</w:t>
      </w:r>
      <w:r>
        <w:rPr>
          <w:rFonts w:cs="Times New Roman"/>
        </w:rPr>
        <w:t>.</w:t>
      </w:r>
      <w:r>
        <w:rPr>
          <w:b/>
          <w:bCs/>
        </w:rPr>
        <w:t xml:space="preserve"> </w:t>
      </w:r>
    </w:p>
    <w:p>
      <w:pPr>
        <w:pStyle w:val="style0"/>
        <w:tabs>
          <w:tab w:val="left" w:leader="none" w:pos="720"/>
          <w:tab w:val="left" w:leader="none" w:pos="810"/>
        </w:tabs>
        <w:spacing w:after="0" w:lineRule="auto" w:line="480"/>
        <w:jc w:val="both"/>
        <w:rPr>
          <w:rFonts w:cs="Times New Roman"/>
        </w:rPr>
      </w:pPr>
      <w:r>
        <w:rPr>
          <w:b/>
          <w:bCs/>
        </w:rPr>
        <w:tab/>
      </w:r>
      <w:r>
        <w:rPr>
          <w:rFonts w:cs="Times New Roman"/>
          <w:i/>
          <w:iCs/>
        </w:rPr>
        <w:t>M</w:t>
      </w:r>
      <w:r>
        <w:rPr>
          <w:rFonts w:cs="Times New Roman"/>
          <w:i/>
          <w:iCs/>
        </w:rPr>
        <w:t xml:space="preserve">anagerial </w:t>
      </w:r>
      <w:r>
        <w:rPr>
          <w:rFonts w:cs="Times New Roman"/>
          <w:i/>
          <w:iCs/>
        </w:rPr>
        <w:t>ownership</w:t>
      </w:r>
      <w:r>
        <w:rPr>
          <w:rFonts w:cs="Times New Roman"/>
          <w:i/>
          <w:iCs/>
        </w:rPr>
        <w:t xml:space="preserve"> </w:t>
      </w:r>
      <w:r>
        <w:rPr>
          <w:rFonts w:cs="Times New Roman"/>
        </w:rPr>
        <w:t xml:space="preserve">berkaitan dengan tata kelola </w:t>
      </w:r>
      <w:r>
        <w:rPr>
          <w:rFonts w:cs="Times New Roman"/>
        </w:rPr>
        <w:t xml:space="preserve">berperan sebagai pengawasan internal </w:t>
      </w:r>
      <w:r>
        <w:rPr>
          <w:rFonts w:cs="Times New Roman"/>
        </w:rPr>
        <w:t xml:space="preserve">pada perusahaan. </w:t>
      </w:r>
      <w:r>
        <w:rPr>
          <w:rFonts w:cs="Times New Roman"/>
        </w:rPr>
        <w:t>Baiknya penerapan tata kelola sebuah perusahaan</w:t>
      </w:r>
      <w:r>
        <w:rPr>
          <w:rFonts w:cs="Times New Roman"/>
        </w:rPr>
        <w:t>,</w:t>
      </w:r>
      <w:r>
        <w:rPr>
          <w:rFonts w:cs="Times New Roman"/>
        </w:rPr>
        <w:t xml:space="preserve"> </w:t>
      </w:r>
      <w:r>
        <w:rPr>
          <w:rFonts w:cs="Times New Roman"/>
        </w:rPr>
        <w:t xml:space="preserve">seperti peningkatan kontrol yang dilakukan oleh manajer karena adanya </w:t>
      </w:r>
      <w:r>
        <w:rPr>
          <w:rFonts w:cs="Times New Roman"/>
          <w:i/>
          <w:iCs/>
        </w:rPr>
        <w:t xml:space="preserve">managerial ownership </w:t>
      </w:r>
      <w:r>
        <w:rPr>
          <w:rFonts w:cs="Times New Roman"/>
        </w:rPr>
        <w:t>akan berdampak pada optimalnya kegiatan perusahaan dalam mencapai tujuan karena dapat memotivasi karyawan</w:t>
      </w:r>
      <w:r>
        <w:rPr>
          <w:rFonts w:cs="Times New Roman"/>
          <w:color w:val="000000"/>
        </w:rPr>
        <w:t xml:space="preserve"> </w:t>
      </w:r>
      <w:r>
        <w:rPr>
          <w:rFonts w:cs="Times New Roman" w:eastAsia="Times New Roman"/>
          <w:color w:val="000000"/>
        </w:rPr>
        <w:t xml:space="preserve">(Ifada </w:t>
      </w:r>
      <w:r>
        <w:rPr>
          <w:rFonts w:cs="Times New Roman" w:eastAsia="Times New Roman"/>
          <w:i/>
          <w:iCs/>
          <w:color w:val="000000"/>
        </w:rPr>
        <w:t>et al</w:t>
      </w:r>
      <w:r>
        <w:rPr>
          <w:rFonts w:cs="Times New Roman" w:eastAsia="Times New Roman"/>
          <w:color w:val="000000"/>
        </w:rPr>
        <w:t xml:space="preserve">., 2021; Edhitya CP &amp; Suzan, 2023; Ismanto </w:t>
      </w:r>
      <w:r>
        <w:rPr>
          <w:rFonts w:cs="Times New Roman" w:eastAsia="Times New Roman"/>
          <w:i/>
          <w:iCs/>
          <w:color w:val="000000"/>
        </w:rPr>
        <w:t>et al</w:t>
      </w:r>
      <w:r>
        <w:rPr>
          <w:rFonts w:cs="Times New Roman" w:eastAsia="Times New Roman"/>
          <w:color w:val="000000"/>
        </w:rPr>
        <w:t>., 2023)</w:t>
      </w:r>
      <w:r>
        <w:rPr>
          <w:rFonts w:cs="Times New Roman"/>
        </w:rPr>
        <w:t xml:space="preserve">. </w:t>
      </w:r>
      <w:r>
        <w:rPr>
          <w:i/>
          <w:iCs/>
        </w:rPr>
        <w:t xml:space="preserve">Managerial </w:t>
      </w:r>
      <w:r>
        <w:rPr>
          <w:i/>
          <w:iCs/>
        </w:rPr>
        <w:t>O</w:t>
      </w:r>
      <w:r>
        <w:rPr>
          <w:i/>
          <w:iCs/>
        </w:rPr>
        <w:t>wnership</w:t>
      </w:r>
      <w:r>
        <w:rPr>
          <w:rFonts w:cs="Times New Roman"/>
        </w:rPr>
        <w:t xml:space="preserve"> </w:t>
      </w:r>
      <w:r>
        <w:rPr>
          <w:rFonts w:cs="Times New Roman"/>
        </w:rPr>
        <w:t>diperlukan</w:t>
      </w:r>
      <w:r>
        <w:rPr>
          <w:rFonts w:cs="Times New Roman"/>
        </w:rPr>
        <w:t xml:space="preserve"> agar perusahaan tidak mengalami kerugian sehingga dapat meningkatkan efisiensi dan efektivitas kinerja karyawan. Manajer akan merasakan kerugiannya, jika melakukan kecurangan</w:t>
      </w:r>
      <w:r>
        <w:rPr>
          <w:rFonts w:cs="Times New Roman"/>
          <w:color w:val="000000"/>
        </w:rPr>
        <w:t xml:space="preserve"> </w:t>
      </w:r>
      <w:r>
        <w:rPr>
          <w:rFonts w:cs="Times New Roman"/>
          <w:color w:val="000000"/>
        </w:rPr>
        <w:t xml:space="preserve">(Wijaya </w:t>
      </w:r>
      <w:r>
        <w:rPr>
          <w:rFonts w:cs="Times New Roman"/>
          <w:i/>
          <w:iCs/>
          <w:color w:val="000000"/>
        </w:rPr>
        <w:t>et al</w:t>
      </w:r>
      <w:r>
        <w:rPr>
          <w:rFonts w:cs="Times New Roman"/>
          <w:color w:val="000000"/>
        </w:rPr>
        <w:t>., 2023)</w:t>
      </w:r>
      <w:r>
        <w:rPr>
          <w:rFonts w:cs="Times New Roman"/>
        </w:rPr>
        <w:t>.</w:t>
      </w:r>
      <w:r>
        <w:rPr>
          <w:i/>
          <w:iCs/>
        </w:rPr>
        <w:t xml:space="preserve"> </w:t>
      </w:r>
      <w:r>
        <w:rPr>
          <w:i/>
          <w:iCs/>
        </w:rPr>
        <w:t>M</w:t>
      </w:r>
      <w:r>
        <w:rPr>
          <w:i/>
          <w:iCs/>
        </w:rPr>
        <w:t xml:space="preserve">anagerial </w:t>
      </w:r>
      <w:r>
        <w:rPr>
          <w:i/>
          <w:iCs/>
        </w:rPr>
        <w:t>o</w:t>
      </w:r>
      <w:r>
        <w:rPr>
          <w:i/>
          <w:iCs/>
        </w:rPr>
        <w:t>wnership</w:t>
      </w:r>
      <w:r>
        <w:t xml:space="preserve"> tidak hanya</w:t>
      </w:r>
      <w:r>
        <w:rPr>
          <w:rFonts w:cs="Times New Roman"/>
        </w:rPr>
        <w:t xml:space="preserve"> untuk</w:t>
      </w:r>
      <w:r>
        <w:rPr>
          <w:rFonts w:cs="Times New Roman"/>
        </w:rPr>
        <w:t xml:space="preserve"> </w:t>
      </w:r>
      <w:r>
        <w:rPr>
          <w:rFonts w:cs="Times New Roman"/>
        </w:rPr>
        <w:t xml:space="preserve">mengontrol kinerja pada karyawan saja, tetapi juga </w:t>
      </w:r>
      <w:r>
        <w:rPr>
          <w:rFonts w:cs="Times New Roman"/>
          <w:color w:val="000000"/>
        </w:rPr>
        <w:t>diperlukan agar manajer memiliki hak dalam pengambilan keputusan</w:t>
      </w:r>
      <w:r>
        <w:rPr>
          <w:rFonts w:cs="Times New Roman"/>
        </w:rPr>
        <w:t>. Jika m</w:t>
      </w:r>
      <w:r>
        <w:rPr>
          <w:rFonts w:cs="Times New Roman"/>
          <w:color w:val="000000"/>
        </w:rPr>
        <w:t xml:space="preserve">anajer </w:t>
      </w:r>
      <w:r>
        <w:rPr>
          <w:rFonts w:cs="Times New Roman"/>
          <w:color w:val="000000"/>
        </w:rPr>
        <w:t>memiliki hak dalam</w:t>
      </w:r>
      <w:r>
        <w:rPr>
          <w:rFonts w:cs="Times New Roman"/>
          <w:color w:val="000000"/>
        </w:rPr>
        <w:t xml:space="preserve"> </w:t>
      </w:r>
      <w:r>
        <w:rPr>
          <w:rFonts w:cs="Times New Roman"/>
          <w:color w:val="000000"/>
        </w:rPr>
        <w:t>p</w:t>
      </w:r>
      <w:r>
        <w:rPr>
          <w:rFonts w:cs="Times New Roman"/>
          <w:color w:val="000000"/>
        </w:rPr>
        <w:t>engambil</w:t>
      </w:r>
      <w:r>
        <w:rPr>
          <w:rFonts w:cs="Times New Roman"/>
          <w:color w:val="000000"/>
        </w:rPr>
        <w:t>an</w:t>
      </w:r>
      <w:r>
        <w:rPr>
          <w:rFonts w:cs="Times New Roman"/>
          <w:color w:val="000000"/>
        </w:rPr>
        <w:t xml:space="preserve"> keputusan</w:t>
      </w:r>
      <w:r>
        <w:rPr>
          <w:rFonts w:cs="Times New Roman"/>
          <w:color w:val="000000"/>
        </w:rPr>
        <w:t>,</w:t>
      </w:r>
      <w:r>
        <w:rPr>
          <w:rFonts w:cs="Times New Roman"/>
          <w:color w:val="000000"/>
        </w:rPr>
        <w:t xml:space="preserve"> </w:t>
      </w:r>
      <w:r>
        <w:rPr>
          <w:rFonts w:cs="Times New Roman"/>
          <w:color w:val="000000"/>
        </w:rPr>
        <w:t>hal ini dapat</w:t>
      </w:r>
      <w:r>
        <w:rPr>
          <w:rFonts w:cs="Times New Roman"/>
          <w:color w:val="000000"/>
        </w:rPr>
        <w:t xml:space="preserve"> mendorong investor untuk menjadikan loyalitas atau kepercayaan berinvestasi </w:t>
      </w:r>
      <w:r>
        <w:rPr>
          <w:rFonts w:cs="Times New Roman"/>
        </w:rPr>
        <w:t xml:space="preserve">dan </w:t>
      </w:r>
      <w:r>
        <w:rPr>
          <w:rFonts w:cs="Times New Roman"/>
        </w:rPr>
        <w:t xml:space="preserve">membuat perusahaan mengalami peningkatan </w:t>
      </w:r>
      <w:r>
        <w:rPr>
          <w:rFonts w:cs="Times New Roman"/>
          <w:i/>
          <w:iCs/>
        </w:rPr>
        <w:t>firm value</w:t>
      </w:r>
      <w:r>
        <w:rPr>
          <w:rFonts w:cs="Times New Roman"/>
          <w:color w:val="000000"/>
        </w:rPr>
        <w:t>.</w:t>
      </w:r>
      <w:r>
        <w:rPr>
          <w:rFonts w:cs="Times New Roman"/>
        </w:rPr>
        <w:t xml:space="preserve"> </w:t>
      </w:r>
    </w:p>
    <w:p>
      <w:pPr>
        <w:pStyle w:val="style0"/>
        <w:tabs>
          <w:tab w:val="left" w:leader="none" w:pos="720"/>
          <w:tab w:val="left" w:leader="none" w:pos="810"/>
        </w:tabs>
        <w:spacing w:after="0" w:lineRule="auto" w:line="480"/>
        <w:jc w:val="both"/>
        <w:rPr>
          <w:b/>
          <w:bCs/>
        </w:rPr>
      </w:pPr>
      <w:r>
        <w:rPr>
          <w:rFonts w:cs="Times New Roman"/>
        </w:rPr>
        <w:tab/>
      </w:r>
      <w:r>
        <w:t xml:space="preserve">Beberapa penelitian terdahulu yang dapat membuktikan </w:t>
      </w:r>
      <w:r>
        <w:rPr>
          <w:color w:val="000000"/>
        </w:rPr>
        <w:t xml:space="preserve">bahwa </w:t>
      </w:r>
      <w:r>
        <w:rPr>
          <w:i/>
          <w:iCs/>
          <w:color w:val="000000"/>
        </w:rPr>
        <w:t>managerial ownership</w:t>
      </w:r>
      <w:r>
        <w:rPr>
          <w:i/>
          <w:iCs/>
          <w:color w:val="000000"/>
        </w:rPr>
        <w:t xml:space="preserve"> </w:t>
      </w:r>
      <w:r>
        <w:rPr>
          <w:color w:val="000000"/>
        </w:rPr>
        <w:t xml:space="preserve">berpengaruh signifikan positif </w:t>
      </w:r>
      <w:r>
        <w:rPr>
          <w:color w:val="000000"/>
        </w:rPr>
        <w:t xml:space="preserve">terhadap </w:t>
      </w:r>
      <w:r>
        <w:rPr>
          <w:i/>
          <w:iCs/>
          <w:color w:val="000000"/>
        </w:rPr>
        <w:t>firm value</w:t>
      </w:r>
      <w:r>
        <w:rPr>
          <w:color w:val="000000"/>
        </w:rPr>
        <w:t xml:space="preserve"> yaitu penelitian </w:t>
      </w:r>
      <w:r>
        <w:rPr>
          <w:color w:val="000000"/>
        </w:rPr>
        <w:t xml:space="preserve">pada </w:t>
      </w:r>
      <w:r>
        <w:rPr>
          <w:rFonts w:cs="Times New Roman" w:eastAsia="Times New Roman"/>
          <w:color w:val="000000"/>
        </w:rPr>
        <w:t xml:space="preserve">D. M. Sari &amp; Wulandari (2021), Fauziah </w:t>
      </w:r>
      <w:r>
        <w:rPr>
          <w:rFonts w:cs="Times New Roman" w:eastAsia="Times New Roman"/>
          <w:i/>
          <w:iCs/>
          <w:color w:val="000000"/>
        </w:rPr>
        <w:t>et al</w:t>
      </w:r>
      <w:r>
        <w:rPr>
          <w:rFonts w:cs="Times New Roman" w:eastAsia="Times New Roman"/>
          <w:color w:val="000000"/>
        </w:rPr>
        <w:t xml:space="preserve">. (2022), dan Malik </w:t>
      </w:r>
      <w:r>
        <w:rPr>
          <w:rFonts w:cs="Times New Roman" w:eastAsia="Times New Roman"/>
          <w:i/>
          <w:iCs/>
          <w:color w:val="000000"/>
        </w:rPr>
        <w:t>et al</w:t>
      </w:r>
      <w:r>
        <w:rPr>
          <w:rFonts w:cs="Times New Roman" w:eastAsia="Times New Roman"/>
          <w:color w:val="000000"/>
        </w:rPr>
        <w:t>. (2024)</w:t>
      </w:r>
      <w:r>
        <w:rPr>
          <w:color w:val="000000"/>
        </w:rPr>
        <w:t>.</w:t>
      </w:r>
      <w:r>
        <w:rPr>
          <w:color w:val="000000"/>
        </w:rPr>
        <w:t xml:space="preserve"> </w:t>
      </w:r>
      <w:r>
        <w:t>Berdasarkan pemaparan tersebut</w:t>
      </w:r>
      <w:r>
        <w:t>,</w:t>
      </w:r>
      <w:r>
        <w:t xml:space="preserve"> maka hipotesis yang dapat dirumuskan </w:t>
      </w:r>
      <w:r>
        <w:t>kedua</w:t>
      </w:r>
      <w:r>
        <w:t>,</w:t>
      </w:r>
      <w:r>
        <w:t xml:space="preserve"> </w:t>
      </w:r>
      <w:r>
        <w:t>sebagai</w:t>
      </w:r>
      <w:r>
        <w:t xml:space="preserve"> berikut:</w:t>
      </w:r>
      <w:r>
        <w:t xml:space="preserve"> </w:t>
      </w:r>
    </w:p>
    <w:p>
      <w:pPr>
        <w:pStyle w:val="style0"/>
        <w:tabs>
          <w:tab w:val="left" w:leader="none" w:pos="0"/>
        </w:tabs>
        <w:spacing w:after="0" w:lineRule="auto" w:line="480"/>
        <w:jc w:val="both"/>
        <w:rPr>
          <w:i/>
          <w:iCs/>
        </w:rPr>
      </w:pP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oMath>
      <w:r>
        <w:rPr>
          <w:rFonts w:eastAsia="宋体"/>
          <w:iCs/>
        </w:rPr>
        <w:t xml:space="preserve"> </w:t>
      </w:r>
      <w:r>
        <w:rPr>
          <w:rFonts w:eastAsia="宋体"/>
          <w:iCs/>
        </w:rPr>
        <w:t>:</w:t>
      </w:r>
      <w:r>
        <w:rPr>
          <w:rFonts w:eastAsia="宋体"/>
        </w:rPr>
        <w:t xml:space="preserve"> </w:t>
      </w:r>
      <w:r>
        <w:rPr>
          <w:rFonts w:eastAsia="宋体"/>
          <w:i/>
          <w:iCs/>
        </w:rPr>
        <w:t xml:space="preserve">Managerial </w:t>
      </w:r>
      <w:r>
        <w:rPr>
          <w:rFonts w:eastAsia="宋体"/>
          <w:i/>
          <w:iCs/>
        </w:rPr>
        <w:t>ownership</w:t>
      </w:r>
      <w:r>
        <w:rPr>
          <w:rFonts w:eastAsia="宋体"/>
          <w:i/>
          <w:iCs/>
        </w:rPr>
        <w:t xml:space="preserve"> </w:t>
      </w:r>
      <w:r>
        <w:rPr>
          <w:rFonts w:eastAsia="宋体"/>
        </w:rPr>
        <w:t>berpengaruh</w:t>
      </w:r>
      <w:r>
        <w:rPr>
          <w:rFonts w:eastAsia="宋体"/>
        </w:rPr>
        <w:t xml:space="preserve"> signifikan</w:t>
      </w:r>
      <w:r>
        <w:rPr>
          <w:rFonts w:eastAsia="宋体"/>
        </w:rPr>
        <w:t xml:space="preserve"> </w:t>
      </w:r>
      <w:r>
        <w:rPr>
          <w:rFonts w:eastAsia="宋体"/>
        </w:rPr>
        <w:t xml:space="preserve">positif </w:t>
      </w:r>
      <w:r>
        <w:rPr>
          <w:rFonts w:eastAsia="宋体"/>
        </w:rPr>
        <w:t xml:space="preserve">terhadap </w:t>
      </w:r>
      <w:r>
        <w:rPr>
          <w:rFonts w:eastAsia="宋体"/>
          <w:i/>
          <w:iCs/>
        </w:rPr>
        <w:t>firm value</w:t>
      </w:r>
    </w:p>
    <w:bookmarkStart w:id="45" w:name="_Toc218854610"/>
    <w:p>
      <w:pPr>
        <w:pStyle w:val="style3"/>
        <w:rPr/>
      </w:pPr>
      <w:r>
        <w:t xml:space="preserve">2.4.3. </w:t>
      </w:r>
      <w:r>
        <w:tab/>
      </w:r>
      <w:r>
        <w:t xml:space="preserve">Pengaruh </w:t>
      </w:r>
      <w:r>
        <w:rPr>
          <w:i/>
          <w:iCs/>
        </w:rPr>
        <w:t>Institutional Ownership</w:t>
      </w:r>
      <w:r>
        <w:rPr>
          <w:i/>
          <w:iCs/>
        </w:rPr>
        <w:t xml:space="preserve"> </w:t>
      </w:r>
      <w:r>
        <w:t>terhadap</w:t>
      </w:r>
      <w:r>
        <w:t xml:space="preserve"> </w:t>
      </w:r>
      <w:r>
        <w:rPr>
          <w:i/>
          <w:iCs/>
        </w:rPr>
        <w:t>Firm Valu</w:t>
      </w:r>
      <w:r>
        <w:rPr>
          <w:i/>
          <w:iCs/>
        </w:rPr>
        <w:t>e</w:t>
      </w:r>
      <w:bookmarkEnd w:id="45"/>
      <w:r>
        <w:rPr>
          <w:i/>
          <w:iCs/>
        </w:rPr>
        <w:t xml:space="preserve"> </w:t>
      </w:r>
    </w:p>
    <w:p>
      <w:pPr>
        <w:pStyle w:val="style0"/>
        <w:tabs>
          <w:tab w:val="left" w:leader="none" w:pos="720"/>
          <w:tab w:val="left" w:leader="none" w:pos="810"/>
        </w:tabs>
        <w:spacing w:after="0" w:lineRule="auto" w:line="480"/>
        <w:jc w:val="both"/>
        <w:rPr>
          <w:rFonts w:cs="Times New Roman"/>
          <w:color w:val="000000"/>
        </w:rPr>
      </w:pPr>
      <w:r>
        <w:rPr>
          <w:rFonts w:cs="Times New Roman"/>
        </w:rPr>
        <w:tab/>
      </w:r>
      <w:r>
        <w:rPr>
          <w:rFonts w:cs="Times New Roman"/>
        </w:rPr>
        <w:t xml:space="preserve">Pada perspektif </w:t>
      </w:r>
      <w:r>
        <w:rPr>
          <w:rFonts w:cs="Times New Roman"/>
          <w:i/>
          <w:iCs/>
        </w:rPr>
        <w:t>a</w:t>
      </w:r>
      <w:r>
        <w:rPr>
          <w:rFonts w:cs="Times New Roman"/>
          <w:i/>
          <w:iCs/>
        </w:rPr>
        <w:t xml:space="preserve">gency theory, </w:t>
      </w:r>
      <w:r>
        <w:rPr>
          <w:rFonts w:cs="Times New Roman"/>
        </w:rPr>
        <w:t>t</w:t>
      </w:r>
      <w:r>
        <w:rPr>
          <w:rFonts w:cs="Times New Roman"/>
        </w:rPr>
        <w:t>eori ini digunakan untuk mengurangi adanya konflik dalam perusahaan</w:t>
      </w:r>
      <w:r>
        <w:rPr>
          <w:rFonts w:cs="Times New Roman"/>
        </w:rPr>
        <w:t xml:space="preserve"> sebagai pengawasan eksternal</w:t>
      </w:r>
      <w:r>
        <w:rPr>
          <w:rFonts w:cs="Times New Roman"/>
        </w:rPr>
        <w:t xml:space="preserve">. </w:t>
      </w:r>
      <w:r>
        <w:rPr>
          <w:rFonts w:cs="Times New Roman"/>
          <w:i/>
          <w:iCs/>
        </w:rPr>
        <w:t>I</w:t>
      </w:r>
      <w:r>
        <w:rPr>
          <w:rFonts w:cs="Times New Roman"/>
          <w:i/>
          <w:iCs/>
        </w:rPr>
        <w:t xml:space="preserve">nstitutional ownership </w:t>
      </w:r>
      <w:r>
        <w:rPr>
          <w:rFonts w:cs="Times New Roman"/>
        </w:rPr>
        <w:t xml:space="preserve">memiliki </w:t>
      </w:r>
      <w:r>
        <w:rPr>
          <w:rFonts w:cs="Times New Roman"/>
        </w:rPr>
        <w:t xml:space="preserve">peran penting </w:t>
      </w:r>
      <w:r>
        <w:rPr>
          <w:rFonts w:cs="Times New Roman"/>
        </w:rPr>
        <w:t>dalam meningkatkan efisiensi kontrol yang kuat dan efektif sehingga dapat memberikan manfaat bagi pemegang saham. Peranya dapat mengendalikan,</w:t>
      </w:r>
      <w:r>
        <w:rPr>
          <w:rFonts w:cs="Times New Roman"/>
        </w:rPr>
        <w:t xml:space="preserve"> mengawasi</w:t>
      </w:r>
      <w:r>
        <w:rPr>
          <w:rFonts w:cs="Times New Roman"/>
        </w:rPr>
        <w:t xml:space="preserve">, serta </w:t>
      </w:r>
      <w:r>
        <w:rPr>
          <w:rFonts w:cs="Times New Roman"/>
        </w:rPr>
        <w:t>memonitor tindakan dan kinerja manajemen</w:t>
      </w:r>
      <w:r>
        <w:rPr>
          <w:rFonts w:cs="Times New Roman"/>
        </w:rPr>
        <w:t xml:space="preserve"> </w:t>
      </w:r>
      <w:r>
        <w:rPr>
          <w:rFonts w:cs="Times New Roman"/>
        </w:rPr>
        <w:t xml:space="preserve">(pengawasan eksternal) </w:t>
      </w:r>
      <w:r>
        <w:rPr>
          <w:rFonts w:cs="Times New Roman"/>
        </w:rPr>
        <w:t>agar beroperasi secara optimal dan berkelanjutan apabila ukuran kepemilikan saham yang didapatkan semakin besar</w:t>
      </w:r>
      <w:r>
        <w:rPr>
          <w:rFonts w:cs="Times New Roman"/>
          <w:color w:val="000000"/>
        </w:rPr>
        <w:t xml:space="preserve"> </w:t>
      </w:r>
      <w:r>
        <w:rPr>
          <w:rFonts w:cs="Times New Roman" w:eastAsia="Times New Roman"/>
          <w:color w:val="000000"/>
        </w:rPr>
        <w:t>(Rahayu &amp; Wahyudi, 2024)</w:t>
      </w:r>
      <w:r>
        <w:rPr>
          <w:rFonts w:cs="Times New Roman"/>
        </w:rPr>
        <w:t xml:space="preserve">. Oleh karena itu, </w:t>
      </w:r>
      <w:r>
        <w:rPr>
          <w:rFonts w:cs="Times New Roman"/>
          <w:i/>
          <w:iCs/>
        </w:rPr>
        <w:t>institutional ownership</w:t>
      </w:r>
      <w:r>
        <w:rPr>
          <w:rFonts w:cs="Times New Roman"/>
        </w:rPr>
        <w:t xml:space="preserve"> dipercaya untuk menciptakan keseimbangan atau mengurangi konflik antara kepentingan </w:t>
      </w:r>
      <w:r>
        <w:rPr>
          <w:rFonts w:cs="Times New Roman"/>
          <w:i/>
          <w:iCs/>
        </w:rPr>
        <w:t xml:space="preserve">principal </w:t>
      </w:r>
      <w:r>
        <w:rPr>
          <w:rFonts w:cs="Times New Roman"/>
        </w:rPr>
        <w:t>dan agen.</w:t>
      </w:r>
    </w:p>
    <w:p>
      <w:pPr>
        <w:pStyle w:val="style0"/>
        <w:tabs>
          <w:tab w:val="left" w:leader="none" w:pos="720"/>
          <w:tab w:val="left" w:leader="none" w:pos="810"/>
        </w:tabs>
        <w:spacing w:after="0" w:lineRule="auto" w:line="480"/>
        <w:jc w:val="both"/>
        <w:rPr>
          <w:rFonts w:cs="Times New Roman"/>
        </w:rPr>
      </w:pPr>
      <w:r>
        <w:rPr>
          <w:rFonts w:cs="Times New Roman"/>
        </w:rPr>
        <w:tab/>
      </w:r>
      <w:r>
        <w:rPr>
          <w:rFonts w:cs="Times New Roman"/>
          <w:i/>
          <w:iCs/>
        </w:rPr>
        <w:t xml:space="preserve">Instutional ownership </w:t>
      </w:r>
      <w:r>
        <w:rPr>
          <w:rFonts w:cs="Times New Roman"/>
        </w:rPr>
        <w:t>berkaitan dengan tata kelola pada perusahaan.</w:t>
      </w:r>
      <w:r>
        <w:rPr>
          <w:rFonts w:cs="Times New Roman"/>
        </w:rPr>
        <w:t xml:space="preserve"> </w:t>
      </w:r>
      <w:r>
        <w:rPr>
          <w:rFonts w:cs="Times New Roman"/>
        </w:rPr>
        <w:t>Baiknya penerapan tata kelola sebuah perusahaan</w:t>
      </w:r>
      <w:r>
        <w:rPr>
          <w:rFonts w:cs="Times New Roman"/>
        </w:rPr>
        <w:t>,</w:t>
      </w:r>
      <w:r>
        <w:rPr>
          <w:rFonts w:cs="Times New Roman"/>
        </w:rPr>
        <w:t xml:space="preserve"> </w:t>
      </w:r>
      <w:r>
        <w:rPr>
          <w:rFonts w:cs="Times New Roman"/>
        </w:rPr>
        <w:t>seperti peningkatan kontrol</w:t>
      </w:r>
      <w:r>
        <w:rPr>
          <w:rFonts w:cs="Times New Roman"/>
        </w:rPr>
        <w:t xml:space="preserve"> </w:t>
      </w:r>
      <w:r>
        <w:rPr>
          <w:rFonts w:cs="Times New Roman"/>
        </w:rPr>
        <w:t>pada manajer</w:t>
      </w:r>
      <w:r>
        <w:rPr>
          <w:rFonts w:cs="Times New Roman"/>
          <w:i/>
          <w:iCs/>
        </w:rPr>
        <w:t xml:space="preserve"> </w:t>
      </w:r>
      <w:r>
        <w:rPr>
          <w:rFonts w:cs="Times New Roman"/>
        </w:rPr>
        <w:t xml:space="preserve">akan berdampak pada optimalnya kegiatan perusahaan dalam mencapai tujuan </w:t>
      </w:r>
      <w:r>
        <w:rPr>
          <w:rFonts w:cs="Times New Roman" w:eastAsia="Times New Roman"/>
          <w:color w:val="000000"/>
        </w:rPr>
        <w:t xml:space="preserve">(Ifada </w:t>
      </w:r>
      <w:r>
        <w:rPr>
          <w:rFonts w:cs="Times New Roman" w:eastAsia="Times New Roman"/>
          <w:i/>
          <w:iCs/>
          <w:color w:val="000000"/>
        </w:rPr>
        <w:t>et al</w:t>
      </w:r>
      <w:r>
        <w:rPr>
          <w:rFonts w:cs="Times New Roman" w:eastAsia="Times New Roman"/>
          <w:color w:val="000000"/>
        </w:rPr>
        <w:t xml:space="preserve">., 2021; Edhitya CP &amp; Suzan, 2023; Ismanto </w:t>
      </w:r>
      <w:r>
        <w:rPr>
          <w:rFonts w:cs="Times New Roman" w:eastAsia="Times New Roman"/>
          <w:i/>
          <w:iCs/>
          <w:color w:val="000000"/>
        </w:rPr>
        <w:t>et al</w:t>
      </w:r>
      <w:r>
        <w:rPr>
          <w:rFonts w:cs="Times New Roman" w:eastAsia="Times New Roman"/>
          <w:color w:val="000000"/>
        </w:rPr>
        <w:t>., 2023)</w:t>
      </w:r>
      <w:r>
        <w:rPr>
          <w:rFonts w:cs="Times New Roman"/>
        </w:rPr>
        <w:t>.</w:t>
      </w:r>
      <w:r>
        <w:rPr>
          <w:rFonts w:cs="Times New Roman"/>
        </w:rPr>
        <w:t xml:space="preserve"> </w:t>
      </w:r>
      <w:r>
        <w:rPr>
          <w:rFonts w:cs="Times New Roman"/>
        </w:rPr>
        <w:t>Oleh karena itu,</w:t>
      </w:r>
      <w:r>
        <w:rPr>
          <w:rFonts w:cs="Times New Roman"/>
          <w:i/>
          <w:iCs/>
        </w:rPr>
        <w:t xml:space="preserve"> institutional ownership </w:t>
      </w:r>
      <w:r>
        <w:rPr>
          <w:rFonts w:cs="Times New Roman"/>
        </w:rPr>
        <w:t xml:space="preserve">diperlukan agar tidak ada tindakan kecurangan yang dilakukan oleh majemen </w:t>
      </w:r>
      <w:r>
        <w:rPr>
          <w:rFonts w:cs="Times New Roman"/>
          <w:color w:val="000000"/>
        </w:rPr>
        <w:t xml:space="preserve">sehingga mendorong investor untuk menjadikan loyalitas atau kepercayaan dalam berinvestasi </w:t>
      </w:r>
      <w:r>
        <w:rPr>
          <w:rFonts w:cs="Times New Roman"/>
        </w:rPr>
        <w:t xml:space="preserve">dan </w:t>
      </w:r>
      <w:r>
        <w:rPr>
          <w:rFonts w:cs="Times New Roman"/>
        </w:rPr>
        <w:t xml:space="preserve">membuat perusahaan mengalami peningkatan </w:t>
      </w:r>
      <w:r>
        <w:rPr>
          <w:rFonts w:cs="Times New Roman"/>
          <w:i/>
          <w:iCs/>
        </w:rPr>
        <w:t>firm value</w:t>
      </w:r>
      <w:r>
        <w:t xml:space="preserve"> </w:t>
      </w:r>
      <w:r>
        <w:rPr>
          <w:rFonts w:cs="Times New Roman" w:eastAsia="Times New Roman"/>
          <w:color w:val="000000"/>
        </w:rPr>
        <w:t>(Wardoyo &amp; Fauziah, 2024)</w:t>
      </w:r>
      <w:r>
        <w:rPr>
          <w:rFonts w:cs="Times New Roman"/>
        </w:rPr>
        <w:t>.</w:t>
      </w:r>
    </w:p>
    <w:p>
      <w:pPr>
        <w:pStyle w:val="style0"/>
        <w:tabs>
          <w:tab w:val="left" w:leader="none" w:pos="720"/>
          <w:tab w:val="left" w:leader="none" w:pos="810"/>
        </w:tabs>
        <w:spacing w:after="0" w:lineRule="auto" w:line="480"/>
        <w:jc w:val="both"/>
        <w:rPr/>
      </w:pPr>
      <w:r>
        <w:rPr>
          <w:rFonts w:cs="Times New Roman"/>
        </w:rPr>
        <w:tab/>
      </w:r>
      <w:r>
        <w:t xml:space="preserve">Beberapa penelitian terdahulu yang dapat membuktikan </w:t>
      </w:r>
      <w:r>
        <w:rPr>
          <w:color w:val="000000"/>
        </w:rPr>
        <w:t xml:space="preserve">bahwa </w:t>
      </w:r>
      <w:r>
        <w:rPr>
          <w:i/>
          <w:iCs/>
        </w:rPr>
        <w:t>institutional ownership</w:t>
      </w:r>
      <w:r>
        <w:rPr>
          <w:rFonts w:cs="Times New Roman" w:eastAsia="Times New Roman"/>
          <w:i/>
          <w:color w:val="000000"/>
          <w:szCs w:val="24"/>
        </w:rPr>
        <w:t xml:space="preserve"> </w:t>
      </w:r>
      <w:r>
        <w:rPr>
          <w:color w:val="000000"/>
        </w:rPr>
        <w:t xml:space="preserve">berpengaruh signifikan </w:t>
      </w:r>
      <w:r>
        <w:rPr>
          <w:color w:val="000000"/>
        </w:rPr>
        <w:t xml:space="preserve">positif </w:t>
      </w:r>
      <w:r>
        <w:rPr>
          <w:color w:val="000000"/>
        </w:rPr>
        <w:t xml:space="preserve">terhadap </w:t>
      </w:r>
      <w:r>
        <w:rPr>
          <w:i/>
          <w:iCs/>
          <w:color w:val="000000"/>
        </w:rPr>
        <w:t>firm value</w:t>
      </w:r>
      <w:r>
        <w:rPr>
          <w:color w:val="000000"/>
        </w:rPr>
        <w:t xml:space="preserve"> yaitu penelitian pada</w:t>
      </w:r>
      <w:r>
        <w:rPr>
          <w:rFonts w:eastAsia="Times New Roman"/>
          <w:color w:val="000000"/>
        </w:rPr>
        <w:t xml:space="preserve"> </w:t>
      </w:r>
      <w:r>
        <w:rPr>
          <w:rFonts w:cs="Times New Roman" w:eastAsia="Times New Roman"/>
          <w:color w:val="000000"/>
        </w:rPr>
        <w:t xml:space="preserve">Cristofel &amp; Kurniawati (2021), Yuwono &amp; Aurelia (2021), dan Malik </w:t>
      </w:r>
      <w:r>
        <w:rPr>
          <w:rFonts w:cs="Times New Roman" w:eastAsia="Times New Roman"/>
          <w:i/>
          <w:iCs/>
          <w:color w:val="000000"/>
        </w:rPr>
        <w:t>et al</w:t>
      </w:r>
      <w:r>
        <w:rPr>
          <w:rFonts w:cs="Times New Roman" w:eastAsia="Times New Roman"/>
          <w:color w:val="000000"/>
        </w:rPr>
        <w:t>. (2024)</w:t>
      </w:r>
      <w:r>
        <w:rPr>
          <w:color w:val="000000"/>
        </w:rPr>
        <w:t xml:space="preserve">. </w:t>
      </w:r>
      <w:r>
        <w:t xml:space="preserve">Berdasarkan pemaparan </w:t>
      </w:r>
      <w:r>
        <w:t>tersebut,</w:t>
      </w:r>
      <w:r>
        <w:t xml:space="preserve"> maka hipotesis yang dapat dirumuskan</w:t>
      </w:r>
      <w:r>
        <w:t xml:space="preserve"> ketiga, sebagai </w:t>
      </w:r>
      <w:r>
        <w:t>berikut:</w:t>
      </w:r>
    </w:p>
    <w:p>
      <w:pPr>
        <w:pStyle w:val="style0"/>
        <w:tabs>
          <w:tab w:val="left" w:leader="none" w:pos="630"/>
        </w:tabs>
        <w:spacing w:after="0" w:lineRule="auto" w:line="480"/>
        <w:jc w:val="both"/>
        <w:rPr>
          <w:b/>
          <w:bCs/>
          <w:highlight w:val="yellow"/>
        </w:rPr>
      </w:pP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oMath>
      <w:r>
        <w:rPr>
          <w:rFonts w:eastAsia="宋体"/>
        </w:rPr>
        <w:t xml:space="preserve"> </w:t>
      </w:r>
      <w:r>
        <w:rPr>
          <w:rFonts w:eastAsia="宋体"/>
        </w:rPr>
        <w:t>:</w:t>
      </w:r>
      <w:r>
        <w:rPr>
          <w:rFonts w:eastAsia="宋体"/>
        </w:rPr>
        <w:t xml:space="preserve"> </w:t>
      </w:r>
      <w:r>
        <w:rPr>
          <w:rFonts w:eastAsia="宋体"/>
          <w:i/>
          <w:iCs/>
        </w:rPr>
        <w:t xml:space="preserve">Institutional </w:t>
      </w:r>
      <w:r>
        <w:rPr>
          <w:rFonts w:eastAsia="宋体"/>
          <w:i/>
          <w:iCs/>
        </w:rPr>
        <w:t>o</w:t>
      </w:r>
      <w:r>
        <w:rPr>
          <w:rFonts w:eastAsia="宋体"/>
          <w:i/>
          <w:iCs/>
        </w:rPr>
        <w:t>wnership</w:t>
      </w:r>
      <w:r>
        <w:rPr>
          <w:rFonts w:eastAsia="宋体"/>
          <w:i/>
          <w:iCs/>
        </w:rPr>
        <w:t xml:space="preserve"> </w:t>
      </w:r>
      <w:r>
        <w:rPr>
          <w:rFonts w:eastAsia="宋体"/>
        </w:rPr>
        <w:t>berpengaruh</w:t>
      </w:r>
      <w:r>
        <w:rPr>
          <w:rFonts w:eastAsia="宋体"/>
        </w:rPr>
        <w:t xml:space="preserve"> signifikan</w:t>
      </w:r>
      <w:r>
        <w:rPr>
          <w:rFonts w:eastAsia="宋体"/>
        </w:rPr>
        <w:t xml:space="preserve"> </w:t>
      </w:r>
      <w:r>
        <w:rPr>
          <w:rFonts w:eastAsia="宋体"/>
        </w:rPr>
        <w:t xml:space="preserve">positif </w:t>
      </w:r>
      <w:r>
        <w:rPr>
          <w:rFonts w:eastAsia="宋体"/>
        </w:rPr>
        <w:t xml:space="preserve">terhadap </w:t>
      </w:r>
      <w:r>
        <w:rPr>
          <w:rFonts w:eastAsia="宋体"/>
          <w:i/>
          <w:iCs/>
        </w:rPr>
        <w:t>firm value</w:t>
      </w:r>
    </w:p>
    <w:bookmarkStart w:id="46" w:name="_Toc218854611"/>
    <w:p>
      <w:pPr>
        <w:pStyle w:val="style2"/>
        <w:tabs>
          <w:tab w:val="left" w:leader="none" w:pos="720"/>
        </w:tabs>
        <w:spacing w:lineRule="auto" w:line="480"/>
        <w:rPr/>
      </w:pPr>
      <w:r>
        <w:t>2.5.</w:t>
      </w:r>
      <w:r>
        <w:t xml:space="preserve"> </w:t>
      </w:r>
      <w:r>
        <w:tab/>
      </w:r>
      <w:r>
        <w:t>Model Penelitian</w:t>
      </w:r>
      <w:bookmarkEnd w:id="46"/>
      <w:r>
        <w:t xml:space="preserve"> </w:t>
      </w:r>
    </w:p>
    <w:p>
      <w:pPr>
        <w:pStyle w:val="style0"/>
        <w:tabs>
          <w:tab w:val="left" w:leader="none" w:pos="630"/>
        </w:tabs>
        <w:spacing w:lineRule="auto" w:line="480"/>
        <w:ind w:firstLine="720"/>
        <w:jc w:val="both"/>
        <w:rPr/>
      </w:pPr>
      <w:r>
        <w:rPr>
          <w:noProof/>
        </w:rPr>
        <mc:AlternateContent>
          <mc:Choice Requires="wpg">
            <w:drawing>
              <wp:anchor distT="0" distB="0" distL="0" distR="0" simplePos="false" relativeHeight="2" behindDoc="false" locked="false" layoutInCell="true" allowOverlap="true">
                <wp:simplePos x="0" y="0"/>
                <wp:positionH relativeFrom="margin">
                  <wp:align>left</wp:align>
                </wp:positionH>
                <wp:positionV relativeFrom="paragraph">
                  <wp:posOffset>1073422</wp:posOffset>
                </wp:positionV>
                <wp:extent cx="5039995" cy="1863725"/>
                <wp:effectExtent l="0" t="0" r="8255" b="3175"/>
                <wp:wrapTopAndBottom/>
                <wp:docPr id="1065" name="Canvas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Canvas">
                    <wpc:wpc>
                      <wpc:bg>
                        <a:solidFill>
                          <a:srgbClr val="ffffff"/>
                        </a:solidFill>
                      </wpc:bg>
                      <wpc:whole/>
                      <wps:wsp>
                        <wps:cNvSpPr/>
                        <wps:spPr>
                          <a:xfrm rot="0">
                            <a:off x="2410120" y="970946"/>
                            <a:ext cx="543560" cy="325755"/>
                          </a:xfrm>
                          <a:prstGeom prst="rect"/>
                          <a:solidFill>
                            <a:srgbClr val="ffffff"/>
                          </a:solidFill>
                          <a:ln>
                            <a:noFill/>
                          </a:ln>
                        </wps:spPr>
                        <wps:txbx id="1067">
                          <w:txbxContent>
                            <w:p>
                              <w:pPr>
                                <w:pStyle w:val="style0"/>
                                <w:spacing w:lineRule="auto" w:line="256"/>
                                <w:rPr>
                                  <w:rFonts w:ascii="Cambria Math" w:eastAsia="Calibri"/>
                                  <w:sz w:val="20"/>
                                  <w:szCs w:val="20"/>
                                  <w14:ligatures xmlns:w14="http://schemas.microsoft.com/office/word/2010/wordml" w14:val="none"/>
                                </w:rPr>
                              </w:pPr>
                              <m:oMath>
                                <m:sSub>
                                  <m:sSubPr>
                                    <m:ctrlPr>
                                      <w:rPr>
                                        <w:rFonts w:ascii="Cambria Math" w:eastAsia="Calibri" w:hAnsi="Cambria Math"/>
                                      </w:rPr>
                                    </m:ctrlPr>
                                  </m:sSubPr>
                                  <m:e>
                                    <m:r>
                                      <m:rPr>
                                        <m:sty m:val="p"/>
                                      </m:rPr>
                                      <w:rPr>
                                        <w:rFonts w:ascii="Cambria Math" w:eastAsia="Calibri" w:hAnsi="Cambria Math"/>
                                        <w:sz w:val="20"/>
                                        <w:szCs w:val="20"/>
                                      </w:rPr>
                                      <m:t>H</m:t>
                                    </m:r>
                                  </m:e>
                                  <m:sub>
                                    <m:r>
                                      <m:rPr>
                                        <m:sty m:val="p"/>
                                      </m:rPr>
                                      <w:rPr>
                                        <w:rFonts w:ascii="Cambria Math" w:eastAsia="Calibri" w:hAnsi="Cambria Math"/>
                                        <w:sz w:val="20"/>
                                        <w:szCs w:val="20"/>
                                      </w:rPr>
                                      <m:t>3</m:t>
                                    </m:r>
                                  </m:sub>
                                </m:sSub>
                              </m:oMath>
                              <w:r>
                                <w:rPr>
                                  <w:rFonts w:eastAsia="Times New Roman"/>
                                  <w:sz w:val="20"/>
                                  <w:szCs w:val="20"/>
                                </w:rPr>
                                <w:t>(+)</w:t>
                              </w:r>
                            </w:p>
                            <w:p>
                              <w:pPr>
                                <w:pStyle w:val="style0"/>
                                <w:spacing w:lineRule="auto" w:line="253"/>
                                <w:rPr>
                                  <w:rFonts w:eastAsia="Calibri"/>
                                  <w:sz w:val="22"/>
                                </w:rPr>
                              </w:pPr>
                              <w:r>
                                <w:rPr>
                                  <w:rFonts w:eastAsia="Calibri"/>
                                  <w:sz w:val="22"/>
                                </w:rPr>
                                <w:t> </w:t>
                              </w:r>
                            </w:p>
                          </w:txbxContent>
                        </wps:txbx>
                        <wps:bodyPr lIns="91440" rIns="91440" tIns="45720" bIns="45720" vert="horz" anchor="t" wrap="square">
                          <a:prstTxWarp prst="textNoShape"/>
                          <a:noAutofit/>
                        </wps:bodyPr>
                      </wps:wsp>
                      <wps:wsp>
                        <wps:cNvSpPr/>
                        <wps:spPr>
                          <a:xfrm rot="0">
                            <a:off x="2410120" y="337216"/>
                            <a:ext cx="596265" cy="312420"/>
                          </a:xfrm>
                          <a:prstGeom prst="rect"/>
                          <a:solidFill>
                            <a:srgbClr val="ffffff"/>
                          </a:solidFill>
                          <a:ln>
                            <a:noFill/>
                          </a:ln>
                        </wps:spPr>
                        <wps:txbx id="1068">
                          <w:txbxContent>
                            <w:p>
                              <w:pPr>
                                <w:pStyle w:val="style0"/>
                                <w:spacing w:lineRule="auto" w:line="256"/>
                                <w:rPr>
                                  <w:rFonts w:ascii="Cambria Math" w:eastAsia="Calibri"/>
                                  <w:sz w:val="20"/>
                                  <w:szCs w:val="20"/>
                                  <w14:ligatures xmlns:w14="http://schemas.microsoft.com/office/word/2010/wordml" w14:val="none"/>
                                </w:rPr>
                              </w:pPr>
                              <m:oMath>
                                <m:sSub>
                                  <m:sSubPr>
                                    <m:ctrlPr>
                                      <w:rPr>
                                        <w:rFonts w:ascii="Cambria Math" w:eastAsia="Calibri" w:hAnsi="Cambria Math"/>
                                      </w:rPr>
                                    </m:ctrlPr>
                                  </m:sSubPr>
                                  <m:e>
                                    <m:r>
                                      <m:rPr>
                                        <m:sty m:val="p"/>
                                      </m:rPr>
                                      <w:rPr>
                                        <w:rFonts w:ascii="Cambria Math" w:eastAsia="Calibri" w:hAnsi="Cambria Math"/>
                                        <w:sz w:val="20"/>
                                        <w:szCs w:val="20"/>
                                      </w:rPr>
                                      <m:t>H</m:t>
                                    </m:r>
                                  </m:e>
                                  <m:sub>
                                    <m:r>
                                      <m:rPr>
                                        <m:sty m:val="p"/>
                                      </m:rPr>
                                      <w:rPr>
                                        <w:rFonts w:ascii="Cambria Math" w:eastAsia="Calibri" w:hAnsi="Cambria Math"/>
                                        <w:sz w:val="20"/>
                                        <w:szCs w:val="20"/>
                                      </w:rPr>
                                      <m:t>1</m:t>
                                    </m:r>
                                  </m:sub>
                                </m:sSub>
                              </m:oMath>
                              <w:r>
                                <w:rPr>
                                  <w:rFonts w:eastAsia="Times New Roman"/>
                                  <w:sz w:val="20"/>
                                  <w:szCs w:val="20"/>
                                </w:rPr>
                                <w:t>(+)</w:t>
                              </w:r>
                            </w:p>
                          </w:txbxContent>
                        </wps:txbx>
                        <wps:bodyPr lIns="91440" rIns="91440" tIns="45720" bIns="45720" vert="horz" anchor="t" wrap="square">
                          <a:prstTxWarp prst="textNoShape"/>
                          <a:noAutofit/>
                        </wps:bodyPr>
                      </wps:wsp>
                      <wps:wsp>
                        <wps:cNvSpPr/>
                        <wps:spPr>
                          <a:xfrm rot="0">
                            <a:off x="2400595" y="690911"/>
                            <a:ext cx="535305" cy="302259"/>
                          </a:xfrm>
                          <a:prstGeom prst="rect"/>
                          <a:solidFill>
                            <a:srgbClr val="ffffff"/>
                          </a:solidFill>
                          <a:ln>
                            <a:noFill/>
                          </a:ln>
                        </wps:spPr>
                        <wps:txbx id="1069">
                          <w:txbxContent>
                            <w:p>
                              <w:pPr>
                                <w:pStyle w:val="style0"/>
                                <w:spacing w:lineRule="auto" w:line="256"/>
                                <w:rPr>
                                  <w:rFonts w:ascii="Cambria Math" w:eastAsia="Calibri"/>
                                  <w:sz w:val="20"/>
                                  <w:szCs w:val="20"/>
                                  <w14:ligatures xmlns:w14="http://schemas.microsoft.com/office/word/2010/wordml" w14:val="none"/>
                                </w:rPr>
                              </w:pPr>
                              <m:oMath>
                                <m:sSub>
                                  <m:sSubPr>
                                    <m:ctrlPr>
                                      <w:rPr>
                                        <w:rFonts w:ascii="Cambria Math" w:eastAsia="Calibri" w:hAnsi="Cambria Math"/>
                                      </w:rPr>
                                    </m:ctrlPr>
                                  </m:sSubPr>
                                  <m:e>
                                    <m:r>
                                      <m:rPr>
                                        <m:sty m:val="p"/>
                                      </m:rPr>
                                      <w:rPr>
                                        <w:rFonts w:ascii="Cambria Math" w:eastAsia="Calibri" w:hAnsi="Cambria Math"/>
                                        <w:sz w:val="20"/>
                                        <w:szCs w:val="20"/>
                                      </w:rPr>
                                      <m:t>H</m:t>
                                    </m:r>
                                  </m:e>
                                  <m:sub>
                                    <m:r>
                                      <m:rPr>
                                        <m:sty m:val="p"/>
                                      </m:rPr>
                                      <w:rPr>
                                        <w:rFonts w:ascii="Cambria Math" w:eastAsia="Calibri" w:hAnsi="Cambria Math"/>
                                        <w:sz w:val="20"/>
                                        <w:szCs w:val="20"/>
                                      </w:rPr>
                                      <m:t>2</m:t>
                                    </m:r>
                                  </m:sub>
                                </m:sSub>
                              </m:oMath>
                              <w:r>
                                <w:rPr>
                                  <w:rFonts w:eastAsia="Times New Roman"/>
                                  <w:sz w:val="20"/>
                                  <w:szCs w:val="20"/>
                                </w:rPr>
                                <w:t>(+)</w:t>
                              </w:r>
                            </w:p>
                            <w:p>
                              <w:pPr>
                                <w:pStyle w:val="style0"/>
                                <w:spacing w:lineRule="auto" w:line="253"/>
                                <w:rPr>
                                  <w:rFonts w:eastAsia="Calibri"/>
                                  <w:sz w:val="22"/>
                                </w:rPr>
                              </w:pPr>
                              <w:r>
                                <w:rPr>
                                  <w:rFonts w:eastAsia="Calibri"/>
                                  <w:sz w:val="22"/>
                                </w:rPr>
                                <w:t> </w:t>
                              </w:r>
                            </w:p>
                          </w:txbxContent>
                        </wps:txbx>
                        <wps:bodyPr lIns="91440" rIns="91440" tIns="45720" bIns="45720" vert="horz" anchor="t" wrap="square">
                          <a:prstTxWarp prst="textNoShape"/>
                          <a:noAutofit/>
                        </wps:bodyPr>
                      </wps:wsp>
                      <wps:wsp>
                        <wps:cNvSpPr/>
                        <wps:spPr>
                          <a:xfrm rot="0">
                            <a:off x="180000" y="31"/>
                            <a:ext cx="1619885" cy="532130"/>
                          </a:xfrm>
                          <a:prstGeom prst="rect"/>
                          <a:solidFill>
                            <a:srgbClr val="ffffff"/>
                          </a:solidFill>
                          <a:ln cmpd="sng" cap="flat" w="19050">
                            <a:solidFill>
                              <a:srgbClr val="000000"/>
                            </a:solidFill>
                            <a:prstDash val="solid"/>
                            <a:miter/>
                            <a:headEnd/>
                            <a:tailEnd/>
                          </a:ln>
                        </wps:spPr>
                        <wps:txbx id="1070">
                          <w:txbxContent>
                            <w:p>
                              <w:pPr>
                                <w:pStyle w:val="style0"/>
                                <w:spacing w:after="0" w:lineRule="auto" w:line="253"/>
                                <w:jc w:val="center"/>
                                <w:rPr>
                                  <w:rFonts w:eastAsia="Calibri"/>
                                  <w:i/>
                                  <w:iCs/>
                                  <w:sz w:val="20"/>
                                  <w:szCs w:val="20"/>
                                  <w14:ligatures xmlns:w14="http://schemas.microsoft.com/office/word/2010/wordml" w14:val="none"/>
                                </w:rPr>
                              </w:pPr>
                              <w:r>
                                <w:rPr>
                                  <w:rFonts w:eastAsia="Calibri"/>
                                  <w:i/>
                                  <w:iCs/>
                                  <w:sz w:val="20"/>
                                  <w:szCs w:val="20"/>
                                </w:rPr>
                                <w:t xml:space="preserve">Enterprise Risk Management </w:t>
                              </w:r>
                              <w:r>
                                <w:rPr>
                                  <w:rFonts w:eastAsia="Calibri"/>
                                  <w:sz w:val="20"/>
                                  <w:szCs w:val="20"/>
                                </w:rPr>
                                <w:t>(</w:t>
                              </w:r>
                              <m:oMath>
                                <m:sSub>
                                  <m:sSubPr>
                                    <m:ctrlPr>
                                      <w:rPr>
                                        <w:rFonts w:ascii="Cambria Math" w:eastAsia="Calibri" w:hAnsi="Cambria Math"/>
                                      </w:rPr>
                                    </m:ctrlPr>
                                  </m:sSubPr>
                                  <m:e>
                                    <m:r>
                                      <m:rPr>
                                        <m:sty m:val="p"/>
                                      </m:rPr>
                                      <w:rPr>
                                        <w:rFonts w:ascii="Cambria Math" w:eastAsia="Calibri" w:hAnsi="Cambria Math"/>
                                        <w:sz w:val="20"/>
                                        <w:szCs w:val="20"/>
                                      </w:rPr>
                                      <m:t>X</m:t>
                                    </m:r>
                                  </m:e>
                                  <m:sub>
                                    <m:r>
                                      <m:rPr>
                                        <m:sty m:val="p"/>
                                      </m:rPr>
                                      <w:rPr>
                                        <w:rFonts w:ascii="Cambria Math" w:eastAsia="Calibri" w:hAnsi="Cambria Math"/>
                                        <w:sz w:val="20"/>
                                        <w:szCs w:val="20"/>
                                      </w:rPr>
                                      <m:t>1</m:t>
                                    </m:r>
                                  </m:sub>
                                </m:sSub>
                              </m:oMath>
                              <w:r>
                                <w:rPr>
                                  <w:rFonts w:eastAsia="Calibri"/>
                                  <w:sz w:val="20"/>
                                  <w:szCs w:val="20"/>
                                </w:rPr>
                                <w:t>)</w:t>
                              </w:r>
                            </w:p>
                          </w:txbxContent>
                        </wps:txbx>
                        <wps:bodyPr lIns="91440" rIns="91440" tIns="45720" bIns="45720" vert="horz" anchor="ctr" wrap="square">
                          <a:prstTxWarp prst="textNoShape"/>
                          <a:noAutofit/>
                        </wps:bodyPr>
                      </wps:wsp>
                      <wps:wsp>
                        <wps:cNvSpPr/>
                        <wps:spPr>
                          <a:xfrm rot="0">
                            <a:off x="185715" y="1296066"/>
                            <a:ext cx="1622425" cy="532129"/>
                          </a:xfrm>
                          <a:prstGeom prst="rect"/>
                          <a:solidFill>
                            <a:srgbClr val="ffffff"/>
                          </a:solidFill>
                          <a:ln cmpd="sng" cap="flat" w="19050">
                            <a:solidFill>
                              <a:srgbClr val="000000"/>
                            </a:solidFill>
                            <a:prstDash val="solid"/>
                            <a:miter/>
                            <a:headEnd/>
                            <a:tailEnd/>
                          </a:ln>
                        </wps:spPr>
                        <wps:txbx id="1071">
                          <w:txbxContent>
                            <w:p>
                              <w:pPr>
                                <w:pStyle w:val="style0"/>
                                <w:spacing w:after="0" w:lineRule="auto" w:line="253"/>
                                <w:jc w:val="center"/>
                                <w:rPr>
                                  <w:rFonts w:eastAsia="Calibri"/>
                                  <w:b/>
                                  <w:bCs/>
                                  <w:sz w:val="20"/>
                                  <w:szCs w:val="20"/>
                                  <w14:ligatures xmlns:w14="http://schemas.microsoft.com/office/word/2010/wordml" w14:val="none"/>
                                </w:rPr>
                              </w:pPr>
                              <w:r>
                                <w:rPr>
                                  <w:rFonts w:eastAsia="Calibri"/>
                                  <w:i/>
                                  <w:iCs/>
                                  <w:sz w:val="20"/>
                                  <w:szCs w:val="20"/>
                                </w:rPr>
                                <w:t>Institutional Ownership</w:t>
                              </w:r>
                              <w:r>
                                <w:rPr>
                                  <w:rFonts w:eastAsia="Calibri"/>
                                  <w:i/>
                                  <w:iCs/>
                                  <w:sz w:val="20"/>
                                  <w:szCs w:val="20"/>
                                </w:rPr>
                                <w:t xml:space="preserve">  </w:t>
                              </w:r>
                              <w:r>
                                <w:rPr>
                                  <w:rFonts w:eastAsia="Calibri"/>
                                  <w:i/>
                                  <w:iCs/>
                                  <w:sz w:val="22"/>
                                </w:rPr>
                                <w:t xml:space="preserve">                      </w:t>
                              </w:r>
                              <w:r>
                                <w:rPr>
                                  <w:rFonts w:eastAsia="Calibri"/>
                                  <w:sz w:val="20"/>
                                  <w:szCs w:val="20"/>
                                </w:rPr>
                                <w:t>(</w:t>
                              </w:r>
                              <m:oMath>
                                <m:sSub>
                                  <m:sSubPr>
                                    <m:ctrlPr>
                                      <w:rPr>
                                        <w:rFonts w:ascii="Cambria Math" w:eastAsia="Calibri" w:hAnsi="Cambria Math"/>
                                        <w:sz w:val="20"/>
                                        <w:szCs w:val="20"/>
                                      </w:rPr>
                                    </m:ctrlPr>
                                  </m:sSubPr>
                                  <m:e>
                                    <m:r>
                                      <m:rPr>
                                        <m:sty m:val="p"/>
                                      </m:rPr>
                                      <w:rPr>
                                        <w:rFonts w:ascii="Cambria Math" w:eastAsia="Calibri" w:hAnsi="Cambria Math"/>
                                        <w:sz w:val="20"/>
                                        <w:szCs w:val="20"/>
                                      </w:rPr>
                                      <m:t>X</m:t>
                                    </m:r>
                                  </m:e>
                                  <m:sub>
                                    <m:r>
                                      <m:rPr>
                                        <m:sty m:val="p"/>
                                      </m:rPr>
                                      <w:rPr>
                                        <w:rFonts w:ascii="Cambria Math" w:eastAsia="Calibri" w:hAnsi="Cambria Math"/>
                                        <w:sz w:val="20"/>
                                        <w:szCs w:val="20"/>
                                      </w:rPr>
                                      <m:t>3</m:t>
                                    </m:r>
                                  </m:sub>
                                </m:sSub>
                              </m:oMath>
                              <w:r>
                                <w:rPr>
                                  <w:rFonts w:eastAsia="Calibri"/>
                                  <w:b/>
                                  <w:bCs/>
                                  <w:sz w:val="20"/>
                                  <w:szCs w:val="20"/>
                                </w:rPr>
                                <w:t>)</w:t>
                              </w:r>
                            </w:p>
                          </w:txbxContent>
                        </wps:txbx>
                        <wps:bodyPr lIns="91440" rIns="91440" tIns="45720" bIns="45720" vert="horz" anchor="ctr" wrap="square">
                          <a:prstTxWarp prst="textNoShape"/>
                          <a:noAutofit/>
                        </wps:bodyPr>
                      </wps:wsp>
                      <wps:wsp>
                        <wps:cNvSpPr/>
                        <wps:spPr>
                          <a:xfrm rot="0">
                            <a:off x="182540" y="656621"/>
                            <a:ext cx="1619885" cy="532130"/>
                          </a:xfrm>
                          <a:prstGeom prst="rect"/>
                          <a:solidFill>
                            <a:srgbClr val="ffffff"/>
                          </a:solidFill>
                          <a:ln cmpd="sng" cap="flat" w="19050">
                            <a:solidFill>
                              <a:srgbClr val="000000"/>
                            </a:solidFill>
                            <a:prstDash val="solid"/>
                            <a:miter/>
                            <a:headEnd/>
                            <a:tailEnd/>
                          </a:ln>
                        </wps:spPr>
                        <wps:txbx id="1072">
                          <w:txbxContent>
                            <w:p>
                              <w:pPr>
                                <w:pStyle w:val="style0"/>
                                <w:spacing w:after="0" w:lineRule="auto" w:line="253"/>
                                <w:jc w:val="center"/>
                                <w:rPr>
                                  <w:rFonts w:eastAsia="Calibri"/>
                                  <w:i/>
                                  <w:iCs/>
                                  <w:sz w:val="20"/>
                                  <w:szCs w:val="20"/>
                                  <w14:ligatures xmlns:w14="http://schemas.microsoft.com/office/word/2010/wordml" w14:val="none"/>
                                </w:rPr>
                              </w:pPr>
                              <w:r>
                                <w:rPr>
                                  <w:rFonts w:eastAsia="Calibri"/>
                                  <w:i/>
                                  <w:iCs/>
                                  <w:sz w:val="20"/>
                                  <w:szCs w:val="20"/>
                                </w:rPr>
                                <w:t xml:space="preserve">Managerial Ownership   </w:t>
                              </w:r>
                              <w:r>
                                <w:rPr>
                                  <w:rFonts w:eastAsia="Calibri"/>
                                  <w:sz w:val="20"/>
                                  <w:szCs w:val="20"/>
                                </w:rPr>
                                <w:t>(</w:t>
                              </w:r>
                              <m:oMath>
                                <m:sSub>
                                  <m:sSubPr>
                                    <m:ctrlPr>
                                      <w:rPr>
                                        <w:rFonts w:ascii="Cambria Math" w:eastAsia="Calibri" w:hAnsi="Cambria Math"/>
                                      </w:rPr>
                                    </m:ctrlPr>
                                  </m:sSubPr>
                                  <m:e>
                                    <m:r>
                                      <m:rPr>
                                        <m:sty m:val="p"/>
                                      </m:rPr>
                                      <w:rPr>
                                        <w:rFonts w:ascii="Cambria Math" w:eastAsia="Calibri" w:hAnsi="Cambria Math"/>
                                        <w:sz w:val="20"/>
                                        <w:szCs w:val="20"/>
                                      </w:rPr>
                                      <m:t>X</m:t>
                                    </m:r>
                                  </m:e>
                                  <m:sub>
                                    <m:r>
                                      <m:rPr>
                                        <m:sty m:val="p"/>
                                      </m:rPr>
                                      <w:rPr>
                                        <w:rFonts w:ascii="Cambria Math" w:eastAsia="Calibri" w:hAnsi="Cambria Math"/>
                                        <w:sz w:val="20"/>
                                        <w:szCs w:val="20"/>
                                      </w:rPr>
                                      <m:t>2</m:t>
                                    </m:r>
                                  </m:sub>
                                </m:sSub>
                              </m:oMath>
                              <w:r>
                                <w:rPr>
                                  <w:rFonts w:eastAsia="Calibri"/>
                                  <w:sz w:val="20"/>
                                  <w:szCs w:val="20"/>
                                </w:rPr>
                                <w:t>)</w:t>
                              </w:r>
                            </w:p>
                          </w:txbxContent>
                        </wps:txbx>
                        <wps:bodyPr lIns="91440" rIns="91440" tIns="45720" bIns="45720" vert="horz" anchor="ctr" wrap="square">
                          <a:prstTxWarp prst="textNoShape"/>
                          <a:noAutofit/>
                        </wps:bodyPr>
                      </wps:wsp>
                      <wps:wsp>
                        <wps:cNvSpPr/>
                        <wps:spPr>
                          <a:xfrm rot="0">
                            <a:off x="1800520" y="266096"/>
                            <a:ext cx="1471930" cy="590549"/>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flipV="1">
                            <a:off x="1808775" y="1016000"/>
                            <a:ext cx="1463675" cy="546130"/>
                          </a:xfrm>
                          <a:prstGeom prst="straightConnector1"/>
                          <a:ln cmpd="sng" cap="flat" w="12700">
                            <a:solidFill>
                              <a:srgbClr val="000000"/>
                            </a:solidFill>
                            <a:prstDash val="solid"/>
                            <a:miter/>
                            <a:headEnd/>
                            <a:tailEnd len="med" w="med" type="triangle"/>
                          </a:ln>
                        </wps:spPr>
                        <wps:bodyPr>
                          <a:prstTxWarp prst="textNoShape"/>
                        </wps:bodyPr>
                      </wps:wsp>
                      <wps:wsp>
                        <wps:cNvSpPr/>
                        <wps:spPr>
                          <a:xfrm rot="0">
                            <a:off x="3320710" y="638206"/>
                            <a:ext cx="1622425" cy="532130"/>
                          </a:xfrm>
                          <a:prstGeom prst="rect"/>
                          <a:solidFill>
                            <a:srgbClr val="ffffff"/>
                          </a:solidFill>
                          <a:ln cmpd="sng" cap="flat" w="19050">
                            <a:solidFill>
                              <a:srgbClr val="000000"/>
                            </a:solidFill>
                            <a:prstDash val="solid"/>
                            <a:miter/>
                            <a:headEnd/>
                            <a:tailEnd/>
                          </a:ln>
                        </wps:spPr>
                        <wps:txbx id="1075">
                          <w:txbxContent>
                            <w:p>
                              <w:pPr>
                                <w:pStyle w:val="style0"/>
                                <w:spacing w:after="0" w:lineRule="auto" w:line="253"/>
                                <w:jc w:val="center"/>
                                <w:rPr>
                                  <w:rFonts w:eastAsia="Calibri"/>
                                  <w:i/>
                                  <w:iCs/>
                                  <w:sz w:val="20"/>
                                  <w:szCs w:val="20"/>
                                  <w14:ligatures xmlns:w14="http://schemas.microsoft.com/office/word/2010/wordml" w14:val="none"/>
                                </w:rPr>
                              </w:pPr>
                              <w:r>
                                <w:rPr>
                                  <w:rFonts w:eastAsia="Calibri"/>
                                  <w:i/>
                                  <w:iCs/>
                                  <w:sz w:val="20"/>
                                  <w:szCs w:val="20"/>
                                </w:rPr>
                                <w:t>Firm Value</w:t>
                              </w:r>
                              <w:r>
                                <w:rPr>
                                  <w:rFonts w:eastAsia="Calibri"/>
                                  <w:i/>
                                  <w:iCs/>
                                  <w:sz w:val="22"/>
                                </w:rPr>
                                <w:t xml:space="preserve">                        </w:t>
                              </w:r>
                              <w:r>
                                <w:rPr>
                                  <w:rFonts w:eastAsia="Calibri"/>
                                  <w:sz w:val="20"/>
                                  <w:szCs w:val="20"/>
                                </w:rPr>
                                <w:t>(Y)</w:t>
                              </w:r>
                            </w:p>
                          </w:txbxContent>
                        </wps:txbx>
                        <wps:bodyPr lIns="91440" rIns="91440" tIns="45720" bIns="45720" vert="horz" anchor="ctr" wrap="square">
                          <a:prstTxWarp prst="textNoShape"/>
                          <a:noAutofit/>
                        </wps:bodyPr>
                      </wps:wsp>
                      <wps:wsp>
                        <wps:cNvSpPr/>
                        <wps:spPr>
                          <a:xfrm rot="0">
                            <a:off x="1803060" y="922686"/>
                            <a:ext cx="1477169" cy="27999"/>
                          </a:xfrm>
                          <a:prstGeom prst="straightConnector1"/>
                          <a:ln cmpd="sng" cap="flat" w="12700">
                            <a:solidFill>
                              <a:srgbClr val="000000"/>
                            </a:solidFill>
                            <a:prstDash val="solid"/>
                            <a:miter/>
                            <a:headEnd/>
                            <a:tailEnd len="med" w="med" type="triangle"/>
                          </a:ln>
                        </wps:spPr>
                        <wps:bodyPr>
                          <a:prstTxWarp prst="textNoShape"/>
                        </wps:bodyPr>
                      </wps:wsp>
                    </wpc:wpc>
                  </a:graphicData>
                </a:graphic>
              </wp:anchor>
            </w:drawing>
          </mc:Choice>
          <mc:Fallback>
            <w:pict>
              <v:group id="1065" filled="f" stroked="f" style="position:absolute;margin-left:0.0pt;margin-top:84.52pt;width:396.85pt;height:146.75pt;z-index:2;mso-position-horizontal:left;mso-position-horizontal-relative:margin;mso-position-vertical-relative:text;mso-width-relative:page;mso-height-relative:page;mso-wrap-distance-left:0.0pt;mso-wrap-distance-right:0.0pt;visibility:visible;" coordsize="5039995,1863725" editas="canvas">
                <v:shape id="1066" type="#_x0000_t75" fillcolor="white" stroked="f" style="position:absolute;left:0;top:0;width:5039995;height:1863725;z-index:2;mso-position-horizontal:left;mso-position-horizontal-relative:margin;mso-position-vertical-relative:text;mso-width-relative:page;mso-height-relative:page;visibility:visible;">
                  <w10:wrap type="square"/>
                  <v:fill/>
                </v:shape>
                <v:rect id="1067" fillcolor="white" stroked="f" style="position:absolute;left:2410120;top:970946;width:543560;height:325755;z-index:3;mso-position-horizontal-relative:page;mso-position-vertical-relative:page;mso-width-relative:page;mso-height-relative:page;visibility:visible;">
                  <v:stroke on="f" weight="0.5pt"/>
                  <v:fill/>
                  <v:textbox inset="7.2pt,3.6pt,7.2pt,3.6pt">
                    <w:txbxContent>
                      <w:p>
                        <w:pPr>
                          <w:pStyle w:val="style0"/>
                          <w:spacing w:lineRule="auto" w:line="256"/>
                          <w:rPr>
                            <w:rFonts w:ascii="Cambria Math" w:eastAsia="Calibri"/>
                            <w:sz w:val="20"/>
                            <w:szCs w:val="20"/>
                            <w14:ligatures xmlns:w14="http://schemas.microsoft.com/office/word/2010/wordml" w14:val="none"/>
                          </w:rPr>
                        </w:pPr>
                        <m:oMath>
                          <m:sSub>
                            <m:sSubPr>
                              <m:ctrlPr>
                                <w:rPr>
                                  <w:rFonts w:ascii="Cambria Math" w:eastAsia="Calibri" w:hAnsi="Cambria Math"/>
                                </w:rPr>
                              </m:ctrlPr>
                            </m:sSubPr>
                            <m:e>
                              <m:r>
                                <m:rPr>
                                  <m:sty m:val="p"/>
                                </m:rPr>
                                <w:rPr>
                                  <w:rFonts w:ascii="Cambria Math" w:eastAsia="Calibri" w:hAnsi="Cambria Math"/>
                                  <w:sz w:val="20"/>
                                  <w:szCs w:val="20"/>
                                </w:rPr>
                                <m:t>H</m:t>
                              </m:r>
                            </m:e>
                            <m:sub>
                              <m:r>
                                <m:rPr>
                                  <m:sty m:val="p"/>
                                </m:rPr>
                                <w:rPr>
                                  <w:rFonts w:ascii="Cambria Math" w:eastAsia="Calibri" w:hAnsi="Cambria Math"/>
                                  <w:sz w:val="20"/>
                                  <w:szCs w:val="20"/>
                                </w:rPr>
                                <m:t>3</m:t>
                              </m:r>
                            </m:sub>
                          </m:sSub>
                        </m:oMath>
                        <w:r>
                          <w:rPr>
                            <w:rFonts w:eastAsia="Times New Roman"/>
                            <w:sz w:val="20"/>
                            <w:szCs w:val="20"/>
                          </w:rPr>
                          <w:t>(+)</w:t>
                        </w:r>
                      </w:p>
                      <w:p>
                        <w:pPr>
                          <w:pStyle w:val="style0"/>
                          <w:spacing w:lineRule="auto" w:line="253"/>
                          <w:rPr>
                            <w:rFonts w:eastAsia="Calibri"/>
                            <w:sz w:val="22"/>
                          </w:rPr>
                        </w:pPr>
                        <w:r>
                          <w:rPr>
                            <w:rFonts w:eastAsia="Calibri"/>
                            <w:sz w:val="22"/>
                          </w:rPr>
                          <w:t> </w:t>
                        </w:r>
                      </w:p>
                    </w:txbxContent>
                  </v:textbox>
                </v:rect>
                <v:rect id="1068" fillcolor="white" stroked="f" style="position:absolute;left:2410120;top:337216;width:596265;height:312420;z-index:4;mso-position-horizontal-relative:page;mso-position-vertical-relative:page;mso-width-relative:page;mso-height-relative:page;visibility:visible;">
                  <v:stroke on="f" weight="0.5pt"/>
                  <v:fill/>
                  <v:textbox inset="7.2pt,3.6pt,7.2pt,3.6pt">
                    <w:txbxContent>
                      <w:p>
                        <w:pPr>
                          <w:pStyle w:val="style0"/>
                          <w:spacing w:lineRule="auto" w:line="256"/>
                          <w:rPr>
                            <w:rFonts w:ascii="Cambria Math" w:eastAsia="Calibri"/>
                            <w:sz w:val="20"/>
                            <w:szCs w:val="20"/>
                            <w14:ligatures xmlns:w14="http://schemas.microsoft.com/office/word/2010/wordml" w14:val="none"/>
                          </w:rPr>
                        </w:pPr>
                        <m:oMath>
                          <m:sSub>
                            <m:sSubPr>
                              <m:ctrlPr>
                                <w:rPr>
                                  <w:rFonts w:ascii="Cambria Math" w:eastAsia="Calibri" w:hAnsi="Cambria Math"/>
                                </w:rPr>
                              </m:ctrlPr>
                            </m:sSubPr>
                            <m:e>
                              <m:r>
                                <m:rPr>
                                  <m:sty m:val="p"/>
                                </m:rPr>
                                <w:rPr>
                                  <w:rFonts w:ascii="Cambria Math" w:eastAsia="Calibri" w:hAnsi="Cambria Math"/>
                                  <w:sz w:val="20"/>
                                  <w:szCs w:val="20"/>
                                </w:rPr>
                                <m:t>H</m:t>
                              </m:r>
                            </m:e>
                            <m:sub>
                              <m:r>
                                <m:rPr>
                                  <m:sty m:val="p"/>
                                </m:rPr>
                                <w:rPr>
                                  <w:rFonts w:ascii="Cambria Math" w:eastAsia="Calibri" w:hAnsi="Cambria Math"/>
                                  <w:sz w:val="20"/>
                                  <w:szCs w:val="20"/>
                                </w:rPr>
                                <m:t>1</m:t>
                              </m:r>
                            </m:sub>
                          </m:sSub>
                        </m:oMath>
                        <w:r>
                          <w:rPr>
                            <w:rFonts w:eastAsia="Times New Roman"/>
                            <w:sz w:val="20"/>
                            <w:szCs w:val="20"/>
                          </w:rPr>
                          <w:t>(+)</w:t>
                        </w:r>
                      </w:p>
                    </w:txbxContent>
                  </v:textbox>
                </v:rect>
                <v:rect id="1069" fillcolor="white" stroked="f" style="position:absolute;left:2400595;top:690911;width:535305;height:302260;z-index:5;mso-position-horizontal-relative:page;mso-position-vertical-relative:page;mso-width-relative:page;mso-height-relative:page;visibility:visible;">
                  <v:stroke on="f" weight="0.5pt"/>
                  <v:fill/>
                  <v:textbox inset="7.2pt,3.6pt,7.2pt,3.6pt">
                    <w:txbxContent>
                      <w:p>
                        <w:pPr>
                          <w:pStyle w:val="style0"/>
                          <w:spacing w:lineRule="auto" w:line="256"/>
                          <w:rPr>
                            <w:rFonts w:ascii="Cambria Math" w:eastAsia="Calibri"/>
                            <w:sz w:val="20"/>
                            <w:szCs w:val="20"/>
                            <w14:ligatures xmlns:w14="http://schemas.microsoft.com/office/word/2010/wordml" w14:val="none"/>
                          </w:rPr>
                        </w:pPr>
                        <m:oMath>
                          <m:sSub>
                            <m:sSubPr>
                              <m:ctrlPr>
                                <w:rPr>
                                  <w:rFonts w:ascii="Cambria Math" w:eastAsia="Calibri" w:hAnsi="Cambria Math"/>
                                </w:rPr>
                              </m:ctrlPr>
                            </m:sSubPr>
                            <m:e>
                              <m:r>
                                <m:rPr>
                                  <m:sty m:val="p"/>
                                </m:rPr>
                                <w:rPr>
                                  <w:rFonts w:ascii="Cambria Math" w:eastAsia="Calibri" w:hAnsi="Cambria Math"/>
                                  <w:sz w:val="20"/>
                                  <w:szCs w:val="20"/>
                                </w:rPr>
                                <m:t>H</m:t>
                              </m:r>
                            </m:e>
                            <m:sub>
                              <m:r>
                                <m:rPr>
                                  <m:sty m:val="p"/>
                                </m:rPr>
                                <w:rPr>
                                  <w:rFonts w:ascii="Cambria Math" w:eastAsia="Calibri" w:hAnsi="Cambria Math"/>
                                  <w:sz w:val="20"/>
                                  <w:szCs w:val="20"/>
                                </w:rPr>
                                <m:t>2</m:t>
                              </m:r>
                            </m:sub>
                          </m:sSub>
                        </m:oMath>
                        <w:r>
                          <w:rPr>
                            <w:rFonts w:eastAsia="Times New Roman"/>
                            <w:sz w:val="20"/>
                            <w:szCs w:val="20"/>
                          </w:rPr>
                          <w:t>(+)</w:t>
                        </w:r>
                      </w:p>
                      <w:p>
                        <w:pPr>
                          <w:pStyle w:val="style0"/>
                          <w:spacing w:lineRule="auto" w:line="253"/>
                          <w:rPr>
                            <w:rFonts w:eastAsia="Calibri"/>
                            <w:sz w:val="22"/>
                          </w:rPr>
                        </w:pPr>
                        <w:r>
                          <w:rPr>
                            <w:rFonts w:eastAsia="Calibri"/>
                            <w:sz w:val="22"/>
                          </w:rPr>
                          <w:t> </w:t>
                        </w:r>
                      </w:p>
                    </w:txbxContent>
                  </v:textbox>
                </v:rect>
                <v:rect id="1070" fillcolor="white" stroked="t" style="position:absolute;left:180000;top:31;width:1619885;height:532130;z-index:6;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3"/>
                          <w:jc w:val="center"/>
                          <w:rPr>
                            <w:rFonts w:eastAsia="Calibri"/>
                            <w:i/>
                            <w:iCs/>
                            <w:sz w:val="20"/>
                            <w:szCs w:val="20"/>
                            <w14:ligatures xmlns:w14="http://schemas.microsoft.com/office/word/2010/wordml" w14:val="none"/>
                          </w:rPr>
                        </w:pPr>
                        <w:r>
                          <w:rPr>
                            <w:rFonts w:eastAsia="Calibri"/>
                            <w:i/>
                            <w:iCs/>
                            <w:sz w:val="20"/>
                            <w:szCs w:val="20"/>
                          </w:rPr>
                          <w:t xml:space="preserve">Enterprise Risk Management </w:t>
                        </w:r>
                        <w:r>
                          <w:rPr>
                            <w:rFonts w:eastAsia="Calibri"/>
                            <w:sz w:val="20"/>
                            <w:szCs w:val="20"/>
                          </w:rPr>
                          <w:t>(</w:t>
                        </w:r>
                        <m:oMath>
                          <m:sSub>
                            <m:sSubPr>
                              <m:ctrlPr>
                                <w:rPr>
                                  <w:rFonts w:ascii="Cambria Math" w:eastAsia="Calibri" w:hAnsi="Cambria Math"/>
                                </w:rPr>
                              </m:ctrlPr>
                            </m:sSubPr>
                            <m:e>
                              <m:r>
                                <m:rPr>
                                  <m:sty m:val="p"/>
                                </m:rPr>
                                <w:rPr>
                                  <w:rFonts w:ascii="Cambria Math" w:eastAsia="Calibri" w:hAnsi="Cambria Math"/>
                                  <w:sz w:val="20"/>
                                  <w:szCs w:val="20"/>
                                </w:rPr>
                                <m:t>X</m:t>
                              </m:r>
                            </m:e>
                            <m:sub>
                              <m:r>
                                <m:rPr>
                                  <m:sty m:val="p"/>
                                </m:rPr>
                                <w:rPr>
                                  <w:rFonts w:ascii="Cambria Math" w:eastAsia="Calibri" w:hAnsi="Cambria Math"/>
                                  <w:sz w:val="20"/>
                                  <w:szCs w:val="20"/>
                                </w:rPr>
                                <m:t>1</m:t>
                              </m:r>
                            </m:sub>
                          </m:sSub>
                        </m:oMath>
                        <w:r>
                          <w:rPr>
                            <w:rFonts w:eastAsia="Calibri"/>
                            <w:sz w:val="20"/>
                            <w:szCs w:val="20"/>
                          </w:rPr>
                          <w:t>)</w:t>
                        </w:r>
                      </w:p>
                    </w:txbxContent>
                  </v:textbox>
                </v:rect>
                <v:rect id="1071" fillcolor="white" stroked="t" style="position:absolute;left:185715;top:1296066;width:1622425;height:532130;z-index:7;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3"/>
                          <w:jc w:val="center"/>
                          <w:rPr>
                            <w:rFonts w:eastAsia="Calibri"/>
                            <w:b/>
                            <w:bCs/>
                            <w:sz w:val="20"/>
                            <w:szCs w:val="20"/>
                            <w14:ligatures xmlns:w14="http://schemas.microsoft.com/office/word/2010/wordml" w14:val="none"/>
                          </w:rPr>
                        </w:pPr>
                        <w:r>
                          <w:rPr>
                            <w:rFonts w:eastAsia="Calibri"/>
                            <w:i/>
                            <w:iCs/>
                            <w:sz w:val="20"/>
                            <w:szCs w:val="20"/>
                          </w:rPr>
                          <w:t>Institutional Ownership</w:t>
                        </w:r>
                        <w:r>
                          <w:rPr>
                            <w:rFonts w:eastAsia="Calibri"/>
                            <w:i/>
                            <w:iCs/>
                            <w:sz w:val="20"/>
                            <w:szCs w:val="20"/>
                          </w:rPr>
                          <w:t xml:space="preserve">  </w:t>
                        </w:r>
                        <w:r>
                          <w:rPr>
                            <w:rFonts w:eastAsia="Calibri"/>
                            <w:i/>
                            <w:iCs/>
                            <w:sz w:val="22"/>
                          </w:rPr>
                          <w:t xml:space="preserve">                      </w:t>
                        </w:r>
                        <w:r>
                          <w:rPr>
                            <w:rFonts w:eastAsia="Calibri"/>
                            <w:sz w:val="20"/>
                            <w:szCs w:val="20"/>
                          </w:rPr>
                          <w:t>(</w:t>
                        </w:r>
                        <m:oMath>
                          <m:sSub>
                            <m:sSubPr>
                              <m:ctrlPr>
                                <w:rPr>
                                  <w:rFonts w:ascii="Cambria Math" w:eastAsia="Calibri" w:hAnsi="Cambria Math"/>
                                  <w:sz w:val="20"/>
                                  <w:szCs w:val="20"/>
                                </w:rPr>
                              </m:ctrlPr>
                            </m:sSubPr>
                            <m:e>
                              <m:r>
                                <m:rPr>
                                  <m:sty m:val="p"/>
                                </m:rPr>
                                <w:rPr>
                                  <w:rFonts w:ascii="Cambria Math" w:eastAsia="Calibri" w:hAnsi="Cambria Math"/>
                                  <w:sz w:val="20"/>
                                  <w:szCs w:val="20"/>
                                </w:rPr>
                                <m:t>X</m:t>
                              </m:r>
                            </m:e>
                            <m:sub>
                              <m:r>
                                <m:rPr>
                                  <m:sty m:val="p"/>
                                </m:rPr>
                                <w:rPr>
                                  <w:rFonts w:ascii="Cambria Math" w:eastAsia="Calibri" w:hAnsi="Cambria Math"/>
                                  <w:sz w:val="20"/>
                                  <w:szCs w:val="20"/>
                                </w:rPr>
                                <m:t>3</m:t>
                              </m:r>
                            </m:sub>
                          </m:sSub>
                        </m:oMath>
                        <w:r>
                          <w:rPr>
                            <w:rFonts w:eastAsia="Calibri"/>
                            <w:b/>
                            <w:bCs/>
                            <w:sz w:val="20"/>
                            <w:szCs w:val="20"/>
                          </w:rPr>
                          <w:t>)</w:t>
                        </w:r>
                      </w:p>
                    </w:txbxContent>
                  </v:textbox>
                </v:rect>
                <v:rect id="1072" fillcolor="white" stroked="t" style="position:absolute;left:182540;top:656621;width:1619885;height:532130;z-index:8;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3"/>
                          <w:jc w:val="center"/>
                          <w:rPr>
                            <w:rFonts w:eastAsia="Calibri"/>
                            <w:i/>
                            <w:iCs/>
                            <w:sz w:val="20"/>
                            <w:szCs w:val="20"/>
                            <w14:ligatures xmlns:w14="http://schemas.microsoft.com/office/word/2010/wordml" w14:val="none"/>
                          </w:rPr>
                        </w:pPr>
                        <w:r>
                          <w:rPr>
                            <w:rFonts w:eastAsia="Calibri"/>
                            <w:i/>
                            <w:iCs/>
                            <w:sz w:val="20"/>
                            <w:szCs w:val="20"/>
                          </w:rPr>
                          <w:t xml:space="preserve">Managerial Ownership   </w:t>
                        </w:r>
                        <w:r>
                          <w:rPr>
                            <w:rFonts w:eastAsia="Calibri"/>
                            <w:sz w:val="20"/>
                            <w:szCs w:val="20"/>
                          </w:rPr>
                          <w:t>(</w:t>
                        </w:r>
                        <m:oMath>
                          <m:sSub>
                            <m:sSubPr>
                              <m:ctrlPr>
                                <w:rPr>
                                  <w:rFonts w:ascii="Cambria Math" w:eastAsia="Calibri" w:hAnsi="Cambria Math"/>
                                </w:rPr>
                              </m:ctrlPr>
                            </m:sSubPr>
                            <m:e>
                              <m:r>
                                <m:rPr>
                                  <m:sty m:val="p"/>
                                </m:rPr>
                                <w:rPr>
                                  <w:rFonts w:ascii="Cambria Math" w:eastAsia="Calibri" w:hAnsi="Cambria Math"/>
                                  <w:sz w:val="20"/>
                                  <w:szCs w:val="20"/>
                                </w:rPr>
                                <m:t>X</m:t>
                              </m:r>
                            </m:e>
                            <m:sub>
                              <m:r>
                                <m:rPr>
                                  <m:sty m:val="p"/>
                                </m:rPr>
                                <w:rPr>
                                  <w:rFonts w:ascii="Cambria Math" w:eastAsia="Calibri" w:hAnsi="Cambria Math"/>
                                  <w:sz w:val="20"/>
                                  <w:szCs w:val="20"/>
                                </w:rPr>
                                <m:t>2</m:t>
                              </m:r>
                            </m:sub>
                          </m:sSub>
                        </m:oMath>
                        <w:r>
                          <w:rPr>
                            <w:rFonts w:eastAsia="Calibri"/>
                            <w:sz w:val="20"/>
                            <w:szCs w:val="20"/>
                          </w:rPr>
                          <w:t>)</w:t>
                        </w:r>
                      </w:p>
                    </w:txbxContent>
                  </v:textbox>
                </v:rect>
                <v:shape id="1073" type="#_x0000_t32" filled="f" style="position:absolute;left:1800520;top:266096;width:1471930;height:590550;z-index:9;mso-position-horizontal-relative:page;mso-position-vertical-relative:page;mso-width-relative:page;mso-height-relative:page;visibility:visible;">
                  <v:stroke endarrow="block" joinstyle="miter" weight="1.0pt"/>
                  <v:fill/>
                </v:shape>
                <v:shape id="1074" type="#_x0000_t32" filled="f" style="position:absolute;left:1808775;top:1016000;width:1463675;height:546131;z-index:10;mso-position-horizontal-relative:page;mso-position-vertical-relative:page;mso-width-relative:page;mso-height-relative:page;visibility:visible;flip:y;">
                  <v:stroke endarrow="block" joinstyle="miter" weight="1.0pt"/>
                  <v:fill/>
                </v:shape>
                <v:rect id="1075" fillcolor="white" stroked="t" style="position:absolute;left:3320710;top:638206;width:1622425;height:532130;z-index:11;mso-position-horizontal-relative:page;mso-position-vertical-relative:page;mso-width-relative:page;mso-height-relative:page;visibility:visible;v-text-anchor:middle;">
                  <v:stroke joinstyle="miter" weight="1.5pt"/>
                  <v:fill/>
                  <v:textbox inset="7.2pt,3.6pt,7.2pt,3.6pt">
                    <w:txbxContent>
                      <w:p>
                        <w:pPr>
                          <w:pStyle w:val="style0"/>
                          <w:spacing w:after="0" w:lineRule="auto" w:line="253"/>
                          <w:jc w:val="center"/>
                          <w:rPr>
                            <w:rFonts w:eastAsia="Calibri"/>
                            <w:i/>
                            <w:iCs/>
                            <w:sz w:val="20"/>
                            <w:szCs w:val="20"/>
                            <w14:ligatures xmlns:w14="http://schemas.microsoft.com/office/word/2010/wordml" w14:val="none"/>
                          </w:rPr>
                        </w:pPr>
                        <w:r>
                          <w:rPr>
                            <w:rFonts w:eastAsia="Calibri"/>
                            <w:i/>
                            <w:iCs/>
                            <w:sz w:val="20"/>
                            <w:szCs w:val="20"/>
                          </w:rPr>
                          <w:t>Firm Value</w:t>
                        </w:r>
                        <w:r>
                          <w:rPr>
                            <w:rFonts w:eastAsia="Calibri"/>
                            <w:i/>
                            <w:iCs/>
                            <w:sz w:val="22"/>
                          </w:rPr>
                          <w:t xml:space="preserve">                        </w:t>
                        </w:r>
                        <w:r>
                          <w:rPr>
                            <w:rFonts w:eastAsia="Calibri"/>
                            <w:sz w:val="20"/>
                            <w:szCs w:val="20"/>
                          </w:rPr>
                          <w:t>(Y)</w:t>
                        </w:r>
                      </w:p>
                    </w:txbxContent>
                  </v:textbox>
                </v:rect>
                <v:shape id="1076" type="#_x0000_t32" filled="f" style="position:absolute;left:1803060;top:922686;width:1477169;height:27999;z-index:12;mso-position-horizontal-relative:page;mso-position-vertical-relative:page;mso-width-relative:page;mso-height-relative:page;visibility:visible;">
                  <v:stroke endarrow="block" joinstyle="miter" weight="1.0pt"/>
                  <v:fill/>
                </v:shape>
                <w10:wrap type="topAndBottom"/>
                <v:fill/>
              </v:group>
            </w:pict>
          </mc:Fallback>
        </mc:AlternateContent>
      </w:r>
      <w:r>
        <w:t>Berdasarkan pem</w:t>
      </w:r>
      <w:r>
        <w:t>a</w:t>
      </w:r>
      <w:r>
        <w:t>paran kajian penelitian terdahulu serta pengembangan hipotesis, maka dikembangkan model</w:t>
      </w:r>
      <w:r>
        <w:t xml:space="preserve"> </w:t>
      </w:r>
      <w:r>
        <w:t xml:space="preserve">penelitian </w:t>
      </w:r>
      <w:r>
        <w:t xml:space="preserve">sederhana </w:t>
      </w:r>
      <w:r>
        <w:t>yang dapat dilihat pada gambar 2.2</w:t>
      </w:r>
      <w:r>
        <w:t>:</w:t>
      </w:r>
      <w:bookmarkStart w:id="47" w:name="_Toc195764793"/>
    </w:p>
    <w:bookmarkEnd w:id="47"/>
    <w:p>
      <w:pPr>
        <w:pStyle w:val="style34"/>
        <w:tabs>
          <w:tab w:val="left" w:leader="none" w:pos="2340"/>
        </w:tabs>
        <w:spacing w:before="240" w:after="0"/>
        <w:jc w:val="center"/>
        <w:rPr>
          <w:b w:val="false"/>
          <w:bCs/>
          <w:i/>
          <w:iCs w:val="false"/>
          <w:color w:val="auto"/>
          <w:sz w:val="22"/>
          <w:szCs w:val="22"/>
        </w:rPr>
      </w:pPr>
      <w:r>
        <w:rPr>
          <w:noProof/>
        </w:rPr>
        <mc:AlternateContent>
          <mc:Choice Requires="wps">
            <w:drawing>
              <wp:anchor distT="0" distB="0" distL="0" distR="0" simplePos="false" relativeHeight="4" behindDoc="false" locked="false" layoutInCell="true" allowOverlap="true">
                <wp:simplePos x="0" y="0"/>
                <wp:positionH relativeFrom="margin">
                  <wp:posOffset>163830</wp:posOffset>
                </wp:positionH>
                <wp:positionV relativeFrom="paragraph">
                  <wp:posOffset>1908511</wp:posOffset>
                </wp:positionV>
                <wp:extent cx="5039995" cy="635"/>
                <wp:effectExtent l="0" t="0" r="8255" b="0"/>
                <wp:wrapNone/>
                <wp:docPr id="1077" name="Text Box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39995" cy="635"/>
                        </a:xfrm>
                        <a:prstGeom prst="rect"/>
                        <a:solidFill>
                          <a:srgbClr val="ffffff"/>
                        </a:solidFill>
                        <a:ln>
                          <a:noFill/>
                        </a:ln>
                      </wps:spPr>
                      <wps:txbx id="1077">
                        <w:txbxContent>
                          <w:p>
                            <w:pPr>
                              <w:pStyle w:val="style34"/>
                              <w:spacing w:after="0"/>
                              <w:jc w:val="center"/>
                              <w:rPr>
                                <w:b w:val="false"/>
                                <w:bCs/>
                                <w:i/>
                                <w:iCs w:val="false"/>
                                <w:noProof/>
                                <w:color w:val="auto"/>
                                <w:sz w:val="22"/>
                                <w:szCs w:val="22"/>
                              </w:rPr>
                            </w:pPr>
                            <w:bookmarkStart w:id="48" w:name="_Toc215602272"/>
                            <w:r>
                              <w:rPr>
                                <w:bCs/>
                                <w:iCs w:val="false"/>
                                <w:color w:val="auto"/>
                                <w:sz w:val="22"/>
                                <w:szCs w:val="22"/>
                              </w:rPr>
                              <w:t>Gambar</w:t>
                            </w:r>
                            <w:r>
                              <w:rPr>
                                <w:b w:val="false"/>
                                <w:bCs/>
                                <w:i/>
                                <w:iCs w:val="false"/>
                                <w:color w:val="ffffff"/>
                                <w:sz w:val="22"/>
                                <w:szCs w:val="22"/>
                              </w:rPr>
                              <w:fldChar w:fldCharType="begin"/>
                            </w:r>
                            <w:r>
                              <w:rPr>
                                <w:bCs/>
                                <w:iCs w:val="false"/>
                                <w:color w:val="ffffff"/>
                                <w:sz w:val="22"/>
                                <w:szCs w:val="22"/>
                              </w:rPr>
                              <w:instrText xml:space="preserve"> SEQ Gambar \* ARABIC </w:instrText>
                            </w:r>
                            <w:r>
                              <w:rPr>
                                <w:b w:val="false"/>
                                <w:bCs/>
                                <w:i/>
                                <w:iCs w:val="false"/>
                                <w:color w:val="ffffff"/>
                                <w:sz w:val="22"/>
                                <w:szCs w:val="22"/>
                              </w:rPr>
                              <w:fldChar w:fldCharType="separate"/>
                            </w:r>
                            <w:r>
                              <w:rPr>
                                <w:bCs/>
                                <w:iCs w:val="false"/>
                                <w:noProof/>
                                <w:color w:val="ffffff"/>
                                <w:sz w:val="22"/>
                                <w:szCs w:val="22"/>
                              </w:rPr>
                              <w:t>4</w:t>
                            </w:r>
                            <w:r>
                              <w:rPr>
                                <w:b w:val="false"/>
                                <w:bCs/>
                                <w:i/>
                                <w:iCs w:val="false"/>
                                <w:color w:val="ffffff"/>
                                <w:sz w:val="22"/>
                                <w:szCs w:val="22"/>
                              </w:rPr>
                              <w:fldChar w:fldCharType="end"/>
                            </w:r>
                            <w:r>
                              <w:rPr>
                                <w:bCs/>
                                <w:iCs w:val="false"/>
                                <w:color w:val="auto"/>
                                <w:sz w:val="22"/>
                                <w:szCs w:val="22"/>
                              </w:rPr>
                              <w:t>2.2. Model Penelitian</w:t>
                            </w:r>
                            <w:bookmarkEnd w:id="48"/>
                          </w:p>
                        </w:txbxContent>
                      </wps:txbx>
                      <wps:bodyPr lIns="0" rIns="0" tIns="0" bIns="0" vert="horz" anchor="t" wrap="square">
                        <a:prstTxWarp prst="textNoShape"/>
                        <a:spAutoFit/>
                      </wps:bodyPr>
                    </wps:wsp>
                  </a:graphicData>
                </a:graphic>
              </wp:anchor>
            </w:drawing>
          </mc:Choice>
          <mc:Fallback>
            <w:pict>
              <v:rect id="1077" fillcolor="white" stroked="f" style="position:absolute;margin-left:12.9pt;margin-top:150.28pt;width:396.85pt;height:0.05pt;z-index:4;mso-position-horizontal-relative:margin;mso-position-vertical-relative:text;mso-width-relative:page;mso-height-relative:page;mso-wrap-distance-left:0.0pt;mso-wrap-distance-right:0.0pt;visibility:visible;">
                <v:stroke on="f"/>
                <v:fill/>
                <v:textbox inset="0.0pt,0.0pt,0.0pt,0.0pt" style="mso-fit-shape-to-text:true;">
                  <w:txbxContent>
                    <w:p>
                      <w:pPr>
                        <w:pStyle w:val="style34"/>
                        <w:spacing w:after="0"/>
                        <w:jc w:val="center"/>
                        <w:rPr>
                          <w:b w:val="false"/>
                          <w:bCs/>
                          <w:i/>
                          <w:iCs w:val="false"/>
                          <w:noProof/>
                          <w:color w:val="auto"/>
                          <w:sz w:val="22"/>
                          <w:szCs w:val="22"/>
                        </w:rPr>
                      </w:pPr>
                      <w:r>
                        <w:rPr>
                          <w:bCs/>
                          <w:iCs w:val="false"/>
                          <w:color w:val="auto"/>
                          <w:sz w:val="22"/>
                          <w:szCs w:val="22"/>
                        </w:rPr>
                        <w:t>Gambar</w:t>
                      </w:r>
                      <w:r>
                        <w:rPr>
                          <w:b w:val="false"/>
                          <w:bCs/>
                          <w:i/>
                          <w:iCs w:val="false"/>
                          <w:color w:val="ffffff"/>
                          <w:sz w:val="22"/>
                          <w:szCs w:val="22"/>
                        </w:rPr>
                        <w:fldChar w:fldCharType="begin"/>
                      </w:r>
                      <w:r>
                        <w:rPr>
                          <w:bCs/>
                          <w:iCs w:val="false"/>
                          <w:color w:val="ffffff"/>
                          <w:sz w:val="22"/>
                          <w:szCs w:val="22"/>
                        </w:rPr>
                        <w:instrText xml:space="preserve"> SEQ Gambar \* ARABIC </w:instrText>
                      </w:r>
                      <w:r>
                        <w:rPr>
                          <w:b w:val="false"/>
                          <w:bCs/>
                          <w:i/>
                          <w:iCs w:val="false"/>
                          <w:color w:val="ffffff"/>
                          <w:sz w:val="22"/>
                          <w:szCs w:val="22"/>
                        </w:rPr>
                        <w:fldChar w:fldCharType="separate"/>
                      </w:r>
                      <w:r>
                        <w:rPr>
                          <w:bCs/>
                          <w:iCs w:val="false"/>
                          <w:noProof/>
                          <w:color w:val="ffffff"/>
                          <w:sz w:val="22"/>
                          <w:szCs w:val="22"/>
                        </w:rPr>
                        <w:t>4</w:t>
                      </w:r>
                      <w:r>
                        <w:rPr>
                          <w:b w:val="false"/>
                          <w:bCs/>
                          <w:i/>
                          <w:iCs w:val="false"/>
                          <w:color w:val="ffffff"/>
                          <w:sz w:val="22"/>
                          <w:szCs w:val="22"/>
                        </w:rPr>
                        <w:fldChar w:fldCharType="end"/>
                      </w:r>
                      <w:r>
                        <w:rPr>
                          <w:bCs/>
                          <w:iCs w:val="false"/>
                          <w:color w:val="auto"/>
                          <w:sz w:val="22"/>
                          <w:szCs w:val="22"/>
                        </w:rPr>
                        <w:t>2.2. Model Penelitian</w:t>
                      </w:r>
                    </w:p>
                  </w:txbxContent>
                </v:textbox>
              </v:rect>
            </w:pict>
          </mc:Fallback>
        </mc:AlternateContent>
      </w:r>
    </w:p>
    <w:p>
      <w:pPr>
        <w:pStyle w:val="style34"/>
        <w:spacing w:after="0"/>
        <w:jc w:val="center"/>
        <w:rPr>
          <w:rFonts w:cs="Times New Roman"/>
          <w:b w:val="false"/>
          <w:bCs/>
        </w:rPr>
      </w:pPr>
      <w:r>
        <w:rPr>
          <w:b w:val="false"/>
          <w:bCs/>
          <w:iCs w:val="false"/>
          <w:color w:val="auto"/>
          <w:sz w:val="20"/>
          <w:szCs w:val="20"/>
        </w:rPr>
        <w:t xml:space="preserve">Sumber: </w:t>
      </w:r>
      <w:r>
        <w:rPr>
          <w:b w:val="false"/>
          <w:bCs/>
          <w:iCs w:val="false"/>
          <w:color w:val="auto"/>
          <w:sz w:val="20"/>
          <w:szCs w:val="20"/>
        </w:rPr>
        <w:t>Model penelitian</w:t>
      </w:r>
      <w:r>
        <w:rPr>
          <w:b w:val="false"/>
          <w:bCs/>
          <w:iCs w:val="false"/>
          <w:color w:val="auto"/>
          <w:sz w:val="20"/>
          <w:szCs w:val="20"/>
        </w:rPr>
        <w:t xml:space="preserve"> dikembangkan pada penelitian</w:t>
      </w:r>
    </w:p>
    <w:p>
      <w:pPr>
        <w:pStyle w:val="style1"/>
        <w:spacing w:before="0" w:lineRule="auto" w:line="480"/>
        <w:rPr>
          <w:rFonts w:cs="Times New Roman"/>
        </w:rPr>
        <w:sectPr>
          <w:pgSz w:w="11906" w:h="16838" w:orient="portrait" w:code="9"/>
          <w:pgMar w:top="2268" w:right="1701" w:bottom="1701" w:left="2268" w:header="720" w:footer="720" w:gutter="0"/>
          <w:cols w:space="720"/>
          <w:titlePg/>
          <w:docGrid w:linePitch="360"/>
        </w:sectPr>
      </w:pPr>
    </w:p>
    <w:bookmarkStart w:id="49" w:name="_Toc218854612"/>
    <w:p>
      <w:pPr>
        <w:pStyle w:val="style1"/>
        <w:spacing w:before="0" w:lineRule="auto" w:line="480"/>
        <w:rPr>
          <w:rFonts w:cs="Times New Roman"/>
        </w:rPr>
      </w:pPr>
      <w:r>
        <w:rPr>
          <w:rFonts w:cs="Times New Roman"/>
        </w:rPr>
        <w:t>BAB III</w:t>
      </w:r>
      <w:bookmarkEnd w:id="49"/>
    </w:p>
    <w:bookmarkStart w:id="50" w:name="_Toc218854613"/>
    <w:p>
      <w:pPr>
        <w:pStyle w:val="style1"/>
        <w:spacing w:before="0" w:lineRule="auto" w:line="480"/>
        <w:rPr>
          <w:rFonts w:cs="Times New Roman"/>
        </w:rPr>
      </w:pPr>
      <w:r>
        <w:rPr>
          <w:rFonts w:cs="Times New Roman"/>
        </w:rPr>
        <w:t>METODE PENELITIAN</w:t>
      </w:r>
      <w:bookmarkEnd w:id="50"/>
    </w:p>
    <w:bookmarkStart w:id="51" w:name="_Toc218854614"/>
    <w:p>
      <w:pPr>
        <w:pStyle w:val="style2"/>
        <w:tabs>
          <w:tab w:val="left" w:leader="none" w:pos="810"/>
        </w:tabs>
        <w:spacing w:lineRule="auto" w:line="480"/>
        <w:rPr/>
      </w:pPr>
      <w:r>
        <w:t>3.</w:t>
      </w:r>
      <w:r>
        <w:t>1</w:t>
      </w:r>
      <w:r>
        <w:t xml:space="preserve">. </w:t>
      </w:r>
      <w:r>
        <w:tab/>
      </w:r>
      <w:r>
        <w:t xml:space="preserve">Definisi Operasional </w:t>
      </w:r>
      <w:r>
        <w:t>dan Pengukuran Variabel</w:t>
      </w:r>
      <w:bookmarkEnd w:id="51"/>
    </w:p>
    <w:bookmarkStart w:id="52" w:name="_Toc218854615"/>
    <w:p>
      <w:pPr>
        <w:pStyle w:val="style3"/>
        <w:rPr/>
      </w:pPr>
      <w:r>
        <w:t xml:space="preserve">3.1.1. </w:t>
      </w:r>
      <w:r>
        <w:tab/>
      </w:r>
      <w:r>
        <w:tab/>
      </w:r>
      <w:r>
        <w:rPr>
          <w:i/>
          <w:iCs/>
        </w:rPr>
        <w:t>Firm Value</w:t>
      </w:r>
      <w:bookmarkEnd w:id="52"/>
    </w:p>
    <w:p>
      <w:pPr>
        <w:pStyle w:val="style0"/>
        <w:spacing w:after="0" w:lineRule="auto" w:line="480"/>
        <w:ind w:firstLine="810"/>
        <w:jc w:val="both"/>
        <w:rPr>
          <w:rFonts w:cs="Times New Roman"/>
          <w:szCs w:val="24"/>
        </w:rPr>
      </w:pPr>
      <w:r>
        <w:rPr>
          <w:rFonts w:cs="Times New Roman"/>
          <w:iCs/>
          <w:noProof/>
          <w:szCs w:val="24"/>
        </w:rPr>
        <mc:AlternateContent>
          <mc:Choice Requires="wps">
            <w:drawing>
              <wp:anchor distT="0" distB="0" distL="0" distR="0" simplePos="false" relativeHeight="5" behindDoc="false" locked="false" layoutInCell="true" allowOverlap="true">
                <wp:simplePos x="0" y="0"/>
                <wp:positionH relativeFrom="margin">
                  <wp:posOffset>1713229</wp:posOffset>
                </wp:positionH>
                <wp:positionV relativeFrom="paragraph">
                  <wp:posOffset>2355086</wp:posOffset>
                </wp:positionV>
                <wp:extent cx="1665196" cy="573437"/>
                <wp:effectExtent l="0" t="0" r="11430" b="17145"/>
                <wp:wrapNone/>
                <wp:docPr id="1078" name="Rectangle 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65196" cy="573437"/>
                        </a:xfrm>
                        <a:prstGeom prst="rect"/>
                        <a:ln cmpd="sng" cap="flat" w="9525">
                          <a:solidFill>
                            <a:srgbClr val="000000"/>
                          </a:solidFill>
                          <a:prstDash val="solid"/>
                          <a:round/>
                          <a:headEnd len="med" w="med" type="none"/>
                          <a:tailEnd len="med" w="med" type="none"/>
                        </a:ln>
                      </wps:spPr>
                      <wps:txbx id="1078">
                        <w:txbxContent>
                          <w:p>
                            <w:pPr>
                              <w:pStyle w:val="style0"/>
                              <w:jc w:val="center"/>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78" filled="f" stroked="t" style="position:absolute;margin-left:134.9pt;margin-top:185.44pt;width:131.12pt;height:45.15pt;z-index:5;mso-position-horizontal-relative:margin;mso-position-vertical-relative:text;mso-width-percent:0;mso-height-percent:0;mso-width-relative:margin;mso-height-relative:margin;mso-wrap-distance-left:0.0pt;mso-wrap-distance-right:0.0pt;visibility:visible;v-text-anchor:middle;">
                <v:fill/>
                <v:textbox inset="7.2pt,3.6pt,7.2pt,3.6pt">
                  <w:txbxContent>
                    <w:p>
                      <w:pPr>
                        <w:pStyle w:val="style0"/>
                        <w:jc w:val="center"/>
                        <w:rPr/>
                      </w:pPr>
                    </w:p>
                  </w:txbxContent>
                </v:textbox>
              </v:rect>
            </w:pict>
          </mc:Fallback>
        </mc:AlternateContent>
      </w:r>
      <w:r>
        <w:rPr>
          <w:rFonts w:cs="Times New Roman"/>
          <w:i/>
          <w:iCs/>
        </w:rPr>
        <w:t>F</w:t>
      </w:r>
      <w:r>
        <w:rPr>
          <w:rFonts w:cs="Times New Roman"/>
          <w:i/>
          <w:iCs/>
        </w:rPr>
        <w:t>irm value</w:t>
      </w:r>
      <w:r>
        <w:rPr>
          <w:rFonts w:cs="Times New Roman"/>
          <w:i/>
          <w:iCs/>
        </w:rPr>
        <w:t xml:space="preserve"> </w:t>
      </w:r>
      <w:r>
        <w:rPr>
          <w:rFonts w:cs="Times New Roman"/>
        </w:rPr>
        <w:t>didefinisikan</w:t>
      </w:r>
      <w:r>
        <w:rPr>
          <w:rFonts w:cs="Times New Roman"/>
        </w:rPr>
        <w:t xml:space="preserve"> </w:t>
      </w:r>
      <w:r>
        <w:rPr>
          <w:rFonts w:cs="Times New Roman"/>
        </w:rPr>
        <w:t>sebagai</w:t>
      </w:r>
      <w:r>
        <w:rPr>
          <w:rFonts w:cs="Times New Roman"/>
        </w:rPr>
        <w:t xml:space="preserve"> indikator untuk menggambarkan potensi pertumbuhan yang diciptakan serta persepsi investor yang menentukan seberapa berharganya sebuah perusahaan</w:t>
      </w:r>
      <w:r>
        <w:rPr>
          <w:rFonts w:cs="Times New Roman"/>
          <w:color w:val="000000"/>
        </w:rPr>
        <w:t>.</w:t>
      </w:r>
      <w:r>
        <w:rPr>
          <w:rFonts w:cs="Times New Roman"/>
          <w:szCs w:val="24"/>
        </w:rPr>
        <w:t xml:space="preserve"> </w:t>
      </w:r>
      <w:r>
        <w:rPr>
          <w:rFonts w:cs="Times New Roman"/>
          <w:szCs w:val="24"/>
        </w:rPr>
        <w:t xml:space="preserve">Rasio </w:t>
      </w:r>
      <w:r>
        <w:rPr>
          <w:rFonts w:cs="Times New Roman"/>
          <w:i/>
          <w:iCs/>
          <w:szCs w:val="24"/>
        </w:rPr>
        <w:t>Tobin’s Q</w:t>
      </w:r>
      <w:r>
        <w:rPr>
          <w:rFonts w:cs="Times New Roman"/>
          <w:szCs w:val="24"/>
        </w:rPr>
        <w:t xml:space="preserve"> dapat dikatakan</w:t>
      </w:r>
      <w:r>
        <w:rPr>
          <w:rFonts w:cs="Times New Roman"/>
          <w:i/>
          <w:iCs/>
          <w:szCs w:val="24"/>
        </w:rPr>
        <w:t xml:space="preserve"> </w:t>
      </w:r>
      <w:r>
        <w:rPr>
          <w:rFonts w:cs="Times New Roman"/>
          <w:color w:val="000000"/>
        </w:rPr>
        <w:t xml:space="preserve">relevan dan lebih akurat karena perhitungannya </w:t>
      </w:r>
      <w:r>
        <w:rPr>
          <w:rFonts w:cs="Times New Roman"/>
          <w:szCs w:val="24"/>
        </w:rPr>
        <w:t xml:space="preserve">menggambarkan keseluruhan aset dan melihat </w:t>
      </w:r>
      <w:r>
        <w:rPr>
          <w:rFonts w:cs="Times New Roman"/>
          <w:szCs w:val="24"/>
        </w:rPr>
        <w:t>maupun</w:t>
      </w:r>
      <w:r>
        <w:rPr>
          <w:rFonts w:cs="Times New Roman"/>
          <w:szCs w:val="24"/>
        </w:rPr>
        <w:t xml:space="preserve"> memprediksi kinerja </w:t>
      </w:r>
      <w:r>
        <w:rPr>
          <w:rFonts w:cs="Times New Roman"/>
          <w:szCs w:val="24"/>
        </w:rPr>
        <w:t xml:space="preserve">dan potensi pertumbuhan </w:t>
      </w:r>
      <w:r>
        <w:rPr>
          <w:rFonts w:cs="Times New Roman"/>
          <w:szCs w:val="24"/>
        </w:rPr>
        <w:t>masa depan</w:t>
      </w:r>
      <w:r>
        <w:rPr>
          <w:rFonts w:cs="Times New Roman"/>
          <w:szCs w:val="24"/>
        </w:rPr>
        <w:t xml:space="preserve"> yang akan mempengaruhi </w:t>
      </w:r>
      <w:r>
        <w:rPr>
          <w:rFonts w:cs="Times New Roman"/>
          <w:i/>
          <w:iCs/>
          <w:szCs w:val="24"/>
        </w:rPr>
        <w:t xml:space="preserve">firm </w:t>
      </w:r>
      <w:r>
        <w:rPr>
          <w:rFonts w:eastAsia="Times New Roman"/>
          <w:i/>
          <w:iCs/>
        </w:rPr>
        <w:t>value.</w:t>
      </w:r>
      <w:r>
        <w:rPr>
          <w:rFonts w:eastAsia="Times New Roman"/>
          <w:i/>
          <w:iCs/>
        </w:rPr>
        <w:t xml:space="preserve"> </w:t>
      </w:r>
      <w:r>
        <w:rPr>
          <w:rFonts w:eastAsia="Times New Roman"/>
        </w:rPr>
        <w:t>Rumus perhitungan rasio</w:t>
      </w:r>
      <w:r>
        <w:rPr>
          <w:rFonts w:cs="Times New Roman"/>
          <w:color w:val="000000"/>
        </w:rPr>
        <w:t xml:space="preserve"> </w:t>
      </w:r>
      <w:r>
        <w:rPr>
          <w:rFonts w:cs="Times New Roman" w:eastAsia="Times New Roman"/>
          <w:color w:val="000000"/>
        </w:rPr>
        <w:t>(Septyanto &amp; Nugraha, 2021)</w:t>
      </w:r>
      <w:r>
        <w:rPr>
          <w:rFonts w:cs="Times New Roman"/>
          <w:color w:val="000000"/>
        </w:rPr>
        <w:t>,</w:t>
      </w:r>
      <w:r>
        <w:rPr>
          <w:rFonts w:cs="Times New Roman"/>
          <w:color w:val="000000"/>
        </w:rPr>
        <w:t xml:space="preserve"> sebagai berikut:</w:t>
      </w:r>
      <w:r>
        <w:rPr>
          <w:rFonts w:cs="Times New Roman"/>
          <w:color w:val="000000"/>
        </w:rPr>
        <w:t xml:space="preserve"> </w:t>
      </w:r>
    </w:p>
    <w:p>
      <w:pPr>
        <w:pStyle w:val="style0"/>
        <w:spacing w:after="0" w:lineRule="auto" w:line="480"/>
        <w:jc w:val="center"/>
        <w:rPr>
          <w:rFonts w:eastAsia="宋体"/>
          <w:sz w:val="22"/>
        </w:rPr>
      </w:pPr>
      <m:oMathPara>
        <m:oMath>
          <m:r>
            <w:rPr>
              <w:rFonts w:ascii="Cambria Math" w:eastAsia="宋体" w:hAnsi="Cambria Math"/>
              <w:sz w:val="22"/>
            </w:rPr>
            <m:t>Tobi</m:t>
          </m:r>
          <m:sSup>
            <m:sSupPr>
              <m:ctrlPr>
                <w:rPr>
                  <w:rFonts w:ascii="Cambria Math" w:eastAsia="宋体" w:hAnsi="Cambria Math"/>
                  <w:i/>
                  <w:sz w:val="22"/>
                </w:rPr>
              </m:ctrlPr>
            </m:sSupPr>
            <m:e>
              <m:r>
                <w:rPr>
                  <w:rFonts w:ascii="Cambria Math" w:eastAsia="宋体" w:hAnsi="Cambria Math"/>
                  <w:sz w:val="22"/>
                </w:rPr>
                <m:t>n</m:t>
              </m:r>
            </m:e>
            <m:sup>
              <m:r>
                <w:rPr>
                  <w:rFonts w:ascii="Cambria Math" w:eastAsia="宋体" w:hAnsi="Cambria Math"/>
                  <w:sz w:val="22"/>
                </w:rPr>
                <m:t>'</m:t>
              </m:r>
            </m:sup>
          </m:sSup>
          <m:r>
            <w:rPr>
              <w:rFonts w:ascii="Cambria Math" w:eastAsia="宋体" w:hAnsi="Cambria Math"/>
              <w:sz w:val="22"/>
            </w:rPr>
            <m:t xml:space="preserve">s Q= </m:t>
          </m:r>
          <m:f>
            <m:fPr>
              <m:ctrlPr>
                <w:rPr>
                  <w:rFonts w:ascii="Cambria Math" w:cs="Times New Roman" w:hAnsi="Cambria Math"/>
                  <w:sz w:val="22"/>
                </w:rPr>
              </m:ctrlPr>
            </m:fPr>
            <m:num>
              <m:r>
                <w:rPr>
                  <w:rFonts w:ascii="Cambria Math" w:cs="Times New Roman" w:hAnsi="Cambria Math"/>
                  <w:sz w:val="22"/>
                </w:rPr>
                <m:t>MVE</m:t>
              </m:r>
              <m:r>
                <m:rPr>
                  <m:sty m:val="p"/>
                </m:rPr>
                <w:rPr>
                  <w:rFonts w:ascii="Cambria Math" w:cs="Times New Roman" w:hAnsi="Cambria Math"/>
                  <w:sz w:val="22"/>
                </w:rPr>
                <m:t>+</m:t>
              </m:r>
              <m:r>
                <w:rPr>
                  <w:rFonts w:ascii="Cambria Math" w:cs="Times New Roman" w:hAnsi="Cambria Math"/>
                  <w:sz w:val="22"/>
                </w:rPr>
                <m:t>D</m:t>
              </m:r>
            </m:num>
            <m:den>
              <m:r>
                <w:rPr>
                  <w:rFonts w:ascii="Cambria Math" w:cs="Times New Roman" w:hAnsi="Cambria Math"/>
                  <w:sz w:val="22"/>
                </w:rPr>
                <m:t>TA</m:t>
              </m:r>
            </m:den>
          </m:f>
        </m:oMath>
      </m:oMathPara>
    </w:p>
    <w:p>
      <w:pPr>
        <w:pStyle w:val="style0"/>
        <w:tabs>
          <w:tab w:val="left" w:leader="none" w:pos="900"/>
        </w:tabs>
        <w:spacing w:after="0" w:lineRule="auto" w:line="480"/>
        <w:rPr>
          <w:rFonts w:cs="Times New Roman" w:eastAsia="宋体"/>
        </w:rPr>
      </w:pPr>
      <w:r>
        <w:rPr>
          <w:rFonts w:cs="Times New Roman" w:eastAsia="宋体"/>
        </w:rPr>
        <w:t>Keterangan:</w:t>
      </w:r>
    </w:p>
    <w:p>
      <w:pPr>
        <w:pStyle w:val="style0"/>
        <w:tabs>
          <w:tab w:val="left" w:leader="none" w:pos="1440"/>
          <w:tab w:val="left" w:leader="none" w:pos="1620"/>
        </w:tabs>
        <w:spacing w:after="0" w:lineRule="auto" w:line="480"/>
        <w:ind w:left="1620" w:hanging="1620"/>
        <w:jc w:val="both"/>
        <w:rPr>
          <w:rFonts w:cs="Times New Roman" w:eastAsia="宋体"/>
        </w:rPr>
      </w:pPr>
      <w:r>
        <w:rPr>
          <w:rFonts w:cs="Times New Roman" w:eastAsia="宋体"/>
        </w:rPr>
        <w:t xml:space="preserve">MVE </w:t>
      </w:r>
      <w:r>
        <w:rPr>
          <w:rFonts w:cs="Times New Roman" w:eastAsia="宋体"/>
        </w:rPr>
        <w:tab/>
      </w:r>
      <w:r>
        <w:rPr>
          <w:rFonts w:cs="Times New Roman" w:eastAsia="宋体"/>
        </w:rPr>
        <w:t xml:space="preserve">: </w:t>
      </w:r>
      <w:r>
        <w:rPr>
          <w:rFonts w:cs="Times New Roman" w:eastAsia="宋体"/>
        </w:rPr>
        <w:t xml:space="preserve">Nilai pasar ekuitas dari perhitungan harga </w:t>
      </w:r>
      <w:r>
        <w:rPr>
          <w:rFonts w:cs="Times New Roman" w:eastAsia="宋体"/>
        </w:rPr>
        <w:t xml:space="preserve">saham saat ini </w:t>
      </w:r>
      <w:r>
        <w:rPr>
          <w:rFonts w:cs="Times New Roman" w:eastAsia="宋体"/>
        </w:rPr>
        <w:t>dikali jumlah saham beredar</w:t>
      </w:r>
      <w:r>
        <w:rPr>
          <w:rFonts w:cs="Times New Roman" w:eastAsia="宋体"/>
        </w:rPr>
        <w:t xml:space="preserve"> </w:t>
      </w:r>
    </w:p>
    <w:p>
      <w:pPr>
        <w:pStyle w:val="style0"/>
        <w:tabs>
          <w:tab w:val="left" w:leader="none" w:pos="900"/>
        </w:tabs>
        <w:spacing w:after="0" w:lineRule="auto" w:line="480"/>
        <w:rPr>
          <w:rFonts w:cs="Times New Roman" w:eastAsia="宋体"/>
        </w:rPr>
      </w:pPr>
      <w:r>
        <w:rPr>
          <w:rFonts w:cs="Times New Roman" w:eastAsia="宋体"/>
        </w:rPr>
        <w:t>D</w:t>
      </w:r>
      <w:r>
        <w:rPr>
          <w:rFonts w:cs="Times New Roman" w:eastAsia="宋体"/>
        </w:rPr>
        <w:tab/>
      </w:r>
      <w:r>
        <w:rPr>
          <w:rFonts w:cs="Times New Roman" w:eastAsia="宋体"/>
        </w:rPr>
        <w:tab/>
      </w:r>
      <w:r>
        <w:rPr>
          <w:rFonts w:cs="Times New Roman" w:eastAsia="宋体"/>
        </w:rPr>
        <w:t xml:space="preserve">: </w:t>
      </w:r>
      <w:r>
        <w:rPr>
          <w:rFonts w:cs="Times New Roman" w:eastAsia="宋体"/>
        </w:rPr>
        <w:t>Total</w:t>
      </w:r>
      <w:r>
        <w:rPr>
          <w:rFonts w:cs="Times New Roman" w:eastAsia="宋体"/>
        </w:rPr>
        <w:t xml:space="preserve"> utang/liabilitas</w:t>
      </w:r>
    </w:p>
    <w:p>
      <w:pPr>
        <w:pStyle w:val="style0"/>
        <w:tabs>
          <w:tab w:val="left" w:leader="none" w:pos="900"/>
        </w:tabs>
        <w:spacing w:after="0" w:lineRule="auto" w:line="480"/>
        <w:rPr>
          <w:rFonts w:cs="Times New Roman" w:eastAsia="宋体"/>
        </w:rPr>
      </w:pPr>
      <w:r>
        <w:rPr>
          <w:rFonts w:cs="Times New Roman" w:eastAsia="宋体"/>
        </w:rPr>
        <w:t xml:space="preserve">TA </w:t>
      </w:r>
      <w:r>
        <w:rPr>
          <w:rFonts w:cs="Times New Roman" w:eastAsia="宋体"/>
        </w:rPr>
        <w:tab/>
      </w:r>
      <w:r>
        <w:rPr>
          <w:rFonts w:cs="Times New Roman" w:eastAsia="宋体"/>
        </w:rPr>
        <w:tab/>
      </w:r>
      <w:r>
        <w:rPr>
          <w:rFonts w:cs="Times New Roman" w:eastAsia="宋体"/>
        </w:rPr>
        <w:t>: Total</w:t>
      </w:r>
      <w:r>
        <w:rPr>
          <w:rFonts w:cs="Times New Roman" w:eastAsia="宋体"/>
        </w:rPr>
        <w:t xml:space="preserve"> aset</w:t>
      </w:r>
    </w:p>
    <w:p>
      <w:pPr>
        <w:pStyle w:val="style0"/>
        <w:tabs>
          <w:tab w:val="left" w:leader="none" w:pos="810"/>
        </w:tabs>
        <w:spacing w:after="0" w:lineRule="auto" w:line="480"/>
        <w:ind w:firstLine="630"/>
        <w:jc w:val="both"/>
        <w:rPr>
          <w:rFonts w:cs="Times New Roman"/>
          <w:szCs w:val="24"/>
        </w:rPr>
      </w:pPr>
      <w:r>
        <w:rPr>
          <w:rFonts w:cs="Times New Roman" w:eastAsia="宋体"/>
        </w:rPr>
        <w:tab/>
      </w:r>
      <w:r>
        <w:rPr>
          <w:rFonts w:cs="Times New Roman" w:eastAsia="宋体"/>
        </w:rPr>
        <w:t xml:space="preserve">Harga saham saat ini </w:t>
      </w:r>
      <w:r>
        <w:rPr>
          <w:rFonts w:cs="Times New Roman" w:eastAsia="宋体"/>
        </w:rPr>
        <w:t xml:space="preserve">merupakan harga yang dilihat </w:t>
      </w:r>
      <w:r>
        <w:rPr>
          <w:rFonts w:cs="Times New Roman" w:eastAsia="宋体"/>
        </w:rPr>
        <w:t>saat penutupan</w:t>
      </w:r>
      <w:r>
        <w:rPr>
          <w:rFonts w:cs="Times New Roman" w:eastAsia="宋体"/>
        </w:rPr>
        <w:t xml:space="preserve"> pada</w:t>
      </w:r>
      <w:r>
        <w:rPr>
          <w:rFonts w:cs="Times New Roman" w:eastAsia="宋体"/>
        </w:rPr>
        <w:t xml:space="preserve"> akhir tahun perhitungan</w:t>
      </w:r>
      <w:r>
        <w:rPr>
          <w:rFonts w:cs="Times New Roman" w:eastAsia="宋体"/>
        </w:rPr>
        <w:t>. Jumlah saham beredar dilihat dari angka yang tercatat pada akhir tahun perhitungan.</w:t>
      </w:r>
      <w:r>
        <w:rPr>
          <w:rFonts w:cs="Times New Roman"/>
          <w:szCs w:val="24"/>
        </w:rPr>
        <w:t xml:space="preserve"> </w:t>
      </w:r>
      <w:r>
        <w:rPr>
          <w:rFonts w:cs="Times New Roman"/>
          <w:szCs w:val="24"/>
        </w:rPr>
        <w:t xml:space="preserve">Parameter rasio </w:t>
      </w:r>
      <w:r>
        <w:rPr>
          <w:rFonts w:cs="Times New Roman"/>
          <w:i/>
          <w:iCs/>
          <w:szCs w:val="24"/>
        </w:rPr>
        <w:t>Tobin’s Q</w:t>
      </w:r>
      <w:r>
        <w:rPr>
          <w:rFonts w:cs="Times New Roman"/>
          <w:szCs w:val="24"/>
        </w:rPr>
        <w:t xml:space="preserve"> </w:t>
      </w:r>
      <w:r>
        <w:rPr>
          <w:rFonts w:cs="Times New Roman"/>
          <w:szCs w:val="24"/>
        </w:rPr>
        <w:t xml:space="preserve">lebih dari 1 </w:t>
      </w:r>
      <w:r>
        <w:rPr>
          <w:rFonts w:cs="Times New Roman"/>
          <w:szCs w:val="24"/>
        </w:rPr>
        <w:t>(Q</w:t>
      </w:r>
      <w:r>
        <w:rPr>
          <w:rFonts w:cs="Times New Roman"/>
          <w:szCs w:val="24"/>
        </w:rPr>
        <w:t xml:space="preserve"> &gt; 1), maka</w:t>
      </w:r>
      <w:r>
        <w:rPr>
          <w:rFonts w:cs="Times New Roman"/>
          <w:szCs w:val="24"/>
        </w:rPr>
        <w:t xml:space="preserve"> </w:t>
      </w:r>
      <w:r>
        <w:rPr>
          <w:rFonts w:cs="Times New Roman"/>
          <w:szCs w:val="24"/>
        </w:rPr>
        <w:t xml:space="preserve">harga saham dikatakan tinggi </w:t>
      </w:r>
      <w:r>
        <w:rPr>
          <w:rFonts w:cs="Times New Roman"/>
          <w:szCs w:val="24"/>
        </w:rPr>
        <w:t>(</w:t>
      </w:r>
      <w:r>
        <w:rPr>
          <w:rFonts w:cs="Times New Roman"/>
          <w:i/>
          <w:iCs/>
          <w:szCs w:val="24"/>
        </w:rPr>
        <w:t>overvalued</w:t>
      </w:r>
      <w:r>
        <w:rPr>
          <w:rFonts w:cs="Times New Roman"/>
          <w:szCs w:val="24"/>
        </w:rPr>
        <w:t>)</w:t>
      </w:r>
      <w:r>
        <w:rPr>
          <w:rFonts w:cs="Times New Roman"/>
          <w:szCs w:val="24"/>
        </w:rPr>
        <w:t xml:space="preserve"> </w:t>
      </w:r>
      <w:r>
        <w:rPr>
          <w:rFonts w:cs="Times New Roman"/>
          <w:szCs w:val="24"/>
        </w:rPr>
        <w:t xml:space="preserve">atau perusahaan dapat berhasil menciptakan </w:t>
      </w:r>
      <w:r>
        <w:rPr>
          <w:rFonts w:cs="Times New Roman"/>
          <w:i/>
          <w:iCs/>
          <w:szCs w:val="24"/>
        </w:rPr>
        <w:t>firm value</w:t>
      </w:r>
      <w:r>
        <w:rPr>
          <w:rFonts w:eastAsia="Times New Roman"/>
          <w:color w:val="000000"/>
        </w:rPr>
        <w:t xml:space="preserve"> </w:t>
      </w:r>
      <w:r>
        <w:rPr>
          <w:rFonts w:cs="Times New Roman" w:eastAsia="Times New Roman"/>
          <w:color w:val="000000"/>
        </w:rPr>
        <w:t xml:space="preserve">(Mediyanti </w:t>
      </w:r>
      <w:r>
        <w:rPr>
          <w:rFonts w:cs="Times New Roman" w:eastAsia="Times New Roman"/>
          <w:i/>
          <w:iCs/>
          <w:color w:val="000000"/>
        </w:rPr>
        <w:t>et al</w:t>
      </w:r>
      <w:r>
        <w:rPr>
          <w:rFonts w:cs="Times New Roman" w:eastAsia="Times New Roman"/>
          <w:color w:val="000000"/>
        </w:rPr>
        <w:t>., 2021)</w:t>
      </w:r>
      <w:r>
        <w:rPr>
          <w:rFonts w:cs="Times New Roman"/>
          <w:color w:val="000000"/>
          <w:szCs w:val="24"/>
        </w:rPr>
        <w:t>.</w:t>
      </w:r>
    </w:p>
    <w:bookmarkStart w:id="53" w:name="_Toc218854616"/>
    <w:p>
      <w:pPr>
        <w:pStyle w:val="style3"/>
        <w:rPr/>
      </w:pPr>
      <w:r>
        <w:t xml:space="preserve">3.1.2. </w:t>
      </w:r>
      <w:r>
        <w:tab/>
      </w:r>
      <w:r>
        <w:tab/>
      </w:r>
      <w:r>
        <w:rPr>
          <w:i/>
          <w:iCs/>
        </w:rPr>
        <w:t>Enterprise Risk Management</w:t>
      </w:r>
      <w:r>
        <w:t xml:space="preserve"> </w:t>
      </w:r>
      <w:r>
        <w:t>(</w:t>
      </w:r>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1</m:t>
            </m:r>
          </m:sub>
        </m:sSub>
      </m:oMath>
      <w:r>
        <w:rPr>
          <w:rFonts w:eastAsia="宋体"/>
        </w:rPr>
        <w:t>)</w:t>
      </w:r>
      <w:bookmarkEnd w:id="53"/>
    </w:p>
    <w:p>
      <w:pPr>
        <w:pStyle w:val="style0"/>
        <w:tabs>
          <w:tab w:val="left" w:leader="none" w:pos="630"/>
          <w:tab w:val="left" w:leader="none" w:pos="810"/>
        </w:tabs>
        <w:spacing w:after="0" w:lineRule="auto" w:line="480"/>
        <w:jc w:val="both"/>
        <w:rPr>
          <w:rFonts w:cs="Times New Roman"/>
        </w:rPr>
      </w:pPr>
      <w:r>
        <w:rPr>
          <w:rFonts w:eastAsia="Times New Roman"/>
        </w:rPr>
        <w:tab/>
      </w:r>
      <w:r>
        <w:rPr>
          <w:rFonts w:eastAsia="Times New Roman"/>
        </w:rPr>
        <w:tab/>
      </w:r>
      <w:r>
        <w:rPr>
          <w:rFonts w:cs="Times New Roman"/>
          <w:i/>
          <w:iCs/>
        </w:rPr>
        <w:t xml:space="preserve">Enterprise risk management </w:t>
      </w:r>
      <w:r>
        <w:rPr>
          <w:rFonts w:cs="Times New Roman"/>
        </w:rPr>
        <w:t>adalah</w:t>
      </w:r>
      <w:r>
        <w:rPr>
          <w:rFonts w:cs="Times New Roman"/>
        </w:rPr>
        <w:t xml:space="preserve"> strategi yang digunakan perusahaan untuk mengontrol dan mengatur risiko perusahaan </w:t>
      </w:r>
      <w:r>
        <w:rPr>
          <w:rFonts w:cs="Times New Roman"/>
        </w:rPr>
        <w:t>agar</w:t>
      </w:r>
      <w:r>
        <w:rPr>
          <w:rFonts w:cs="Times New Roman"/>
        </w:rPr>
        <w:t xml:space="preserve"> menambah </w:t>
      </w:r>
      <w:r>
        <w:rPr>
          <w:i/>
          <w:iCs/>
          <w:color w:val="000000"/>
        </w:rPr>
        <w:t>firm value</w:t>
      </w:r>
      <w:r>
        <w:rPr>
          <w:rFonts w:cs="Times New Roman"/>
        </w:rPr>
        <w:t xml:space="preserve">. </w:t>
      </w:r>
      <w:r>
        <w:rPr>
          <w:rFonts w:cs="Times New Roman"/>
          <w:i/>
          <w:iCs/>
        </w:rPr>
        <w:t>Enterprise risk management</w:t>
      </w:r>
      <w:r>
        <w:rPr>
          <w:rFonts w:cs="Times New Roman"/>
          <w:i/>
          <w:iCs/>
        </w:rPr>
        <w:t xml:space="preserve"> </w:t>
      </w:r>
      <w:r>
        <w:rPr>
          <w:rFonts w:cs="Times New Roman"/>
        </w:rPr>
        <w:t xml:space="preserve">merupakan variabel </w:t>
      </w:r>
      <w:r>
        <w:rPr>
          <w:rFonts w:cs="Times New Roman"/>
          <w:i/>
          <w:iCs/>
        </w:rPr>
        <w:t xml:space="preserve">dummy </w:t>
      </w:r>
      <w:r>
        <w:rPr>
          <w:rFonts w:cs="Times New Roman"/>
        </w:rPr>
        <w:t xml:space="preserve">sehingga menggunakan pengukuran kriteria untuk </w:t>
      </w:r>
      <w:r>
        <w:rPr>
          <w:rFonts w:cs="Times New Roman"/>
        </w:rPr>
        <w:t xml:space="preserve">mengidentifikasi </w:t>
      </w:r>
      <w:r>
        <w:rPr>
          <w:rFonts w:cs="Times New Roman"/>
        </w:rPr>
        <w:t>atau</w:t>
      </w:r>
      <w:r>
        <w:rPr>
          <w:rFonts w:cs="Times New Roman"/>
        </w:rPr>
        <w:t xml:space="preserve"> </w:t>
      </w:r>
      <w:r>
        <w:rPr>
          <w:rFonts w:cs="Times New Roman"/>
        </w:rPr>
        <w:t>pemberian</w:t>
      </w:r>
      <w:r>
        <w:rPr>
          <w:rFonts w:cs="Times New Roman"/>
        </w:rPr>
        <w:t xml:space="preserve"> </w:t>
      </w:r>
      <w:r>
        <w:rPr>
          <w:rFonts w:cs="Times New Roman"/>
        </w:rPr>
        <w:t>penilaian</w:t>
      </w:r>
      <w:r>
        <w:rPr>
          <w:rFonts w:cs="Times New Roman"/>
        </w:rPr>
        <w:t xml:space="preserve">. </w:t>
      </w:r>
      <w:r>
        <w:rPr>
          <w:rFonts w:cs="Times New Roman"/>
        </w:rPr>
        <w:t>P</w:t>
      </w:r>
      <w:r>
        <w:rPr>
          <w:rFonts w:cs="Times New Roman"/>
        </w:rPr>
        <w:t>e</w:t>
      </w:r>
      <w:r>
        <w:rPr>
          <w:rFonts w:cs="Times New Roman"/>
        </w:rPr>
        <w:t>mberian nilai</w:t>
      </w:r>
      <w:r>
        <w:rPr>
          <w:rFonts w:cs="Times New Roman"/>
        </w:rPr>
        <w:t xml:space="preserve"> yang</w:t>
      </w:r>
      <w:r>
        <w:rPr>
          <w:rFonts w:cs="Times New Roman"/>
        </w:rPr>
        <w:t xml:space="preserve"> </w:t>
      </w:r>
      <w:r>
        <w:rPr>
          <w:rFonts w:cs="Times New Roman"/>
        </w:rPr>
        <w:t>diungkapkan</w:t>
      </w:r>
      <w:r>
        <w:rPr>
          <w:rFonts w:cs="Times New Roman"/>
        </w:rPr>
        <w:t xml:space="preserve"> </w:t>
      </w:r>
      <w:r>
        <w:rPr>
          <w:rFonts w:cs="Times New Roman"/>
        </w:rPr>
        <w:t>diberikan</w:t>
      </w:r>
      <w:r>
        <w:rPr>
          <w:rFonts w:cs="Times New Roman"/>
        </w:rPr>
        <w:t xml:space="preserve"> </w:t>
      </w:r>
      <w:r>
        <w:rPr>
          <w:rFonts w:cs="Times New Roman"/>
        </w:rPr>
        <w:t>1</w:t>
      </w:r>
      <w:r>
        <w:rPr>
          <w:rFonts w:cs="Times New Roman"/>
        </w:rPr>
        <w:t xml:space="preserve"> </w:t>
      </w:r>
      <w:r>
        <w:rPr>
          <w:rFonts w:cs="Times New Roman"/>
        </w:rPr>
        <w:t>dan</w:t>
      </w:r>
      <w:r>
        <w:rPr>
          <w:rFonts w:cs="Times New Roman"/>
        </w:rPr>
        <w:t xml:space="preserve"> </w:t>
      </w:r>
      <w:r>
        <w:rPr>
          <w:rFonts w:cs="Times New Roman"/>
        </w:rPr>
        <w:t>tidak diungkapkan</w:t>
      </w:r>
      <w:r>
        <w:rPr>
          <w:rFonts w:cs="Times New Roman"/>
        </w:rPr>
        <w:t xml:space="preserve"> </w:t>
      </w:r>
      <w:r>
        <w:rPr>
          <w:rFonts w:cs="Times New Roman"/>
        </w:rPr>
        <w:t>0</w:t>
      </w:r>
      <w:r>
        <w:rPr>
          <w:rFonts w:cs="Times New Roman"/>
        </w:rPr>
        <w:t>.</w:t>
      </w:r>
      <w:r>
        <w:rPr>
          <w:rFonts w:cs="Times New Roman"/>
        </w:rPr>
        <w:t xml:space="preserve"> </w:t>
      </w:r>
    </w:p>
    <w:p>
      <w:pPr>
        <w:pStyle w:val="style0"/>
        <w:tabs>
          <w:tab w:val="left" w:leader="none" w:pos="630"/>
          <w:tab w:val="left" w:leader="none" w:pos="900"/>
        </w:tabs>
        <w:spacing w:after="0" w:lineRule="auto" w:line="480"/>
        <w:jc w:val="both"/>
        <w:rPr/>
      </w:pPr>
      <w:r>
        <w:rPr>
          <w:rFonts w:cs="Times New Roman"/>
          <w:iCs/>
          <w:noProof/>
          <w:szCs w:val="24"/>
        </w:rPr>
        <mc:AlternateContent>
          <mc:Choice Requires="wps">
            <w:drawing>
              <wp:anchor distT="0" distB="0" distL="0" distR="0" simplePos="false" relativeHeight="6" behindDoc="false" locked="false" layoutInCell="true" allowOverlap="true">
                <wp:simplePos x="0" y="0"/>
                <wp:positionH relativeFrom="margin">
                  <wp:posOffset>568374</wp:posOffset>
                </wp:positionH>
                <wp:positionV relativeFrom="paragraph">
                  <wp:posOffset>3749918</wp:posOffset>
                </wp:positionV>
                <wp:extent cx="3921071" cy="625231"/>
                <wp:effectExtent l="0" t="0" r="22860" b="22860"/>
                <wp:wrapNone/>
                <wp:docPr id="1079" name="Rectangle 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21071" cy="625231"/>
                        </a:xfrm>
                        <a:prstGeom prst="rect"/>
                        <a:ln cmpd="sng" cap="flat" w="9525">
                          <a:solidFill>
                            <a:srgbClr val="000000"/>
                          </a:solidFill>
                          <a:prstDash val="solid"/>
                          <a:round/>
                          <a:headEnd len="med" w="med" type="none"/>
                          <a:tailEnd len="med" w="med" type="none"/>
                        </a:ln>
                      </wps:spPr>
                      <wps:txbx id="1079">
                        <w:txbxContent>
                          <w:p>
                            <w:pPr>
                              <w:pStyle w:val="style0"/>
                              <w:jc w:val="center"/>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79" filled="f" stroked="t" style="position:absolute;margin-left:44.75pt;margin-top:295.27pt;width:308.75pt;height:49.23pt;z-index:6;mso-position-horizontal-relative:margin;mso-position-vertical-relative:text;mso-width-percent:0;mso-height-percent:0;mso-width-relative:margin;mso-height-relative:margin;mso-wrap-distance-left:0.0pt;mso-wrap-distance-right:0.0pt;visibility:visible;v-text-anchor:middle;">
                <v:fill/>
                <v:textbox inset="7.2pt,3.6pt,7.2pt,3.6pt">
                  <w:txbxContent>
                    <w:p>
                      <w:pPr>
                        <w:pStyle w:val="style0"/>
                        <w:jc w:val="center"/>
                        <w:rPr/>
                      </w:pPr>
                    </w:p>
                  </w:txbxContent>
                </v:textbox>
              </v:rect>
            </w:pict>
          </mc:Fallback>
        </mc:AlternateContent>
      </w:r>
      <w:r>
        <w:rPr>
          <w:rFonts w:cs="Times New Roman"/>
        </w:rPr>
        <w:tab/>
      </w:r>
      <w:r>
        <w:rPr>
          <w:rFonts w:cs="Times New Roman"/>
        </w:rPr>
        <w:tab/>
      </w:r>
      <w:r>
        <w:rPr>
          <w:rFonts w:cs="Times New Roman"/>
        </w:rPr>
        <w:t xml:space="preserve">Pengukuran </w:t>
      </w:r>
      <w:r>
        <w:rPr>
          <w:rFonts w:cs="Times New Roman"/>
          <w:i/>
          <w:iCs/>
        </w:rPr>
        <w:t>e</w:t>
      </w:r>
      <w:r>
        <w:rPr>
          <w:rFonts w:cs="Times New Roman"/>
          <w:i/>
          <w:iCs/>
        </w:rPr>
        <w:t xml:space="preserve">nterprise </w:t>
      </w:r>
      <w:r>
        <w:rPr>
          <w:rFonts w:cs="Times New Roman"/>
          <w:i/>
          <w:iCs/>
        </w:rPr>
        <w:t>r</w:t>
      </w:r>
      <w:r>
        <w:rPr>
          <w:rFonts w:cs="Times New Roman"/>
          <w:i/>
          <w:iCs/>
        </w:rPr>
        <w:t xml:space="preserve">isk </w:t>
      </w:r>
      <w:r>
        <w:rPr>
          <w:rFonts w:cs="Times New Roman"/>
          <w:i/>
          <w:iCs/>
        </w:rPr>
        <w:t>m</w:t>
      </w:r>
      <w:r>
        <w:rPr>
          <w:rFonts w:cs="Times New Roman"/>
          <w:i/>
          <w:iCs/>
        </w:rPr>
        <w:t>anagement</w:t>
      </w:r>
      <w:r>
        <w:rPr>
          <w:rFonts w:cs="Times New Roman"/>
          <w:i/>
          <w:iCs/>
        </w:rPr>
        <w:t xml:space="preserve"> </w:t>
      </w:r>
      <w:r>
        <w:rPr>
          <w:rFonts w:cs="Times New Roman"/>
        </w:rPr>
        <w:t>berdasarkan</w:t>
      </w:r>
      <w:r>
        <w:rPr>
          <w:rFonts w:cs="Times New Roman"/>
        </w:rPr>
        <w:t xml:space="preserve"> </w:t>
      </w:r>
      <w:r>
        <w:rPr>
          <w:rFonts w:cs="Times New Roman"/>
          <w:i/>
          <w:iCs/>
        </w:rPr>
        <w:t xml:space="preserve">Committee of Sponsoring Organization </w:t>
      </w:r>
      <w:r>
        <w:rPr>
          <w:rFonts w:cs="Times New Roman"/>
        </w:rPr>
        <w:t xml:space="preserve">(COSO) </w:t>
      </w:r>
      <w:r>
        <w:rPr>
          <w:i/>
          <w:iCs/>
        </w:rPr>
        <w:t>e</w:t>
      </w:r>
      <w:r>
        <w:rPr>
          <w:i/>
          <w:iCs/>
        </w:rPr>
        <w:t xml:space="preserve">nterprise </w:t>
      </w:r>
      <w:r>
        <w:rPr>
          <w:i/>
          <w:iCs/>
        </w:rPr>
        <w:t>r</w:t>
      </w:r>
      <w:r>
        <w:rPr>
          <w:i/>
          <w:iCs/>
        </w:rPr>
        <w:t xml:space="preserve">isk </w:t>
      </w:r>
      <w:r>
        <w:rPr>
          <w:i/>
          <w:iCs/>
        </w:rPr>
        <w:t>m</w:t>
      </w:r>
      <w:r>
        <w:rPr>
          <w:i/>
          <w:iCs/>
        </w:rPr>
        <w:t>anagement</w:t>
      </w:r>
      <w:r>
        <w:rPr>
          <w:rFonts w:cs="Times New Roman"/>
        </w:rPr>
        <w:t xml:space="preserve"> </w:t>
      </w:r>
      <w:r>
        <w:rPr>
          <w:rFonts w:cs="Times New Roman"/>
          <w:i/>
          <w:iCs/>
        </w:rPr>
        <w:t>framework</w:t>
      </w:r>
      <w:r>
        <w:t xml:space="preserve"> </w:t>
      </w:r>
      <w:r>
        <w:t xml:space="preserve">yang </w:t>
      </w:r>
      <w:r>
        <w:rPr>
          <w:rFonts w:cs="Times New Roman"/>
        </w:rPr>
        <w:t>dapat dikelompokkan menjadi 5 komponen</w:t>
      </w:r>
      <w:r>
        <w:rPr>
          <w:rFonts w:cs="Times New Roman"/>
        </w:rPr>
        <w:t xml:space="preserve"> dengan total 20 </w:t>
      </w:r>
      <w:r>
        <w:rPr>
          <w:rFonts w:cs="Times New Roman"/>
        </w:rPr>
        <w:t>kriteria</w:t>
      </w:r>
      <w:r>
        <w:rPr>
          <w:rFonts w:cs="Times New Roman"/>
        </w:rPr>
        <w:t xml:space="preserve">, yaitu: (1) </w:t>
      </w:r>
      <w:r>
        <w:rPr>
          <w:rFonts w:cs="Times New Roman"/>
          <w:i/>
          <w:iCs/>
        </w:rPr>
        <w:t xml:space="preserve">Governance and culture </w:t>
      </w:r>
      <w:r>
        <w:rPr>
          <w:rFonts w:cs="Times New Roman"/>
        </w:rPr>
        <w:t xml:space="preserve">dengan 5 </w:t>
      </w:r>
      <w:r>
        <w:rPr>
          <w:rFonts w:cs="Times New Roman"/>
        </w:rPr>
        <w:t>kriteria</w:t>
      </w:r>
      <w:r>
        <w:rPr>
          <w:rFonts w:cs="Times New Roman"/>
        </w:rPr>
        <w:t xml:space="preserve">; (2) </w:t>
      </w:r>
      <w:r>
        <w:rPr>
          <w:rFonts w:cs="Times New Roman"/>
          <w:i/>
          <w:iCs/>
        </w:rPr>
        <w:t xml:space="preserve">Strategy and objective-setting </w:t>
      </w:r>
      <w:r>
        <w:rPr>
          <w:rFonts w:cs="Times New Roman"/>
        </w:rPr>
        <w:t xml:space="preserve">dengan 4 </w:t>
      </w:r>
      <w:r>
        <w:rPr>
          <w:rFonts w:cs="Times New Roman"/>
        </w:rPr>
        <w:t>kriteria</w:t>
      </w:r>
      <w:r>
        <w:rPr>
          <w:rFonts w:cs="Times New Roman"/>
        </w:rPr>
        <w:t xml:space="preserve">; (3) </w:t>
      </w:r>
      <w:r>
        <w:rPr>
          <w:rFonts w:cs="Times New Roman"/>
          <w:i/>
          <w:iCs/>
        </w:rPr>
        <w:t>Performance</w:t>
      </w:r>
      <w:r>
        <w:rPr>
          <w:rFonts w:cs="Times New Roman"/>
        </w:rPr>
        <w:t xml:space="preserve"> dengan 5 </w:t>
      </w:r>
      <w:r>
        <w:rPr>
          <w:rFonts w:cs="Times New Roman"/>
        </w:rPr>
        <w:t>kriteria</w:t>
      </w:r>
      <w:r>
        <w:rPr>
          <w:rFonts w:cs="Times New Roman"/>
        </w:rPr>
        <w:t xml:space="preserve">; (4) </w:t>
      </w:r>
      <w:r>
        <w:rPr>
          <w:rFonts w:cs="Times New Roman"/>
          <w:i/>
          <w:iCs/>
        </w:rPr>
        <w:t xml:space="preserve">Review and revision </w:t>
      </w:r>
      <w:r>
        <w:rPr>
          <w:rFonts w:cs="Times New Roman"/>
        </w:rPr>
        <w:t xml:space="preserve">dengan 3 </w:t>
      </w:r>
      <w:r>
        <w:rPr>
          <w:rFonts w:cs="Times New Roman"/>
        </w:rPr>
        <w:t>kriteria</w:t>
      </w:r>
      <w:r>
        <w:rPr>
          <w:rFonts w:cs="Times New Roman"/>
        </w:rPr>
        <w:t xml:space="preserve">; dan (5) </w:t>
      </w:r>
      <w:r>
        <w:rPr>
          <w:rFonts w:cs="Times New Roman"/>
          <w:i/>
          <w:iCs/>
        </w:rPr>
        <w:t xml:space="preserve">Information, communication, and reporting </w:t>
      </w:r>
      <w:r>
        <w:rPr>
          <w:rFonts w:cs="Times New Roman"/>
          <w:lang w:val="id-ID"/>
        </w:rPr>
        <w:t>dengan</w:t>
      </w:r>
      <w:r>
        <w:rPr>
          <w:rFonts w:cs="Times New Roman"/>
        </w:rPr>
        <w:t xml:space="preserve"> 3 </w:t>
      </w:r>
      <w:r>
        <w:rPr>
          <w:rFonts w:cs="Times New Roman"/>
          <w:lang w:val="id-ID"/>
        </w:rPr>
        <w:t>kriteria</w:t>
      </w:r>
      <w:r>
        <w:t xml:space="preserve">. Penilaian yang diungkapkan dari 20 kriteria tersebut, kemudian akan dihitung </w:t>
      </w:r>
      <w:r>
        <w:t xml:space="preserve">menggunakan </w:t>
      </w:r>
      <w:r>
        <w:t>rasio</w:t>
      </w:r>
      <w:r>
        <w:t>.</w:t>
      </w:r>
      <w:r>
        <w:t xml:space="preserve"> </w:t>
      </w:r>
      <w:r>
        <w:t>Parameter r</w:t>
      </w:r>
      <w:r>
        <w:t xml:space="preserve">asio </w:t>
      </w:r>
      <w:r>
        <w:rPr>
          <w:i/>
          <w:iCs/>
        </w:rPr>
        <w:t xml:space="preserve">enterprise risk management </w:t>
      </w:r>
      <w:r>
        <w:t>mendekati nilai 1 atau sempurna</w:t>
      </w:r>
      <w:r>
        <w:t>,</w:t>
      </w:r>
      <w:r>
        <w:t xml:space="preserve"> maka semakin baik perusahaan dalam mengelola risikonya</w:t>
      </w:r>
      <w:r>
        <w:t xml:space="preserve"> </w:t>
      </w:r>
      <w:r>
        <w:rPr>
          <w:rFonts w:cs="Times New Roman"/>
          <w:color w:val="000000"/>
        </w:rPr>
        <w:t>(Wahyuni, 2022)</w:t>
      </w:r>
      <w:r>
        <w:t>.</w:t>
      </w:r>
      <w:r>
        <w:t xml:space="preserve"> </w:t>
      </w:r>
      <w:r>
        <w:t>R</w:t>
      </w:r>
      <w:r>
        <w:t xml:space="preserve">umus perhitungan rasio </w:t>
      </w:r>
      <w:r>
        <w:rPr>
          <w:rFonts w:cs="Times New Roman"/>
          <w:color w:val="000000"/>
        </w:rPr>
        <w:t xml:space="preserve">(Ismanto </w:t>
      </w:r>
      <w:r>
        <w:rPr>
          <w:rFonts w:cs="Times New Roman"/>
          <w:i/>
          <w:iCs/>
          <w:color w:val="000000"/>
        </w:rPr>
        <w:t>et al</w:t>
      </w:r>
      <w:r>
        <w:rPr>
          <w:rFonts w:cs="Times New Roman"/>
          <w:color w:val="000000"/>
        </w:rPr>
        <w:t>., 2023)</w:t>
      </w:r>
      <w:r>
        <w:t>, sebagai berikut</w:t>
      </w:r>
      <w:r>
        <w:t>:</w:t>
      </w:r>
    </w:p>
    <w:p>
      <w:pPr>
        <w:pStyle w:val="style0"/>
        <w:tabs>
          <w:tab w:val="left" w:leader="none" w:pos="720"/>
        </w:tabs>
        <w:spacing w:after="0" w:lineRule="auto" w:line="480"/>
        <w:jc w:val="center"/>
        <w:rPr>
          <w:rFonts w:cs="Times New Roman" w:eastAsia="宋体"/>
          <w:sz w:val="22"/>
        </w:rPr>
      </w:pPr>
      <m:oMathPara>
        <m:oMath>
          <m:r>
            <w:rPr>
              <w:rFonts w:ascii="Cambria Math" w:cs="Times New Roman" w:hAnsi="Cambria Math"/>
              <w:sz w:val="22"/>
            </w:rPr>
            <m:t xml:space="preserve">Enterprise Risk Management </m:t>
          </m:r>
          <m:r>
            <m:rPr>
              <m:sty m:val="p"/>
            </m:rPr>
            <w:rPr>
              <w:rFonts w:ascii="Cambria Math" w:cs="Times New Roman" w:eastAsia="宋体" w:hAnsi="Cambria Math"/>
              <w:sz w:val="22"/>
            </w:rPr>
            <m:t xml:space="preserve">= </m:t>
          </m:r>
          <m:f>
            <m:fPr>
              <m:ctrlPr>
                <w:rPr>
                  <w:rFonts w:ascii="Cambria Math" w:cs="Times New Roman" w:hAnsi="Cambria Math"/>
                  <w:i/>
                  <w:sz w:val="22"/>
                </w:rPr>
              </m:ctrlPr>
            </m:fPr>
            <m:num>
              <m:r>
                <m:rPr>
                  <m:sty m:val="p"/>
                </m:rPr>
                <w:rPr>
                  <w:rFonts w:ascii="Cambria Math" w:cs="Times New Roman" w:hAnsi="Cambria Math"/>
                  <w:sz w:val="22"/>
                </w:rPr>
                <m:t>∑Item yang diungkapkan</m:t>
              </m:r>
            </m:num>
            <m:den>
              <m:r>
                <w:rPr>
                  <w:rFonts w:ascii="Cambria Math" w:cs="Times New Roman" w:hAnsi="Cambria Math"/>
                  <w:sz w:val="22"/>
                </w:rPr>
                <m:t>∑</m:t>
              </m:r>
              <m:r>
                <m:rPr>
                  <m:sty m:val="p"/>
                </m:rPr>
                <w:rPr>
                  <w:rFonts w:ascii="Cambria Math" w:cs="Times New Roman" w:hAnsi="Cambria Math"/>
                  <w:sz w:val="22"/>
                </w:rPr>
                <m:t>Item pengungkapan</m:t>
              </m:r>
              <m:r>
                <w:rPr>
                  <w:rFonts w:ascii="Cambria Math" w:cs="Times New Roman" w:hAnsi="Cambria Math"/>
                  <w:sz w:val="22"/>
                </w:rPr>
                <m:t xml:space="preserve"> </m:t>
              </m:r>
            </m:den>
          </m:f>
        </m:oMath>
      </m:oMathPara>
    </w:p>
    <w:bookmarkStart w:id="54" w:name="_Toc218854617"/>
    <w:p>
      <w:pPr>
        <w:pStyle w:val="style3"/>
        <w:spacing w:before="240"/>
        <w:rPr/>
      </w:pPr>
      <w:r>
        <w:t xml:space="preserve">3.1.3. </w:t>
      </w:r>
      <w:r>
        <w:tab/>
      </w:r>
      <w:r>
        <w:tab/>
      </w:r>
      <w:r>
        <w:rPr>
          <w:i/>
          <w:iCs/>
        </w:rPr>
        <w:t>Manage</w:t>
      </w:r>
      <w:r>
        <w:rPr>
          <w:i/>
          <w:iCs/>
        </w:rPr>
        <w:t>rial</w:t>
      </w:r>
      <w:r>
        <w:rPr>
          <w:i/>
          <w:iCs/>
        </w:rPr>
        <w:t xml:space="preserve"> Ownership</w:t>
      </w:r>
      <w:r>
        <w:t xml:space="preserve"> (</w:t>
      </w:r>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2</m:t>
            </m:r>
          </m:sub>
        </m:sSub>
      </m:oMath>
      <w:r>
        <w:rPr>
          <w:rFonts w:eastAsia="宋体"/>
        </w:rPr>
        <w:t>)</w:t>
      </w:r>
      <w:bookmarkEnd w:id="54"/>
    </w:p>
    <w:p>
      <w:pPr>
        <w:pStyle w:val="style0"/>
        <w:tabs>
          <w:tab w:val="left" w:leader="none" w:pos="630"/>
          <w:tab w:val="left" w:leader="none" w:pos="810"/>
        </w:tabs>
        <w:spacing w:lineRule="auto" w:line="480"/>
        <w:jc w:val="both"/>
        <w:rPr>
          <w:rFonts w:cs="Times New Roman"/>
          <w:color w:val="000000"/>
          <w:szCs w:val="24"/>
        </w:rPr>
      </w:pPr>
      <w:r>
        <w:rPr>
          <w:rFonts w:cs="Times New Roman"/>
          <w:i/>
          <w:iCs/>
          <w:szCs w:val="24"/>
        </w:rPr>
        <w:tab/>
      </w:r>
      <w:r>
        <w:rPr>
          <w:rFonts w:cs="Times New Roman"/>
          <w:i/>
          <w:iCs/>
          <w:szCs w:val="24"/>
        </w:rPr>
        <w:tab/>
      </w:r>
      <w:r>
        <w:rPr>
          <w:rFonts w:cs="Times New Roman"/>
          <w:i/>
          <w:iCs/>
          <w:szCs w:val="24"/>
        </w:rPr>
        <w:t>Manage</w:t>
      </w:r>
      <w:r>
        <w:rPr>
          <w:rFonts w:cs="Times New Roman"/>
          <w:i/>
          <w:iCs/>
          <w:szCs w:val="24"/>
        </w:rPr>
        <w:t>rial</w:t>
      </w:r>
      <w:r>
        <w:rPr>
          <w:rFonts w:cs="Times New Roman"/>
          <w:i/>
          <w:iCs/>
          <w:szCs w:val="24"/>
        </w:rPr>
        <w:t xml:space="preserve"> ownership </w:t>
      </w:r>
      <w:r>
        <w:rPr>
          <w:rFonts w:cs="Times New Roman"/>
          <w:szCs w:val="24"/>
        </w:rPr>
        <w:t>adalah sejumlah kepemilikan saham perusahaan yang dimiliki oleh manajemen untuk memfasilitasi perusahaan dan karyawan</w:t>
      </w:r>
      <w:r>
        <w:rPr>
          <w:rFonts w:cs="Times New Roman"/>
          <w:color w:val="000000"/>
          <w:szCs w:val="24"/>
        </w:rPr>
        <w:t>.</w:t>
      </w:r>
      <w:r>
        <w:rPr>
          <w:rFonts w:cs="Times New Roman"/>
          <w:color w:val="000000"/>
          <w:szCs w:val="24"/>
        </w:rPr>
        <w:t xml:space="preserve"> </w:t>
      </w:r>
      <w:r>
        <w:rPr>
          <w:rFonts w:cs="Times New Roman"/>
          <w:i/>
          <w:iCs/>
          <w:color w:val="000000"/>
          <w:szCs w:val="24"/>
        </w:rPr>
        <w:t xml:space="preserve">Managerial ownership </w:t>
      </w:r>
      <w:r>
        <w:rPr>
          <w:rFonts w:cs="Times New Roman"/>
          <w:color w:val="000000"/>
          <w:szCs w:val="24"/>
        </w:rPr>
        <w:t>memiliki beberapa tingkatan</w:t>
      </w:r>
      <w:r>
        <w:rPr>
          <w:rFonts w:cs="Times New Roman"/>
          <w:color w:val="000000"/>
          <w:szCs w:val="24"/>
        </w:rPr>
        <w:t xml:space="preserve"> kepemilikan</w:t>
      </w:r>
      <w:r>
        <w:rPr>
          <w:rFonts w:cs="Times New Roman"/>
          <w:color w:val="000000"/>
          <w:szCs w:val="24"/>
        </w:rPr>
        <w:t xml:space="preserve">, yaitu </w:t>
      </w:r>
      <w:r>
        <w:rPr>
          <w:rFonts w:cs="Times New Roman"/>
          <w:color w:val="000000"/>
          <w:szCs w:val="24"/>
        </w:rPr>
        <w:t xml:space="preserve">(Budiningsih </w:t>
      </w:r>
      <w:r>
        <w:rPr>
          <w:rFonts w:cs="Times New Roman"/>
          <w:i/>
          <w:iCs/>
          <w:color w:val="000000"/>
          <w:szCs w:val="24"/>
        </w:rPr>
        <w:t>et al</w:t>
      </w:r>
      <w:r>
        <w:rPr>
          <w:rFonts w:cs="Times New Roman"/>
          <w:color w:val="000000"/>
          <w:szCs w:val="24"/>
        </w:rPr>
        <w:t>., 2022)</w:t>
      </w:r>
      <w:r>
        <w:rPr>
          <w:rFonts w:cs="Times New Roman"/>
          <w:color w:val="000000"/>
          <w:szCs w:val="24"/>
        </w:rPr>
        <w:t xml:space="preserve">: (1) </w:t>
      </w:r>
      <w:r>
        <w:rPr>
          <w:rFonts w:cs="Times New Roman"/>
          <w:i/>
          <w:iCs/>
          <w:color w:val="000000"/>
          <w:szCs w:val="24"/>
        </w:rPr>
        <w:t>Low levels</w:t>
      </w:r>
      <w:r>
        <w:rPr>
          <w:rFonts w:cs="Times New Roman"/>
          <w:i/>
          <w:iCs/>
          <w:color w:val="000000"/>
          <w:szCs w:val="24"/>
        </w:rPr>
        <w:t xml:space="preserve"> </w:t>
      </w:r>
      <w:r>
        <w:rPr>
          <w:rFonts w:cs="Times New Roman"/>
          <w:color w:val="000000"/>
          <w:szCs w:val="24"/>
        </w:rPr>
        <w:t xml:space="preserve">dengan kepemilikan </w:t>
      </w:r>
      <w:r>
        <w:rPr>
          <w:rFonts w:cs="Times New Roman"/>
          <w:color w:val="000000"/>
          <w:szCs w:val="24"/>
        </w:rPr>
        <w:t xml:space="preserve">0%-5%; (2) </w:t>
      </w:r>
      <w:r>
        <w:rPr>
          <w:rFonts w:cs="Times New Roman"/>
          <w:i/>
          <w:iCs/>
          <w:color w:val="000000"/>
          <w:szCs w:val="24"/>
        </w:rPr>
        <w:t>Intermediate level</w:t>
      </w:r>
      <w:r>
        <w:rPr>
          <w:rFonts w:cs="Times New Roman"/>
          <w:color w:val="000000"/>
          <w:szCs w:val="24"/>
        </w:rPr>
        <w:t xml:space="preserve"> </w:t>
      </w:r>
      <w:r>
        <w:rPr>
          <w:rFonts w:cs="Times New Roman"/>
          <w:color w:val="000000"/>
          <w:szCs w:val="24"/>
        </w:rPr>
        <w:t xml:space="preserve">dengan kepemilikan </w:t>
      </w:r>
      <w:r>
        <w:rPr>
          <w:rFonts w:cs="Times New Roman"/>
          <w:color w:val="000000"/>
          <w:szCs w:val="24"/>
        </w:rPr>
        <w:t xml:space="preserve">5%-25%; </w:t>
      </w:r>
      <w:r>
        <w:rPr>
          <w:rFonts w:cs="Times New Roman"/>
          <w:color w:val="000000"/>
          <w:szCs w:val="24"/>
        </w:rPr>
        <w:t>(3)</w:t>
      </w:r>
      <w:r>
        <w:rPr>
          <w:rFonts w:cs="Times New Roman"/>
          <w:i/>
          <w:iCs/>
          <w:color w:val="000000"/>
          <w:szCs w:val="24"/>
        </w:rPr>
        <w:t xml:space="preserve"> High levels</w:t>
      </w:r>
      <w:r>
        <w:rPr>
          <w:rFonts w:cs="Times New Roman"/>
          <w:i/>
          <w:iCs/>
          <w:color w:val="000000"/>
          <w:szCs w:val="24"/>
        </w:rPr>
        <w:t xml:space="preserve"> </w:t>
      </w:r>
      <w:r>
        <w:rPr>
          <w:rFonts w:cs="Times New Roman"/>
          <w:color w:val="000000"/>
          <w:szCs w:val="24"/>
        </w:rPr>
        <w:t xml:space="preserve">dengan kepemilikan 40%-50%; (4) </w:t>
      </w:r>
      <w:r>
        <w:rPr>
          <w:rFonts w:cs="Times New Roman"/>
          <w:i/>
          <w:iCs/>
          <w:color w:val="000000"/>
          <w:szCs w:val="24"/>
        </w:rPr>
        <w:t>High levels</w:t>
      </w:r>
      <w:r>
        <w:rPr>
          <w:rFonts w:cs="Times New Roman"/>
          <w:i/>
          <w:iCs/>
          <w:color w:val="000000"/>
          <w:szCs w:val="24"/>
        </w:rPr>
        <w:t xml:space="preserve"> </w:t>
      </w:r>
      <w:r>
        <w:rPr>
          <w:rFonts w:cs="Times New Roman"/>
          <w:color w:val="000000"/>
          <w:szCs w:val="24"/>
        </w:rPr>
        <w:t xml:space="preserve">dengan kepemilikan dan wewenang penuh yaitu lebih dari 50%; dan (5) </w:t>
      </w:r>
      <w:r>
        <w:rPr>
          <w:rFonts w:cs="Times New Roman"/>
          <w:i/>
          <w:iCs/>
          <w:color w:val="000000"/>
          <w:szCs w:val="24"/>
        </w:rPr>
        <w:t xml:space="preserve">Very high levels </w:t>
      </w:r>
      <w:r>
        <w:rPr>
          <w:rFonts w:cs="Times New Roman"/>
          <w:color w:val="000000"/>
          <w:szCs w:val="24"/>
        </w:rPr>
        <w:t>sebagai pemilik</w:t>
      </w:r>
      <w:r>
        <w:rPr>
          <w:rFonts w:cs="Times New Roman"/>
          <w:color w:val="000000"/>
          <w:szCs w:val="24"/>
        </w:rPr>
        <w:t xml:space="preserve"> tunggal. </w:t>
      </w:r>
      <w:r>
        <w:rPr>
          <w:rFonts w:cs="Times New Roman"/>
          <w:color w:val="000000"/>
          <w:szCs w:val="24"/>
        </w:rPr>
        <w:t xml:space="preserve">Besarnya </w:t>
      </w:r>
      <w:r>
        <w:rPr>
          <w:rFonts w:cs="Times New Roman"/>
          <w:i/>
          <w:iCs/>
          <w:color w:val="000000"/>
          <w:szCs w:val="24"/>
        </w:rPr>
        <w:t>managerial ownership</w:t>
      </w:r>
      <w:r>
        <w:t xml:space="preserve"> ditentukan dengan menghitung saham kepemilikan manajemen kemudian dibagi dengan peredaran saham dari laporan keuangan </w:t>
      </w:r>
      <w:r>
        <w:rPr>
          <w:rFonts w:cs="Times New Roman"/>
          <w:iCs/>
          <w:noProof/>
          <w:szCs w:val="24"/>
        </w:rPr>
        <mc:AlternateContent>
          <mc:Choice Requires="wps">
            <w:drawing>
              <wp:anchor distT="0" distB="0" distL="0" distR="0" simplePos="false" relativeHeight="7" behindDoc="false" locked="false" layoutInCell="true" allowOverlap="true">
                <wp:simplePos x="0" y="0"/>
                <wp:positionH relativeFrom="margin">
                  <wp:posOffset>404007</wp:posOffset>
                </wp:positionH>
                <wp:positionV relativeFrom="paragraph">
                  <wp:posOffset>2451784</wp:posOffset>
                </wp:positionV>
                <wp:extent cx="4331777" cy="531446"/>
                <wp:effectExtent l="0" t="0" r="12065" b="21590"/>
                <wp:wrapNone/>
                <wp:docPr id="1080" name="Rectangle 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31777" cy="531446"/>
                        </a:xfrm>
                        <a:prstGeom prst="rect"/>
                        <a:ln cmpd="sng" cap="flat" w="9525">
                          <a:solidFill>
                            <a:srgbClr val="000000"/>
                          </a:solidFill>
                          <a:prstDash val="solid"/>
                          <a:round/>
                          <a:headEnd len="med" w="med" type="none"/>
                          <a:tailEnd len="med" w="med" type="none"/>
                        </a:ln>
                      </wps:spPr>
                      <wps:txbx id="1080">
                        <w:txbxContent>
                          <w:p>
                            <w:pPr>
                              <w:pStyle w:val="style0"/>
                              <w:jc w:val="center"/>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80" filled="f" stroked="t" style="position:absolute;margin-left:31.81pt;margin-top:193.05pt;width:341.08pt;height:41.85pt;z-index:7;mso-position-horizontal-relative:margin;mso-position-vertical-relative:text;mso-width-percent:0;mso-height-percent:0;mso-width-relative:margin;mso-height-relative:margin;mso-wrap-distance-left:0.0pt;mso-wrap-distance-right:0.0pt;visibility:visible;v-text-anchor:middle;">
                <v:fill/>
                <v:textbox inset="7.2pt,3.6pt,7.2pt,3.6pt">
                  <w:txbxContent>
                    <w:p>
                      <w:pPr>
                        <w:pStyle w:val="style0"/>
                        <w:jc w:val="center"/>
                        <w:rPr/>
                      </w:pPr>
                    </w:p>
                  </w:txbxContent>
                </v:textbox>
              </v:rect>
            </w:pict>
          </mc:Fallback>
        </mc:AlternateContent>
      </w:r>
      <w:r>
        <w:t>tahunan.</w:t>
      </w:r>
      <w:r>
        <w:rPr>
          <w:rFonts w:cs="Times New Roman"/>
          <w:color w:val="000000"/>
          <w:szCs w:val="24"/>
        </w:rPr>
        <w:t xml:space="preserve"> </w:t>
      </w:r>
      <w:r>
        <w:rPr>
          <w:rFonts w:cs="Times New Roman"/>
          <w:color w:val="000000"/>
          <w:szCs w:val="24"/>
        </w:rPr>
        <w:t>R</w:t>
      </w:r>
      <w:r>
        <w:rPr>
          <w:rFonts w:cs="Times New Roman"/>
          <w:color w:val="000000"/>
          <w:szCs w:val="24"/>
        </w:rPr>
        <w:t>umus perhitungan</w:t>
      </w:r>
      <w:r>
        <w:rPr>
          <w:rFonts w:cs="Times New Roman"/>
          <w:color w:val="000000"/>
          <w:szCs w:val="24"/>
        </w:rPr>
        <w:t xml:space="preserve"> rasio</w:t>
      </w:r>
      <w:r>
        <w:rPr>
          <w:rFonts w:cs="Times New Roman"/>
          <w:color w:val="000000"/>
          <w:szCs w:val="24"/>
        </w:rPr>
        <w:t xml:space="preserve"> </w:t>
      </w:r>
      <w:r>
        <w:rPr>
          <w:rFonts w:cs="Times New Roman" w:eastAsia="Times New Roman"/>
          <w:color w:val="000000"/>
        </w:rPr>
        <w:t>(Edhitya CP &amp; Suzan, 2023)</w:t>
      </w:r>
      <w:r>
        <w:rPr>
          <w:rFonts w:cs="Times New Roman"/>
          <w:color w:val="000000"/>
          <w:szCs w:val="24"/>
        </w:rPr>
        <w:t>, sebagai berikut</w:t>
      </w:r>
      <w:r>
        <w:rPr>
          <w:rFonts w:cs="Times New Roman"/>
          <w:szCs w:val="24"/>
        </w:rPr>
        <w:t>:</w:t>
      </w:r>
    </w:p>
    <w:p>
      <w:pPr>
        <w:pStyle w:val="style0"/>
        <w:tabs>
          <w:tab w:val="left" w:leader="none" w:pos="0"/>
        </w:tabs>
        <w:spacing w:after="0" w:lineRule="auto" w:line="480"/>
        <w:jc w:val="center"/>
        <w:rPr>
          <w:rFonts w:cs="Times New Roman" w:eastAsia="宋体"/>
          <w:sz w:val="22"/>
        </w:rPr>
      </w:pPr>
      <m:oMathPara>
        <m:oMath>
          <m:r>
            <w:rPr>
              <w:rFonts w:ascii="Cambria Math" w:cs="Times New Roman" w:eastAsia="宋体" w:hAnsi="Cambria Math"/>
              <w:sz w:val="22"/>
            </w:rPr>
            <m:t>Managerial Ownership</m:t>
          </m:r>
          <m:r>
            <m:rPr>
              <m:sty m:val="p"/>
            </m:rPr>
            <w:rPr>
              <w:rFonts w:ascii="Cambria Math" w:cs="Times New Roman" w:hAnsi="Cambria Math"/>
              <w:sz w:val="22"/>
            </w:rPr>
            <m:t xml:space="preserve">= </m:t>
          </m:r>
          <m:f>
            <m:fPr>
              <m:ctrlPr>
                <w:rPr>
                  <w:rFonts w:ascii="Cambria Math" w:cs="Times New Roman" w:hAnsi="Cambria Math"/>
                  <w:sz w:val="22"/>
                </w:rPr>
              </m:ctrlPr>
            </m:fPr>
            <m:num>
              <m:r>
                <m:rPr>
                  <m:sty m:val="p"/>
                </m:rPr>
                <w:rPr>
                  <w:rFonts w:ascii="Cambria Math" w:cs="Times New Roman" w:hAnsi="Cambria Math"/>
                  <w:sz w:val="22"/>
                </w:rPr>
                <m:t xml:space="preserve">Total </m:t>
              </m:r>
              <m:r>
                <m:rPr>
                  <m:sty m:val="p"/>
                </m:rPr>
                <w:rPr>
                  <w:rFonts w:ascii="Cambria Math" w:cs="Times New Roman" w:eastAsia="宋体" w:hAnsi="Cambria Math"/>
                  <w:sz w:val="22"/>
                </w:rPr>
                <m:t>saham</m:t>
              </m:r>
              <m:r>
                <w:rPr>
                  <w:rFonts w:ascii="Cambria Math" w:cs="Times New Roman" w:hAnsi="Cambria Math"/>
                  <w:sz w:val="22"/>
                </w:rPr>
                <m:t xml:space="preserve"> </m:t>
              </m:r>
              <m:r>
                <m:rPr>
                  <m:sty m:val="p"/>
                </m:rPr>
                <w:rPr>
                  <w:rFonts w:ascii="Cambria Math" w:cs="Times New Roman" w:hAnsi="Cambria Math"/>
                  <w:sz w:val="22"/>
                </w:rPr>
                <m:t>yang dimiliki manajemen</m:t>
              </m:r>
            </m:num>
            <m:den>
              <m:r>
                <m:rPr>
                  <m:sty m:val="p"/>
                </m:rPr>
                <w:rPr>
                  <w:rFonts w:ascii="Cambria Math" w:cs="Times New Roman" w:hAnsi="Cambria Math"/>
                  <w:sz w:val="22"/>
                </w:rPr>
                <m:t xml:space="preserve">Total </m:t>
              </m:r>
              <m:r>
                <m:rPr>
                  <m:sty m:val="p"/>
                </m:rPr>
                <w:rPr>
                  <w:rFonts w:ascii="Cambria Math" w:cs="Times New Roman" w:eastAsia="宋体" w:hAnsi="Cambria Math"/>
                  <w:sz w:val="22"/>
                </w:rPr>
                <m:t>saham beredar</m:t>
              </m:r>
            </m:den>
          </m:f>
        </m:oMath>
      </m:oMathPara>
    </w:p>
    <w:bookmarkStart w:id="55" w:name="_Toc218854618"/>
    <w:p>
      <w:pPr>
        <w:pStyle w:val="style3"/>
        <w:spacing w:before="240"/>
        <w:rPr/>
      </w:pPr>
      <w:r>
        <w:t xml:space="preserve">3.1.4. </w:t>
      </w:r>
      <w:r>
        <w:tab/>
      </w:r>
      <w:r>
        <w:tab/>
      </w:r>
      <w:r>
        <w:rPr>
          <w:i/>
          <w:iCs/>
        </w:rPr>
        <w:t>Intitutional Ownership</w:t>
      </w:r>
      <w:r>
        <w:t xml:space="preserve"> (</w:t>
      </w:r>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3</m:t>
            </m:r>
          </m:sub>
        </m:sSub>
      </m:oMath>
      <w:r>
        <w:rPr>
          <w:rFonts w:eastAsia="宋体"/>
        </w:rPr>
        <w:t>)</w:t>
      </w:r>
      <w:bookmarkEnd w:id="55"/>
    </w:p>
    <w:p>
      <w:pPr>
        <w:pStyle w:val="style0"/>
        <w:tabs>
          <w:tab w:val="left" w:leader="none" w:pos="630"/>
          <w:tab w:val="left" w:leader="none" w:pos="810"/>
        </w:tabs>
        <w:spacing w:after="0" w:lineRule="auto" w:line="480"/>
        <w:jc w:val="both"/>
        <w:rPr/>
      </w:pPr>
      <w:r>
        <w:rPr>
          <w:rFonts w:cs="Times New Roman"/>
          <w:iCs/>
          <w:noProof/>
          <w:szCs w:val="24"/>
        </w:rPr>
        <mc:AlternateContent>
          <mc:Choice Requires="wps">
            <w:drawing>
              <wp:anchor distT="0" distB="0" distL="0" distR="0" simplePos="false" relativeHeight="8" behindDoc="false" locked="false" layoutInCell="true" allowOverlap="true">
                <wp:simplePos x="0" y="0"/>
                <wp:positionH relativeFrom="margin">
                  <wp:posOffset>498035</wp:posOffset>
                </wp:positionH>
                <wp:positionV relativeFrom="paragraph">
                  <wp:posOffset>2018030</wp:posOffset>
                </wp:positionV>
                <wp:extent cx="4107051" cy="533887"/>
                <wp:effectExtent l="0" t="0" r="27305" b="19050"/>
                <wp:wrapNone/>
                <wp:docPr id="1081" name="Rectangle 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107051" cy="533887"/>
                        </a:xfrm>
                        <a:prstGeom prst="rect"/>
                        <a:ln cmpd="sng" cap="flat" w="9525">
                          <a:solidFill>
                            <a:srgbClr val="000000"/>
                          </a:solidFill>
                          <a:prstDash val="solid"/>
                          <a:round/>
                          <a:headEnd len="med" w="med" type="none"/>
                          <a:tailEnd len="med" w="med" type="none"/>
                        </a:ln>
                      </wps:spPr>
                      <wps:txbx id="1081">
                        <w:txbxContent>
                          <w:p>
                            <w:pPr>
                              <w:pStyle w:val="style0"/>
                              <w:jc w:val="center"/>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81" filled="f" stroked="t" style="position:absolute;margin-left:39.22pt;margin-top:158.9pt;width:323.39pt;height:42.04pt;z-index:8;mso-position-horizontal-relative:margin;mso-position-vertical-relative:text;mso-width-percent:0;mso-height-percent:0;mso-width-relative:margin;mso-height-relative:margin;mso-wrap-distance-left:0.0pt;mso-wrap-distance-right:0.0pt;visibility:visible;v-text-anchor:middle;">
                <v:fill/>
                <v:textbox inset="7.2pt,3.6pt,7.2pt,3.6pt">
                  <w:txbxContent>
                    <w:p>
                      <w:pPr>
                        <w:pStyle w:val="style0"/>
                        <w:jc w:val="center"/>
                        <w:rPr/>
                      </w:pPr>
                    </w:p>
                  </w:txbxContent>
                </v:textbox>
              </v:rect>
            </w:pict>
          </mc:Fallback>
        </mc:AlternateContent>
      </w:r>
      <w:r>
        <w:rPr>
          <w:rFonts w:eastAsia="Times New Roman"/>
        </w:rPr>
        <w:tab/>
      </w:r>
      <w:r>
        <w:rPr>
          <w:rFonts w:eastAsia="Times New Roman"/>
        </w:rPr>
        <w:tab/>
      </w:r>
      <w:r>
        <w:rPr>
          <w:rFonts w:cs="Times New Roman"/>
          <w:i/>
          <w:iCs/>
        </w:rPr>
        <w:t>Institutional ownership</w:t>
      </w:r>
      <w:r>
        <w:rPr>
          <w:rFonts w:cs="Times New Roman"/>
          <w:i/>
          <w:iCs/>
        </w:rPr>
        <w:t xml:space="preserve"> </w:t>
      </w:r>
      <w:r>
        <w:rPr>
          <w:rFonts w:cs="Times New Roman"/>
        </w:rPr>
        <w:t>adalah</w:t>
      </w:r>
      <w:r>
        <w:rPr>
          <w:rFonts w:cs="Times New Roman"/>
        </w:rPr>
        <w:t xml:space="preserve"> kepemilikan saham oleh lembaga atau institusi nonbank yang cukup berpengaruh daripada investor biasa dalam perusahaan.  </w:t>
      </w:r>
      <w:r>
        <w:t>Parameter rasio</w:t>
      </w:r>
      <w:r>
        <w:rPr>
          <w:rFonts w:cs="Times New Roman"/>
          <w:i/>
          <w:iCs/>
        </w:rPr>
        <w:t xml:space="preserve"> institutional ownership </w:t>
      </w:r>
      <w:r>
        <w:rPr>
          <w:rFonts w:cs="Times New Roman"/>
        </w:rPr>
        <w:t xml:space="preserve">lebih dari 5%, maka dapat meningkatkan pengawasan dan pengendalian kinerja manajemen </w:t>
      </w:r>
      <w:r>
        <w:rPr>
          <w:rFonts w:cs="Times New Roman" w:eastAsia="Times New Roman"/>
          <w:color w:val="000000"/>
        </w:rPr>
        <w:t>(Rahayu &amp; Wahyudi, 2024; Wardoyo &amp; Fauziah, 2024)</w:t>
      </w:r>
      <w:r>
        <w:rPr>
          <w:rFonts w:cs="Times New Roman"/>
          <w:color w:val="000000"/>
        </w:rPr>
        <w:t xml:space="preserve">. </w:t>
      </w:r>
      <w:r>
        <w:t xml:space="preserve">Rumus perhitungan rasio </w:t>
      </w:r>
      <w:r>
        <w:rPr>
          <w:rFonts w:cs="Times New Roman" w:eastAsia="Times New Roman"/>
          <w:color w:val="000000"/>
        </w:rPr>
        <w:t>(Yuwono &amp; Aurelia, 2021)</w:t>
      </w:r>
      <w:r>
        <w:t>, sebagai berikut:</w:t>
      </w:r>
    </w:p>
    <w:p>
      <w:pPr>
        <w:pStyle w:val="style0"/>
        <w:tabs>
          <w:tab w:val="left" w:leader="none" w:pos="630"/>
          <w:tab w:val="left" w:leader="none" w:pos="900"/>
        </w:tabs>
        <w:spacing w:lineRule="auto" w:line="360"/>
        <w:jc w:val="both"/>
        <w:rPr>
          <w:rFonts w:cs="Times New Roman"/>
          <w:sz w:val="22"/>
        </w:rPr>
      </w:pPr>
      <m:oMathPara>
        <m:oMath>
          <m:r>
            <w:rPr>
              <w:rFonts w:ascii="Cambria Math" w:cs="Times New Roman" w:eastAsia="宋体" w:hAnsi="Cambria Math"/>
              <w:sz w:val="22"/>
            </w:rPr>
            <m:t>Institution Ownership</m:t>
          </m:r>
          <m:r>
            <m:rPr>
              <m:sty m:val="p"/>
            </m:rPr>
            <w:rPr>
              <w:rFonts w:ascii="Cambria Math" w:cs="Times New Roman" w:hAnsi="Cambria Math"/>
              <w:sz w:val="22"/>
            </w:rPr>
            <m:t xml:space="preserve">= </m:t>
          </m:r>
          <m:f>
            <m:fPr>
              <m:ctrlPr>
                <w:rPr>
                  <w:rFonts w:ascii="Cambria Math" w:cs="Times New Roman" w:hAnsi="Cambria Math"/>
                  <w:sz w:val="22"/>
                </w:rPr>
              </m:ctrlPr>
            </m:fPr>
            <m:num>
              <m:r>
                <m:rPr>
                  <m:sty m:val="p"/>
                </m:rPr>
                <w:rPr>
                  <w:rFonts w:ascii="Cambria Math" w:cs="Times New Roman" w:hAnsi="Cambria Math"/>
                  <w:sz w:val="22"/>
                </w:rPr>
                <m:t xml:space="preserve">Total kepemilikan </m:t>
              </m:r>
              <m:r>
                <m:rPr>
                  <m:sty m:val="p"/>
                </m:rPr>
                <w:rPr>
                  <w:rFonts w:ascii="Cambria Math" w:cs="Times New Roman" w:eastAsia="宋体" w:hAnsi="Cambria Math"/>
                  <w:sz w:val="22"/>
                </w:rPr>
                <m:t>saham institusional</m:t>
              </m:r>
            </m:num>
            <m:den>
              <m:r>
                <m:rPr>
                  <m:sty m:val="p"/>
                </m:rPr>
                <w:rPr>
                  <w:rFonts w:ascii="Cambria Math" w:cs="Times New Roman" w:hAnsi="Cambria Math"/>
                  <w:sz w:val="22"/>
                </w:rPr>
                <m:t xml:space="preserve">Total </m:t>
              </m:r>
              <m:r>
                <m:rPr>
                  <m:sty m:val="p"/>
                </m:rPr>
                <w:rPr>
                  <w:rFonts w:ascii="Cambria Math" w:cs="Times New Roman" w:eastAsia="宋体" w:hAnsi="Cambria Math"/>
                  <w:sz w:val="22"/>
                </w:rPr>
                <m:t>saham beredar</m:t>
              </m:r>
            </m:den>
          </m:f>
        </m:oMath>
      </m:oMathPara>
    </w:p>
    <w:bookmarkStart w:id="56" w:name="_Toc218854619"/>
    <w:p>
      <w:pPr>
        <w:pStyle w:val="style2"/>
        <w:tabs>
          <w:tab w:val="left" w:leader="none" w:pos="630"/>
          <w:tab w:val="left" w:leader="none" w:pos="900"/>
        </w:tabs>
        <w:spacing w:lineRule="auto" w:line="480"/>
        <w:rPr/>
      </w:pPr>
      <w:r>
        <w:t>3.</w:t>
      </w:r>
      <w:r>
        <w:t>2</w:t>
      </w:r>
      <w:r>
        <w:t xml:space="preserve">. </w:t>
      </w:r>
      <w:r>
        <w:tab/>
      </w:r>
      <w:r>
        <w:tab/>
      </w:r>
      <w:r>
        <w:t>Populasi</w:t>
      </w:r>
      <w:r>
        <w:t xml:space="preserve"> dan Sampel</w:t>
      </w:r>
      <w:r>
        <w:t xml:space="preserve"> Penelitian</w:t>
      </w:r>
      <w:bookmarkEnd w:id="56"/>
      <w:r>
        <w:t xml:space="preserve"> </w:t>
      </w:r>
    </w:p>
    <w:p>
      <w:pPr>
        <w:pStyle w:val="style0"/>
        <w:spacing w:after="0" w:lineRule="auto" w:line="480"/>
        <w:ind w:firstLine="900"/>
        <w:jc w:val="both"/>
        <w:rPr>
          <w:rFonts w:cs="Times New Roman"/>
        </w:rPr>
      </w:pPr>
      <w:r>
        <w:rPr>
          <w:rFonts w:cs="Times New Roman"/>
        </w:rPr>
        <w:t>P</w:t>
      </w:r>
      <w:r>
        <w:rPr>
          <w:rFonts w:cs="Times New Roman"/>
        </w:rPr>
        <w:t xml:space="preserve">opulasi </w:t>
      </w:r>
      <w:r>
        <w:rPr>
          <w:rFonts w:cs="Times New Roman"/>
        </w:rPr>
        <w:t>dalam</w:t>
      </w:r>
      <w:r>
        <w:rPr>
          <w:rFonts w:cs="Times New Roman"/>
        </w:rPr>
        <w:t xml:space="preserve"> penelitian ini </w:t>
      </w:r>
      <w:r>
        <w:rPr>
          <w:rFonts w:cs="Times New Roman"/>
        </w:rPr>
        <w:t>menggunakan</w:t>
      </w:r>
      <w:r>
        <w:rPr>
          <w:rFonts w:cs="Times New Roman"/>
        </w:rPr>
        <w:t xml:space="preserve"> perusahaan manufaktur yang terdaftar di Bursa Efek Indonesia (BEI) </w:t>
      </w:r>
      <w:r>
        <w:rPr>
          <w:rFonts w:cs="Times New Roman"/>
        </w:rPr>
        <w:t>pada</w:t>
      </w:r>
      <w:r>
        <w:rPr>
          <w:rFonts w:cs="Times New Roman"/>
        </w:rPr>
        <w:t xml:space="preserve"> tahun </w:t>
      </w:r>
      <w:r>
        <w:rPr>
          <w:rFonts w:cs="Times New Roman"/>
        </w:rPr>
        <w:t>2020</w:t>
      </w:r>
      <w:r>
        <w:rPr>
          <w:rFonts w:cs="Times New Roman"/>
        </w:rPr>
        <w:t>-202</w:t>
      </w:r>
      <w:r>
        <w:rPr>
          <w:rFonts w:cs="Times New Roman"/>
        </w:rPr>
        <w:t>3</w:t>
      </w:r>
      <w:r>
        <w:rPr>
          <w:rFonts w:cs="Times New Roman"/>
        </w:rPr>
        <w:t xml:space="preserve"> berjumlah</w:t>
      </w:r>
      <w:r>
        <w:rPr>
          <w:rFonts w:cs="Times New Roman"/>
        </w:rPr>
        <w:t xml:space="preserve"> </w:t>
      </w:r>
      <w:r>
        <w:rPr>
          <w:rFonts w:cs="Times New Roman"/>
        </w:rPr>
        <w:t>17</w:t>
      </w:r>
      <w:r>
        <w:rPr>
          <w:rFonts w:cs="Times New Roman"/>
        </w:rPr>
        <w:t>6</w:t>
      </w:r>
      <w:r>
        <w:rPr>
          <w:rFonts w:cs="Times New Roman"/>
        </w:rPr>
        <w:t xml:space="preserve"> perusahaan</w:t>
      </w:r>
      <w:r>
        <w:rPr>
          <w:rFonts w:cs="Times New Roman"/>
        </w:rPr>
        <w:t xml:space="preserve">. Populasi dalam penelitian ini </w:t>
      </w:r>
      <w:r>
        <w:rPr>
          <w:rFonts w:cs="Times New Roman"/>
        </w:rPr>
        <w:t xml:space="preserve">mencakup dampak </w:t>
      </w:r>
      <w:r>
        <w:rPr>
          <w:rFonts w:cs="Times New Roman"/>
        </w:rPr>
        <w:t xml:space="preserve">dari </w:t>
      </w:r>
      <w:r>
        <w:rPr>
          <w:rFonts w:cs="Times New Roman"/>
        </w:rPr>
        <w:t xml:space="preserve">pandemi </w:t>
      </w:r>
      <w:r>
        <w:rPr>
          <w:rFonts w:cs="Times New Roman"/>
          <w:i/>
          <w:iCs/>
        </w:rPr>
        <w:t>COVID-19</w:t>
      </w:r>
      <w:r>
        <w:rPr>
          <w:rFonts w:cs="Times New Roman"/>
          <w:i/>
          <w:iCs/>
        </w:rPr>
        <w:t xml:space="preserve"> </w:t>
      </w:r>
      <w:r>
        <w:rPr>
          <w:rFonts w:cs="Times New Roman"/>
        </w:rPr>
        <w:t xml:space="preserve">dan </w:t>
      </w:r>
      <w:r>
        <w:rPr>
          <w:rFonts w:cs="Times New Roman"/>
        </w:rPr>
        <w:t>dipilih karena perusahaan manufaktur</w:t>
      </w:r>
      <w:r>
        <w:rPr>
          <w:rFonts w:cs="Times New Roman"/>
        </w:rPr>
        <w:t xml:space="preserve"> b</w:t>
      </w:r>
      <w:r>
        <w:rPr>
          <w:rFonts w:cs="Times New Roman"/>
          <w:szCs w:val="24"/>
        </w:rPr>
        <w:t>erkontribusi</w:t>
      </w:r>
      <w:r>
        <w:rPr>
          <w:rFonts w:cs="Times New Roman"/>
          <w:szCs w:val="24"/>
        </w:rPr>
        <w:t xml:space="preserve"> </w:t>
      </w:r>
      <w:r>
        <w:rPr>
          <w:rFonts w:cs="Times New Roman"/>
          <w:szCs w:val="24"/>
        </w:rPr>
        <w:t xml:space="preserve">besar terhadap </w:t>
      </w:r>
      <w:r>
        <w:rPr>
          <w:rFonts w:cs="Times New Roman"/>
          <w:szCs w:val="24"/>
        </w:rPr>
        <w:t>Produk Domestik Bruto (PDB)</w:t>
      </w:r>
      <w:r>
        <w:rPr>
          <w:rFonts w:cs="Times New Roman"/>
          <w:szCs w:val="24"/>
        </w:rPr>
        <w:t xml:space="preserve"> nasional serta </w:t>
      </w:r>
      <w:r>
        <w:rPr>
          <w:rFonts w:cs="Times New Roman"/>
          <w:szCs w:val="24"/>
        </w:rPr>
        <w:t xml:space="preserve">membantu </w:t>
      </w:r>
      <w:r>
        <w:rPr>
          <w:rFonts w:cs="Times New Roman"/>
          <w:szCs w:val="24"/>
        </w:rPr>
        <w:t xml:space="preserve">Indonesia </w:t>
      </w:r>
      <w:r>
        <w:rPr>
          <w:rFonts w:cs="Times New Roman"/>
          <w:szCs w:val="24"/>
        </w:rPr>
        <w:t>untuk ber</w:t>
      </w:r>
      <w:r>
        <w:rPr>
          <w:rFonts w:cs="Times New Roman"/>
          <w:szCs w:val="24"/>
        </w:rPr>
        <w:t>k</w:t>
      </w:r>
      <w:r>
        <w:rPr>
          <w:rFonts w:cs="Times New Roman"/>
          <w:szCs w:val="24"/>
        </w:rPr>
        <w:t xml:space="preserve">embang </w:t>
      </w:r>
      <w:r>
        <w:rPr>
          <w:rFonts w:cs="Times New Roman"/>
          <w:szCs w:val="24"/>
        </w:rPr>
        <w:t>maupun</w:t>
      </w:r>
      <w:r>
        <w:rPr>
          <w:rFonts w:cs="Times New Roman"/>
          <w:szCs w:val="24"/>
        </w:rPr>
        <w:t xml:space="preserve"> berinovasi</w:t>
      </w:r>
      <w:r>
        <w:rPr>
          <w:rFonts w:cs="Times New Roman"/>
          <w:szCs w:val="24"/>
        </w:rPr>
        <w:t>,</w:t>
      </w:r>
      <w:r>
        <w:rPr>
          <w:rFonts w:cs="Times New Roman"/>
        </w:rPr>
        <w:t xml:space="preserve"> </w:t>
      </w:r>
      <w:r>
        <w:rPr>
          <w:rFonts w:cs="Times New Roman"/>
        </w:rPr>
        <w:t>meskipun mengalami ketidakpastian atau ketidakstabilan ekonomi</w:t>
      </w:r>
      <w:r>
        <w:rPr>
          <w:rFonts w:cs="Times New Roman"/>
        </w:rPr>
        <w:t xml:space="preserve">. </w:t>
      </w:r>
      <w:r>
        <w:rPr>
          <w:rFonts w:cs="Times New Roman"/>
        </w:rPr>
        <w:t xml:space="preserve">Populasi </w:t>
      </w:r>
      <w:r>
        <w:rPr>
          <w:rFonts w:cs="Times New Roman"/>
        </w:rPr>
        <w:t>penelitian ini</w:t>
      </w:r>
      <w:r>
        <w:rPr>
          <w:rFonts w:cs="Times New Roman"/>
        </w:rPr>
        <w:t xml:space="preserve"> berasal dari </w:t>
      </w:r>
      <w:r>
        <w:rPr>
          <w:rFonts w:cs="Times New Roman"/>
        </w:rPr>
        <w:t>4</w:t>
      </w:r>
      <w:r>
        <w:rPr>
          <w:rFonts w:cs="Times New Roman"/>
        </w:rPr>
        <w:t xml:space="preserve"> </w:t>
      </w:r>
      <w:r>
        <w:rPr>
          <w:rFonts w:cs="Times New Roman"/>
        </w:rPr>
        <w:t>subsektor</w:t>
      </w:r>
      <w:r>
        <w:rPr>
          <w:rFonts w:cs="Times New Roman"/>
        </w:rPr>
        <w:t xml:space="preserve"> yang terdiri dari: </w:t>
      </w:r>
      <w:r>
        <w:rPr>
          <w:rFonts w:cs="Times New Roman"/>
        </w:rPr>
        <w:t>subsektor</w:t>
      </w:r>
      <w:r>
        <w:rPr>
          <w:rFonts w:cs="Times New Roman"/>
        </w:rPr>
        <w:t xml:space="preserve"> industri barang konsumsi, </w:t>
      </w:r>
      <w:r>
        <w:rPr>
          <w:rFonts w:cs="Times New Roman"/>
        </w:rPr>
        <w:t>subsektor</w:t>
      </w:r>
      <w:r>
        <w:rPr>
          <w:rFonts w:cs="Times New Roman"/>
        </w:rPr>
        <w:t xml:space="preserve"> industri dasar</w:t>
      </w:r>
      <w:r>
        <w:rPr>
          <w:rFonts w:cs="Times New Roman"/>
        </w:rPr>
        <w:t xml:space="preserve">, </w:t>
      </w:r>
      <w:r>
        <w:rPr>
          <w:rFonts w:cs="Times New Roman"/>
        </w:rPr>
        <w:t>subsektor</w:t>
      </w:r>
      <w:r>
        <w:rPr>
          <w:rFonts w:cs="Times New Roman"/>
        </w:rPr>
        <w:t xml:space="preserve"> kimia, dan </w:t>
      </w:r>
      <w:r>
        <w:rPr>
          <w:rFonts w:cs="Times New Roman"/>
        </w:rPr>
        <w:t>subsektor</w:t>
      </w:r>
      <w:r>
        <w:rPr>
          <w:rFonts w:cs="Times New Roman"/>
        </w:rPr>
        <w:t xml:space="preserve"> industri. </w:t>
      </w:r>
    </w:p>
    <w:p>
      <w:pPr>
        <w:pStyle w:val="style0"/>
        <w:spacing w:after="0" w:lineRule="auto" w:line="480"/>
        <w:ind w:firstLine="900"/>
        <w:jc w:val="both"/>
        <w:rPr>
          <w:rFonts w:cs="Times New Roman"/>
        </w:rPr>
      </w:pPr>
      <w:r>
        <w:rPr>
          <w:rFonts w:cs="Times New Roman"/>
        </w:rPr>
        <w:t>P</w:t>
      </w:r>
      <w:r>
        <w:rPr>
          <w:rFonts w:cs="Times New Roman"/>
        </w:rPr>
        <w:t xml:space="preserve">enelitian ini </w:t>
      </w:r>
      <w:r>
        <w:rPr>
          <w:rFonts w:cs="Times New Roman"/>
        </w:rPr>
        <w:t xml:space="preserve">menggunakan metode </w:t>
      </w:r>
      <w:r>
        <w:rPr>
          <w:rFonts w:cs="Times New Roman"/>
          <w:i/>
          <w:iCs/>
        </w:rPr>
        <w:t>purposive sampling</w:t>
      </w:r>
      <w:r>
        <w:rPr>
          <w:rFonts w:cs="Times New Roman"/>
          <w:i/>
          <w:iCs/>
        </w:rPr>
        <w:t xml:space="preserve"> </w:t>
      </w:r>
      <w:r>
        <w:rPr>
          <w:rFonts w:cs="Times New Roman"/>
        </w:rPr>
        <w:t>untuk menentukan jumlah sampel</w:t>
      </w:r>
      <w:r>
        <w:rPr>
          <w:rFonts w:cs="Times New Roman"/>
        </w:rPr>
        <w:t>.</w:t>
      </w:r>
      <w:r>
        <w:rPr>
          <w:rFonts w:cs="Times New Roman"/>
          <w:color w:val="000000"/>
        </w:rPr>
        <w:t xml:space="preserve"> </w:t>
      </w:r>
      <w:r>
        <w:rPr>
          <w:rFonts w:cs="Times New Roman"/>
        </w:rPr>
        <w:t>Berikut adalah kriteria yang digunakan untuk menyeleksi sampel</w:t>
      </w:r>
      <w:r>
        <w:rPr>
          <w:rFonts w:cs="Times New Roman"/>
        </w:rPr>
        <w:t>:</w:t>
      </w:r>
    </w:p>
    <w:p>
      <w:pPr>
        <w:pStyle w:val="style179"/>
        <w:numPr>
          <w:ilvl w:val="0"/>
          <w:numId w:val="9"/>
        </w:numPr>
        <w:spacing w:after="0" w:lineRule="auto" w:line="480"/>
        <w:jc w:val="both"/>
        <w:rPr>
          <w:rFonts w:cs="Times New Roman"/>
        </w:rPr>
      </w:pPr>
      <w:r>
        <w:rPr>
          <w:rFonts w:cs="Times New Roman"/>
        </w:rPr>
        <w:t>Perusahaan manufaktur yang</w:t>
      </w:r>
      <w:r>
        <w:rPr>
          <w:rFonts w:cs="Times New Roman"/>
        </w:rPr>
        <w:t xml:space="preserve"> tidak </w:t>
      </w:r>
      <w:r>
        <w:rPr>
          <w:rFonts w:cs="Times New Roman"/>
          <w:i/>
          <w:iCs/>
        </w:rPr>
        <w:t xml:space="preserve">delisting </w:t>
      </w:r>
      <w:r>
        <w:rPr>
          <w:rFonts w:cs="Times New Roman"/>
        </w:rPr>
        <w:t xml:space="preserve">dan </w:t>
      </w:r>
      <w:r>
        <w:rPr>
          <w:rFonts w:cs="Times New Roman"/>
          <w:i/>
          <w:iCs/>
        </w:rPr>
        <w:t>suspend</w:t>
      </w:r>
      <w:r>
        <w:rPr>
          <w:rFonts w:cs="Times New Roman"/>
        </w:rPr>
        <w:t xml:space="preserve"> di Bursa Efek Indonesia </w:t>
      </w:r>
      <w:r>
        <w:rPr>
          <w:rFonts w:cs="Times New Roman"/>
        </w:rPr>
        <w:t xml:space="preserve">pada </w:t>
      </w:r>
      <w:r>
        <w:rPr>
          <w:rFonts w:cs="Times New Roman"/>
        </w:rPr>
        <w:t>tahun 2020-2023.</w:t>
      </w:r>
    </w:p>
    <w:p>
      <w:pPr>
        <w:pStyle w:val="style179"/>
        <w:numPr>
          <w:ilvl w:val="0"/>
          <w:numId w:val="9"/>
        </w:numPr>
        <w:spacing w:after="0" w:lineRule="auto" w:line="480"/>
        <w:jc w:val="both"/>
        <w:rPr>
          <w:rFonts w:cs="Times New Roman"/>
          <w:szCs w:val="24"/>
        </w:rPr>
      </w:pPr>
      <w:r>
        <w:rPr>
          <w:rFonts w:cs="Times New Roman"/>
          <w:szCs w:val="24"/>
        </w:rPr>
        <w:t xml:space="preserve">Perusahaan </w:t>
      </w:r>
      <w:r>
        <w:rPr>
          <w:rFonts w:cs="Times New Roman"/>
          <w:szCs w:val="24"/>
        </w:rPr>
        <w:t xml:space="preserve">manufaktur </w:t>
      </w:r>
      <w:r>
        <w:rPr>
          <w:rFonts w:cs="Times New Roman"/>
          <w:szCs w:val="24"/>
        </w:rPr>
        <w:t>yang me</w:t>
      </w:r>
      <w:r>
        <w:rPr>
          <w:rFonts w:cs="Times New Roman"/>
          <w:szCs w:val="24"/>
        </w:rPr>
        <w:t>nyajikan</w:t>
      </w:r>
      <w:r>
        <w:rPr>
          <w:rFonts w:cs="Times New Roman"/>
          <w:szCs w:val="24"/>
        </w:rPr>
        <w:t xml:space="preserve"> data</w:t>
      </w:r>
      <w:r>
        <w:rPr>
          <w:rFonts w:cs="Times New Roman"/>
          <w:szCs w:val="24"/>
        </w:rPr>
        <w:t xml:space="preserve"> manajemen risiko perusahaan.</w:t>
      </w:r>
    </w:p>
    <w:p>
      <w:pPr>
        <w:pStyle w:val="style179"/>
        <w:numPr>
          <w:ilvl w:val="0"/>
          <w:numId w:val="9"/>
        </w:numPr>
        <w:spacing w:after="0" w:lineRule="auto" w:line="480"/>
        <w:jc w:val="both"/>
        <w:rPr>
          <w:rFonts w:cs="Times New Roman"/>
          <w:szCs w:val="24"/>
        </w:rPr>
      </w:pPr>
      <w:r>
        <w:rPr>
          <w:rFonts w:cs="Times New Roman"/>
          <w:szCs w:val="24"/>
        </w:rPr>
        <w:t>Perusahaan ma</w:t>
      </w:r>
      <w:r>
        <w:rPr>
          <w:rFonts w:cs="Times New Roman"/>
          <w:szCs w:val="24"/>
        </w:rPr>
        <w:t>n</w:t>
      </w:r>
      <w:r>
        <w:rPr>
          <w:rFonts w:cs="Times New Roman"/>
          <w:szCs w:val="24"/>
        </w:rPr>
        <w:t>ufaktur</w:t>
      </w:r>
      <w:r>
        <w:rPr>
          <w:rFonts w:cs="Times New Roman"/>
          <w:szCs w:val="24"/>
        </w:rPr>
        <w:t xml:space="preserve"> yang</w:t>
      </w:r>
      <w:r>
        <w:rPr>
          <w:rFonts w:cs="Times New Roman"/>
          <w:szCs w:val="24"/>
        </w:rPr>
        <w:t xml:space="preserve"> </w:t>
      </w:r>
      <w:r>
        <w:rPr>
          <w:rFonts w:cs="Times New Roman"/>
          <w:szCs w:val="24"/>
        </w:rPr>
        <w:t xml:space="preserve">menyajikan </w:t>
      </w:r>
      <w:r>
        <w:rPr>
          <w:rFonts w:cs="Times New Roman"/>
          <w:szCs w:val="24"/>
        </w:rPr>
        <w:t xml:space="preserve">data </w:t>
      </w:r>
      <w:r>
        <w:rPr>
          <w:rFonts w:cs="Times New Roman"/>
          <w:i/>
          <w:iCs/>
          <w:szCs w:val="24"/>
        </w:rPr>
        <w:t>managerial</w:t>
      </w:r>
      <w:r>
        <w:rPr>
          <w:rFonts w:cs="Times New Roman"/>
          <w:szCs w:val="24"/>
        </w:rPr>
        <w:t xml:space="preserve"> dan </w:t>
      </w:r>
      <w:r>
        <w:rPr>
          <w:rFonts w:cs="Times New Roman"/>
          <w:i/>
          <w:iCs/>
          <w:szCs w:val="24"/>
        </w:rPr>
        <w:t>institutional ownership</w:t>
      </w:r>
      <w:r>
        <w:rPr>
          <w:rFonts w:cs="Times New Roman"/>
          <w:szCs w:val="24"/>
        </w:rPr>
        <w:t>.</w:t>
      </w:r>
    </w:p>
    <w:p>
      <w:pPr>
        <w:pStyle w:val="style0"/>
        <w:spacing w:after="0" w:lineRule="auto" w:line="480"/>
        <w:ind w:firstLine="900"/>
        <w:jc w:val="both"/>
        <w:rPr>
          <w:rFonts w:cs="Times New Roman"/>
        </w:rPr>
      </w:pPr>
      <w:r>
        <w:rPr>
          <w:rFonts w:cs="Times New Roman"/>
        </w:rPr>
        <w:t xml:space="preserve">Berikut </w:t>
      </w:r>
      <w:r>
        <w:rPr>
          <w:rFonts w:cs="Times New Roman"/>
        </w:rPr>
        <w:t xml:space="preserve">ini merupakan </w:t>
      </w:r>
      <w:r>
        <w:rPr>
          <w:rFonts w:cs="Times New Roman"/>
        </w:rPr>
        <w:t xml:space="preserve">tabel penyaringan </w:t>
      </w:r>
      <w:r>
        <w:rPr>
          <w:rFonts w:cs="Times New Roman"/>
        </w:rPr>
        <w:t xml:space="preserve">jumlah </w:t>
      </w:r>
      <w:r>
        <w:rPr>
          <w:rFonts w:cs="Times New Roman"/>
        </w:rPr>
        <w:t xml:space="preserve">sampel berdasarkan kriteria seleksi </w:t>
      </w:r>
      <w:r>
        <w:rPr>
          <w:rFonts w:cs="Times New Roman"/>
        </w:rPr>
        <w:t>yang telah ditetapkan.</w:t>
      </w:r>
    </w:p>
    <w:bookmarkStart w:id="57" w:name="_Toc215602300"/>
    <w:bookmarkStart w:id="58" w:name="_Toc216129256"/>
    <w:bookmarkStart w:id="59" w:name="_Toc216804037"/>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2</w:t>
      </w:r>
      <w:r>
        <w:rPr>
          <w:b w:val="false"/>
          <w:bCs/>
          <w:i/>
          <w:iCs w:val="false"/>
          <w:color w:val="ffffff"/>
          <w:sz w:val="22"/>
          <w:szCs w:val="22"/>
        </w:rPr>
        <w:fldChar w:fldCharType="end"/>
      </w:r>
      <w:r>
        <w:rPr>
          <w:bCs/>
          <w:iCs w:val="false"/>
          <w:color w:val="auto"/>
          <w:sz w:val="22"/>
          <w:szCs w:val="22"/>
        </w:rPr>
        <w:t>3. 1. Tabel Penyaringan Sampel Berdasarkan Kriteria</w:t>
      </w:r>
      <w:bookmarkEnd w:id="57"/>
      <w:bookmarkEnd w:id="58"/>
      <w:bookmarkEnd w:id="59"/>
    </w:p>
    <w:tbl>
      <w:tblPr>
        <w:tblStyle w:val="style154"/>
        <w:tblW w:w="7915" w:type="dxa"/>
        <w:tblLook w:val="04A0" w:firstRow="1" w:lastRow="0" w:firstColumn="1" w:lastColumn="0" w:noHBand="0" w:noVBand="1"/>
      </w:tblPr>
      <w:tblGrid>
        <w:gridCol w:w="570"/>
        <w:gridCol w:w="6085"/>
        <w:gridCol w:w="1260"/>
      </w:tblGrid>
      <w:tr>
        <w:trPr/>
        <w:tc>
          <w:tcPr>
            <w:tcW w:w="570" w:type="dxa"/>
            <w:tcBorders/>
          </w:tcPr>
          <w:p>
            <w:pPr>
              <w:pStyle w:val="style0"/>
              <w:jc w:val="center"/>
              <w:rPr>
                <w:rFonts w:cs="Times New Roman"/>
                <w:b/>
                <w:bCs/>
                <w:sz w:val="20"/>
                <w:szCs w:val="20"/>
              </w:rPr>
            </w:pPr>
            <w:r>
              <w:rPr>
                <w:rFonts w:cs="Times New Roman"/>
                <w:b/>
                <w:bCs/>
                <w:sz w:val="20"/>
                <w:szCs w:val="20"/>
              </w:rPr>
              <w:t>No.</w:t>
            </w:r>
          </w:p>
        </w:tc>
        <w:tc>
          <w:tcPr>
            <w:tcW w:w="6085" w:type="dxa"/>
            <w:tcBorders/>
          </w:tcPr>
          <w:p>
            <w:pPr>
              <w:pStyle w:val="style0"/>
              <w:jc w:val="center"/>
              <w:rPr>
                <w:rFonts w:cs="Times New Roman"/>
                <w:b/>
                <w:bCs/>
                <w:sz w:val="20"/>
                <w:szCs w:val="20"/>
              </w:rPr>
            </w:pPr>
            <w:r>
              <w:rPr>
                <w:rFonts w:cs="Times New Roman"/>
                <w:b/>
                <w:bCs/>
                <w:sz w:val="20"/>
                <w:szCs w:val="20"/>
              </w:rPr>
              <w:t xml:space="preserve">Penjelasan </w:t>
            </w:r>
          </w:p>
        </w:tc>
        <w:tc>
          <w:tcPr>
            <w:tcW w:w="1260" w:type="dxa"/>
            <w:tcBorders/>
          </w:tcPr>
          <w:p>
            <w:pPr>
              <w:pStyle w:val="style0"/>
              <w:jc w:val="center"/>
              <w:rPr>
                <w:rFonts w:cs="Times New Roman"/>
                <w:b/>
                <w:bCs/>
                <w:sz w:val="20"/>
                <w:szCs w:val="20"/>
              </w:rPr>
            </w:pPr>
            <w:r>
              <w:rPr>
                <w:rFonts w:cs="Times New Roman"/>
                <w:b/>
                <w:bCs/>
                <w:sz w:val="20"/>
                <w:szCs w:val="20"/>
              </w:rPr>
              <w:t>Sampel</w:t>
            </w:r>
          </w:p>
        </w:tc>
      </w:tr>
      <w:tr>
        <w:tblPrEx/>
        <w:trPr/>
        <w:tc>
          <w:tcPr>
            <w:tcW w:w="570" w:type="dxa"/>
            <w:tcBorders/>
          </w:tcPr>
          <w:p>
            <w:pPr>
              <w:pStyle w:val="style0"/>
              <w:jc w:val="center"/>
              <w:rPr>
                <w:rFonts w:cs="Times New Roman"/>
                <w:sz w:val="20"/>
                <w:szCs w:val="20"/>
              </w:rPr>
            </w:pPr>
            <w:r>
              <w:rPr>
                <w:rFonts w:cs="Times New Roman"/>
                <w:sz w:val="20"/>
                <w:szCs w:val="20"/>
              </w:rPr>
              <w:t>1.</w:t>
            </w:r>
          </w:p>
        </w:tc>
        <w:tc>
          <w:tcPr>
            <w:tcW w:w="6085" w:type="dxa"/>
            <w:tcBorders/>
          </w:tcPr>
          <w:p>
            <w:pPr>
              <w:pStyle w:val="style0"/>
              <w:jc w:val="both"/>
              <w:rPr>
                <w:rFonts w:cs="Times New Roman"/>
                <w:sz w:val="20"/>
                <w:szCs w:val="20"/>
              </w:rPr>
            </w:pPr>
            <w:r>
              <w:rPr>
                <w:rFonts w:cs="Times New Roman"/>
                <w:sz w:val="20"/>
                <w:szCs w:val="20"/>
              </w:rPr>
              <w:t>P</w:t>
            </w:r>
            <w:r>
              <w:rPr>
                <w:rFonts w:cs="Times New Roman"/>
                <w:sz w:val="20"/>
                <w:szCs w:val="20"/>
              </w:rPr>
              <w:t>erusahaan manufaktur yang terdaftar di Bursa Efek Indonesia</w:t>
            </w:r>
            <w:r>
              <w:rPr>
                <w:rFonts w:cs="Times New Roman"/>
                <w:sz w:val="20"/>
                <w:szCs w:val="20"/>
              </w:rPr>
              <w:t xml:space="preserve"> </w:t>
            </w:r>
            <w:r>
              <w:rPr>
                <w:rFonts w:cs="Times New Roman"/>
                <w:sz w:val="20"/>
                <w:szCs w:val="20"/>
              </w:rPr>
              <w:t xml:space="preserve">pada </w:t>
            </w:r>
            <w:r>
              <w:rPr>
                <w:rFonts w:cs="Times New Roman"/>
                <w:sz w:val="20"/>
                <w:szCs w:val="20"/>
              </w:rPr>
              <w:t>tahun</w:t>
            </w:r>
            <w:r>
              <w:rPr>
                <w:rFonts w:cs="Times New Roman"/>
                <w:sz w:val="20"/>
                <w:szCs w:val="20"/>
              </w:rPr>
              <w:t xml:space="preserve"> </w:t>
            </w:r>
            <w:r>
              <w:rPr>
                <w:rFonts w:cs="Times New Roman"/>
                <w:sz w:val="20"/>
                <w:szCs w:val="20"/>
              </w:rPr>
              <w:t>2020</w:t>
            </w:r>
            <w:r>
              <w:rPr>
                <w:rFonts w:cs="Times New Roman"/>
                <w:sz w:val="20"/>
                <w:szCs w:val="20"/>
              </w:rPr>
              <w:t>-202</w:t>
            </w:r>
            <w:r>
              <w:rPr>
                <w:rFonts w:cs="Times New Roman"/>
                <w:sz w:val="20"/>
                <w:szCs w:val="20"/>
              </w:rPr>
              <w:t>3</w:t>
            </w:r>
          </w:p>
        </w:tc>
        <w:tc>
          <w:tcPr>
            <w:tcW w:w="1260" w:type="dxa"/>
            <w:tcBorders/>
          </w:tcPr>
          <w:p>
            <w:pPr>
              <w:pStyle w:val="style0"/>
              <w:jc w:val="center"/>
              <w:rPr>
                <w:rFonts w:cs="Times New Roman"/>
                <w:sz w:val="20"/>
                <w:szCs w:val="20"/>
              </w:rPr>
            </w:pPr>
            <w:r>
              <w:rPr>
                <w:rFonts w:cs="Times New Roman"/>
                <w:sz w:val="20"/>
                <w:szCs w:val="20"/>
              </w:rPr>
              <w:t>1</w:t>
            </w:r>
            <w:r>
              <w:rPr>
                <w:rFonts w:cs="Times New Roman"/>
                <w:sz w:val="20"/>
                <w:szCs w:val="20"/>
              </w:rPr>
              <w:t>7</w:t>
            </w:r>
            <w:r>
              <w:rPr>
                <w:rFonts w:cs="Times New Roman"/>
                <w:sz w:val="20"/>
                <w:szCs w:val="20"/>
              </w:rPr>
              <w:t>6</w:t>
            </w:r>
          </w:p>
        </w:tc>
      </w:tr>
      <w:tr>
        <w:tblPrEx/>
        <w:trPr/>
        <w:tc>
          <w:tcPr>
            <w:tcW w:w="570" w:type="dxa"/>
            <w:tcBorders/>
          </w:tcPr>
          <w:p>
            <w:pPr>
              <w:pStyle w:val="style0"/>
              <w:jc w:val="center"/>
              <w:rPr>
                <w:rFonts w:cs="Times New Roman"/>
                <w:sz w:val="20"/>
                <w:szCs w:val="20"/>
              </w:rPr>
            </w:pPr>
            <w:r>
              <w:rPr>
                <w:rFonts w:cs="Times New Roman"/>
                <w:sz w:val="20"/>
                <w:szCs w:val="20"/>
              </w:rPr>
              <w:t>2.</w:t>
            </w:r>
          </w:p>
        </w:tc>
        <w:tc>
          <w:tcPr>
            <w:tcW w:w="6085" w:type="dxa"/>
            <w:tcBorders/>
          </w:tcPr>
          <w:p>
            <w:pPr>
              <w:pStyle w:val="style0"/>
              <w:jc w:val="both"/>
              <w:rPr>
                <w:rFonts w:cs="Times New Roman"/>
                <w:i/>
                <w:iCs/>
                <w:sz w:val="20"/>
                <w:szCs w:val="20"/>
              </w:rPr>
            </w:pPr>
            <w:r>
              <w:rPr>
                <w:rFonts w:cs="Times New Roman"/>
                <w:sz w:val="20"/>
                <w:szCs w:val="20"/>
              </w:rPr>
              <w:t xml:space="preserve">Perusahaan manufaktur yang </w:t>
            </w:r>
            <w:r>
              <w:rPr>
                <w:rFonts w:cs="Times New Roman"/>
                <w:i/>
                <w:iCs/>
                <w:sz w:val="20"/>
                <w:szCs w:val="20"/>
              </w:rPr>
              <w:t xml:space="preserve">delisting </w:t>
            </w:r>
            <w:r>
              <w:rPr>
                <w:rFonts w:cs="Times New Roman"/>
                <w:sz w:val="20"/>
                <w:szCs w:val="20"/>
              </w:rPr>
              <w:t xml:space="preserve">dan </w:t>
            </w:r>
            <w:r>
              <w:rPr>
                <w:rFonts w:cs="Times New Roman"/>
                <w:i/>
                <w:iCs/>
                <w:sz w:val="20"/>
                <w:szCs w:val="20"/>
              </w:rPr>
              <w:t xml:space="preserve">suspend </w:t>
            </w:r>
            <w:r>
              <w:rPr>
                <w:rFonts w:cs="Times New Roman"/>
                <w:sz w:val="20"/>
                <w:szCs w:val="20"/>
              </w:rPr>
              <w:t xml:space="preserve">di Bursa Efek Indonesia pada tahun 2020-2023 </w:t>
            </w:r>
          </w:p>
        </w:tc>
        <w:tc>
          <w:tcPr>
            <w:tcW w:w="1260" w:type="dxa"/>
            <w:tcBorders/>
          </w:tcPr>
          <w:p>
            <w:pPr>
              <w:pStyle w:val="style0"/>
              <w:jc w:val="center"/>
              <w:rPr>
                <w:rFonts w:cs="Times New Roman"/>
                <w:sz w:val="20"/>
                <w:szCs w:val="20"/>
              </w:rPr>
            </w:pPr>
            <w:r>
              <w:rPr>
                <w:rFonts w:cs="Times New Roman"/>
                <w:sz w:val="20"/>
                <w:szCs w:val="20"/>
              </w:rPr>
              <w:t>(</w:t>
            </w:r>
            <w:r>
              <w:rPr>
                <w:rFonts w:cs="Times New Roman"/>
                <w:sz w:val="20"/>
                <w:szCs w:val="20"/>
              </w:rPr>
              <w:t>3</w:t>
            </w:r>
            <w:r>
              <w:rPr>
                <w:rFonts w:cs="Times New Roman"/>
                <w:sz w:val="20"/>
                <w:szCs w:val="20"/>
              </w:rPr>
              <w:t>9</w:t>
            </w:r>
            <w:r>
              <w:rPr>
                <w:rFonts w:cs="Times New Roman"/>
                <w:sz w:val="20"/>
                <w:szCs w:val="20"/>
              </w:rPr>
              <w:t>)</w:t>
            </w:r>
          </w:p>
        </w:tc>
      </w:tr>
      <w:tr>
        <w:tblPrEx/>
        <w:trPr/>
        <w:tc>
          <w:tcPr>
            <w:tcW w:w="570" w:type="dxa"/>
            <w:tcBorders/>
          </w:tcPr>
          <w:p>
            <w:pPr>
              <w:pStyle w:val="style0"/>
              <w:jc w:val="center"/>
              <w:rPr>
                <w:rFonts w:cs="Times New Roman"/>
                <w:sz w:val="20"/>
                <w:szCs w:val="20"/>
              </w:rPr>
            </w:pPr>
            <w:r>
              <w:rPr>
                <w:rFonts w:cs="Times New Roman"/>
                <w:sz w:val="20"/>
                <w:szCs w:val="20"/>
              </w:rPr>
              <w:t>3</w:t>
            </w:r>
            <w:r>
              <w:rPr>
                <w:rFonts w:cs="Times New Roman"/>
                <w:sz w:val="20"/>
                <w:szCs w:val="20"/>
              </w:rPr>
              <w:t>.</w:t>
            </w:r>
          </w:p>
        </w:tc>
        <w:tc>
          <w:tcPr>
            <w:tcW w:w="6085" w:type="dxa"/>
            <w:tcBorders/>
          </w:tcPr>
          <w:p>
            <w:pPr>
              <w:pStyle w:val="style0"/>
              <w:jc w:val="both"/>
              <w:rPr>
                <w:rFonts w:cs="Times New Roman"/>
                <w:sz w:val="20"/>
                <w:szCs w:val="20"/>
              </w:rPr>
            </w:pPr>
            <w:r>
              <w:rPr>
                <w:rFonts w:cs="Times New Roman"/>
                <w:sz w:val="20"/>
                <w:szCs w:val="20"/>
              </w:rPr>
              <w:t xml:space="preserve">Perusahaan </w:t>
            </w:r>
            <w:r>
              <w:rPr>
                <w:rFonts w:cs="Times New Roman"/>
                <w:sz w:val="20"/>
                <w:szCs w:val="20"/>
              </w:rPr>
              <w:t xml:space="preserve">manufaktur </w:t>
            </w:r>
            <w:r>
              <w:rPr>
                <w:rFonts w:cs="Times New Roman"/>
                <w:sz w:val="20"/>
                <w:szCs w:val="20"/>
              </w:rPr>
              <w:t xml:space="preserve">yang tidak menyajikan </w:t>
            </w:r>
            <w:r>
              <w:rPr>
                <w:rFonts w:cs="Times New Roman"/>
                <w:sz w:val="20"/>
                <w:szCs w:val="20"/>
              </w:rPr>
              <w:t xml:space="preserve">data </w:t>
            </w:r>
            <w:r>
              <w:rPr>
                <w:rFonts w:cs="Times New Roman"/>
                <w:sz w:val="20"/>
                <w:szCs w:val="20"/>
              </w:rPr>
              <w:t>manajemen risiko perusahaan</w:t>
            </w:r>
            <w:r>
              <w:rPr>
                <w:rFonts w:cs="Times New Roman"/>
                <w:sz w:val="20"/>
                <w:szCs w:val="20"/>
              </w:rPr>
              <w:t xml:space="preserve"> </w:t>
            </w:r>
          </w:p>
        </w:tc>
        <w:tc>
          <w:tcPr>
            <w:tcW w:w="1260" w:type="dxa"/>
            <w:tcBorders/>
          </w:tcPr>
          <w:p>
            <w:pPr>
              <w:pStyle w:val="style0"/>
              <w:jc w:val="center"/>
              <w:rPr>
                <w:rFonts w:cs="Times New Roman"/>
                <w:sz w:val="20"/>
                <w:szCs w:val="20"/>
              </w:rPr>
            </w:pPr>
            <w:r>
              <w:rPr>
                <w:rFonts w:cs="Times New Roman"/>
                <w:sz w:val="20"/>
                <w:szCs w:val="20"/>
              </w:rPr>
              <w:t>(</w:t>
            </w:r>
            <w:r>
              <w:rPr>
                <w:rFonts w:cs="Times New Roman"/>
                <w:sz w:val="20"/>
                <w:szCs w:val="20"/>
              </w:rPr>
              <w:t>1</w:t>
            </w:r>
            <w:r>
              <w:rPr>
                <w:rFonts w:cs="Times New Roman"/>
                <w:sz w:val="20"/>
                <w:szCs w:val="20"/>
              </w:rPr>
              <w:t>6</w:t>
            </w:r>
            <w:r>
              <w:rPr>
                <w:rFonts w:cs="Times New Roman"/>
                <w:sz w:val="20"/>
                <w:szCs w:val="20"/>
              </w:rPr>
              <w:t>)</w:t>
            </w:r>
          </w:p>
        </w:tc>
      </w:tr>
      <w:tr>
        <w:tblPrEx/>
        <w:trPr/>
        <w:tc>
          <w:tcPr>
            <w:tcW w:w="570" w:type="dxa"/>
            <w:tcBorders/>
          </w:tcPr>
          <w:p>
            <w:pPr>
              <w:pStyle w:val="style0"/>
              <w:jc w:val="center"/>
              <w:rPr>
                <w:rFonts w:cs="Times New Roman"/>
                <w:sz w:val="20"/>
                <w:szCs w:val="20"/>
              </w:rPr>
            </w:pPr>
            <w:r>
              <w:rPr>
                <w:rFonts w:cs="Times New Roman"/>
                <w:sz w:val="20"/>
                <w:szCs w:val="20"/>
              </w:rPr>
              <w:t>4</w:t>
            </w:r>
            <w:r>
              <w:rPr>
                <w:rFonts w:cs="Times New Roman"/>
                <w:sz w:val="20"/>
                <w:szCs w:val="20"/>
              </w:rPr>
              <w:t>.</w:t>
            </w:r>
          </w:p>
        </w:tc>
        <w:tc>
          <w:tcPr>
            <w:tcW w:w="6085" w:type="dxa"/>
            <w:tcBorders/>
          </w:tcPr>
          <w:p>
            <w:pPr>
              <w:pStyle w:val="style0"/>
              <w:jc w:val="both"/>
              <w:rPr>
                <w:rFonts w:cs="Times New Roman"/>
                <w:sz w:val="20"/>
                <w:szCs w:val="20"/>
              </w:rPr>
            </w:pPr>
            <w:r>
              <w:rPr>
                <w:rFonts w:cs="Times New Roman"/>
                <w:sz w:val="20"/>
                <w:szCs w:val="20"/>
              </w:rPr>
              <w:t xml:space="preserve">Perusahaan manufaktur yang </w:t>
            </w:r>
            <w:r>
              <w:rPr>
                <w:rFonts w:cs="Times New Roman"/>
                <w:sz w:val="20"/>
                <w:szCs w:val="20"/>
              </w:rPr>
              <w:t>tidak</w:t>
            </w:r>
            <w:r>
              <w:rPr>
                <w:rFonts w:cs="Times New Roman"/>
                <w:sz w:val="20"/>
                <w:szCs w:val="20"/>
              </w:rPr>
              <w:t xml:space="preserve"> menyajikan</w:t>
            </w:r>
            <w:r>
              <w:rPr>
                <w:rFonts w:cs="Times New Roman"/>
                <w:sz w:val="20"/>
                <w:szCs w:val="20"/>
              </w:rPr>
              <w:t xml:space="preserve"> </w:t>
            </w:r>
            <w:r>
              <w:rPr>
                <w:rFonts w:cs="Times New Roman"/>
                <w:sz w:val="20"/>
                <w:szCs w:val="20"/>
              </w:rPr>
              <w:t>data lengkap</w:t>
            </w:r>
            <w:r>
              <w:rPr>
                <w:rFonts w:cs="Times New Roman"/>
                <w:sz w:val="20"/>
                <w:szCs w:val="20"/>
              </w:rPr>
              <w:t xml:space="preserve"> </w:t>
            </w:r>
            <w:r>
              <w:rPr>
                <w:rFonts w:cs="Times New Roman"/>
                <w:i/>
                <w:iCs/>
                <w:sz w:val="20"/>
                <w:szCs w:val="20"/>
              </w:rPr>
              <w:t>managerial</w:t>
            </w:r>
            <w:r>
              <w:rPr>
                <w:rFonts w:cs="Times New Roman"/>
                <w:sz w:val="20"/>
                <w:szCs w:val="20"/>
              </w:rPr>
              <w:t xml:space="preserve"> dan </w:t>
            </w:r>
            <w:r>
              <w:rPr>
                <w:rFonts w:cs="Times New Roman"/>
                <w:i/>
                <w:iCs/>
                <w:sz w:val="20"/>
                <w:szCs w:val="20"/>
              </w:rPr>
              <w:t>institutional ownership</w:t>
            </w:r>
          </w:p>
        </w:tc>
        <w:tc>
          <w:tcPr>
            <w:tcW w:w="1260" w:type="dxa"/>
            <w:tcBorders/>
          </w:tcPr>
          <w:p>
            <w:pPr>
              <w:pStyle w:val="style0"/>
              <w:jc w:val="center"/>
              <w:rPr>
                <w:rFonts w:cs="Times New Roman"/>
                <w:sz w:val="20"/>
                <w:szCs w:val="20"/>
              </w:rPr>
            </w:pPr>
            <w:r>
              <w:rPr>
                <w:rFonts w:cs="Times New Roman"/>
                <w:sz w:val="20"/>
                <w:szCs w:val="20"/>
              </w:rPr>
              <w:t>(</w:t>
            </w:r>
            <w:r>
              <w:rPr>
                <w:rFonts w:cs="Times New Roman"/>
                <w:sz w:val="20"/>
                <w:szCs w:val="20"/>
              </w:rPr>
              <w:t>6</w:t>
            </w:r>
            <w:r>
              <w:rPr>
                <w:rFonts w:cs="Times New Roman"/>
                <w:sz w:val="20"/>
                <w:szCs w:val="20"/>
              </w:rPr>
              <w:t>3</w:t>
            </w:r>
            <w:r>
              <w:rPr>
                <w:rFonts w:cs="Times New Roman"/>
                <w:sz w:val="20"/>
                <w:szCs w:val="20"/>
              </w:rPr>
              <w:t>)</w:t>
            </w:r>
          </w:p>
        </w:tc>
      </w:tr>
      <w:tr>
        <w:tblPrEx/>
        <w:trPr/>
        <w:tc>
          <w:tcPr>
            <w:tcW w:w="6655" w:type="dxa"/>
            <w:gridSpan w:val="2"/>
            <w:tcBorders/>
          </w:tcPr>
          <w:p>
            <w:pPr>
              <w:pStyle w:val="style0"/>
              <w:ind w:left="602"/>
              <w:jc w:val="both"/>
              <w:rPr>
                <w:rFonts w:cs="Times New Roman"/>
                <w:sz w:val="20"/>
                <w:szCs w:val="20"/>
              </w:rPr>
            </w:pPr>
            <w:r>
              <w:rPr>
                <w:rFonts w:cs="Times New Roman"/>
                <w:sz w:val="20"/>
                <w:szCs w:val="20"/>
              </w:rPr>
              <w:t>Jumlah</w:t>
            </w:r>
            <w:r>
              <w:rPr>
                <w:rFonts w:cs="Times New Roman"/>
                <w:sz w:val="20"/>
                <w:szCs w:val="20"/>
              </w:rPr>
              <w:t xml:space="preserve"> sampel yang digunakan</w:t>
            </w:r>
          </w:p>
        </w:tc>
        <w:tc>
          <w:tcPr>
            <w:tcW w:w="1260" w:type="dxa"/>
            <w:tcBorders/>
          </w:tcPr>
          <w:p>
            <w:pPr>
              <w:pStyle w:val="style0"/>
              <w:keepNext/>
              <w:jc w:val="center"/>
              <w:rPr>
                <w:rFonts w:cs="Times New Roman"/>
                <w:sz w:val="20"/>
                <w:szCs w:val="20"/>
              </w:rPr>
            </w:pPr>
            <w:r>
              <w:rPr>
                <w:rFonts w:cs="Times New Roman"/>
                <w:sz w:val="20"/>
                <w:szCs w:val="20"/>
              </w:rPr>
              <w:t>58</w:t>
            </w:r>
          </w:p>
        </w:tc>
      </w:tr>
      <w:tr>
        <w:tblPrEx/>
        <w:trPr/>
        <w:tc>
          <w:tcPr>
            <w:tcW w:w="6655" w:type="dxa"/>
            <w:gridSpan w:val="2"/>
            <w:tcBorders/>
          </w:tcPr>
          <w:p>
            <w:pPr>
              <w:pStyle w:val="style0"/>
              <w:ind w:left="612"/>
              <w:jc w:val="both"/>
              <w:rPr>
                <w:rFonts w:cs="Times New Roman"/>
                <w:sz w:val="20"/>
                <w:szCs w:val="20"/>
              </w:rPr>
            </w:pPr>
            <w:r>
              <w:rPr>
                <w:rFonts w:cs="Times New Roman"/>
                <w:sz w:val="20"/>
                <w:szCs w:val="20"/>
              </w:rPr>
              <w:t xml:space="preserve">Tahun </w:t>
            </w:r>
            <w:r>
              <w:rPr>
                <w:rFonts w:cs="Times New Roman"/>
                <w:sz w:val="20"/>
                <w:szCs w:val="20"/>
              </w:rPr>
              <w:t>p</w:t>
            </w:r>
            <w:r>
              <w:rPr>
                <w:rFonts w:cs="Times New Roman"/>
                <w:sz w:val="20"/>
                <w:szCs w:val="20"/>
              </w:rPr>
              <w:t>enelitian</w:t>
            </w:r>
          </w:p>
        </w:tc>
        <w:tc>
          <w:tcPr>
            <w:tcW w:w="1260" w:type="dxa"/>
            <w:tcBorders/>
          </w:tcPr>
          <w:p>
            <w:pPr>
              <w:pStyle w:val="style0"/>
              <w:keepNext/>
              <w:jc w:val="center"/>
              <w:rPr>
                <w:rFonts w:cs="Times New Roman"/>
                <w:sz w:val="20"/>
                <w:szCs w:val="20"/>
              </w:rPr>
            </w:pPr>
            <w:r>
              <w:rPr>
                <w:rFonts w:cs="Times New Roman"/>
                <w:sz w:val="20"/>
                <w:szCs w:val="20"/>
              </w:rPr>
              <w:t>4</w:t>
            </w:r>
          </w:p>
        </w:tc>
      </w:tr>
      <w:tr>
        <w:tblPrEx/>
        <w:trPr/>
        <w:tc>
          <w:tcPr>
            <w:tcW w:w="6655" w:type="dxa"/>
            <w:gridSpan w:val="2"/>
            <w:tcBorders/>
          </w:tcPr>
          <w:p>
            <w:pPr>
              <w:pStyle w:val="style0"/>
              <w:ind w:left="612"/>
              <w:jc w:val="both"/>
              <w:rPr>
                <w:rFonts w:cs="Times New Roman"/>
                <w:sz w:val="20"/>
                <w:szCs w:val="20"/>
              </w:rPr>
            </w:pPr>
            <w:r>
              <w:rPr>
                <w:rFonts w:cs="Times New Roman"/>
                <w:sz w:val="20"/>
                <w:szCs w:val="20"/>
              </w:rPr>
              <w:t xml:space="preserve">Total </w:t>
            </w:r>
            <w:r>
              <w:rPr>
                <w:rFonts w:cs="Times New Roman"/>
                <w:sz w:val="20"/>
                <w:szCs w:val="20"/>
              </w:rPr>
              <w:t>sampel</w:t>
            </w:r>
          </w:p>
        </w:tc>
        <w:tc>
          <w:tcPr>
            <w:tcW w:w="1260" w:type="dxa"/>
            <w:tcBorders/>
          </w:tcPr>
          <w:p>
            <w:pPr>
              <w:pStyle w:val="style0"/>
              <w:keepNext/>
              <w:jc w:val="center"/>
              <w:rPr>
                <w:rFonts w:cs="Times New Roman"/>
                <w:sz w:val="20"/>
                <w:szCs w:val="20"/>
              </w:rPr>
            </w:pPr>
            <w:r>
              <w:rPr>
                <w:rFonts w:cs="Times New Roman"/>
                <w:sz w:val="20"/>
                <w:szCs w:val="20"/>
              </w:rPr>
              <w:t>2</w:t>
            </w:r>
            <w:r>
              <w:rPr>
                <w:rFonts w:cs="Times New Roman"/>
                <w:sz w:val="20"/>
                <w:szCs w:val="20"/>
              </w:rPr>
              <w:t>32</w:t>
            </w:r>
          </w:p>
        </w:tc>
      </w:tr>
    </w:tbl>
    <w:p>
      <w:pPr>
        <w:pStyle w:val="style0"/>
        <w:spacing w:lineRule="auto" w:line="240"/>
        <w:jc w:val="both"/>
        <w:rPr>
          <w:rFonts w:cs="Times New Roman"/>
          <w:i/>
          <w:iCs/>
          <w:sz w:val="20"/>
          <w:szCs w:val="20"/>
        </w:rPr>
      </w:pPr>
      <w:r>
        <w:rPr>
          <w:rFonts w:cs="Times New Roman"/>
          <w:i/>
          <w:iCs/>
          <w:sz w:val="20"/>
          <w:szCs w:val="20"/>
        </w:rPr>
        <w:t xml:space="preserve">Sumber: </w:t>
      </w:r>
      <w:r>
        <w:rPr>
          <w:rFonts w:cs="Times New Roman"/>
          <w:i/>
          <w:iCs/>
          <w:sz w:val="20"/>
          <w:szCs w:val="20"/>
        </w:rPr>
        <w:t>data diolah, 2025</w:t>
      </w:r>
    </w:p>
    <w:p>
      <w:pPr>
        <w:pStyle w:val="style0"/>
        <w:spacing w:after="0" w:lineRule="auto" w:line="480"/>
        <w:ind w:firstLine="900"/>
        <w:jc w:val="both"/>
        <w:rPr>
          <w:rFonts w:cs="Times New Roman"/>
        </w:rPr>
      </w:pPr>
      <w:r>
        <w:rPr>
          <w:rFonts w:cs="Times New Roman"/>
        </w:rPr>
        <w:t>P</w:t>
      </w:r>
      <w:r>
        <w:rPr>
          <w:rFonts w:cs="Times New Roman"/>
        </w:rPr>
        <w:t xml:space="preserve">erusahaan yang memenuhi kriteria </w:t>
      </w:r>
      <w:r>
        <w:rPr>
          <w:rFonts w:cs="Times New Roman"/>
        </w:rPr>
        <w:t xml:space="preserve">hanya </w:t>
      </w:r>
      <w:r>
        <w:rPr>
          <w:rFonts w:cs="Times New Roman"/>
        </w:rPr>
        <w:t>58</w:t>
      </w:r>
      <w:r>
        <w:rPr>
          <w:rFonts w:cs="Times New Roman"/>
        </w:rPr>
        <w:t xml:space="preserve"> perusahaa</w:t>
      </w:r>
      <w:r>
        <w:rPr>
          <w:rFonts w:cs="Times New Roman"/>
        </w:rPr>
        <w:t>n</w:t>
      </w:r>
      <w:r>
        <w:rPr>
          <w:rFonts w:cs="Times New Roman"/>
        </w:rPr>
        <w:t xml:space="preserve"> dari populasi</w:t>
      </w:r>
      <w:r>
        <w:rPr>
          <w:rFonts w:cs="Times New Roman"/>
        </w:rPr>
        <w:t>.</w:t>
      </w:r>
      <w:r>
        <w:rPr>
          <w:rFonts w:cs="Times New Roman"/>
        </w:rPr>
        <w:t xml:space="preserve"> </w:t>
      </w:r>
      <w:r>
        <w:rPr>
          <w:rFonts w:cs="Times New Roman"/>
        </w:rPr>
        <w:t>La</w:t>
      </w:r>
      <w:r>
        <w:rPr>
          <w:rFonts w:cs="Times New Roman"/>
        </w:rPr>
        <w:t xml:space="preserve">poran </w:t>
      </w:r>
      <w:r>
        <w:rPr>
          <w:rFonts w:cs="Times New Roman"/>
        </w:rPr>
        <w:t xml:space="preserve">keuangan tahunan </w:t>
      </w:r>
      <w:r>
        <w:rPr>
          <w:rFonts w:cs="Times New Roman"/>
        </w:rPr>
        <w:t>sampel</w:t>
      </w:r>
      <w:r>
        <w:rPr>
          <w:rFonts w:cs="Times New Roman"/>
        </w:rPr>
        <w:t xml:space="preserve"> menjadi </w:t>
      </w:r>
      <w:r>
        <w:rPr>
          <w:rFonts w:cs="Times New Roman"/>
        </w:rPr>
        <w:t xml:space="preserve">berjumlah </w:t>
      </w:r>
      <w:r>
        <w:rPr>
          <w:rFonts w:cs="Times New Roman"/>
        </w:rPr>
        <w:t>2</w:t>
      </w:r>
      <w:r>
        <w:rPr>
          <w:rFonts w:cs="Times New Roman"/>
        </w:rPr>
        <w:t>32</w:t>
      </w:r>
      <w:r>
        <w:rPr>
          <w:rFonts w:cs="Times New Roman"/>
        </w:rPr>
        <w:t xml:space="preserve"> </w:t>
      </w:r>
      <w:r>
        <w:rPr>
          <w:rFonts w:cs="Times New Roman"/>
        </w:rPr>
        <w:t>data</w:t>
      </w:r>
      <w:r>
        <w:rPr>
          <w:rFonts w:cs="Times New Roman"/>
        </w:rPr>
        <w:t xml:space="preserve"> </w:t>
      </w:r>
      <w:r>
        <w:rPr>
          <w:rFonts w:cs="Times New Roman"/>
        </w:rPr>
        <w:t xml:space="preserve">dalam </w:t>
      </w:r>
      <w:r>
        <w:rPr>
          <w:rFonts w:cs="Times New Roman"/>
        </w:rPr>
        <w:t>4 tahun</w:t>
      </w:r>
      <w:r>
        <w:rPr>
          <w:rFonts w:cs="Times New Roman"/>
        </w:rPr>
        <w:t xml:space="preserve"> penelitian</w:t>
      </w:r>
      <w:r>
        <w:rPr>
          <w:rFonts w:cs="Times New Roman"/>
        </w:rPr>
        <w:t xml:space="preserve"> </w:t>
      </w:r>
      <w:r>
        <w:rPr>
          <w:rFonts w:cs="Times New Roman"/>
        </w:rPr>
        <w:t>yaitu pada tahun 2020</w:t>
      </w:r>
      <w:r>
        <w:rPr>
          <w:rFonts w:cs="Times New Roman"/>
        </w:rPr>
        <w:t>-</w:t>
      </w:r>
      <w:r>
        <w:rPr>
          <w:rFonts w:cs="Times New Roman"/>
        </w:rPr>
        <w:t>2023</w:t>
      </w:r>
      <w:r>
        <w:rPr>
          <w:rFonts w:cs="Times New Roman"/>
        </w:rPr>
        <w:t>.</w:t>
      </w:r>
    </w:p>
    <w:bookmarkStart w:id="60" w:name="_Toc218854620"/>
    <w:p>
      <w:pPr>
        <w:pStyle w:val="style2"/>
        <w:tabs>
          <w:tab w:val="left" w:leader="none" w:pos="630"/>
          <w:tab w:val="left" w:leader="none" w:pos="900"/>
        </w:tabs>
        <w:spacing w:lineRule="auto" w:line="480"/>
        <w:rPr/>
      </w:pPr>
      <w:r>
        <w:t xml:space="preserve">3.3. </w:t>
      </w:r>
      <w:r>
        <w:tab/>
      </w:r>
      <w:r>
        <w:tab/>
      </w:r>
      <w:r>
        <w:t>Jenis dan Sumber Data</w:t>
      </w:r>
      <w:bookmarkEnd w:id="60"/>
    </w:p>
    <w:p>
      <w:pPr>
        <w:pStyle w:val="style0"/>
        <w:tabs>
          <w:tab w:val="left" w:leader="none" w:pos="810"/>
          <w:tab w:val="left" w:leader="none" w:pos="900"/>
        </w:tabs>
        <w:spacing w:after="0" w:lineRule="auto" w:line="480"/>
        <w:jc w:val="both"/>
        <w:rPr/>
      </w:pPr>
      <w:r>
        <w:tab/>
      </w:r>
      <w:r>
        <w:tab/>
      </w:r>
      <w:r>
        <w:t>P</w:t>
      </w:r>
      <w:r>
        <w:t xml:space="preserve">enelitian ini menggunakan </w:t>
      </w:r>
      <w:r>
        <w:t xml:space="preserve">jenis data </w:t>
      </w:r>
      <w:r>
        <w:t xml:space="preserve">kuantitatif. Pengumpulan data </w:t>
      </w:r>
      <w:r>
        <w:t xml:space="preserve">penelitian ini </w:t>
      </w:r>
      <w:r>
        <w:t>dilakukan melalui pengunduhan data utama dan pendukung, seperti artikel serta literatur yang merupakan data sekunder.</w:t>
      </w:r>
    </w:p>
    <w:bookmarkStart w:id="61" w:name="_Toc218854621"/>
    <w:p>
      <w:pPr>
        <w:pStyle w:val="style2"/>
        <w:tabs>
          <w:tab w:val="left" w:leader="none" w:pos="630"/>
          <w:tab w:val="left" w:leader="none" w:pos="900"/>
        </w:tabs>
        <w:spacing w:lineRule="auto" w:line="480"/>
        <w:jc w:val="both"/>
        <w:rPr>
          <w:rFonts w:cs="Times New Roman"/>
        </w:rPr>
      </w:pPr>
      <w:r>
        <w:rPr>
          <w:rFonts w:cs="Times New Roman"/>
        </w:rPr>
        <w:t>3.</w:t>
      </w:r>
      <w:r>
        <w:rPr>
          <w:rFonts w:cs="Times New Roman"/>
        </w:rPr>
        <w:t>4</w:t>
      </w:r>
      <w:r>
        <w:rPr>
          <w:rFonts w:cs="Times New Roman"/>
        </w:rPr>
        <w:t xml:space="preserve">. </w:t>
      </w:r>
      <w:r>
        <w:rPr>
          <w:rFonts w:cs="Times New Roman"/>
        </w:rPr>
        <w:tab/>
      </w:r>
      <w:r>
        <w:rPr>
          <w:rFonts w:cs="Times New Roman"/>
        </w:rPr>
        <w:tab/>
      </w:r>
      <w:r>
        <w:rPr>
          <w:rFonts w:cs="Times New Roman"/>
        </w:rPr>
        <w:t>Metode Pengumpulan Data</w:t>
      </w:r>
      <w:bookmarkEnd w:id="61"/>
    </w:p>
    <w:p>
      <w:pPr>
        <w:pStyle w:val="style0"/>
        <w:tabs>
          <w:tab w:val="left" w:leader="none" w:pos="900"/>
        </w:tabs>
        <w:spacing w:after="0" w:lineRule="auto" w:line="480"/>
        <w:ind w:firstLine="630"/>
        <w:jc w:val="both"/>
        <w:rPr/>
      </w:pPr>
      <w:r>
        <w:tab/>
      </w:r>
      <w:r>
        <w:t xml:space="preserve">Metode pengumpulan data yang digunakan penelitian ini yaitu </w:t>
      </w:r>
      <w:r>
        <w:t>metode</w:t>
      </w:r>
      <w:r>
        <w:t xml:space="preserve"> dokumentasi</w:t>
      </w:r>
      <w:r>
        <w:t xml:space="preserve">. Pengumpulan data metode dokumentasi </w:t>
      </w:r>
      <w:r>
        <w:t>d</w:t>
      </w:r>
      <w:r>
        <w:t>ilakukan dengan</w:t>
      </w:r>
      <w:r>
        <w:t xml:space="preserve"> m</w:t>
      </w:r>
      <w:r>
        <w:t>engambil dan mengunduh</w:t>
      </w:r>
      <w:r>
        <w:t xml:space="preserve"> </w:t>
      </w:r>
      <w:r>
        <w:t xml:space="preserve">laporan keuangan tahunan pada tahun </w:t>
      </w:r>
      <w:r>
        <w:t>2020</w:t>
      </w:r>
      <w:r>
        <w:t>-202</w:t>
      </w:r>
      <w:r>
        <w:t>3</w:t>
      </w:r>
      <w:r>
        <w:t xml:space="preserve"> dari </w:t>
      </w:r>
      <w:r>
        <w:rPr>
          <w:i/>
          <w:iCs/>
        </w:rPr>
        <w:t>website</w:t>
      </w:r>
      <w:r>
        <w:t xml:space="preserve"> </w:t>
      </w:r>
      <w:r>
        <w:t xml:space="preserve">resmi </w:t>
      </w:r>
      <w:r>
        <w:t>perusahaan sampel dan</w:t>
      </w:r>
      <w:r>
        <w:t xml:space="preserve"> </w:t>
      </w:r>
      <w:r>
        <w:t>Bursa Efek Indonesia</w:t>
      </w:r>
      <w:r>
        <w:t xml:space="preserve"> (BEI)</w:t>
      </w:r>
      <w:r>
        <w:t xml:space="preserve">. </w:t>
      </w:r>
    </w:p>
    <w:bookmarkStart w:id="62" w:name="_Toc218854622"/>
    <w:p>
      <w:pPr>
        <w:pStyle w:val="style2"/>
        <w:tabs>
          <w:tab w:val="left" w:leader="none" w:pos="630"/>
          <w:tab w:val="left" w:leader="none" w:pos="900"/>
        </w:tabs>
        <w:spacing w:lineRule="auto" w:line="480"/>
        <w:jc w:val="both"/>
        <w:rPr>
          <w:rFonts w:cs="Times New Roman"/>
        </w:rPr>
      </w:pPr>
      <w:r>
        <w:rPr>
          <w:rFonts w:cs="Times New Roman"/>
        </w:rPr>
        <w:t>3.</w:t>
      </w:r>
      <w:r>
        <w:rPr>
          <w:rFonts w:cs="Times New Roman"/>
        </w:rPr>
        <w:t>5</w:t>
      </w:r>
      <w:r>
        <w:rPr>
          <w:rFonts w:cs="Times New Roman"/>
        </w:rPr>
        <w:t xml:space="preserve">. </w:t>
      </w:r>
      <w:r>
        <w:rPr>
          <w:rFonts w:cs="Times New Roman"/>
        </w:rPr>
        <w:tab/>
      </w:r>
      <w:r>
        <w:rPr>
          <w:rFonts w:cs="Times New Roman"/>
        </w:rPr>
        <w:tab/>
      </w:r>
      <w:r>
        <w:rPr>
          <w:rFonts w:cs="Times New Roman"/>
        </w:rPr>
        <w:t>Analisis</w:t>
      </w:r>
      <w:r>
        <w:rPr>
          <w:rFonts w:cs="Times New Roman"/>
        </w:rPr>
        <w:t xml:space="preserve"> Data</w:t>
      </w:r>
      <w:bookmarkEnd w:id="62"/>
    </w:p>
    <w:p>
      <w:pPr>
        <w:pStyle w:val="style0"/>
        <w:tabs>
          <w:tab w:val="left" w:leader="none" w:pos="900"/>
        </w:tabs>
        <w:spacing w:after="0" w:lineRule="auto" w:line="480"/>
        <w:ind w:firstLine="630"/>
        <w:jc w:val="both"/>
        <w:rPr>
          <w:rFonts w:cs="Times New Roman"/>
          <w:iCs/>
          <w:szCs w:val="24"/>
        </w:rPr>
      </w:pPr>
      <w:r>
        <w:rPr>
          <w:rFonts w:cs="Times New Roman"/>
          <w:iCs/>
          <w:szCs w:val="24"/>
        </w:rPr>
        <w:tab/>
      </w:r>
      <w:r>
        <w:rPr>
          <w:rFonts w:cs="Times New Roman"/>
          <w:iCs/>
          <w:szCs w:val="24"/>
        </w:rPr>
        <w:t xml:space="preserve">Setelah data-data yang diperlukan </w:t>
      </w:r>
      <w:r>
        <w:rPr>
          <w:rFonts w:cs="Times New Roman"/>
          <w:iCs/>
          <w:szCs w:val="24"/>
        </w:rPr>
        <w:t xml:space="preserve">terkumpul kemudian melakukan analisis data. Teknik analisis data yang digunakan </w:t>
      </w:r>
      <w:r>
        <w:rPr>
          <w:rFonts w:cs="Times New Roman"/>
          <w:iCs/>
          <w:szCs w:val="24"/>
        </w:rPr>
        <w:t xml:space="preserve">adalah </w:t>
      </w:r>
      <w:r>
        <w:rPr>
          <w:rFonts w:cs="Times New Roman"/>
          <w:iCs/>
          <w:szCs w:val="24"/>
        </w:rPr>
        <w:t xml:space="preserve">teknik analisis regresi </w:t>
      </w:r>
      <w:r>
        <w:rPr>
          <w:rFonts w:cs="Times New Roman"/>
          <w:iCs/>
          <w:szCs w:val="24"/>
        </w:rPr>
        <w:t>linear berganda</w:t>
      </w:r>
      <w:r>
        <w:rPr>
          <w:rFonts w:cs="Times New Roman"/>
          <w:iCs/>
          <w:szCs w:val="24"/>
        </w:rPr>
        <w:t xml:space="preserve"> dengan menggunakan bantuan alat analisis </w:t>
      </w:r>
      <w:r>
        <w:rPr>
          <w:rFonts w:cs="Times New Roman"/>
          <w:i/>
          <w:szCs w:val="24"/>
        </w:rPr>
        <w:t>Statistical Package for the Social Sciences</w:t>
      </w:r>
      <w:r>
        <w:rPr>
          <w:rFonts w:cs="Times New Roman"/>
          <w:iCs/>
          <w:szCs w:val="24"/>
        </w:rPr>
        <w:t xml:space="preserve"> (</w:t>
      </w:r>
      <w:r>
        <w:rPr>
          <w:rFonts w:cs="Times New Roman"/>
          <w:iCs/>
          <w:szCs w:val="24"/>
        </w:rPr>
        <w:t>SPSS</w:t>
      </w:r>
      <w:r>
        <w:rPr>
          <w:rFonts w:cs="Times New Roman"/>
          <w:iCs/>
          <w:szCs w:val="24"/>
        </w:rPr>
        <w:t xml:space="preserve">) versi </w:t>
      </w:r>
      <w:r>
        <w:rPr>
          <w:rFonts w:cs="Times New Roman"/>
          <w:iCs/>
          <w:szCs w:val="24"/>
        </w:rPr>
        <w:t>30</w:t>
      </w:r>
      <w:r>
        <w:rPr>
          <w:rFonts w:cs="Times New Roman"/>
          <w:iCs/>
          <w:szCs w:val="24"/>
        </w:rPr>
        <w:t>.</w:t>
      </w:r>
      <w:r>
        <w:rPr>
          <w:rFonts w:cs="Times New Roman"/>
          <w:iCs/>
          <w:szCs w:val="24"/>
        </w:rPr>
        <w:t xml:space="preserve"> </w:t>
      </w:r>
      <w:r>
        <w:rPr>
          <w:rFonts w:cs="Times New Roman"/>
          <w:iCs/>
          <w:szCs w:val="24"/>
        </w:rPr>
        <w:t>Langkah-langkah yang dilakukan</w:t>
      </w:r>
      <w:r>
        <w:rPr>
          <w:rFonts w:cs="Times New Roman"/>
          <w:iCs/>
          <w:szCs w:val="24"/>
        </w:rPr>
        <w:t xml:space="preserve"> untuk menganalisis data dalam penelitian ini</w:t>
      </w:r>
      <w:r>
        <w:rPr>
          <w:rFonts w:cs="Times New Roman"/>
          <w:iCs/>
          <w:szCs w:val="24"/>
        </w:rPr>
        <w:t xml:space="preserve"> </w:t>
      </w:r>
      <w:r>
        <w:rPr>
          <w:rFonts w:cs="Times New Roman"/>
          <w:iCs/>
          <w:szCs w:val="24"/>
        </w:rPr>
        <w:t>dapat dijelaskan, sebagai berikut</w:t>
      </w:r>
      <w:r>
        <w:rPr>
          <w:rFonts w:cs="Times New Roman"/>
          <w:iCs/>
          <w:szCs w:val="24"/>
        </w:rPr>
        <w:t>:</w:t>
      </w:r>
    </w:p>
    <w:bookmarkStart w:id="63" w:name="_Toc218854623"/>
    <w:p>
      <w:pPr>
        <w:pStyle w:val="style3"/>
        <w:rPr/>
      </w:pPr>
      <w:r>
        <w:t>3.</w:t>
      </w:r>
      <w:r>
        <w:t>5</w:t>
      </w:r>
      <w:r>
        <w:t>.1.</w:t>
      </w:r>
      <w:r>
        <w:tab/>
      </w:r>
      <w:r>
        <w:tab/>
      </w:r>
      <w:r>
        <w:tab/>
      </w:r>
      <w:r>
        <w:t>Statistik Deskriptif</w:t>
      </w:r>
      <w:bookmarkEnd w:id="63"/>
    </w:p>
    <w:p>
      <w:pPr>
        <w:pStyle w:val="style0"/>
        <w:tabs>
          <w:tab w:val="left" w:leader="none" w:pos="630"/>
          <w:tab w:val="left" w:leader="none" w:pos="900"/>
        </w:tabs>
        <w:spacing w:after="0" w:lineRule="auto" w:line="480"/>
        <w:jc w:val="both"/>
        <w:rPr/>
      </w:pPr>
      <w:r>
        <w:tab/>
      </w:r>
      <w:r>
        <w:tab/>
      </w:r>
      <w:r>
        <w:t>S</w:t>
      </w:r>
      <w:r>
        <w:t>tatistik deskriptif merupakan alat statistik yang digunakan</w:t>
      </w:r>
      <w:r>
        <w:t xml:space="preserve"> untuk memberikan gambaran</w:t>
      </w:r>
      <w:r>
        <w:t xml:space="preserve"> terkait</w:t>
      </w:r>
      <w:r>
        <w:t xml:space="preserve"> karakteristik data dari</w:t>
      </w:r>
      <w:r>
        <w:t xml:space="preserve"> variabel-variabel penelitian terhadap objek yang diamati.</w:t>
      </w:r>
      <w:r>
        <w:t xml:space="preserve"> </w:t>
      </w:r>
      <w:r>
        <w:t>Gambaran atau penyajian data dapat dilihat melalui nilai rata-rata (m</w:t>
      </w:r>
      <w:r>
        <w:t>ean</w:t>
      </w:r>
      <w:r>
        <w:t>)</w:t>
      </w:r>
      <w:r>
        <w:t>, maksimum, minimum, dan standar deviasi.</w:t>
      </w:r>
    </w:p>
    <w:bookmarkStart w:id="64" w:name="_Toc218854624"/>
    <w:p>
      <w:pPr>
        <w:pStyle w:val="style3"/>
        <w:rPr/>
      </w:pPr>
      <w:r>
        <w:t xml:space="preserve">3.5.2. </w:t>
      </w:r>
      <w:r>
        <w:tab/>
      </w:r>
      <w:r>
        <w:tab/>
      </w:r>
      <w:r>
        <w:tab/>
      </w:r>
      <w:r>
        <w:t>Uji Asumsi Klasik</w:t>
      </w:r>
      <w:r>
        <w:t xml:space="preserve"> (Uji Prasyarat Regresi)</w:t>
      </w:r>
      <w:bookmarkEnd w:id="64"/>
    </w:p>
    <w:p>
      <w:pPr>
        <w:pStyle w:val="style0"/>
        <w:tabs>
          <w:tab w:val="left" w:leader="none" w:pos="630"/>
          <w:tab w:val="left" w:leader="none" w:pos="900"/>
        </w:tabs>
        <w:spacing w:after="0" w:lineRule="auto" w:line="480"/>
        <w:jc w:val="both"/>
        <w:rPr>
          <w:highlight w:val="lightGray"/>
          <w:lang w:val="en-ID"/>
        </w:rPr>
      </w:pPr>
      <w:r>
        <w:rPr>
          <w:lang w:val="en-ID"/>
        </w:rPr>
        <w:tab/>
      </w:r>
      <w:r>
        <w:rPr>
          <w:lang w:val="en-ID"/>
        </w:rPr>
        <w:tab/>
      </w:r>
      <w:r>
        <w:rPr>
          <w:lang w:val="en-ID"/>
        </w:rPr>
        <w:t xml:space="preserve">Uji asumsi klasik merupakan persyaratan dalam analisis regresi linear berganda. </w:t>
      </w:r>
      <w:r>
        <w:rPr>
          <w:lang w:val="en-ID"/>
        </w:rPr>
        <w:t xml:space="preserve">Sebelum data dianalisis menggunakan teknik </w:t>
      </w:r>
      <w:r>
        <w:rPr>
          <w:lang w:val="en-ID"/>
        </w:rPr>
        <w:t>analisis regresi linear berganda</w:t>
      </w:r>
      <w:r>
        <w:rPr>
          <w:lang w:val="en-ID"/>
        </w:rPr>
        <w:t>, harus</w:t>
      </w:r>
      <w:r>
        <w:rPr>
          <w:lang w:val="en-ID"/>
        </w:rPr>
        <w:t xml:space="preserve"> diuji </w:t>
      </w:r>
      <w:r>
        <w:rPr>
          <w:lang w:val="en-ID"/>
        </w:rPr>
        <w:t>normalitas dan</w:t>
      </w:r>
      <w:r>
        <w:rPr>
          <w:lang w:val="en-ID"/>
        </w:rPr>
        <w:t xml:space="preserve"> terbebas dari asumsi klas</w:t>
      </w:r>
      <w:r>
        <w:rPr>
          <w:lang w:val="en-ID"/>
        </w:rPr>
        <w:t>ik</w:t>
      </w:r>
      <w:r>
        <w:rPr>
          <w:rFonts w:cs="Times New Roman"/>
          <w:iCs/>
          <w:szCs w:val="24"/>
        </w:rPr>
        <w:t>.</w:t>
      </w:r>
      <w:r>
        <w:rPr>
          <w:rFonts w:cs="Times New Roman"/>
          <w:iCs/>
          <w:szCs w:val="24"/>
        </w:rPr>
        <w:t xml:space="preserve"> </w:t>
      </w:r>
    </w:p>
    <w:p>
      <w:pPr>
        <w:pStyle w:val="style179"/>
        <w:numPr>
          <w:ilvl w:val="0"/>
          <w:numId w:val="10"/>
        </w:numPr>
        <w:spacing w:after="0" w:lineRule="auto" w:line="480"/>
        <w:ind w:left="360"/>
        <w:jc w:val="both"/>
        <w:rPr>
          <w:rFonts w:cs="Times New Roman"/>
          <w:iCs/>
          <w:szCs w:val="24"/>
        </w:rPr>
      </w:pPr>
      <w:r>
        <w:rPr>
          <w:rFonts w:cs="Times New Roman"/>
          <w:iCs/>
          <w:szCs w:val="24"/>
        </w:rPr>
        <w:t>Uji Normalitas</w:t>
      </w:r>
    </w:p>
    <w:p>
      <w:pPr>
        <w:pStyle w:val="style0"/>
        <w:spacing w:after="0" w:lineRule="auto" w:line="480"/>
        <w:ind w:left="360"/>
        <w:jc w:val="both"/>
        <w:rPr>
          <w:rFonts w:cs="Times New Roman"/>
          <w:iCs/>
          <w:szCs w:val="24"/>
        </w:rPr>
      </w:pPr>
      <w:r>
        <w:rPr>
          <w:rFonts w:cs="Times New Roman"/>
          <w:iCs/>
          <w:szCs w:val="24"/>
        </w:rPr>
        <w:t>Pengujian ini dilakukan untuk menguji model regresi dari suatu variabel independen dan variabel dependen ataupun keduanya mempunyai distribusi normal atau tidak normal. Uji ini menggunakan</w:t>
      </w:r>
      <w:r>
        <w:rPr>
          <w:rFonts w:cs="Times New Roman"/>
          <w:iCs/>
          <w:szCs w:val="24"/>
        </w:rPr>
        <w:t xml:space="preserve"> </w:t>
      </w:r>
      <w:r>
        <w:rPr>
          <w:rFonts w:cs="Times New Roman"/>
          <w:i/>
          <w:szCs w:val="24"/>
        </w:rPr>
        <w:t>One Sample Kolmogrov</w:t>
      </w:r>
      <w:r>
        <w:rPr>
          <w:rFonts w:cs="Times New Roman"/>
          <w:i/>
          <w:szCs w:val="24"/>
        </w:rPr>
        <w:t>-</w:t>
      </w:r>
      <w:r>
        <w:rPr>
          <w:rFonts w:cs="Times New Roman"/>
          <w:i/>
          <w:szCs w:val="24"/>
        </w:rPr>
        <w:t>Smirnov</w:t>
      </w:r>
      <w:r>
        <w:rPr>
          <w:rFonts w:cs="Times New Roman"/>
          <w:i/>
          <w:szCs w:val="24"/>
        </w:rPr>
        <w:t>,</w:t>
      </w:r>
      <w:r>
        <w:rPr>
          <w:rFonts w:cs="Times New Roman"/>
          <w:iCs/>
          <w:szCs w:val="24"/>
        </w:rPr>
        <w:t xml:space="preserve"> apabila nilai signifikasi lebih dari </w:t>
      </w:r>
      <w:r>
        <w:rPr>
          <w:rFonts w:cs="Times New Roman"/>
          <w:iCs/>
          <w:szCs w:val="24"/>
        </w:rPr>
        <w:t>5% atau 0,05</w:t>
      </w:r>
      <w:r>
        <w:rPr>
          <w:rFonts w:cs="Times New Roman"/>
          <w:iCs/>
          <w:szCs w:val="24"/>
        </w:rPr>
        <w:t xml:space="preserve"> </w:t>
      </w:r>
      <w:r>
        <w:rPr>
          <w:rFonts w:cs="Times New Roman"/>
          <w:iCs/>
          <w:szCs w:val="24"/>
        </w:rPr>
        <w:t xml:space="preserve">(sig. &gt; 0,05) </w:t>
      </w:r>
      <w:r>
        <w:rPr>
          <w:rFonts w:cs="Times New Roman"/>
          <w:iCs/>
          <w:szCs w:val="24"/>
        </w:rPr>
        <w:t>maka data memiliki distribusi normal</w:t>
      </w:r>
      <w:r>
        <w:rPr>
          <w:rFonts w:cs="Times New Roman"/>
          <w:iCs/>
          <w:szCs w:val="24"/>
        </w:rPr>
        <w:t xml:space="preserve"> atau diterima</w:t>
      </w:r>
      <w:r>
        <w:rPr>
          <w:rFonts w:cs="Times New Roman"/>
          <w:iCs/>
          <w:szCs w:val="24"/>
        </w:rPr>
        <w:t xml:space="preserve"> begitupun sebaliknya</w:t>
      </w:r>
      <w:r>
        <w:rPr>
          <w:rFonts w:cs="Times New Roman"/>
          <w:iCs/>
          <w:szCs w:val="24"/>
        </w:rPr>
        <w:t xml:space="preserve"> </w:t>
      </w:r>
      <w:r>
        <w:rPr>
          <w:rFonts w:cs="Times New Roman"/>
          <w:iCs/>
          <w:color w:val="000000"/>
          <w:szCs w:val="24"/>
        </w:rPr>
        <w:t>(Sahir, 2021)</w:t>
      </w:r>
      <w:r>
        <w:rPr>
          <w:rFonts w:cs="Times New Roman"/>
          <w:iCs/>
          <w:szCs w:val="24"/>
        </w:rPr>
        <w:t xml:space="preserve">. </w:t>
      </w:r>
    </w:p>
    <w:p>
      <w:pPr>
        <w:pStyle w:val="style179"/>
        <w:numPr>
          <w:ilvl w:val="0"/>
          <w:numId w:val="10"/>
        </w:numPr>
        <w:spacing w:after="0" w:lineRule="auto" w:line="480"/>
        <w:ind w:left="360"/>
        <w:jc w:val="both"/>
        <w:rPr>
          <w:rFonts w:cs="Times New Roman"/>
          <w:iCs/>
          <w:szCs w:val="24"/>
        </w:rPr>
      </w:pPr>
      <w:r>
        <w:rPr>
          <w:rFonts w:cs="Times New Roman"/>
          <w:iCs/>
          <w:szCs w:val="24"/>
        </w:rPr>
        <w:t xml:space="preserve">Uji </w:t>
      </w:r>
      <w:r>
        <w:rPr>
          <w:rFonts w:cs="Times New Roman" w:eastAsia="Times New Roman"/>
          <w:color w:val="000000"/>
          <w:szCs w:val="24"/>
        </w:rPr>
        <w:t>Multikolinearitas (Hubungan Antar Variabel)</w:t>
      </w:r>
    </w:p>
    <w:p>
      <w:pPr>
        <w:pStyle w:val="style179"/>
        <w:spacing w:after="0" w:lineRule="auto" w:line="480"/>
        <w:ind w:left="360"/>
        <w:jc w:val="both"/>
        <w:rPr>
          <w:rFonts w:cs="Times New Roman"/>
          <w:iCs/>
          <w:szCs w:val="24"/>
        </w:rPr>
      </w:pPr>
      <w:r>
        <w:rPr>
          <w:rFonts w:cs="Times New Roman" w:eastAsia="Times New Roman"/>
          <w:color w:val="000000"/>
          <w:szCs w:val="24"/>
        </w:rPr>
        <w:t>Pengujian ini digunakan untuk mengetahui adanya hubungan linier atau korelasi yang tinggi antar variabel yan</w:t>
      </w:r>
      <w:r>
        <w:rPr>
          <w:rFonts w:cs="Times New Roman" w:eastAsia="Times New Roman"/>
          <w:color w:val="000000"/>
          <w:szCs w:val="24"/>
        </w:rPr>
        <w:t>g menjelaskan</w:t>
      </w:r>
      <w:r>
        <w:rPr>
          <w:rFonts w:cs="Times New Roman" w:eastAsia="Times New Roman"/>
          <w:color w:val="000000"/>
          <w:szCs w:val="24"/>
        </w:rPr>
        <w:t xml:space="preserve"> model regresi</w:t>
      </w:r>
      <w:r>
        <w:rPr>
          <w:rFonts w:cs="Times New Roman" w:eastAsia="Times New Roman"/>
          <w:color w:val="000000"/>
          <w:szCs w:val="24"/>
        </w:rPr>
        <w:t xml:space="preserve"> ganda</w:t>
      </w:r>
      <w:r>
        <w:rPr>
          <w:rFonts w:cs="Times New Roman" w:eastAsia="Times New Roman"/>
          <w:color w:val="000000"/>
          <w:szCs w:val="24"/>
        </w:rPr>
        <w:t>.</w:t>
      </w:r>
      <w:r>
        <w:rPr>
          <w:rFonts w:cs="Times New Roman" w:eastAsia="Times New Roman"/>
          <w:color w:val="000000"/>
          <w:szCs w:val="24"/>
        </w:rPr>
        <w:t xml:space="preserve"> Pengujian ini dapat dideteksi dengan nilai </w:t>
      </w:r>
      <w:r>
        <w:rPr>
          <w:rFonts w:cs="Times New Roman" w:eastAsia="Times New Roman"/>
          <w:i/>
          <w:iCs/>
          <w:color w:val="000000"/>
          <w:szCs w:val="24"/>
        </w:rPr>
        <w:t xml:space="preserve">Variance Inflation Factors </w:t>
      </w:r>
      <w:r>
        <w:rPr>
          <w:rFonts w:cs="Times New Roman" w:eastAsia="Times New Roman"/>
          <w:color w:val="000000"/>
          <w:szCs w:val="24"/>
        </w:rPr>
        <w:t>(VIF)</w:t>
      </w:r>
      <w:r>
        <w:rPr>
          <w:rFonts w:cs="Times New Roman" w:eastAsia="Times New Roman"/>
          <w:color w:val="000000"/>
          <w:szCs w:val="24"/>
        </w:rPr>
        <w:t>. Dikatakan tidak multikolinearitas,</w:t>
      </w:r>
      <w:r>
        <w:rPr>
          <w:rFonts w:cs="Times New Roman" w:eastAsia="Times New Roman"/>
          <w:color w:val="000000"/>
          <w:szCs w:val="24"/>
        </w:rPr>
        <w:t xml:space="preserve"> jika </w:t>
      </w:r>
      <w:r>
        <w:rPr>
          <w:rFonts w:cs="Times New Roman" w:eastAsia="Times New Roman"/>
          <w:color w:val="000000"/>
          <w:szCs w:val="24"/>
        </w:rPr>
        <w:t xml:space="preserve">nilai </w:t>
      </w:r>
      <w:r>
        <w:rPr>
          <w:rFonts w:cs="Times New Roman" w:eastAsia="Times New Roman"/>
          <w:i/>
          <w:iCs/>
          <w:color w:val="000000"/>
          <w:szCs w:val="24"/>
        </w:rPr>
        <w:t xml:space="preserve">Variance Inflation Factors </w:t>
      </w:r>
      <w:r>
        <w:rPr>
          <w:rFonts w:cs="Times New Roman" w:eastAsia="Times New Roman"/>
          <w:color w:val="000000"/>
          <w:szCs w:val="24"/>
        </w:rPr>
        <w:t>(VIF)</w:t>
      </w:r>
      <w:r>
        <w:rPr>
          <w:rFonts w:cs="Times New Roman" w:eastAsia="Times New Roman"/>
          <w:color w:val="000000"/>
          <w:szCs w:val="24"/>
        </w:rPr>
        <w:t xml:space="preserve"> kurang dari </w:t>
      </w:r>
      <w:r>
        <w:rPr>
          <w:rFonts w:cs="Times New Roman" w:eastAsia="Times New Roman"/>
          <w:color w:val="000000"/>
          <w:szCs w:val="24"/>
        </w:rPr>
        <w:t>10</w:t>
      </w:r>
      <w:r>
        <w:rPr>
          <w:rFonts w:cs="Times New Roman" w:eastAsia="Times New Roman"/>
          <w:color w:val="000000"/>
          <w:szCs w:val="24"/>
        </w:rPr>
        <w:t xml:space="preserve"> </w:t>
      </w:r>
      <w:r>
        <w:rPr>
          <w:rFonts w:cs="Times New Roman" w:eastAsia="Times New Roman"/>
          <w:color w:val="000000"/>
          <w:szCs w:val="24"/>
        </w:rPr>
        <w:t xml:space="preserve">(VIF &lt; 10) </w:t>
      </w:r>
      <w:r>
        <w:rPr>
          <w:rFonts w:cs="Times New Roman" w:eastAsia="Times New Roman"/>
          <w:color w:val="000000"/>
          <w:szCs w:val="24"/>
        </w:rPr>
        <w:t xml:space="preserve">dan </w:t>
      </w:r>
      <w:r>
        <w:rPr>
          <w:rFonts w:cs="Times New Roman" w:eastAsia="Times New Roman"/>
          <w:color w:val="000000"/>
          <w:szCs w:val="24"/>
        </w:rPr>
        <w:t xml:space="preserve">dikatakan multikolinearitas, </w:t>
      </w:r>
      <w:r>
        <w:rPr>
          <w:rFonts w:cs="Times New Roman" w:eastAsia="Times New Roman"/>
          <w:color w:val="000000"/>
          <w:szCs w:val="24"/>
        </w:rPr>
        <w:t xml:space="preserve">jika </w:t>
      </w:r>
      <w:r>
        <w:rPr>
          <w:rFonts w:cs="Times New Roman" w:eastAsia="Times New Roman"/>
          <w:color w:val="000000"/>
          <w:szCs w:val="24"/>
        </w:rPr>
        <w:t xml:space="preserve">nilai </w:t>
      </w:r>
      <w:r>
        <w:rPr>
          <w:rFonts w:cs="Times New Roman" w:eastAsia="Times New Roman"/>
          <w:i/>
          <w:iCs/>
          <w:color w:val="000000"/>
          <w:szCs w:val="24"/>
        </w:rPr>
        <w:t xml:space="preserve">Variance Inflation Factors </w:t>
      </w:r>
      <w:r>
        <w:rPr>
          <w:rFonts w:cs="Times New Roman" w:eastAsia="Times New Roman"/>
          <w:color w:val="000000"/>
          <w:szCs w:val="24"/>
        </w:rPr>
        <w:t xml:space="preserve">(VIF) </w:t>
      </w:r>
      <w:r>
        <w:rPr>
          <w:rFonts w:cs="Times New Roman" w:eastAsia="Times New Roman"/>
          <w:color w:val="000000"/>
          <w:szCs w:val="24"/>
        </w:rPr>
        <w:t>lebih dari</w:t>
      </w:r>
      <w:r>
        <w:rPr>
          <w:rFonts w:cs="Times New Roman" w:eastAsia="Times New Roman"/>
          <w:color w:val="000000"/>
          <w:szCs w:val="24"/>
        </w:rPr>
        <w:t xml:space="preserve"> 10</w:t>
      </w:r>
      <w:r>
        <w:rPr>
          <w:rFonts w:cs="Times New Roman" w:eastAsia="Times New Roman"/>
          <w:color w:val="000000"/>
          <w:szCs w:val="24"/>
        </w:rPr>
        <w:t xml:space="preserve"> </w:t>
      </w:r>
      <w:r>
        <w:rPr>
          <w:rFonts w:eastAsia="Times New Roman"/>
        </w:rPr>
        <w:t>v</w:t>
      </w:r>
      <w:r>
        <w:rPr>
          <w:rFonts w:cs="Times New Roman" w:eastAsia="Times New Roman"/>
          <w:color w:val="000000"/>
          <w:szCs w:val="24"/>
        </w:rPr>
        <w:t>aritas</w:t>
      </w:r>
      <w:r>
        <w:rPr>
          <w:rFonts w:cs="Times New Roman" w:eastAsia="Times New Roman"/>
          <w:color w:val="000000"/>
          <w:szCs w:val="24"/>
        </w:rPr>
        <w:t xml:space="preserve"> (VIF &gt; 10)</w:t>
      </w:r>
      <w:r>
        <w:rPr>
          <w:rFonts w:cs="Times New Roman" w:eastAsia="Times New Roman"/>
          <w:color w:val="000000"/>
          <w:szCs w:val="24"/>
        </w:rPr>
        <w:t xml:space="preserve"> </w:t>
      </w:r>
      <w:r>
        <w:rPr>
          <w:rFonts w:cs="Times New Roman" w:eastAsia="Times New Roman"/>
          <w:color w:val="000000"/>
          <w:szCs w:val="24"/>
        </w:rPr>
        <w:t>(Sahir, 2021)</w:t>
      </w:r>
      <w:r>
        <w:rPr>
          <w:rFonts w:cs="Times New Roman" w:eastAsia="Times New Roman"/>
          <w:color w:val="000000"/>
          <w:szCs w:val="24"/>
        </w:rPr>
        <w:t xml:space="preserve">. </w:t>
      </w:r>
    </w:p>
    <w:p>
      <w:pPr>
        <w:pStyle w:val="style179"/>
        <w:numPr>
          <w:ilvl w:val="0"/>
          <w:numId w:val="10"/>
        </w:numPr>
        <w:spacing w:after="0" w:lineRule="auto" w:line="480"/>
        <w:ind w:left="360"/>
        <w:jc w:val="both"/>
        <w:rPr>
          <w:rFonts w:cs="Times New Roman"/>
          <w:iCs/>
          <w:szCs w:val="24"/>
        </w:rPr>
      </w:pPr>
      <w:r>
        <w:rPr>
          <w:rFonts w:cs="Times New Roman" w:eastAsia="Times New Roman"/>
          <w:color w:val="000000"/>
          <w:szCs w:val="24"/>
        </w:rPr>
        <w:t>Uji Hetero</w:t>
      </w:r>
      <w:r>
        <w:rPr>
          <w:rFonts w:cs="Times New Roman" w:eastAsia="Times New Roman"/>
          <w:color w:val="000000"/>
          <w:szCs w:val="24"/>
        </w:rPr>
        <w:t>s</w:t>
      </w:r>
      <w:r>
        <w:rPr>
          <w:rFonts w:cs="Times New Roman" w:eastAsia="Times New Roman"/>
          <w:color w:val="000000"/>
          <w:szCs w:val="24"/>
        </w:rPr>
        <w:t>kedastisitas</w:t>
      </w:r>
      <w:r>
        <w:rPr>
          <w:rFonts w:cs="Times New Roman" w:eastAsia="Times New Roman"/>
          <w:color w:val="000000"/>
          <w:szCs w:val="24"/>
        </w:rPr>
        <w:t xml:space="preserve"> (Sebaran Data Pengamatan)</w:t>
      </w:r>
    </w:p>
    <w:p>
      <w:pPr>
        <w:pStyle w:val="style179"/>
        <w:spacing w:after="0" w:lineRule="auto" w:line="480"/>
        <w:ind w:left="360"/>
        <w:jc w:val="both"/>
        <w:rPr>
          <w:rFonts w:cs="Times New Roman"/>
          <w:iCs/>
          <w:szCs w:val="24"/>
        </w:rPr>
      </w:pPr>
      <w:r>
        <w:rPr>
          <w:rFonts w:cs="Times New Roman" w:eastAsia="Times New Roman"/>
          <w:szCs w:val="24"/>
        </w:rPr>
        <w:t xml:space="preserve">Pengujian ini digunakan untuk mengetahui adanya varian residual yang tidak konstan atau tidak sama di seluruh nilai </w:t>
      </w:r>
      <w:r>
        <w:rPr>
          <w:rFonts w:cs="Times New Roman" w:eastAsia="Times New Roman"/>
          <w:szCs w:val="24"/>
        </w:rPr>
        <w:t>predi</w:t>
      </w:r>
      <w:r>
        <w:rPr>
          <w:rFonts w:cs="Times New Roman" w:eastAsia="Times New Roman"/>
          <w:szCs w:val="24"/>
        </w:rPr>
        <w:t>k</w:t>
      </w:r>
      <w:r>
        <w:rPr>
          <w:rFonts w:cs="Times New Roman" w:eastAsia="Times New Roman"/>
          <w:szCs w:val="24"/>
        </w:rPr>
        <w:t>tor</w:t>
      </w:r>
      <w:r>
        <w:rPr>
          <w:rFonts w:cs="Times New Roman" w:eastAsia="Times New Roman"/>
          <w:color w:val="000000"/>
          <w:szCs w:val="24"/>
        </w:rPr>
        <w:t>.</w:t>
      </w:r>
      <w:r>
        <w:rPr>
          <w:rFonts w:cs="Times New Roman" w:eastAsia="Times New Roman"/>
          <w:color w:val="000000"/>
          <w:szCs w:val="24"/>
        </w:rPr>
        <w:t xml:space="preserve"> Pengujian ini menggunakan uji </w:t>
      </w:r>
      <w:r>
        <w:rPr>
          <w:rFonts w:cs="Times New Roman" w:eastAsia="Times New Roman"/>
          <w:i/>
          <w:iCs/>
          <w:color w:val="000000"/>
          <w:szCs w:val="24"/>
        </w:rPr>
        <w:t>Glejser</w:t>
      </w:r>
      <w:r>
        <w:rPr>
          <w:rFonts w:cs="Times New Roman" w:eastAsia="Times New Roman"/>
          <w:color w:val="000000"/>
          <w:szCs w:val="24"/>
        </w:rPr>
        <w:t>.</w:t>
      </w:r>
      <w:r>
        <w:rPr>
          <w:rFonts w:cs="Times New Roman" w:eastAsia="Times New Roman"/>
          <w:color w:val="000000"/>
          <w:szCs w:val="24"/>
        </w:rPr>
        <w:t xml:space="preserve"> </w:t>
      </w:r>
      <w:r>
        <w:rPr>
          <w:rFonts w:cs="Times New Roman" w:eastAsia="Times New Roman"/>
          <w:color w:val="000000"/>
          <w:szCs w:val="24"/>
        </w:rPr>
        <w:t>D</w:t>
      </w:r>
      <w:r>
        <w:rPr>
          <w:rFonts w:cs="Times New Roman" w:eastAsia="Times New Roman"/>
          <w:color w:val="000000"/>
          <w:szCs w:val="24"/>
        </w:rPr>
        <w:t>ikatakan terdapat heteroskedastisitas,</w:t>
      </w:r>
      <w:r>
        <w:rPr>
          <w:rFonts w:cs="Times New Roman" w:eastAsia="Times New Roman"/>
          <w:color w:val="000000"/>
          <w:szCs w:val="24"/>
        </w:rPr>
        <w:t xml:space="preserve"> jika nilai signifikansi probabilitas setiap variabel bebas dibawah 0,05</w:t>
      </w:r>
      <w:r>
        <w:rPr>
          <w:rFonts w:cs="Times New Roman" w:eastAsia="Times New Roman"/>
          <w:color w:val="000000"/>
          <w:szCs w:val="24"/>
        </w:rPr>
        <w:t xml:space="preserve"> (sig. &lt;0,05)</w:t>
      </w:r>
      <w:r>
        <w:rPr>
          <w:rFonts w:cs="Times New Roman" w:eastAsia="Times New Roman"/>
          <w:color w:val="000000"/>
          <w:szCs w:val="24"/>
        </w:rPr>
        <w:t>.</w:t>
      </w:r>
      <w:r>
        <w:rPr>
          <w:rFonts w:cs="Times New Roman" w:eastAsia="Times New Roman"/>
          <w:color w:val="000000"/>
          <w:szCs w:val="24"/>
        </w:rPr>
        <w:t xml:space="preserve"> </w:t>
      </w:r>
      <w:r>
        <w:rPr>
          <w:rFonts w:cs="Times New Roman" w:eastAsia="Times New Roman"/>
          <w:color w:val="000000"/>
          <w:szCs w:val="24"/>
        </w:rPr>
        <w:t>D</w:t>
      </w:r>
      <w:r>
        <w:rPr>
          <w:rFonts w:cs="Times New Roman" w:eastAsia="Times New Roman"/>
          <w:color w:val="000000"/>
          <w:szCs w:val="24"/>
        </w:rPr>
        <w:t xml:space="preserve">ikatakan tidak </w:t>
      </w:r>
      <w:r>
        <w:rPr>
          <w:rFonts w:cs="Times New Roman" w:eastAsia="Times New Roman"/>
          <w:color w:val="000000"/>
          <w:szCs w:val="24"/>
        </w:rPr>
        <w:t xml:space="preserve">ada masalah heteroskedastisitas, </w:t>
      </w:r>
      <w:r>
        <w:rPr>
          <w:rFonts w:cs="Times New Roman" w:eastAsia="Times New Roman"/>
          <w:color w:val="000000"/>
          <w:szCs w:val="24"/>
        </w:rPr>
        <w:t>jika nilai signifikansi probabilitas lebih dari 0,05</w:t>
      </w:r>
      <w:r>
        <w:rPr>
          <w:rFonts w:cs="Times New Roman" w:eastAsia="Times New Roman"/>
          <w:color w:val="000000"/>
          <w:szCs w:val="24"/>
        </w:rPr>
        <w:t xml:space="preserve"> (sig. &gt; 0,05)</w:t>
      </w:r>
      <w:r>
        <w:rPr>
          <w:rFonts w:cs="Times New Roman" w:eastAsia="Times New Roman"/>
          <w:color w:val="000000"/>
          <w:szCs w:val="24"/>
        </w:rPr>
        <w:t xml:space="preserve"> </w:t>
      </w:r>
      <w:r>
        <w:rPr>
          <w:rFonts w:cs="Times New Roman" w:eastAsia="Times New Roman"/>
          <w:color w:val="000000"/>
          <w:szCs w:val="24"/>
        </w:rPr>
        <w:t>(Sahir, 2021)</w:t>
      </w:r>
      <w:r>
        <w:rPr>
          <w:rFonts w:cs="Times New Roman" w:eastAsia="Times New Roman"/>
          <w:color w:val="000000"/>
          <w:szCs w:val="24"/>
        </w:rPr>
        <w:t>.</w:t>
      </w:r>
    </w:p>
    <w:p>
      <w:pPr>
        <w:pStyle w:val="style179"/>
        <w:numPr>
          <w:ilvl w:val="0"/>
          <w:numId w:val="10"/>
        </w:numPr>
        <w:spacing w:after="0" w:lineRule="auto" w:line="480"/>
        <w:ind w:left="360"/>
        <w:jc w:val="both"/>
        <w:rPr>
          <w:rFonts w:cs="Times New Roman"/>
          <w:iCs/>
          <w:szCs w:val="24"/>
        </w:rPr>
      </w:pPr>
      <w:r>
        <w:rPr>
          <w:rFonts w:cs="Times New Roman" w:eastAsia="Times New Roman"/>
          <w:color w:val="000000"/>
          <w:szCs w:val="24"/>
        </w:rPr>
        <w:t>Uji Autokorelasi</w:t>
      </w:r>
      <w:r>
        <w:rPr>
          <w:rFonts w:cs="Times New Roman" w:eastAsia="Times New Roman"/>
          <w:color w:val="000000"/>
          <w:szCs w:val="24"/>
        </w:rPr>
        <w:t xml:space="preserve"> (Hubungan Antar Periode)</w:t>
      </w:r>
    </w:p>
    <w:p>
      <w:pPr>
        <w:pStyle w:val="style179"/>
        <w:spacing w:after="0" w:lineRule="auto" w:line="480"/>
        <w:ind w:left="360"/>
        <w:jc w:val="both"/>
        <w:rPr>
          <w:rFonts w:cs="Times New Roman"/>
          <w:iCs/>
          <w:szCs w:val="24"/>
        </w:rPr>
      </w:pPr>
      <w:r>
        <w:rPr>
          <w:rFonts w:cs="Times New Roman" w:eastAsia="Times New Roman"/>
          <w:szCs w:val="24"/>
        </w:rPr>
        <w:t xml:space="preserve">Pengujian ini </w:t>
      </w:r>
      <w:r>
        <w:rPr>
          <w:rFonts w:cs="Times New Roman" w:eastAsia="Times New Roman"/>
          <w:szCs w:val="24"/>
        </w:rPr>
        <w:t>digunakan</w:t>
      </w:r>
      <w:r>
        <w:rPr>
          <w:rFonts w:cs="Times New Roman" w:eastAsia="Times New Roman"/>
          <w:szCs w:val="24"/>
        </w:rPr>
        <w:t xml:space="preserve"> untuk mengetahui terjadinya korelasi antara nilai residual pada waktu tertentu dengan nilai residual pada waktu sebelumnya atau sesudahnya</w:t>
      </w:r>
      <w:r>
        <w:rPr>
          <w:rFonts w:cs="Times New Roman" w:eastAsia="Times New Roman"/>
          <w:szCs w:val="24"/>
        </w:rPr>
        <w:t>.</w:t>
      </w:r>
      <w:r>
        <w:rPr>
          <w:rFonts w:cs="Times New Roman" w:eastAsia="Times New Roman"/>
          <w:szCs w:val="24"/>
        </w:rPr>
        <w:t xml:space="preserve"> Uji ini menggunakan </w:t>
      </w:r>
      <w:r>
        <w:rPr>
          <w:rFonts w:cs="Times New Roman" w:eastAsia="Times New Roman"/>
          <w:i/>
          <w:iCs/>
          <w:szCs w:val="24"/>
        </w:rPr>
        <w:t>Durbin-Watson</w:t>
      </w:r>
      <w:r>
        <w:rPr>
          <w:rFonts w:cs="Times New Roman" w:eastAsia="Times New Roman"/>
          <w:i/>
          <w:iCs/>
          <w:szCs w:val="24"/>
        </w:rPr>
        <w:t>,</w:t>
      </w:r>
      <w:r>
        <w:rPr>
          <w:rFonts w:cs="Times New Roman" w:eastAsia="Times New Roman"/>
          <w:szCs w:val="24"/>
        </w:rPr>
        <w:t xml:space="preserve"> yaitu </w:t>
      </w:r>
      <w:r>
        <w:rPr>
          <w:rFonts w:cs="Times New Roman" w:eastAsia="Times New Roman"/>
          <w:szCs w:val="24"/>
        </w:rPr>
        <w:t>hipotesis nol ditolak</w:t>
      </w:r>
      <w:r>
        <w:rPr>
          <w:rFonts w:cs="Times New Roman" w:eastAsia="Times New Roman"/>
          <w:szCs w:val="24"/>
        </w:rPr>
        <w:t xml:space="preserve"> </w:t>
      </w:r>
      <w:r>
        <w:rPr>
          <w:rFonts w:cs="Times New Roman" w:eastAsia="Times New Roman"/>
          <w:szCs w:val="24"/>
        </w:rPr>
        <w:t>atau dikatakan autokorelasi, j</w:t>
      </w:r>
      <w:r>
        <w:rPr>
          <w:rFonts w:cs="Times New Roman" w:eastAsia="Times New Roman"/>
          <w:szCs w:val="24"/>
        </w:rPr>
        <w:t>ika d kurang dari dL atau d lebih dari 4-dL</w:t>
      </w:r>
      <w:r>
        <w:rPr>
          <w:rFonts w:cs="Times New Roman" w:eastAsia="Times New Roman"/>
          <w:szCs w:val="24"/>
        </w:rPr>
        <w:t xml:space="preserve">; </w:t>
      </w:r>
      <w:r>
        <w:rPr>
          <w:rFonts w:cs="Times New Roman" w:eastAsia="Times New Roman"/>
          <w:szCs w:val="24"/>
        </w:rPr>
        <w:t>h</w:t>
      </w:r>
      <w:r>
        <w:rPr>
          <w:rFonts w:cs="Times New Roman" w:eastAsia="Times New Roman"/>
          <w:szCs w:val="24"/>
        </w:rPr>
        <w:t>ipotesis nol diterima atau tidak ada autokorelasi,</w:t>
      </w:r>
      <w:r>
        <w:rPr>
          <w:rFonts w:cs="Times New Roman" w:eastAsia="Times New Roman"/>
          <w:szCs w:val="24"/>
        </w:rPr>
        <w:t xml:space="preserve"> jika d diantara dU dan 4-dU </w:t>
      </w:r>
      <w:r>
        <w:rPr>
          <w:rFonts w:cs="Times New Roman" w:eastAsia="Times New Roman"/>
          <w:szCs w:val="24"/>
        </w:rPr>
        <w:t>(dU &lt; d &lt; 4-dU)</w:t>
      </w:r>
      <w:r>
        <w:rPr>
          <w:rFonts w:cs="Times New Roman" w:eastAsia="Times New Roman"/>
          <w:szCs w:val="24"/>
        </w:rPr>
        <w:t>;</w:t>
      </w:r>
      <w:r>
        <w:rPr>
          <w:rFonts w:cs="Times New Roman" w:eastAsia="Times New Roman"/>
          <w:szCs w:val="24"/>
        </w:rPr>
        <w:t xml:space="preserve"> </w:t>
      </w:r>
      <w:r>
        <w:rPr>
          <w:rFonts w:cs="Times New Roman" w:eastAsia="Times New Roman"/>
          <w:szCs w:val="24"/>
        </w:rPr>
        <w:t>dan</w:t>
      </w:r>
      <w:r>
        <w:rPr>
          <w:rFonts w:cs="Times New Roman" w:eastAsia="Times New Roman"/>
          <w:szCs w:val="24"/>
        </w:rPr>
        <w:t xml:space="preserve"> </w:t>
      </w:r>
      <w:r>
        <w:rPr>
          <w:rFonts w:cs="Times New Roman" w:eastAsia="Times New Roman"/>
          <w:szCs w:val="24"/>
        </w:rPr>
        <w:t>dikatakan menunjukkan tidak ada kesimpulan yang pasti,</w:t>
      </w:r>
      <w:r>
        <w:rPr>
          <w:rFonts w:cs="Times New Roman" w:eastAsia="Times New Roman"/>
          <w:szCs w:val="24"/>
        </w:rPr>
        <w:t xml:space="preserve"> jika d diantara dL dan dU (</w:t>
      </w:r>
      <w:r>
        <w:rPr>
          <w:rFonts w:cs="Times New Roman" w:eastAsia="Times New Roman"/>
          <w:szCs w:val="24"/>
        </w:rPr>
        <w:t>d</w:t>
      </w:r>
      <w:r>
        <w:rPr>
          <w:rFonts w:cs="Times New Roman" w:eastAsia="Times New Roman"/>
          <w:szCs w:val="24"/>
        </w:rPr>
        <w:t>L</w:t>
      </w:r>
      <w:r>
        <w:rPr>
          <w:rFonts w:cs="Times New Roman" w:eastAsia="Times New Roman"/>
          <w:szCs w:val="24"/>
        </w:rPr>
        <w:t xml:space="preserve"> &lt; d &lt; dU</w:t>
      </w:r>
      <w:r>
        <w:rPr>
          <w:rFonts w:cs="Times New Roman" w:eastAsia="Times New Roman"/>
          <w:szCs w:val="24"/>
        </w:rPr>
        <w:t xml:space="preserve">) atau diantara 4-dU dan 4-dL </w:t>
      </w:r>
      <w:r>
        <w:rPr>
          <w:rFonts w:cs="Times New Roman" w:eastAsia="Times New Roman"/>
          <w:szCs w:val="24"/>
        </w:rPr>
        <w:t>(</w:t>
      </w:r>
      <w:r>
        <w:rPr>
          <w:rFonts w:cs="Times New Roman" w:eastAsia="Times New Roman"/>
          <w:szCs w:val="24"/>
        </w:rPr>
        <w:t>4-d</w:t>
      </w:r>
      <w:r>
        <w:rPr>
          <w:rFonts w:cs="Times New Roman" w:eastAsia="Times New Roman"/>
          <w:szCs w:val="24"/>
        </w:rPr>
        <w:t>U</w:t>
      </w:r>
      <w:r>
        <w:rPr>
          <w:rFonts w:cs="Times New Roman" w:eastAsia="Times New Roman"/>
          <w:szCs w:val="24"/>
        </w:rPr>
        <w:t>&lt; d &lt; 4-dL</w:t>
      </w:r>
      <w:r>
        <w:rPr>
          <w:rFonts w:cs="Times New Roman" w:eastAsia="Times New Roman"/>
          <w:szCs w:val="24"/>
        </w:rPr>
        <w:t>)</w:t>
      </w:r>
      <w:r>
        <w:rPr>
          <w:rFonts w:cs="Times New Roman" w:eastAsia="Times New Roman"/>
          <w:color w:val="000000"/>
          <w:szCs w:val="24"/>
        </w:rPr>
        <w:t xml:space="preserve"> </w:t>
      </w:r>
      <w:r>
        <w:rPr>
          <w:rFonts w:cs="Times New Roman" w:eastAsia="Times New Roman"/>
          <w:color w:val="000000"/>
          <w:szCs w:val="24"/>
        </w:rPr>
        <w:t>(Sahir, 2021)</w:t>
      </w:r>
      <w:r>
        <w:rPr>
          <w:rFonts w:cs="Times New Roman" w:eastAsia="Times New Roman"/>
          <w:szCs w:val="24"/>
        </w:rPr>
        <w:t>.</w:t>
      </w:r>
      <w:r>
        <w:rPr>
          <w:rFonts w:cs="Times New Roman" w:eastAsia="Times New Roman"/>
          <w:szCs w:val="24"/>
        </w:rPr>
        <w:t xml:space="preserve"> </w:t>
      </w:r>
    </w:p>
    <w:bookmarkStart w:id="65" w:name="_Toc218854625"/>
    <w:p>
      <w:pPr>
        <w:pStyle w:val="style3"/>
        <w:rPr/>
      </w:pPr>
      <w:r>
        <w:t>3.</w:t>
      </w:r>
      <w:r>
        <w:t>5</w:t>
      </w:r>
      <w:r>
        <w:t>.</w:t>
      </w:r>
      <w:r>
        <w:t>3</w:t>
      </w:r>
      <w:r>
        <w:t xml:space="preserve">. </w:t>
      </w:r>
      <w:r>
        <w:tab/>
      </w:r>
      <w:r>
        <w:tab/>
      </w:r>
      <w:r>
        <w:tab/>
      </w:r>
      <w:r>
        <w:t>Analisis</w:t>
      </w:r>
      <w:r>
        <w:t xml:space="preserve"> Regesi </w:t>
      </w:r>
      <w:r>
        <w:t>Linear Berganda</w:t>
      </w:r>
      <w:bookmarkEnd w:id="65"/>
    </w:p>
    <w:p>
      <w:pPr>
        <w:pStyle w:val="style0"/>
        <w:tabs>
          <w:tab w:val="left" w:leader="none" w:pos="900"/>
        </w:tabs>
        <w:spacing w:after="0" w:lineRule="auto" w:line="480"/>
        <w:ind w:firstLine="630"/>
        <w:jc w:val="both"/>
        <w:rPr>
          <w:rFonts w:cs="Times New Roman"/>
          <w:iCs/>
          <w:szCs w:val="24"/>
        </w:rPr>
      </w:pPr>
      <w:r>
        <w:rPr>
          <w:rFonts w:cs="Times New Roman"/>
          <w:iCs/>
          <w:szCs w:val="24"/>
        </w:rPr>
        <w:tab/>
      </w:r>
      <w:r>
        <w:rPr>
          <w:rFonts w:cs="Times New Roman"/>
          <w:iCs/>
          <w:szCs w:val="24"/>
        </w:rPr>
        <w:t xml:space="preserve">Penelitian ini menggunakan analisis regresi linier berganda yang dilakukan untuk mengetahui adanya pengaruh </w:t>
      </w:r>
      <w:r>
        <w:rPr>
          <w:rFonts w:cs="Times New Roman"/>
          <w:iCs/>
          <w:szCs w:val="24"/>
        </w:rPr>
        <w:t xml:space="preserve">beberapa </w:t>
      </w:r>
      <w:r>
        <w:rPr>
          <w:rFonts w:cs="Times New Roman"/>
          <w:iCs/>
          <w:szCs w:val="24"/>
        </w:rPr>
        <w:t xml:space="preserve">variabel </w:t>
      </w:r>
      <w:r>
        <w:rPr>
          <w:rFonts w:cs="Times New Roman"/>
          <w:iCs/>
          <w:szCs w:val="24"/>
        </w:rPr>
        <w:t>in</w:t>
      </w:r>
      <w:r>
        <w:rPr>
          <w:rFonts w:cs="Times New Roman"/>
          <w:iCs/>
          <w:szCs w:val="24"/>
        </w:rPr>
        <w:t xml:space="preserve">dependen </w:t>
      </w:r>
      <w:r>
        <w:rPr>
          <w:rFonts w:cs="Times New Roman"/>
          <w:iCs/>
          <w:szCs w:val="24"/>
        </w:rPr>
        <w:t xml:space="preserve">terhadap variabel </w:t>
      </w:r>
      <w:r>
        <w:rPr>
          <w:rFonts w:cs="Times New Roman"/>
          <w:iCs/>
          <w:szCs w:val="24"/>
        </w:rPr>
        <w:t>dependen</w:t>
      </w:r>
      <w:r>
        <w:rPr>
          <w:rFonts w:cs="Times New Roman"/>
          <w:iCs/>
          <w:szCs w:val="24"/>
        </w:rPr>
        <w:t>.</w:t>
      </w:r>
      <w:r>
        <w:rPr>
          <w:rFonts w:cs="Times New Roman"/>
          <w:iCs/>
          <w:szCs w:val="24"/>
        </w:rPr>
        <w:t xml:space="preserve"> Adapun persamaan model regresi</w:t>
      </w:r>
      <w:r>
        <w:rPr>
          <w:rFonts w:cs="Times New Roman"/>
          <w:iCs/>
          <w:szCs w:val="24"/>
        </w:rPr>
        <w:t xml:space="preserve"> linear berganda </w:t>
      </w:r>
      <w:r>
        <w:rPr>
          <w:rFonts w:cs="Times New Roman"/>
          <w:iCs/>
          <w:szCs w:val="24"/>
        </w:rPr>
        <w:t>dapat dipaparkan, sebagai berikut</w:t>
      </w:r>
      <w:r>
        <w:rPr>
          <w:rFonts w:cs="Times New Roman"/>
          <w:iCs/>
          <w:szCs w:val="24"/>
        </w:rPr>
        <w:t xml:space="preserve"> </w:t>
      </w:r>
      <w:r>
        <w:rPr>
          <w:rFonts w:cs="Times New Roman"/>
          <w:iCs/>
          <w:color w:val="000000"/>
          <w:szCs w:val="24"/>
        </w:rPr>
        <w:t>(Sahir, 2021)</w:t>
      </w:r>
      <w:r>
        <w:rPr>
          <w:rFonts w:cs="Times New Roman"/>
          <w:iCs/>
          <w:szCs w:val="24"/>
        </w:rPr>
        <w:t>:</w:t>
      </w:r>
    </w:p>
    <w:p>
      <w:pPr>
        <w:pStyle w:val="style0"/>
        <w:spacing w:after="0" w:lineRule="auto" w:line="480"/>
        <w:jc w:val="both"/>
        <w:rPr>
          <w:rFonts w:cs="Times New Roman" w:eastAsia="宋体"/>
          <w:iCs/>
          <w:szCs w:val="24"/>
        </w:rPr>
      </w:pPr>
      <m:oMath>
        <m:r>
          <m:rPr>
            <m:sty m:val="p"/>
          </m:rPr>
          <w:rPr>
            <w:rFonts w:ascii="Cambria Math" w:cs="Times New Roman" w:hAnsi="Cambria Math"/>
            <w:szCs w:val="24"/>
          </w:rPr>
          <m:t>FV</m:t>
        </m:r>
        <m:r>
          <w:rPr>
            <w:rFonts w:ascii="Cambria Math" w:cs="Times New Roman" w:hAnsi="Cambria Math"/>
            <w:szCs w:val="24"/>
          </w:rPr>
          <m:t>=</m:t>
        </m:r>
        <m:sSub>
          <m:sSubPr>
            <m:ctrlPr>
              <w:rPr>
                <w:rFonts w:ascii="Cambria Math" w:cs="Times New Roman" w:hAnsi="Cambria Math"/>
                <w:iCs/>
                <w:szCs w:val="24"/>
              </w:rPr>
            </m:ctrlPr>
          </m:sSubPr>
          <m:e>
            <m:r>
              <m:rPr>
                <m:sty m:val="p"/>
              </m:rPr>
              <w:rPr>
                <w:rFonts w:ascii="Cambria Math" w:cs="Times New Roman" w:hAnsi="Cambria Math"/>
                <w:szCs w:val="24"/>
              </w:rPr>
              <m:t>α+β</m:t>
            </m:r>
          </m:e>
          <m:sub>
            <m:r>
              <m:rPr>
                <m:sty m:val="p"/>
              </m:rPr>
              <w:rPr>
                <w:rFonts w:ascii="Cambria Math" w:cs="Times New Roman" w:hAnsi="Cambria Math"/>
                <w:szCs w:val="24"/>
              </w:rPr>
              <m:t>1</m:t>
            </m:r>
          </m:sub>
        </m:sSub>
        <m:r>
          <m:rPr>
            <m:sty m:val="p"/>
          </m:rPr>
          <w:rPr>
            <w:rFonts w:ascii="Cambria Math" w:cs="Times New Roman" w:hAnsi="Cambria Math"/>
            <w:szCs w:val="24"/>
          </w:rPr>
          <m:t>ERM+</m:t>
        </m:r>
        <m:sSub>
          <m:sSubPr>
            <m:ctrlPr>
              <w:rPr>
                <w:rFonts w:ascii="Cambria Math" w:cs="Times New Roman" w:hAnsi="Cambria Math"/>
                <w:iCs/>
                <w:szCs w:val="24"/>
              </w:rPr>
            </m:ctrlPr>
          </m:sSubPr>
          <m:e>
            <m:r>
              <m:rPr>
                <m:sty m:val="p"/>
              </m:rPr>
              <w:rPr>
                <w:rFonts w:ascii="Cambria Math" w:cs="Times New Roman" w:hAnsi="Cambria Math"/>
                <w:szCs w:val="24"/>
              </w:rPr>
              <m:t>β</m:t>
            </m:r>
          </m:e>
          <m:sub>
            <m:r>
              <m:rPr>
                <m:sty m:val="p"/>
              </m:rPr>
              <w:rPr>
                <w:rFonts w:ascii="Cambria Math" w:cs="Times New Roman" w:hAnsi="Cambria Math"/>
                <w:szCs w:val="24"/>
              </w:rPr>
              <m:t>2</m:t>
            </m:r>
          </m:sub>
        </m:sSub>
        <m:r>
          <m:rPr>
            <m:sty m:val="p"/>
          </m:rPr>
          <w:rPr>
            <w:rFonts w:ascii="Cambria Math" w:cs="Times New Roman" w:hAnsi="Cambria Math"/>
            <w:szCs w:val="24"/>
          </w:rPr>
          <m:t>MO+</m:t>
        </m:r>
        <m:sSub>
          <m:sSubPr>
            <m:ctrlPr>
              <w:rPr>
                <w:rFonts w:ascii="Cambria Math" w:cs="Times New Roman" w:hAnsi="Cambria Math"/>
                <w:iCs/>
                <w:szCs w:val="24"/>
              </w:rPr>
            </m:ctrlPr>
          </m:sSubPr>
          <m:e>
            <m:r>
              <m:rPr>
                <m:sty m:val="p"/>
              </m:rPr>
              <w:rPr>
                <w:rFonts w:ascii="Cambria Math" w:cs="Times New Roman" w:hAnsi="Cambria Math"/>
                <w:szCs w:val="24"/>
              </w:rPr>
              <m:t>β</m:t>
            </m:r>
          </m:e>
          <m:sub>
            <m:r>
              <m:rPr>
                <m:sty m:val="p"/>
              </m:rPr>
              <w:rPr>
                <w:rFonts w:ascii="Cambria Math" w:cs="Times New Roman" w:hAnsi="Cambria Math"/>
                <w:szCs w:val="24"/>
              </w:rPr>
              <m:t>3</m:t>
            </m:r>
          </m:sub>
        </m:sSub>
        <m:r>
          <m:rPr>
            <m:sty m:val="p"/>
          </m:rPr>
          <w:rPr>
            <w:rFonts w:ascii="Cambria Math" w:cs="Times New Roman" w:hAnsi="Cambria Math"/>
            <w:szCs w:val="24"/>
          </w:rPr>
          <m:t>IO+…</m:t>
        </m:r>
        <m:r>
          <w:rPr>
            <w:rFonts w:ascii="Cambria Math" w:cs="Times New Roman" w:hAnsi="Cambria Math"/>
            <w:szCs w:val="24"/>
          </w:rPr>
          <m:t xml:space="preserve">+e </m:t>
        </m:r>
      </m:oMath>
      <w:r>
        <w:rPr>
          <w:rFonts w:cs="Times New Roman" w:eastAsia="宋体"/>
          <w:szCs w:val="24"/>
        </w:rPr>
        <w:t>……………………</w:t>
      </w:r>
      <w:r>
        <w:rPr>
          <w:rFonts w:cs="Times New Roman" w:eastAsia="宋体"/>
          <w:szCs w:val="24"/>
        </w:rPr>
        <w:t>......</w:t>
      </w:r>
      <w:r>
        <w:rPr>
          <w:rFonts w:cs="Times New Roman" w:eastAsia="宋体"/>
          <w:szCs w:val="24"/>
        </w:rPr>
        <w:t xml:space="preserve">………… </w:t>
      </w:r>
      <w:r>
        <w:rPr>
          <w:rFonts w:cs="Times New Roman" w:eastAsia="宋体"/>
          <w:szCs w:val="24"/>
        </w:rPr>
        <w:t>3</w:t>
      </w:r>
      <w:r>
        <w:rPr>
          <w:rFonts w:cs="Times New Roman" w:eastAsia="宋体"/>
          <w:szCs w:val="24"/>
        </w:rPr>
        <w:t>.1</w:t>
      </w:r>
    </w:p>
    <w:p>
      <w:pPr>
        <w:pStyle w:val="style0"/>
        <w:spacing w:after="0" w:lineRule="auto" w:line="480"/>
        <w:jc w:val="both"/>
        <w:rPr>
          <w:rFonts w:cs="Times New Roman" w:eastAsia="宋体"/>
          <w:iCs/>
          <w:szCs w:val="24"/>
        </w:rPr>
      </w:pPr>
      <w:r>
        <w:rPr>
          <w:rFonts w:cs="Times New Roman" w:eastAsia="宋体"/>
          <w:iCs/>
          <w:szCs w:val="24"/>
        </w:rPr>
        <w:t>Keterangan:</w:t>
      </w:r>
    </w:p>
    <w:p>
      <w:pPr>
        <w:pStyle w:val="style0"/>
        <w:spacing w:after="0" w:lineRule="auto" w:line="480"/>
        <w:jc w:val="both"/>
        <w:rPr>
          <w:rFonts w:cs="Times New Roman" w:eastAsia="宋体"/>
          <w:i/>
          <w:szCs w:val="24"/>
        </w:rPr>
      </w:pPr>
      <w:r>
        <w:rPr>
          <w:rFonts w:cs="Times New Roman" w:eastAsia="宋体"/>
          <w:iCs/>
          <w:szCs w:val="24"/>
        </w:rPr>
        <w:t>FV</w:t>
      </w:r>
      <w:r>
        <w:rPr>
          <w:rFonts w:cs="Times New Roman" w:eastAsia="宋体"/>
          <w:iCs/>
          <w:szCs w:val="24"/>
        </w:rPr>
        <w:tab/>
      </w:r>
      <w:r>
        <w:rPr>
          <w:rFonts w:cs="Times New Roman" w:eastAsia="宋体"/>
          <w:iCs/>
          <w:szCs w:val="24"/>
        </w:rPr>
        <w:tab/>
      </w:r>
      <w:r>
        <w:rPr>
          <w:rFonts w:cs="Times New Roman" w:eastAsia="宋体"/>
          <w:iCs/>
          <w:szCs w:val="24"/>
        </w:rPr>
        <w:t>:</w:t>
      </w:r>
      <w:r>
        <w:rPr>
          <w:rFonts w:cs="Times New Roman" w:eastAsia="宋体"/>
          <w:iCs/>
          <w:szCs w:val="24"/>
        </w:rPr>
        <w:t xml:space="preserve"> </w:t>
      </w:r>
      <w:r>
        <w:rPr>
          <w:rFonts w:cs="Times New Roman" w:eastAsia="宋体"/>
          <w:i/>
          <w:szCs w:val="24"/>
        </w:rPr>
        <w:t>Firm Value</w:t>
      </w:r>
    </w:p>
    <w:p>
      <w:pPr>
        <w:pStyle w:val="style0"/>
        <w:spacing w:after="0" w:lineRule="auto" w:line="480"/>
        <w:jc w:val="both"/>
        <w:rPr>
          <w:rFonts w:cs="Times New Roman"/>
          <w:i/>
          <w:szCs w:val="24"/>
        </w:rPr>
      </w:pPr>
      <w:r>
        <w:rPr>
          <w:rFonts w:cs="Times New Roman"/>
          <w:iCs/>
          <w:szCs w:val="24"/>
        </w:rPr>
        <w:t>ERM</w:t>
      </w:r>
      <w:r>
        <w:rPr>
          <w:rFonts w:cs="Times New Roman"/>
          <w:iCs/>
          <w:szCs w:val="24"/>
        </w:rPr>
        <w:tab/>
      </w:r>
      <w:r>
        <w:rPr>
          <w:rFonts w:cs="Times New Roman"/>
          <w:iCs/>
          <w:szCs w:val="24"/>
        </w:rPr>
        <w:tab/>
      </w:r>
      <w:r>
        <w:rPr>
          <w:rFonts w:cs="Times New Roman"/>
          <w:iCs/>
          <w:szCs w:val="24"/>
        </w:rPr>
        <w:t xml:space="preserve">: </w:t>
      </w:r>
      <w:r>
        <w:rPr>
          <w:rFonts w:cs="Times New Roman"/>
          <w:i/>
          <w:szCs w:val="24"/>
        </w:rPr>
        <w:t>Enterprise Risk Management</w:t>
      </w:r>
    </w:p>
    <w:p>
      <w:pPr>
        <w:pStyle w:val="style0"/>
        <w:spacing w:after="0" w:lineRule="auto" w:line="480"/>
        <w:jc w:val="both"/>
        <w:rPr>
          <w:rFonts w:cs="Times New Roman"/>
          <w:i/>
          <w:szCs w:val="24"/>
        </w:rPr>
      </w:pPr>
      <w:r>
        <w:rPr>
          <w:rFonts w:cs="Times New Roman"/>
          <w:iCs/>
          <w:szCs w:val="24"/>
        </w:rPr>
        <w:t>MO</w:t>
      </w:r>
      <w:r>
        <w:rPr>
          <w:rFonts w:cs="Times New Roman"/>
          <w:iCs/>
          <w:szCs w:val="24"/>
        </w:rPr>
        <w:tab/>
      </w:r>
      <w:r>
        <w:rPr>
          <w:rFonts w:cs="Times New Roman"/>
          <w:iCs/>
          <w:szCs w:val="24"/>
        </w:rPr>
        <w:tab/>
      </w:r>
      <w:r>
        <w:rPr>
          <w:rFonts w:cs="Times New Roman"/>
          <w:iCs/>
          <w:szCs w:val="24"/>
        </w:rPr>
        <w:t xml:space="preserve">: </w:t>
      </w:r>
      <w:r>
        <w:rPr>
          <w:rFonts w:cs="Times New Roman"/>
          <w:i/>
          <w:szCs w:val="24"/>
        </w:rPr>
        <w:t>Managerial Ownership</w:t>
      </w:r>
    </w:p>
    <w:p>
      <w:pPr>
        <w:pStyle w:val="style0"/>
        <w:spacing w:after="0" w:lineRule="auto" w:line="480"/>
        <w:jc w:val="both"/>
        <w:rPr>
          <w:rFonts w:cs="Times New Roman"/>
          <w:i/>
          <w:szCs w:val="24"/>
        </w:rPr>
      </w:pPr>
      <w:r>
        <w:rPr>
          <w:rFonts w:cs="Times New Roman"/>
          <w:iCs/>
          <w:szCs w:val="24"/>
        </w:rPr>
        <w:t>IO</w:t>
      </w:r>
      <w:r>
        <w:rPr>
          <w:rFonts w:cs="Times New Roman"/>
          <w:iCs/>
          <w:szCs w:val="24"/>
        </w:rPr>
        <w:tab/>
      </w:r>
      <w:r>
        <w:rPr>
          <w:rFonts w:cs="Times New Roman"/>
          <w:iCs/>
          <w:szCs w:val="24"/>
        </w:rPr>
        <w:tab/>
      </w:r>
      <w:r>
        <w:rPr>
          <w:rFonts w:cs="Times New Roman"/>
          <w:iCs/>
          <w:szCs w:val="24"/>
        </w:rPr>
        <w:t xml:space="preserve">: </w:t>
      </w:r>
      <w:r>
        <w:rPr>
          <w:rFonts w:cs="Times New Roman"/>
          <w:i/>
          <w:szCs w:val="24"/>
        </w:rPr>
        <w:t>Institutional Ownership</w:t>
      </w:r>
    </w:p>
    <w:p>
      <w:pPr>
        <w:pStyle w:val="style0"/>
        <w:spacing w:after="0" w:lineRule="auto" w:line="480"/>
        <w:jc w:val="both"/>
        <w:rPr>
          <w:rFonts w:cs="Times New Roman"/>
          <w:iCs/>
          <w:szCs w:val="24"/>
        </w:rPr>
      </w:pPr>
      <w:r>
        <w:rPr>
          <w:rFonts w:cs="Times New Roman"/>
          <w:iCs/>
          <w:szCs w:val="24"/>
        </w:rPr>
        <w:t>α</w:t>
      </w:r>
      <w:r>
        <w:rPr>
          <w:rFonts w:cs="Times New Roman"/>
          <w:iCs/>
          <w:szCs w:val="24"/>
        </w:rPr>
        <w:tab/>
      </w:r>
      <w:r>
        <w:rPr>
          <w:rFonts w:cs="Times New Roman"/>
          <w:iCs/>
          <w:szCs w:val="24"/>
        </w:rPr>
        <w:tab/>
      </w:r>
      <w:r>
        <w:rPr>
          <w:rFonts w:cs="Times New Roman"/>
          <w:iCs/>
          <w:szCs w:val="24"/>
        </w:rPr>
        <w:t>:</w:t>
      </w:r>
      <w:r>
        <w:rPr>
          <w:rFonts w:cs="Times New Roman"/>
          <w:iCs/>
          <w:szCs w:val="24"/>
        </w:rPr>
        <w:t xml:space="preserve"> Konstanta</w:t>
      </w:r>
    </w:p>
    <w:p>
      <w:pPr>
        <w:pStyle w:val="style0"/>
        <w:spacing w:after="0" w:lineRule="auto" w:line="480"/>
        <w:jc w:val="both"/>
        <w:rPr>
          <w:rFonts w:cs="Times New Roman"/>
          <w:iCs/>
          <w:szCs w:val="24"/>
        </w:rPr>
      </w:pPr>
      <m:oMath>
        <m:sSub>
          <m:sSubPr>
            <m:ctrlPr>
              <w:rPr>
                <w:rFonts w:ascii="Cambria Math" w:cs="Times New Roman" w:hAnsi="Cambria Math"/>
                <w:iCs/>
                <w:szCs w:val="24"/>
              </w:rPr>
            </m:ctrlPr>
          </m:sSubPr>
          <m:e>
            <m:r>
              <m:rPr>
                <m:sty m:val="p"/>
              </m:rPr>
              <w:rPr>
                <w:rFonts w:ascii="Cambria Math" w:cs="Times New Roman" w:hAnsi="Cambria Math"/>
                <w:szCs w:val="24"/>
              </w:rPr>
              <m:t>β</m:t>
            </m:r>
          </m:e>
          <m:sub>
            <m:r>
              <m:rPr>
                <m:sty m:val="p"/>
              </m:rPr>
              <w:rPr>
                <w:rFonts w:ascii="Cambria Math" w:cs="Times New Roman" w:hAnsi="Cambria Math"/>
                <w:szCs w:val="24"/>
              </w:rPr>
              <m:t>1</m:t>
            </m:r>
          </m:sub>
        </m:sSub>
        <m:r>
          <w:rPr>
            <w:rFonts w:ascii="Cambria Math" w:cs="Times New Roman" w:hAnsi="Cambria Math"/>
            <w:szCs w:val="24"/>
          </w:rPr>
          <m:t xml:space="preserve">, </m:t>
        </m:r>
        <m:sSub>
          <m:sSubPr>
            <m:ctrlPr>
              <w:rPr>
                <w:rFonts w:ascii="Cambria Math" w:cs="Times New Roman" w:hAnsi="Cambria Math"/>
                <w:iCs/>
                <w:szCs w:val="24"/>
              </w:rPr>
            </m:ctrlPr>
          </m:sSubPr>
          <m:e>
            <m:r>
              <m:rPr>
                <m:sty m:val="p"/>
              </m:rPr>
              <w:rPr>
                <w:rFonts w:ascii="Cambria Math" w:cs="Times New Roman" w:hAnsi="Cambria Math"/>
                <w:szCs w:val="24"/>
              </w:rPr>
              <m:t>β</m:t>
            </m:r>
          </m:e>
          <m:sub>
            <m:r>
              <m:rPr>
                <m:sty m:val="p"/>
              </m:rPr>
              <w:rPr>
                <w:rFonts w:ascii="Cambria Math" w:cs="Times New Roman" w:hAnsi="Cambria Math"/>
                <w:szCs w:val="24"/>
              </w:rPr>
              <m:t>2</m:t>
            </m:r>
          </m:sub>
        </m:sSub>
      </m:oMath>
      <w:r>
        <w:rPr>
          <w:rFonts w:cs="Times New Roman" w:eastAsia="宋体"/>
          <w:iCs/>
          <w:szCs w:val="24"/>
        </w:rPr>
        <w:t>,</w:t>
      </w:r>
      <w:r>
        <w:rPr>
          <w:rFonts w:ascii="Cambria Math" w:cs="Times New Roman" w:hAnsi="Cambria Math"/>
          <w:iCs/>
          <w:szCs w:val="24"/>
        </w:rPr>
        <w:t xml:space="preserve"> </w:t>
      </w:r>
      <m:oMath>
        <m:sSub>
          <m:sSubPr>
            <m:ctrlPr>
              <w:rPr>
                <w:rFonts w:ascii="Cambria Math" w:cs="Times New Roman" w:hAnsi="Cambria Math"/>
                <w:iCs/>
                <w:szCs w:val="24"/>
              </w:rPr>
            </m:ctrlPr>
          </m:sSubPr>
          <m:e>
            <m:r>
              <m:rPr>
                <m:sty m:val="p"/>
              </m:rPr>
              <w:rPr>
                <w:rFonts w:ascii="Cambria Math" w:cs="Times New Roman" w:hAnsi="Cambria Math"/>
                <w:szCs w:val="24"/>
              </w:rPr>
              <m:t>β</m:t>
            </m:r>
          </m:e>
          <m:sub>
            <m:r>
              <m:rPr>
                <m:sty m:val="p"/>
              </m:rPr>
              <w:rPr>
                <w:rFonts w:ascii="Cambria Math" w:cs="Times New Roman" w:hAnsi="Cambria Math"/>
                <w:szCs w:val="24"/>
              </w:rPr>
              <m:t>3</m:t>
            </m:r>
          </m:sub>
        </m:sSub>
      </m:oMath>
      <w:r>
        <w:rPr>
          <w:rFonts w:cs="Times New Roman"/>
          <w:iCs/>
          <w:szCs w:val="24"/>
        </w:rPr>
        <w:tab/>
      </w:r>
      <w:r>
        <w:rPr>
          <w:rFonts w:cs="Times New Roman"/>
          <w:iCs/>
          <w:szCs w:val="24"/>
        </w:rPr>
        <w:t>: Koefisien regresi</w:t>
      </w:r>
    </w:p>
    <w:p>
      <w:pPr>
        <w:pStyle w:val="style0"/>
        <w:spacing w:after="0" w:lineRule="auto" w:line="480"/>
        <w:rPr>
          <w:rFonts w:cs="Times New Roman"/>
          <w:i/>
          <w:iCs/>
          <w:szCs w:val="24"/>
        </w:rPr>
      </w:pPr>
      <m:oMath>
        <m:r>
          <w:rPr>
            <w:rFonts w:ascii="Cambria Math" w:cs="Times New Roman" w:hAnsi="Cambria Math"/>
            <w:szCs w:val="24"/>
          </w:rPr>
          <m:t>e</m:t>
        </m:r>
      </m:oMath>
      <w:r>
        <w:rPr>
          <w:rFonts w:cs="Times New Roman" w:eastAsia="宋体"/>
          <w:szCs w:val="24"/>
        </w:rPr>
        <w:tab/>
      </w:r>
      <w:r>
        <w:rPr>
          <w:rFonts w:cs="Times New Roman" w:eastAsia="宋体"/>
          <w:szCs w:val="24"/>
        </w:rPr>
        <w:tab/>
      </w:r>
      <w:r>
        <w:rPr>
          <w:rFonts w:cs="Times New Roman" w:eastAsia="宋体"/>
          <w:szCs w:val="24"/>
        </w:rPr>
        <w:t xml:space="preserve">: </w:t>
      </w:r>
      <w:r>
        <w:rPr>
          <w:rFonts w:cs="Times New Roman" w:eastAsia="宋体"/>
          <w:i/>
          <w:iCs/>
          <w:szCs w:val="24"/>
        </w:rPr>
        <w:t>Error Term</w:t>
      </w:r>
    </w:p>
    <w:bookmarkStart w:id="66" w:name="_Toc218854626"/>
    <w:p>
      <w:pPr>
        <w:pStyle w:val="style3"/>
        <w:rPr/>
      </w:pPr>
      <w:r>
        <w:t>3.</w:t>
      </w:r>
      <w:r>
        <w:t>5</w:t>
      </w:r>
      <w:r>
        <w:t>.</w:t>
      </w:r>
      <w:r>
        <w:t>4</w:t>
      </w:r>
      <w:r>
        <w:t xml:space="preserve">. </w:t>
      </w:r>
      <w:r>
        <w:tab/>
      </w:r>
      <w:r>
        <w:tab/>
      </w:r>
      <w:r>
        <w:tab/>
      </w:r>
      <w:r>
        <w:t>Uji Kelayakan Model</w:t>
      </w:r>
      <w:r>
        <w:t xml:space="preserve"> </w:t>
      </w:r>
      <w:r>
        <w:t>(Uji F)</w:t>
      </w:r>
      <w:bookmarkEnd w:id="66"/>
    </w:p>
    <w:p>
      <w:pPr>
        <w:pStyle w:val="style179"/>
        <w:tabs>
          <w:tab w:val="left" w:leader="none" w:pos="630"/>
          <w:tab w:val="left" w:leader="none" w:pos="900"/>
        </w:tabs>
        <w:spacing w:after="0" w:lineRule="auto" w:line="480"/>
        <w:ind w:left="0"/>
        <w:jc w:val="both"/>
        <w:rPr>
          <w:rFonts w:cs="Times New Roman"/>
          <w:iCs/>
          <w:szCs w:val="24"/>
        </w:rPr>
      </w:pPr>
      <w:r>
        <w:rPr>
          <w:rFonts w:cs="Times New Roman"/>
          <w:iCs/>
          <w:szCs w:val="24"/>
        </w:rPr>
        <w:tab/>
      </w:r>
      <w:r>
        <w:rPr>
          <w:rFonts w:cs="Times New Roman"/>
          <w:iCs/>
          <w:szCs w:val="24"/>
        </w:rPr>
        <w:tab/>
      </w:r>
      <w:r>
        <w:rPr>
          <w:rFonts w:cs="Times New Roman"/>
          <w:iCs/>
          <w:szCs w:val="24"/>
        </w:rPr>
        <w:t xml:space="preserve">Uji ini dilakukan untuk mengetahui </w:t>
      </w:r>
      <w:r>
        <w:rPr>
          <w:rFonts w:cs="Times New Roman"/>
          <w:iCs/>
          <w:szCs w:val="24"/>
        </w:rPr>
        <w:t>layak atau tidaknya model</w:t>
      </w:r>
      <w:r>
        <w:rPr>
          <w:rFonts w:cs="Times New Roman"/>
          <w:iCs/>
          <w:szCs w:val="24"/>
        </w:rPr>
        <w:t xml:space="preserve"> </w:t>
      </w:r>
      <w:r>
        <w:rPr>
          <w:rFonts w:cs="Times New Roman"/>
          <w:iCs/>
          <w:szCs w:val="24"/>
        </w:rPr>
        <w:t>regresi</w:t>
      </w:r>
      <w:r>
        <w:rPr>
          <w:rFonts w:cs="Times New Roman"/>
          <w:iCs/>
          <w:szCs w:val="24"/>
        </w:rPr>
        <w:t xml:space="preserve"> yang digunakan</w:t>
      </w:r>
      <w:r>
        <w:rPr>
          <w:rFonts w:cs="Times New Roman"/>
          <w:iCs/>
          <w:szCs w:val="24"/>
        </w:rPr>
        <w:t>. Pada uji f dilihat dari nilai signifikansi 5% atau 0,05. Model regresi layak, jika nilai signifikansi kurang dari 5% atau 0,05</w:t>
      </w:r>
      <w:r>
        <w:rPr>
          <w:rFonts w:cs="Times New Roman"/>
          <w:iCs/>
          <w:szCs w:val="24"/>
        </w:rPr>
        <w:t xml:space="preserve"> (</w:t>
      </w:r>
      <w:r>
        <w:rPr>
          <w:rFonts w:cs="Times New Roman"/>
          <w:iCs/>
          <w:szCs w:val="24"/>
        </w:rPr>
        <w:t>sig. &lt; 0,05</w:t>
      </w:r>
      <w:r>
        <w:rPr>
          <w:rFonts w:cs="Times New Roman"/>
          <w:iCs/>
          <w:szCs w:val="24"/>
        </w:rPr>
        <w:t>)</w:t>
      </w:r>
      <w:r>
        <w:rPr>
          <w:rFonts w:cs="Times New Roman"/>
          <w:iCs/>
          <w:szCs w:val="24"/>
        </w:rPr>
        <w:t xml:space="preserve"> </w:t>
      </w:r>
      <w:r>
        <w:rPr>
          <w:rFonts w:cs="Times New Roman" w:eastAsia="Times New Roman"/>
          <w:color w:val="000000"/>
          <w:szCs w:val="24"/>
        </w:rPr>
        <w:t>(Sahir, 2021)</w:t>
      </w:r>
      <w:r>
        <w:rPr>
          <w:rFonts w:cs="Times New Roman"/>
          <w:iCs/>
          <w:szCs w:val="24"/>
        </w:rPr>
        <w:t>.</w:t>
      </w:r>
      <w:r>
        <w:rPr>
          <w:rFonts w:cs="Times New Roman"/>
          <w:iCs/>
          <w:szCs w:val="24"/>
        </w:rPr>
        <w:t xml:space="preserve"> </w:t>
      </w:r>
    </w:p>
    <w:bookmarkStart w:id="67" w:name="_Toc218854627"/>
    <w:p>
      <w:pPr>
        <w:pStyle w:val="style3"/>
        <w:ind w:left="900" w:hanging="900"/>
        <w:rPr/>
      </w:pPr>
      <w:r>
        <w:t>3.</w:t>
      </w:r>
      <w:r>
        <w:t>5</w:t>
      </w:r>
      <w:r>
        <w:t>.</w:t>
      </w:r>
      <w:r>
        <w:t>4.</w:t>
      </w:r>
      <w:r>
        <w:t xml:space="preserve"> </w:t>
      </w:r>
      <w:r>
        <w:tab/>
      </w:r>
      <w:r>
        <w:tab/>
      </w:r>
      <w:r>
        <w:t xml:space="preserve">Koefisien Determinasi </w:t>
      </w:r>
      <w:r>
        <w:t>(</w:t>
      </w:r>
      <m:oMath>
        <m:sSup>
          <m:sSupPr>
            <m:ctrlPr>
              <w:rPr>
                <w:rFonts w:ascii="Cambria Math" w:eastAsia="Calibri" w:hAnsi="Cambria Math"/>
                <w:i/>
              </w:rPr>
            </m:ctrlPr>
          </m:sSupPr>
          <m:e>
            <m:r>
              <m:rPr>
                <m:sty m:val="b"/>
              </m:rPr>
              <w:rPr>
                <w:rFonts w:ascii="Cambria Math" w:hAnsi="Cambria Math"/>
              </w:rPr>
              <m:t>R</m:t>
            </m:r>
          </m:e>
          <m:sup>
            <m:r>
              <m:rPr>
                <m:sty m:val="bi"/>
              </m:rPr>
              <w:rPr>
                <w:rFonts w:ascii="Cambria Math" w:hAnsi="Cambria Math"/>
              </w:rPr>
              <m:t>2</m:t>
            </m:r>
          </m:sup>
        </m:sSup>
      </m:oMath>
      <w:r>
        <w:t>)</w:t>
      </w:r>
      <w:bookmarkEnd w:id="67"/>
    </w:p>
    <w:p>
      <w:pPr>
        <w:pStyle w:val="style179"/>
        <w:tabs>
          <w:tab w:val="left" w:leader="none" w:pos="900"/>
        </w:tabs>
        <w:spacing w:after="0" w:lineRule="auto" w:line="480"/>
        <w:ind w:left="0"/>
        <w:jc w:val="both"/>
        <w:rPr>
          <w:rFonts w:cs="Times New Roman"/>
          <w:iCs/>
          <w:szCs w:val="24"/>
        </w:rPr>
      </w:pPr>
      <w:r>
        <w:rPr>
          <w:rFonts w:cs="Times New Roman"/>
          <w:iCs/>
          <w:szCs w:val="24"/>
        </w:rPr>
        <w:tab/>
      </w:r>
      <w:r>
        <w:rPr>
          <w:rFonts w:cs="Times New Roman"/>
          <w:iCs/>
          <w:szCs w:val="24"/>
        </w:rPr>
        <w:t>Uji ini dilakukan untuk menentukan dan memprediksi besarnya pengaruh antar variabel</w:t>
      </w:r>
      <w:r>
        <w:rPr>
          <w:rFonts w:cs="Times New Roman"/>
          <w:iCs/>
          <w:szCs w:val="24"/>
        </w:rPr>
        <w:t xml:space="preserve"> dengan n</w:t>
      </w:r>
      <w:r>
        <w:rPr>
          <w:rFonts w:cs="Times New Roman"/>
          <w:iCs/>
          <w:szCs w:val="24"/>
        </w:rPr>
        <w:t>ilai koefisien antara 0 dan 1.</w:t>
      </w:r>
      <w:r>
        <w:rPr>
          <w:rFonts w:cs="Times New Roman"/>
          <w:iCs/>
          <w:szCs w:val="24"/>
        </w:rPr>
        <w:t xml:space="preserve"> </w:t>
      </w:r>
      <w:r>
        <w:rPr>
          <w:rFonts w:cs="Times New Roman"/>
          <w:iCs/>
          <w:szCs w:val="24"/>
        </w:rPr>
        <w:t>S</w:t>
      </w:r>
      <w:r>
        <w:rPr>
          <w:rFonts w:cs="Times New Roman"/>
          <w:iCs/>
          <w:szCs w:val="24"/>
        </w:rPr>
        <w:t>emakin besar pengaruh v</w:t>
      </w:r>
      <w:r>
        <w:rPr>
          <w:rFonts w:cs="Times New Roman"/>
          <w:iCs/>
          <w:szCs w:val="24"/>
        </w:rPr>
        <w:t>ariabel independen</w:t>
      </w:r>
      <w:r>
        <w:rPr>
          <w:rFonts w:cs="Times New Roman"/>
          <w:iCs/>
          <w:szCs w:val="24"/>
        </w:rPr>
        <w:t xml:space="preserve"> terhadap</w:t>
      </w:r>
      <w:r>
        <w:rPr>
          <w:rFonts w:cs="Times New Roman"/>
          <w:iCs/>
          <w:szCs w:val="24"/>
        </w:rPr>
        <w:t xml:space="preserve"> variabel depende</w:t>
      </w:r>
      <w:r>
        <w:rPr>
          <w:rFonts w:cs="Times New Roman"/>
          <w:iCs/>
          <w:szCs w:val="24"/>
        </w:rPr>
        <w:t xml:space="preserve">n, jika nilai koefisien determinasi </w:t>
      </w:r>
      <w:r>
        <w:rPr>
          <w:rFonts w:cs="Times New Roman"/>
          <w:iCs/>
          <w:szCs w:val="24"/>
        </w:rPr>
        <w:t>mendekati 1</w:t>
      </w:r>
      <w:r>
        <w:rPr>
          <w:rFonts w:cs="Times New Roman"/>
          <w:iCs/>
          <w:szCs w:val="24"/>
        </w:rPr>
        <w:t>. Semakin kecil pengaruh v</w:t>
      </w:r>
      <w:r>
        <w:rPr>
          <w:rFonts w:cs="Times New Roman"/>
          <w:iCs/>
          <w:szCs w:val="24"/>
        </w:rPr>
        <w:t>ariabel independen</w:t>
      </w:r>
      <w:r>
        <w:rPr>
          <w:rFonts w:cs="Times New Roman"/>
          <w:iCs/>
          <w:szCs w:val="24"/>
        </w:rPr>
        <w:t xml:space="preserve"> terhadap</w:t>
      </w:r>
      <w:r>
        <w:rPr>
          <w:rFonts w:cs="Times New Roman"/>
          <w:iCs/>
          <w:szCs w:val="24"/>
        </w:rPr>
        <w:t xml:space="preserve"> variabel depende</w:t>
      </w:r>
      <w:r>
        <w:rPr>
          <w:rFonts w:cs="Times New Roman"/>
          <w:iCs/>
          <w:szCs w:val="24"/>
        </w:rPr>
        <w:t xml:space="preserve">n, jika nilai koefisien determinasi </w:t>
      </w:r>
      <w:r>
        <w:rPr>
          <w:rFonts w:cs="Times New Roman"/>
          <w:iCs/>
          <w:szCs w:val="24"/>
        </w:rPr>
        <w:t xml:space="preserve">mendekati </w:t>
      </w:r>
      <w:r>
        <w:rPr>
          <w:rFonts w:cs="Times New Roman"/>
          <w:iCs/>
          <w:szCs w:val="24"/>
        </w:rPr>
        <w:t xml:space="preserve">0 </w:t>
      </w:r>
      <w:r>
        <w:rPr>
          <w:rFonts w:cs="Times New Roman" w:eastAsia="Times New Roman"/>
          <w:color w:val="000000"/>
          <w:szCs w:val="24"/>
        </w:rPr>
        <w:t>(Sahir, 2021)</w:t>
      </w:r>
      <w:r>
        <w:rPr>
          <w:rFonts w:cs="Times New Roman"/>
          <w:iCs/>
          <w:szCs w:val="24"/>
        </w:rPr>
        <w:t>.</w:t>
      </w:r>
    </w:p>
    <w:bookmarkStart w:id="68" w:name="_Toc218854628"/>
    <w:p>
      <w:pPr>
        <w:pStyle w:val="style3"/>
        <w:tabs>
          <w:tab w:val="clear" w:pos="900"/>
        </w:tabs>
        <w:ind w:left="900" w:hanging="900"/>
        <w:rPr/>
      </w:pPr>
      <w:r>
        <w:t>3.</w:t>
      </w:r>
      <w:r>
        <w:t>5</w:t>
      </w:r>
      <w:r>
        <w:t>.</w:t>
      </w:r>
      <w:r>
        <w:t>4.</w:t>
      </w:r>
      <w:r>
        <w:tab/>
      </w:r>
      <w:r>
        <w:tab/>
      </w:r>
      <w:r>
        <w:t xml:space="preserve">Uji </w:t>
      </w:r>
      <w:r>
        <w:t xml:space="preserve">Hipotesis (Uji </w:t>
      </w:r>
      <w:r>
        <w:t>t</w:t>
      </w:r>
      <w:r>
        <w:t>)</w:t>
      </w:r>
      <w:bookmarkEnd w:id="68"/>
    </w:p>
    <w:p>
      <w:pPr>
        <w:pStyle w:val="style0"/>
        <w:tabs>
          <w:tab w:val="left" w:leader="none" w:pos="900"/>
        </w:tabs>
        <w:spacing w:after="0" w:lineRule="auto" w:line="480"/>
        <w:jc w:val="both"/>
        <w:rPr>
          <w:rFonts w:cs="Times New Roman"/>
          <w:iCs/>
          <w:szCs w:val="24"/>
        </w:rPr>
      </w:pPr>
      <w:r>
        <w:rPr>
          <w:rFonts w:cs="Times New Roman"/>
          <w:iCs/>
          <w:szCs w:val="24"/>
        </w:rPr>
        <w:tab/>
      </w:r>
      <w:r>
        <w:rPr>
          <w:rFonts w:cs="Times New Roman"/>
          <w:iCs/>
          <w:szCs w:val="24"/>
        </w:rPr>
        <w:t xml:space="preserve">Uji ini dilakukan untuk mengetahui pengaruh antar variabel secara </w:t>
      </w:r>
      <w:r>
        <w:rPr>
          <w:rFonts w:cs="Times New Roman"/>
          <w:iCs/>
          <w:szCs w:val="24"/>
        </w:rPr>
        <w:t>parsial</w:t>
      </w:r>
      <w:r>
        <w:rPr>
          <w:rFonts w:cs="Times New Roman"/>
          <w:iCs/>
          <w:szCs w:val="24"/>
        </w:rPr>
        <w:t xml:space="preserve"> </w:t>
      </w:r>
      <w:r>
        <w:rPr>
          <w:rFonts w:cs="Times New Roman"/>
          <w:iCs/>
          <w:szCs w:val="24"/>
        </w:rPr>
        <w:t>(sendiri)</w:t>
      </w:r>
      <w:r>
        <w:rPr>
          <w:rFonts w:cs="Times New Roman"/>
          <w:iCs/>
          <w:szCs w:val="24"/>
        </w:rPr>
        <w:t xml:space="preserve">. </w:t>
      </w:r>
      <w:r>
        <w:rPr>
          <w:rFonts w:cs="Times New Roman"/>
          <w:iCs/>
          <w:szCs w:val="24"/>
        </w:rPr>
        <w:t>U</w:t>
      </w:r>
      <w:r>
        <w:rPr>
          <w:rFonts w:cs="Times New Roman"/>
          <w:iCs/>
          <w:szCs w:val="24"/>
        </w:rPr>
        <w:t xml:space="preserve">ji t </w:t>
      </w:r>
      <w:r>
        <w:rPr>
          <w:rFonts w:cs="Times New Roman"/>
          <w:iCs/>
          <w:szCs w:val="24"/>
        </w:rPr>
        <w:t xml:space="preserve">dapat dilihat dengan tingkat </w:t>
      </w:r>
      <w:r>
        <w:rPr>
          <w:rFonts w:cs="Times New Roman"/>
          <w:iCs/>
          <w:szCs w:val="24"/>
        </w:rPr>
        <w:t>nilai</w:t>
      </w:r>
      <w:r>
        <w:rPr>
          <w:rFonts w:cs="Times New Roman"/>
          <w:iCs/>
          <w:szCs w:val="24"/>
        </w:rPr>
        <w:t xml:space="preserve"> </w:t>
      </w:r>
      <w:r>
        <w:rPr>
          <w:rFonts w:cs="Times New Roman"/>
          <w:iCs/>
          <w:szCs w:val="24"/>
        </w:rPr>
        <w:t>signifikansi</w:t>
      </w:r>
      <w:r>
        <w:rPr>
          <w:rFonts w:cs="Times New Roman"/>
          <w:iCs/>
          <w:szCs w:val="24"/>
        </w:rPr>
        <w:t xml:space="preserve"> 5% atau 0,05. </w:t>
      </w:r>
      <w:r>
        <w:rPr>
          <w:rFonts w:cs="Times New Roman"/>
          <w:iCs/>
          <w:szCs w:val="24"/>
        </w:rPr>
        <w:t>H</w:t>
      </w:r>
      <w:r>
        <w:rPr>
          <w:rFonts w:cs="Times New Roman"/>
          <w:iCs/>
          <w:szCs w:val="24"/>
        </w:rPr>
        <w:t xml:space="preserve">ipotesis </w:t>
      </w:r>
      <w:r>
        <w:rPr>
          <w:rFonts w:cs="Times New Roman"/>
          <w:iCs/>
          <w:szCs w:val="24"/>
        </w:rPr>
        <w:t>be</w:t>
      </w:r>
      <w:r>
        <w:rPr>
          <w:rFonts w:cs="Times New Roman"/>
          <w:iCs/>
          <w:szCs w:val="24"/>
        </w:rPr>
        <w:t>r</w:t>
      </w:r>
      <w:r>
        <w:rPr>
          <w:rFonts w:cs="Times New Roman"/>
          <w:iCs/>
          <w:szCs w:val="24"/>
        </w:rPr>
        <w:t xml:space="preserve">pengaruh (signifikan) atau </w:t>
      </w:r>
      <w:r>
        <w:rPr>
          <w:rFonts w:cs="Times New Roman"/>
          <w:iCs/>
          <w:szCs w:val="24"/>
        </w:rPr>
        <w:t>diterima</w:t>
      </w:r>
      <w:r>
        <w:rPr>
          <w:rFonts w:cs="Times New Roman"/>
          <w:iCs/>
          <w:szCs w:val="24"/>
        </w:rPr>
        <w:t>,</w:t>
      </w:r>
      <w:r>
        <w:rPr>
          <w:rFonts w:cs="Times New Roman"/>
          <w:iCs/>
          <w:szCs w:val="24"/>
        </w:rPr>
        <w:t xml:space="preserve"> jika nilai signifikansi kurang dari 0,05</w:t>
      </w:r>
      <w:r>
        <w:rPr>
          <w:rFonts w:cs="Times New Roman"/>
          <w:iCs/>
          <w:szCs w:val="24"/>
        </w:rPr>
        <w:t xml:space="preserve"> </w:t>
      </w:r>
      <w:r>
        <w:rPr>
          <w:rFonts w:cs="Times New Roman"/>
          <w:iCs/>
          <w:szCs w:val="24"/>
        </w:rPr>
        <w:t xml:space="preserve">(sig. &lt; 0,05) </w:t>
      </w:r>
      <w:r>
        <w:rPr>
          <w:rFonts w:cs="Times New Roman"/>
          <w:iCs/>
          <w:szCs w:val="24"/>
        </w:rPr>
        <w:t>dan koefisien regresinya bernilai positif</w:t>
      </w:r>
      <w:r>
        <w:rPr>
          <w:rFonts w:cs="Times New Roman"/>
          <w:iCs/>
          <w:szCs w:val="24"/>
        </w:rPr>
        <w:t>.</w:t>
      </w:r>
      <w:r>
        <w:rPr>
          <w:rFonts w:cs="Times New Roman"/>
          <w:iCs/>
          <w:szCs w:val="24"/>
        </w:rPr>
        <w:t xml:space="preserve"> Hipotesis tidak berpengaruh (tidak signifikan) atau ditolak, jika nilai signifikansi </w:t>
      </w:r>
      <w:r>
        <w:rPr>
          <w:rFonts w:cs="Times New Roman"/>
          <w:iCs/>
          <w:szCs w:val="24"/>
        </w:rPr>
        <w:t>lebih</w:t>
      </w:r>
      <w:r>
        <w:rPr>
          <w:rFonts w:cs="Times New Roman"/>
          <w:iCs/>
          <w:szCs w:val="24"/>
        </w:rPr>
        <w:t xml:space="preserve"> dari 0,05</w:t>
      </w:r>
      <w:r>
        <w:rPr>
          <w:rFonts w:cs="Times New Roman"/>
          <w:iCs/>
          <w:szCs w:val="24"/>
        </w:rPr>
        <w:t xml:space="preserve"> (sig. &gt; 0,05)</w:t>
      </w:r>
      <w:r>
        <w:rPr>
          <w:rFonts w:cs="Times New Roman"/>
          <w:iCs/>
          <w:szCs w:val="24"/>
        </w:rPr>
        <w:t xml:space="preserve"> </w:t>
      </w:r>
      <w:r>
        <w:rPr>
          <w:rFonts w:cs="Times New Roman" w:eastAsia="Times New Roman"/>
          <w:color w:val="000000"/>
          <w:szCs w:val="24"/>
        </w:rPr>
        <w:t>(Sahir, 2021)</w:t>
      </w:r>
      <w:r>
        <w:rPr>
          <w:rFonts w:cs="Times New Roman"/>
          <w:iCs/>
          <w:szCs w:val="24"/>
        </w:rPr>
        <w:t>.</w:t>
      </w:r>
    </w:p>
    <w:p>
      <w:pPr>
        <w:pStyle w:val="style0"/>
        <w:rPr>
          <w:rFonts w:cs="宋体" w:eastAsia="宋体"/>
          <w:b/>
          <w:szCs w:val="40"/>
        </w:rPr>
      </w:pPr>
      <w:r>
        <w:br w:type="page"/>
      </w:r>
    </w:p>
    <w:bookmarkStart w:id="69" w:name="_Toc218854629"/>
    <w:p>
      <w:pPr>
        <w:pStyle w:val="style1"/>
        <w:spacing w:before="0" w:lineRule="auto" w:line="480"/>
        <w:rPr/>
      </w:pPr>
      <w:r>
        <w:t>BAB IV</w:t>
      </w:r>
      <w:bookmarkEnd w:id="69"/>
      <w:r>
        <w:t xml:space="preserve"> </w:t>
      </w:r>
    </w:p>
    <w:bookmarkStart w:id="70" w:name="_Toc218854630"/>
    <w:p>
      <w:pPr>
        <w:pStyle w:val="style1"/>
        <w:spacing w:before="0" w:lineRule="auto" w:line="480"/>
        <w:rPr/>
      </w:pPr>
      <w:r>
        <w:t>HASIL DAN PEMBAHASAN</w:t>
      </w:r>
      <w:bookmarkEnd w:id="70"/>
    </w:p>
    <w:bookmarkStart w:id="71" w:name="_Toc218854631"/>
    <w:p>
      <w:pPr>
        <w:pStyle w:val="style3"/>
        <w:rPr/>
      </w:pPr>
      <w:r>
        <w:t>4.1.</w:t>
      </w:r>
      <w:r>
        <w:t xml:space="preserve"> </w:t>
      </w:r>
      <w:r>
        <w:tab/>
      </w:r>
      <w:r>
        <w:tab/>
      </w:r>
      <w:r>
        <w:t>Deskripsi Data Penelitian</w:t>
      </w:r>
      <w:bookmarkEnd w:id="71"/>
    </w:p>
    <w:p>
      <w:pPr>
        <w:pStyle w:val="style0"/>
        <w:tabs>
          <w:tab w:val="left" w:leader="none" w:pos="810"/>
        </w:tabs>
        <w:spacing w:after="0" w:lineRule="auto" w:line="480"/>
        <w:jc w:val="both"/>
        <w:rPr/>
      </w:pPr>
      <w:r>
        <w:tab/>
      </w:r>
      <w:r>
        <w:t>P</w:t>
      </w:r>
      <w:r>
        <w:t>enelitian ini</w:t>
      </w:r>
      <w:r>
        <w:t xml:space="preserve"> menganalisis pengaruh </w:t>
      </w:r>
      <w:r>
        <w:rPr>
          <w:i/>
          <w:iCs/>
        </w:rPr>
        <w:t xml:space="preserve">enterprise risk management, managerial ownership, dan institutional ownership </w:t>
      </w:r>
      <w:r>
        <w:t xml:space="preserve">terhadap </w:t>
      </w:r>
      <w:r>
        <w:rPr>
          <w:i/>
          <w:iCs/>
        </w:rPr>
        <w:t>firm value</w:t>
      </w:r>
      <w:r>
        <w:rPr>
          <w:i/>
          <w:iCs/>
        </w:rPr>
        <w:t xml:space="preserve">. </w:t>
      </w:r>
      <w:r>
        <w:t>Objek yang digunakan yaitu perusahaan manufaktur yang terdaftar di Bursa Efek Indonesia pada tahun 2020-2023</w:t>
      </w:r>
      <w:r>
        <w:t>. Populasi ya</w:t>
      </w:r>
      <w:r>
        <w:t>n</w:t>
      </w:r>
      <w:r>
        <w:t xml:space="preserve">g digunakan berjumlah </w:t>
      </w:r>
      <w:r>
        <w:rPr>
          <w:rFonts w:cs="Times New Roman"/>
        </w:rPr>
        <w:t>176</w:t>
      </w:r>
      <w:r>
        <w:rPr>
          <w:rFonts w:cs="Times New Roman"/>
        </w:rPr>
        <w:t xml:space="preserve"> perusahaan dan menghasilkan sampel sebanyak </w:t>
      </w:r>
      <w:r>
        <w:rPr>
          <w:rFonts w:cs="Times New Roman"/>
        </w:rPr>
        <w:t xml:space="preserve">58 perusahaan atau </w:t>
      </w:r>
      <w:r>
        <w:rPr>
          <w:rFonts w:cs="Times New Roman"/>
        </w:rPr>
        <w:t xml:space="preserve">232 data dalam 4 tahun penelitian yaitu pada tahun 2020-2023 dari hasil eliminasi </w:t>
      </w:r>
      <w:r>
        <w:rPr>
          <w:rFonts w:cs="Times New Roman"/>
          <w:i/>
          <w:iCs/>
        </w:rPr>
        <w:t>purposive sampling</w:t>
      </w:r>
      <w:r>
        <w:t>.</w:t>
      </w:r>
    </w:p>
    <w:bookmarkStart w:id="72" w:name="_Toc218854632"/>
    <w:p>
      <w:pPr>
        <w:pStyle w:val="style2"/>
        <w:tabs>
          <w:tab w:val="left" w:leader="none" w:pos="810"/>
        </w:tabs>
        <w:spacing w:before="0" w:lineRule="auto" w:line="480"/>
        <w:rPr/>
      </w:pPr>
      <w:r>
        <w:t xml:space="preserve">4.2.  </w:t>
      </w:r>
      <w:r>
        <w:tab/>
      </w:r>
      <w:r>
        <w:t>Pengujian dan Hasil Analisis Data</w:t>
      </w:r>
      <w:bookmarkEnd w:id="72"/>
    </w:p>
    <w:bookmarkStart w:id="73" w:name="_Toc218854633"/>
    <w:p>
      <w:pPr>
        <w:pStyle w:val="style3"/>
        <w:rPr/>
      </w:pPr>
      <w:r>
        <w:t>4.2.1.</w:t>
      </w:r>
      <w:r>
        <w:tab/>
      </w:r>
      <w:r>
        <w:tab/>
      </w:r>
      <w:r>
        <w:t>Analisis Statistik Deskriptif</w:t>
      </w:r>
      <w:bookmarkEnd w:id="73"/>
    </w:p>
    <w:p>
      <w:pPr>
        <w:pStyle w:val="style0"/>
        <w:tabs>
          <w:tab w:val="left" w:leader="none" w:pos="810"/>
          <w:tab w:val="left" w:leader="none" w:pos="900"/>
        </w:tabs>
        <w:spacing w:after="0" w:lineRule="auto" w:line="480"/>
        <w:jc w:val="both"/>
        <w:rPr/>
      </w:pPr>
      <w:r>
        <w:tab/>
      </w:r>
      <w:r>
        <w:t xml:space="preserve">Analisis statistik deskriptif digunakan untuk memberikan gambaran terkait karakteristik data dari variabel-variabel penelitian terhadap objek yang diamati melalui nilai rata-rata (mean), maksimum, minimum, dan standar deviasi. Hasil pengujian analisis statistik deskriptif dapat dilihat pada </w:t>
      </w:r>
      <w:r>
        <w:rPr>
          <w:szCs w:val="24"/>
        </w:rPr>
        <w:t>tabel 4.</w:t>
      </w:r>
      <w:r>
        <w:rPr>
          <w:szCs w:val="24"/>
        </w:rPr>
        <w:t>1</w:t>
      </w:r>
      <w:r>
        <w:t>:</w:t>
      </w:r>
    </w:p>
    <w:bookmarkStart w:id="74" w:name="_Toc215602302"/>
    <w:bookmarkStart w:id="75" w:name="_Toc216129258"/>
    <w:bookmarkStart w:id="76" w:name="_Toc216804038"/>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3</w:t>
      </w:r>
      <w:r>
        <w:rPr>
          <w:b w:val="false"/>
          <w:bCs/>
          <w:i/>
          <w:iCs w:val="false"/>
          <w:color w:val="ffffff"/>
          <w:sz w:val="22"/>
          <w:szCs w:val="22"/>
        </w:rPr>
        <w:fldChar w:fldCharType="end"/>
      </w:r>
      <w:r>
        <w:rPr>
          <w:bCs/>
          <w:iCs w:val="false"/>
          <w:color w:val="auto"/>
          <w:sz w:val="22"/>
          <w:szCs w:val="22"/>
        </w:rPr>
        <w:t xml:space="preserve">4. </w:t>
      </w:r>
      <w:r>
        <w:rPr>
          <w:bCs/>
          <w:iCs w:val="false"/>
          <w:color w:val="auto"/>
          <w:sz w:val="22"/>
          <w:szCs w:val="22"/>
        </w:rPr>
        <w:t>1</w:t>
      </w:r>
      <w:r>
        <w:rPr>
          <w:bCs/>
          <w:iCs w:val="false"/>
          <w:color w:val="auto"/>
          <w:sz w:val="22"/>
          <w:szCs w:val="22"/>
        </w:rPr>
        <w:t>. Hasil Pengujian Analisis Statistik Deskriptif</w:t>
      </w:r>
      <w:bookmarkEnd w:id="74"/>
      <w:bookmarkEnd w:id="75"/>
      <w:bookmarkEnd w:id="76"/>
    </w:p>
    <w:tbl>
      <w:tblPr>
        <w:tblStyle w:val="style154"/>
        <w:tblW w:w="8005" w:type="dxa"/>
        <w:tblLook w:val="04A0" w:firstRow="1" w:lastRow="0" w:firstColumn="1" w:lastColumn="0" w:noHBand="0" w:noVBand="1"/>
      </w:tblPr>
      <w:tblGrid>
        <w:gridCol w:w="1705"/>
        <w:gridCol w:w="900"/>
        <w:gridCol w:w="1170"/>
        <w:gridCol w:w="1350"/>
        <w:gridCol w:w="1260"/>
        <w:gridCol w:w="1620"/>
      </w:tblGrid>
      <w:tr>
        <w:trPr>
          <w:trHeight w:val="360" w:hRule="atLeast"/>
        </w:trPr>
        <w:tc>
          <w:tcPr>
            <w:tcW w:w="8005" w:type="dxa"/>
            <w:gridSpan w:val="6"/>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Descriptive Statistics</w:t>
            </w:r>
          </w:p>
        </w:tc>
      </w:tr>
      <w:tr>
        <w:tblPrEx/>
        <w:trPr>
          <w:trHeight w:val="269" w:hRule="atLeast"/>
        </w:trPr>
        <w:tc>
          <w:tcPr>
            <w:tcW w:w="17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Variabel</w:t>
            </w:r>
          </w:p>
        </w:tc>
        <w:tc>
          <w:tcPr>
            <w:tcW w:w="90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N</w:t>
            </w:r>
          </w:p>
        </w:tc>
        <w:tc>
          <w:tcPr>
            <w:tcW w:w="117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Minimum</w:t>
            </w:r>
          </w:p>
        </w:tc>
        <w:tc>
          <w:tcPr>
            <w:tcW w:w="135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Maximum</w:t>
            </w:r>
          </w:p>
        </w:tc>
        <w:tc>
          <w:tcPr>
            <w:tcW w:w="126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Mean</w:t>
            </w:r>
          </w:p>
        </w:tc>
        <w:tc>
          <w:tcPr>
            <w:tcW w:w="162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Std. Deviation</w:t>
            </w:r>
          </w:p>
        </w:tc>
      </w:tr>
      <w:tr>
        <w:tblPrEx/>
        <w:trPr>
          <w:trHeight w:val="310" w:hRule="atLeast"/>
        </w:trPr>
        <w:tc>
          <w:tcPr>
            <w:tcW w:w="17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xml:space="preserve">Firm Value </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0.341</w:t>
            </w:r>
          </w:p>
        </w:tc>
        <w:tc>
          <w:tcPr>
            <w:tcW w:w="135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14.415</w:t>
            </w:r>
          </w:p>
        </w:tc>
        <w:tc>
          <w:tcPr>
            <w:tcW w:w="126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1.524</w:t>
            </w:r>
          </w:p>
        </w:tc>
        <w:tc>
          <w:tcPr>
            <w:tcW w:w="162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1.587</w:t>
            </w:r>
          </w:p>
        </w:tc>
      </w:tr>
      <w:tr>
        <w:tblPrEx/>
        <w:trPr>
          <w:trHeight w:val="566" w:hRule="atLeast"/>
        </w:trPr>
        <w:tc>
          <w:tcPr>
            <w:tcW w:w="17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xml:space="preserve">Enterprise Risk Management </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0.250</w:t>
            </w:r>
          </w:p>
        </w:tc>
        <w:tc>
          <w:tcPr>
            <w:tcW w:w="135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1.000</w:t>
            </w:r>
          </w:p>
        </w:tc>
        <w:tc>
          <w:tcPr>
            <w:tcW w:w="126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0.594</w:t>
            </w:r>
          </w:p>
        </w:tc>
        <w:tc>
          <w:tcPr>
            <w:tcW w:w="162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0.165</w:t>
            </w:r>
          </w:p>
        </w:tc>
      </w:tr>
      <w:tr>
        <w:tblPrEx/>
        <w:trPr>
          <w:trHeight w:val="530" w:hRule="atLeast"/>
        </w:trPr>
        <w:tc>
          <w:tcPr>
            <w:tcW w:w="17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xml:space="preserve">Managerial Ownership </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c>
          <w:tcPr>
            <w:tcW w:w="135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0.649</w:t>
            </w:r>
          </w:p>
        </w:tc>
        <w:tc>
          <w:tcPr>
            <w:tcW w:w="126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0.102</w:t>
            </w:r>
          </w:p>
        </w:tc>
        <w:tc>
          <w:tcPr>
            <w:tcW w:w="162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0.145</w:t>
            </w:r>
          </w:p>
        </w:tc>
      </w:tr>
      <w:tr>
        <w:tblPrEx/>
        <w:trPr>
          <w:trHeight w:val="530" w:hRule="atLeast"/>
        </w:trPr>
        <w:tc>
          <w:tcPr>
            <w:tcW w:w="17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xml:space="preserve">Institutional Ownership </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c>
          <w:tcPr>
            <w:tcW w:w="135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1.563</w:t>
            </w:r>
          </w:p>
        </w:tc>
        <w:tc>
          <w:tcPr>
            <w:tcW w:w="126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0.653</w:t>
            </w:r>
          </w:p>
        </w:tc>
        <w:tc>
          <w:tcPr>
            <w:tcW w:w="162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0.277</w:t>
            </w:r>
          </w:p>
        </w:tc>
      </w:tr>
      <w:tr>
        <w:tblPrEx/>
        <w:trPr>
          <w:trHeight w:val="310" w:hRule="atLeast"/>
        </w:trPr>
        <w:tc>
          <w:tcPr>
            <w:tcW w:w="17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Valid N (listwise)</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c>
          <w:tcPr>
            <w:tcW w:w="1170" w:type="dxa"/>
            <w:tcBorders/>
            <w:hideMark/>
          </w:tcPr>
          <w:p>
            <w:pPr>
              <w:pStyle w:val="style0"/>
              <w:jc w:val="center"/>
              <w:rPr>
                <w:rFonts w:cs="Times New Roman" w:eastAsia="Times New Roman"/>
                <w:kern w:val="0"/>
                <w:sz w:val="20"/>
                <w:szCs w:val="20"/>
                <w14:ligatures xmlns:w14="http://schemas.microsoft.com/office/word/2010/wordml" w14:val="none"/>
              </w:rPr>
            </w:pPr>
          </w:p>
        </w:tc>
        <w:tc>
          <w:tcPr>
            <w:tcW w:w="1350" w:type="dxa"/>
            <w:tcBorders/>
            <w:hideMark/>
          </w:tcPr>
          <w:p>
            <w:pPr>
              <w:pStyle w:val="style0"/>
              <w:jc w:val="center"/>
              <w:rPr>
                <w:rFonts w:cs="Times New Roman" w:eastAsia="Times New Roman"/>
                <w:kern w:val="0"/>
                <w:sz w:val="20"/>
                <w:szCs w:val="20"/>
                <w14:ligatures xmlns:w14="http://schemas.microsoft.com/office/word/2010/wordml" w14:val="none"/>
              </w:rPr>
            </w:pPr>
          </w:p>
        </w:tc>
        <w:tc>
          <w:tcPr>
            <w:tcW w:w="1260" w:type="dxa"/>
            <w:tcBorders/>
            <w:hideMark/>
          </w:tcPr>
          <w:p>
            <w:pPr>
              <w:pStyle w:val="style0"/>
              <w:jc w:val="center"/>
              <w:rPr>
                <w:rFonts w:cs="Times New Roman" w:eastAsia="Times New Roman"/>
                <w:kern w:val="0"/>
                <w:sz w:val="20"/>
                <w:szCs w:val="20"/>
                <w14:ligatures xmlns:w14="http://schemas.microsoft.com/office/word/2010/wordml" w14:val="none"/>
              </w:rPr>
            </w:pPr>
          </w:p>
        </w:tc>
        <w:tc>
          <w:tcPr>
            <w:tcW w:w="1620" w:type="dxa"/>
            <w:tcBorders/>
            <w:hideMark/>
          </w:tcPr>
          <w:p>
            <w:pPr>
              <w:pStyle w:val="style0"/>
              <w:jc w:val="center"/>
              <w:rPr>
                <w:rFonts w:cs="Times New Roman" w:eastAsia="Times New Roman"/>
                <w:kern w:val="0"/>
                <w:sz w:val="20"/>
                <w:szCs w:val="20"/>
                <w14:ligatures xmlns:w14="http://schemas.microsoft.com/office/word/2010/wordml" w14:val="none"/>
              </w:rPr>
            </w:pPr>
          </w:p>
        </w:tc>
      </w:tr>
    </w:tbl>
    <w:p>
      <w:pPr>
        <w:pStyle w:val="style0"/>
        <w:spacing w:lineRule="auto" w:line="240"/>
        <w:rPr>
          <w:i/>
          <w:iCs/>
          <w:sz w:val="20"/>
          <w:szCs w:val="20"/>
        </w:rPr>
      </w:pPr>
      <w:r>
        <w:rPr>
          <w:i/>
          <w:iCs/>
          <w:sz w:val="20"/>
          <w:szCs w:val="20"/>
        </w:rPr>
        <w:t>Sumber : Output SPSS 30, 2025</w:t>
      </w:r>
    </w:p>
    <w:p>
      <w:pPr>
        <w:pStyle w:val="style0"/>
        <w:tabs>
          <w:tab w:val="left" w:leader="none" w:pos="810"/>
        </w:tabs>
        <w:spacing w:after="0" w:lineRule="auto" w:line="480"/>
        <w:jc w:val="both"/>
        <w:rPr>
          <w:szCs w:val="24"/>
        </w:rPr>
      </w:pPr>
      <w:r>
        <w:rPr>
          <w:szCs w:val="24"/>
        </w:rPr>
        <w:tab/>
      </w:r>
      <w:r>
        <w:rPr>
          <w:szCs w:val="24"/>
        </w:rPr>
        <w:t>Berdasarkan tabel 4.</w:t>
      </w:r>
      <w:r>
        <w:rPr>
          <w:szCs w:val="24"/>
        </w:rPr>
        <w:t>1</w:t>
      </w:r>
      <w:r>
        <w:rPr>
          <w:szCs w:val="24"/>
        </w:rPr>
        <w:t>. diatas bahwa data yang diuji sebanyak 232 sampel</w:t>
      </w:r>
      <w:r>
        <w:rPr>
          <w:szCs w:val="24"/>
        </w:rPr>
        <w:t xml:space="preserve"> sehingga dapat dijelaskan sebagai berikut:</w:t>
      </w:r>
    </w:p>
    <w:p>
      <w:pPr>
        <w:pStyle w:val="style0"/>
        <w:spacing w:after="0" w:lineRule="auto" w:line="480"/>
        <w:jc w:val="both"/>
        <w:rPr>
          <w:szCs w:val="24"/>
        </w:rPr>
      </w:pPr>
      <w:r>
        <w:rPr>
          <w:szCs w:val="24"/>
        </w:rPr>
        <w:t>1.</w:t>
      </w:r>
      <w:r>
        <w:rPr>
          <w:szCs w:val="24"/>
        </w:rPr>
        <w:t xml:space="preserve"> </w:t>
      </w:r>
      <w:r>
        <w:rPr>
          <w:i/>
          <w:iCs/>
          <w:szCs w:val="24"/>
        </w:rPr>
        <w:t xml:space="preserve">Firm Value </w:t>
      </w:r>
      <w:r>
        <w:rPr>
          <w:szCs w:val="24"/>
        </w:rPr>
        <w:t>(Y)</w:t>
      </w:r>
    </w:p>
    <w:p>
      <w:pPr>
        <w:pStyle w:val="style0"/>
        <w:tabs>
          <w:tab w:val="left" w:leader="none" w:pos="810"/>
        </w:tabs>
        <w:spacing w:after="0" w:lineRule="auto" w:line="480"/>
        <w:jc w:val="both"/>
        <w:rPr>
          <w:rFonts w:cs="Times New Roman" w:eastAsia="Times New Roman"/>
          <w:kern w:val="0"/>
          <w:szCs w:val="24"/>
          <w14:ligatures xmlns:w14="http://schemas.microsoft.com/office/word/2010/wordml" w14:val="none"/>
        </w:rPr>
      </w:pPr>
      <w:r>
        <w:rPr>
          <w:rFonts w:cs="Times New Roman" w:eastAsia="Times New Roman"/>
          <w:color w:val="000000"/>
          <w:kern w:val="0"/>
          <w:szCs w:val="24"/>
          <w14:ligatures xmlns:w14="http://schemas.microsoft.com/office/word/2010/wordml" w14:val="none"/>
        </w:rPr>
        <w:tab/>
      </w:r>
      <w:r>
        <w:rPr>
          <w:rFonts w:cs="Times New Roman" w:eastAsia="Times New Roman"/>
          <w:color w:val="000000"/>
          <w:kern w:val="0"/>
          <w:szCs w:val="24"/>
          <w14:ligatures xmlns:w14="http://schemas.microsoft.com/office/word/2010/wordml" w14:val="none"/>
        </w:rPr>
        <w:t xml:space="preserve">Variabel </w:t>
      </w:r>
      <w:r>
        <w:rPr>
          <w:rFonts w:cs="Times New Roman" w:eastAsia="Times New Roman"/>
          <w:color w:val="000000"/>
          <w:kern w:val="0"/>
          <w:szCs w:val="24"/>
          <w14:ligatures xmlns:w14="http://schemas.microsoft.com/office/word/2010/wordml" w14:val="none"/>
        </w:rPr>
        <w:t>dependen</w:t>
      </w:r>
      <w:r>
        <w:rPr>
          <w:rFonts w:cs="Times New Roman" w:eastAsia="Times New Roman"/>
          <w:color w:val="000000"/>
          <w:kern w:val="0"/>
          <w:szCs w:val="24"/>
          <w14:ligatures xmlns:w14="http://schemas.microsoft.com/office/word/2010/wordml" w14:val="none"/>
        </w:rPr>
        <w:t xml:space="preserve"> (</w:t>
      </w:r>
      <w:r>
        <w:rPr>
          <w:rFonts w:cs="Times New Roman" w:eastAsia="Times New Roman"/>
          <w:color w:val="000000"/>
          <w:kern w:val="0"/>
          <w:szCs w:val="24"/>
          <w14:ligatures xmlns:w14="http://schemas.microsoft.com/office/word/2010/wordml" w14:val="none"/>
        </w:rPr>
        <w:t>Y</w:t>
      </w:r>
      <w:r>
        <w:rPr>
          <w:rFonts w:cs="Times New Roman" w:eastAsia="Times New Roman"/>
          <w:color w:val="000000"/>
          <w:kern w:val="0"/>
          <w:szCs w:val="24"/>
          <w14:ligatures xmlns:w14="http://schemas.microsoft.com/office/word/2010/wordml" w14:val="none"/>
        </w:rPr>
        <w:t>) pada</w:t>
      </w:r>
      <w:r>
        <w:rPr>
          <w:szCs w:val="24"/>
        </w:rPr>
        <w:t xml:space="preserve"> </w:t>
      </w:r>
      <w:r>
        <w:rPr>
          <w:i/>
          <w:iCs/>
          <w:szCs w:val="24"/>
        </w:rPr>
        <w:t xml:space="preserve">Firm Value </w:t>
      </w:r>
      <w:r>
        <w:rPr>
          <w:szCs w:val="24"/>
        </w:rPr>
        <w:t>mempunyai nilai minimum sebesar 0</w:t>
      </w:r>
      <w:r>
        <w:rPr>
          <w:szCs w:val="24"/>
        </w:rPr>
        <w:t>,</w:t>
      </w:r>
      <w:r>
        <w:rPr>
          <w:szCs w:val="24"/>
        </w:rPr>
        <w:t xml:space="preserve">341 </w:t>
      </w:r>
      <w:r>
        <w:rPr>
          <w:szCs w:val="24"/>
        </w:rPr>
        <w:t xml:space="preserve">PT </w:t>
      </w:r>
      <w:r>
        <w:rPr>
          <w:rFonts w:cs="Times New Roman" w:eastAsia="Times New Roman"/>
          <w:color w:val="000000"/>
          <w:kern w:val="0"/>
          <w:szCs w:val="24"/>
          <w14:ligatures xmlns:w14="http://schemas.microsoft.com/office/word/2010/wordml" w14:val="none"/>
        </w:rPr>
        <w:t>Intanwijaya Internasional Tbk (INCI) pada tahun 2023. Nilai maximum sebesar 14</w:t>
      </w:r>
      <w:r>
        <w:rPr>
          <w:rFonts w:cs="Times New Roman" w:eastAsia="Times New Roman"/>
          <w:color w:val="000000"/>
          <w:kern w:val="0"/>
          <w:szCs w:val="24"/>
          <w14:ligatures xmlns:w14="http://schemas.microsoft.com/office/word/2010/wordml" w14:val="none"/>
        </w:rPr>
        <w:t>,</w:t>
      </w:r>
      <w:r>
        <w:rPr>
          <w:rFonts w:cs="Times New Roman" w:eastAsia="Times New Roman"/>
          <w:color w:val="000000"/>
          <w:kern w:val="0"/>
          <w:szCs w:val="24"/>
          <w14:ligatures xmlns:w14="http://schemas.microsoft.com/office/word/2010/wordml" w14:val="none"/>
        </w:rPr>
        <w:t xml:space="preserve">415 </w:t>
      </w:r>
      <w:r>
        <w:rPr>
          <w:rFonts w:cs="Times New Roman" w:eastAsia="Times New Roman"/>
          <w:color w:val="000000"/>
          <w:kern w:val="0"/>
          <w:szCs w:val="24"/>
          <w14:ligatures xmlns:w14="http://schemas.microsoft.com/office/word/2010/wordml" w14:val="none"/>
        </w:rPr>
        <w:t xml:space="preserve">PT </w:t>
      </w:r>
      <w:r>
        <w:rPr>
          <w:rFonts w:cs="Times New Roman" w:eastAsia="Times New Roman"/>
          <w:color w:val="000000"/>
          <w:kern w:val="0"/>
          <w:szCs w:val="24"/>
          <w14:ligatures xmlns:w14="http://schemas.microsoft.com/office/word/2010/wordml" w14:val="none"/>
        </w:rPr>
        <w:t>Unilever Indonesia Tbk</w:t>
      </w:r>
      <w:r>
        <w:rPr>
          <w:rFonts w:cs="Times New Roman" w:eastAsia="Times New Roman"/>
          <w:color w:val="000000"/>
          <w:kern w:val="0"/>
          <w:szCs w:val="24"/>
          <w14:ligatures xmlns:w14="http://schemas.microsoft.com/office/word/2010/wordml" w14:val="none"/>
        </w:rPr>
        <w:t xml:space="preserve"> </w:t>
      </w:r>
      <w:r>
        <w:rPr>
          <w:rFonts w:cs="Times New Roman" w:eastAsia="Times New Roman"/>
          <w:color w:val="000000"/>
          <w:kern w:val="0"/>
          <w:szCs w:val="24"/>
          <w14:ligatures xmlns:w14="http://schemas.microsoft.com/office/word/2010/wordml" w14:val="none"/>
        </w:rPr>
        <w:t xml:space="preserve">(UNVR) pada tahun 2020. Nilai rata-rata </w:t>
      </w:r>
      <w:r>
        <w:rPr>
          <w:rFonts w:cs="Times New Roman" w:eastAsia="Times New Roman"/>
          <w:kern w:val="0"/>
          <w:szCs w:val="24"/>
          <w14:ligatures xmlns:w14="http://schemas.microsoft.com/office/word/2010/wordml" w14:val="none"/>
        </w:rPr>
        <w:t>dan standar deviasi</w:t>
      </w:r>
      <w:r>
        <w:rPr>
          <w:rFonts w:cs="Times New Roman" w:eastAsia="Times New Roman"/>
          <w:color w:val="000000"/>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masing-masing</w:t>
      </w:r>
      <w:r>
        <w:rPr>
          <w:rFonts w:cs="Times New Roman" w:eastAsia="Times New Roman"/>
          <w:color w:val="000000"/>
          <w:kern w:val="0"/>
          <w:szCs w:val="24"/>
          <w14:ligatures xmlns:w14="http://schemas.microsoft.com/office/word/2010/wordml" w14:val="none"/>
        </w:rPr>
        <w:t xml:space="preserve"> </w:t>
      </w:r>
      <w:r>
        <w:rPr>
          <w:rFonts w:cs="Times New Roman" w:eastAsia="Times New Roman"/>
          <w:color w:val="000000"/>
          <w:kern w:val="0"/>
          <w:szCs w:val="24"/>
          <w14:ligatures xmlns:w14="http://schemas.microsoft.com/office/word/2010/wordml" w14:val="none"/>
        </w:rPr>
        <w:t xml:space="preserve">sebesar </w:t>
      </w:r>
      <w:r>
        <w:rPr>
          <w:rFonts w:cs="Times New Roman" w:eastAsia="Times New Roman"/>
          <w:kern w:val="0"/>
          <w:szCs w:val="24"/>
          <w14:ligatures xmlns:w14="http://schemas.microsoft.com/office/word/2010/wordml" w14:val="none"/>
        </w:rPr>
        <w:t>1</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524</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dan </w:t>
      </w:r>
      <w:r>
        <w:rPr>
          <w:rFonts w:cs="Times New Roman" w:eastAsia="Times New Roman"/>
          <w:kern w:val="0"/>
          <w:szCs w:val="24"/>
          <w14:ligatures xmlns:w14="http://schemas.microsoft.com/office/word/2010/wordml" w14:val="none"/>
        </w:rPr>
        <w:t>1</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587</w:t>
      </w:r>
      <w:r>
        <w:rPr>
          <w:rFonts w:cs="Times New Roman" w:eastAsia="Times New Roman"/>
          <w:kern w:val="0"/>
          <w:szCs w:val="24"/>
          <w14:ligatures xmlns:w14="http://schemas.microsoft.com/office/word/2010/wordml" w14:val="none"/>
        </w:rPr>
        <w:t>.</w:t>
      </w:r>
    </w:p>
    <w:p>
      <w:pPr>
        <w:pStyle w:val="style0"/>
        <w:spacing w:after="0" w:lineRule="auto" w:line="480"/>
        <w:jc w:val="both"/>
        <w:rPr>
          <w:rFonts w:cs="Times New Roman" w:eastAsia="Times New Roman"/>
          <w:kern w:val="0"/>
          <w:szCs w:val="24"/>
          <w14:ligatures xmlns:w14="http://schemas.microsoft.com/office/word/2010/wordml" w14:val="none"/>
        </w:rPr>
      </w:pPr>
      <w:r>
        <w:rPr>
          <w:rFonts w:cs="Times New Roman" w:eastAsia="Times New Roman"/>
          <w:kern w:val="0"/>
          <w:szCs w:val="24"/>
          <w14:ligatures xmlns:w14="http://schemas.microsoft.com/office/word/2010/wordml" w14:val="none"/>
        </w:rPr>
        <w:t xml:space="preserve">2. </w:t>
      </w:r>
      <w:r>
        <w:rPr>
          <w:rFonts w:cs="Times New Roman" w:eastAsia="Times New Roman"/>
          <w:i/>
          <w:iCs/>
          <w:color w:val="000000"/>
          <w:kern w:val="0"/>
          <w:szCs w:val="24"/>
          <w14:ligatures xmlns:w14="http://schemas.microsoft.com/office/word/2010/wordml" w14:val="none"/>
        </w:rPr>
        <w:t>Enterprise Risk Management</w:t>
      </w:r>
      <w:r>
        <w:rPr>
          <w:rFonts w:cs="Times New Roman" w:eastAsia="Times New Roman"/>
          <w:i/>
          <w:iCs/>
          <w:color w:val="000000"/>
          <w:kern w:val="0"/>
          <w:szCs w:val="24"/>
          <w14:ligatures xmlns:w14="http://schemas.microsoft.com/office/word/2010/wordml" w14:val="none"/>
        </w:rPr>
        <w:t xml:space="preserve"> </w:t>
      </w:r>
      <w:r>
        <w:rPr>
          <w:rFonts w:cs="Times New Roman" w:eastAsia="Times New Roman"/>
          <w:color w:val="000000"/>
          <w:kern w:val="0"/>
          <w:szCs w:val="24"/>
          <w14:ligatures xmlns:w14="http://schemas.microsoft.com/office/word/2010/wordml" w14:val="none"/>
        </w:rPr>
        <w:t>(X2)</w:t>
      </w:r>
    </w:p>
    <w:p>
      <w:pPr>
        <w:pStyle w:val="style0"/>
        <w:tabs>
          <w:tab w:val="left" w:leader="none" w:pos="810"/>
        </w:tabs>
        <w:spacing w:after="0" w:lineRule="auto" w:line="480"/>
        <w:jc w:val="both"/>
        <w:rPr>
          <w:rFonts w:cs="Times New Roman" w:eastAsia="Times New Roman"/>
          <w:kern w:val="0"/>
          <w:szCs w:val="24"/>
          <w14:ligatures xmlns:w14="http://schemas.microsoft.com/office/word/2010/wordml" w14:val="none"/>
        </w:rPr>
      </w:pPr>
      <w:r>
        <w:rPr>
          <w:rFonts w:cs="Times New Roman" w:eastAsia="Times New Roman"/>
          <w:color w:val="000000"/>
          <w:kern w:val="0"/>
          <w:szCs w:val="24"/>
          <w14:ligatures xmlns:w14="http://schemas.microsoft.com/office/word/2010/wordml" w14:val="none"/>
        </w:rPr>
        <w:tab/>
      </w:r>
      <w:r>
        <w:rPr>
          <w:rFonts w:cs="Times New Roman" w:eastAsia="Times New Roman"/>
          <w:color w:val="000000"/>
          <w:kern w:val="0"/>
          <w:szCs w:val="24"/>
          <w14:ligatures xmlns:w14="http://schemas.microsoft.com/office/word/2010/wordml" w14:val="none"/>
        </w:rPr>
        <w:t xml:space="preserve">Variabel independen (X1) pada </w:t>
      </w:r>
      <w:r>
        <w:rPr>
          <w:rFonts w:cs="Times New Roman" w:eastAsia="Times New Roman"/>
          <w:i/>
          <w:iCs/>
          <w:color w:val="000000"/>
          <w:kern w:val="0"/>
          <w:szCs w:val="24"/>
          <w14:ligatures xmlns:w14="http://schemas.microsoft.com/office/word/2010/wordml" w14:val="none"/>
        </w:rPr>
        <w:t xml:space="preserve">Enterprise Risk Management </w:t>
      </w:r>
      <w:r>
        <w:rPr>
          <w:rFonts w:cs="Times New Roman" w:eastAsia="Times New Roman"/>
          <w:color w:val="000000"/>
          <w:kern w:val="0"/>
          <w:szCs w:val="24"/>
          <w14:ligatures xmlns:w14="http://schemas.microsoft.com/office/word/2010/wordml" w14:val="none"/>
        </w:rPr>
        <w:t xml:space="preserve">mempunyai nilai minimum sebesar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250</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PT Sinergi Inti Plastindo Tbk </w:t>
      </w:r>
      <w:r>
        <w:rPr>
          <w:rFonts w:cs="Times New Roman" w:eastAsia="Times New Roman"/>
          <w:kern w:val="0"/>
          <w:szCs w:val="24"/>
          <w14:ligatures xmlns:w14="http://schemas.microsoft.com/office/word/2010/wordml" w14:val="none"/>
        </w:rPr>
        <w:t>(ESIP) pada tahun 2020. Nilai maximum sebesar 1</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 xml:space="preserve">000 </w:t>
      </w:r>
      <w:r>
        <w:rPr>
          <w:rFonts w:cs="Times New Roman" w:eastAsia="Times New Roman"/>
          <w:kern w:val="0"/>
          <w:szCs w:val="24"/>
          <w14:ligatures xmlns:w14="http://schemas.microsoft.com/office/word/2010/wordml" w14:val="none"/>
        </w:rPr>
        <w:t xml:space="preserve">PT Kalbe Farma Tbk </w:t>
      </w:r>
      <w:r>
        <w:rPr>
          <w:rFonts w:cs="Times New Roman" w:eastAsia="Times New Roman"/>
          <w:kern w:val="0"/>
          <w:szCs w:val="24"/>
          <w14:ligatures xmlns:w14="http://schemas.microsoft.com/office/word/2010/wordml" w14:val="none"/>
        </w:rPr>
        <w:t xml:space="preserve">(KLBF) pada tahun 2021. </w:t>
      </w:r>
      <w:r>
        <w:rPr>
          <w:rFonts w:cs="Times New Roman" w:eastAsia="Times New Roman"/>
          <w:color w:val="000000"/>
          <w:kern w:val="0"/>
          <w:szCs w:val="24"/>
          <w14:ligatures xmlns:w14="http://schemas.microsoft.com/office/word/2010/wordml" w14:val="none"/>
        </w:rPr>
        <w:t xml:space="preserve">Nilai rata-rata </w:t>
      </w:r>
      <w:r>
        <w:rPr>
          <w:rFonts w:cs="Times New Roman" w:eastAsia="Times New Roman"/>
          <w:kern w:val="0"/>
          <w:szCs w:val="24"/>
          <w14:ligatures xmlns:w14="http://schemas.microsoft.com/office/word/2010/wordml" w14:val="none"/>
        </w:rPr>
        <w:t>dan standar deviasi</w:t>
      </w:r>
      <w:r>
        <w:rPr>
          <w:rFonts w:cs="Times New Roman" w:eastAsia="Times New Roman"/>
          <w:kern w:val="0"/>
          <w:szCs w:val="24"/>
          <w14:ligatures xmlns:w14="http://schemas.microsoft.com/office/word/2010/wordml" w14:val="none"/>
        </w:rPr>
        <w:t xml:space="preserve"> masing-masing</w:t>
      </w:r>
      <w:r>
        <w:rPr>
          <w:rFonts w:cs="Times New Roman" w:eastAsia="Times New Roman"/>
          <w:color w:val="000000"/>
          <w:kern w:val="0"/>
          <w:szCs w:val="24"/>
          <w14:ligatures xmlns:w14="http://schemas.microsoft.com/office/word/2010/wordml" w14:val="none"/>
        </w:rPr>
        <w:t xml:space="preserve"> </w:t>
      </w:r>
      <w:r>
        <w:rPr>
          <w:rFonts w:cs="Times New Roman" w:eastAsia="Times New Roman"/>
          <w:color w:val="000000"/>
          <w:kern w:val="0"/>
          <w:szCs w:val="24"/>
          <w14:ligatures xmlns:w14="http://schemas.microsoft.com/office/word/2010/wordml" w14:val="none"/>
        </w:rPr>
        <w:t xml:space="preserve">sebesar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594</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dan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165</w:t>
      </w:r>
      <w:r>
        <w:rPr>
          <w:rFonts w:cs="Times New Roman" w:eastAsia="Times New Roman"/>
          <w:kern w:val="0"/>
          <w:szCs w:val="24"/>
          <w14:ligatures xmlns:w14="http://schemas.microsoft.com/office/word/2010/wordml" w14:val="none"/>
        </w:rPr>
        <w:t>.</w:t>
      </w:r>
    </w:p>
    <w:p>
      <w:pPr>
        <w:pStyle w:val="style0"/>
        <w:spacing w:after="0" w:lineRule="auto" w:line="480"/>
        <w:jc w:val="both"/>
        <w:rPr>
          <w:rFonts w:cs="Times New Roman" w:eastAsia="Times New Roman"/>
          <w:kern w:val="0"/>
          <w:szCs w:val="24"/>
          <w14:ligatures xmlns:w14="http://schemas.microsoft.com/office/word/2010/wordml" w14:val="none"/>
        </w:rPr>
      </w:pPr>
      <w:r>
        <w:rPr>
          <w:rFonts w:cs="Times New Roman" w:eastAsia="Times New Roman"/>
          <w:kern w:val="0"/>
          <w:szCs w:val="24"/>
          <w14:ligatures xmlns:w14="http://schemas.microsoft.com/office/word/2010/wordml" w14:val="none"/>
        </w:rPr>
        <w:t xml:space="preserve">3. </w:t>
      </w:r>
      <w:r>
        <w:rPr>
          <w:rFonts w:cs="Times New Roman" w:eastAsia="Times New Roman"/>
          <w:i/>
          <w:iCs/>
          <w:kern w:val="0"/>
          <w:szCs w:val="24"/>
          <w14:ligatures xmlns:w14="http://schemas.microsoft.com/office/word/2010/wordml" w14:val="none"/>
        </w:rPr>
        <w:t>Managerial Ownership</w:t>
      </w:r>
      <w:r>
        <w:rPr>
          <w:rFonts w:cs="Times New Roman" w:eastAsia="Times New Roman"/>
          <w:i/>
          <w:iCs/>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(X2)</w:t>
      </w:r>
    </w:p>
    <w:p>
      <w:pPr>
        <w:pStyle w:val="style0"/>
        <w:tabs>
          <w:tab w:val="left" w:leader="none" w:pos="810"/>
        </w:tabs>
        <w:spacing w:after="0" w:lineRule="auto" w:line="480"/>
        <w:jc w:val="both"/>
        <w:rPr>
          <w:rFonts w:cs="Times New Roman" w:eastAsia="Times New Roman"/>
          <w:kern w:val="0"/>
          <w:szCs w:val="24"/>
          <w14:ligatures xmlns:w14="http://schemas.microsoft.com/office/word/2010/wordml" w14:val="none"/>
        </w:rPr>
      </w:pPr>
      <w:r>
        <w:rPr>
          <w:rFonts w:cs="Times New Roman" w:eastAsia="Times New Roman"/>
          <w:kern w:val="0"/>
          <w:szCs w:val="24"/>
          <w14:ligatures xmlns:w14="http://schemas.microsoft.com/office/word/2010/wordml" w14:val="none"/>
        </w:rPr>
        <w:tab/>
      </w:r>
      <w:r>
        <w:rPr>
          <w:rFonts w:cs="Times New Roman" w:eastAsia="Times New Roman"/>
          <w:kern w:val="0"/>
          <w:szCs w:val="24"/>
          <w14:ligatures xmlns:w14="http://schemas.microsoft.com/office/word/2010/wordml" w14:val="none"/>
        </w:rPr>
        <w:t xml:space="preserve">Variabel independen (X2) pada </w:t>
      </w:r>
      <w:r>
        <w:rPr>
          <w:rFonts w:cs="Times New Roman" w:eastAsia="Times New Roman"/>
          <w:i/>
          <w:iCs/>
          <w:kern w:val="0"/>
          <w:szCs w:val="24"/>
          <w14:ligatures xmlns:w14="http://schemas.microsoft.com/office/word/2010/wordml" w14:val="none"/>
        </w:rPr>
        <w:t xml:space="preserve">Managerial Ownership </w:t>
      </w:r>
      <w:r>
        <w:rPr>
          <w:rFonts w:cs="Times New Roman" w:eastAsia="Times New Roman"/>
          <w:kern w:val="0"/>
          <w:szCs w:val="24"/>
          <w14:ligatures xmlns:w14="http://schemas.microsoft.com/office/word/2010/wordml" w14:val="none"/>
        </w:rPr>
        <w:t xml:space="preserve">mempunyai nilai minimum sebesar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000</w:t>
      </w:r>
      <w:r>
        <w:rPr>
          <w:rFonts w:cs="Times New Roman" w:eastAsia="Times New Roman"/>
          <w:kern w:val="0"/>
          <w:szCs w:val="24"/>
          <w14:ligatures xmlns:w14="http://schemas.microsoft.com/office/word/2010/wordml" w14:val="none"/>
        </w:rPr>
        <w:t xml:space="preserve"> atau 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00000</w:t>
      </w:r>
      <w:r>
        <w:rPr>
          <w:rFonts w:cs="Times New Roman" w:eastAsia="Times New Roman"/>
          <w:kern w:val="0"/>
          <w:szCs w:val="24"/>
          <w14:ligatures xmlns:w14="http://schemas.microsoft.com/office/word/2010/wordml" w14:val="none"/>
        </w:rPr>
        <w:t>2</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PT Sentra Food Indonesia Tbk </w:t>
      </w:r>
      <w:r>
        <w:rPr>
          <w:rFonts w:cs="Times New Roman" w:eastAsia="Times New Roman"/>
          <w:kern w:val="0"/>
          <w:szCs w:val="24"/>
          <w14:ligatures xmlns:w14="http://schemas.microsoft.com/office/word/2010/wordml" w14:val="none"/>
        </w:rPr>
        <w:t xml:space="preserve">(FOOD) </w:t>
      </w:r>
      <w:r>
        <w:rPr>
          <w:rFonts w:cs="Times New Roman" w:eastAsia="Times New Roman"/>
          <w:kern w:val="0"/>
          <w:szCs w:val="24"/>
          <w14:ligatures xmlns:w14="http://schemas.microsoft.com/office/word/2010/wordml" w14:val="none"/>
        </w:rPr>
        <w:t xml:space="preserve">pada tahun </w:t>
      </w:r>
      <w:r>
        <w:rPr>
          <w:rFonts w:cs="Times New Roman" w:eastAsia="Times New Roman"/>
          <w:kern w:val="0"/>
          <w:szCs w:val="24"/>
          <w14:ligatures xmlns:w14="http://schemas.microsoft.com/office/word/2010/wordml" w14:val="none"/>
        </w:rPr>
        <w:t>2020</w:t>
      </w:r>
      <w:r>
        <w:rPr>
          <w:rFonts w:cs="Times New Roman" w:eastAsia="Times New Roman"/>
          <w:kern w:val="0"/>
          <w:szCs w:val="24"/>
          <w14:ligatures xmlns:w14="http://schemas.microsoft.com/office/word/2010/wordml" w14:val="none"/>
        </w:rPr>
        <w:t xml:space="preserve">. Nilai maximum sebesar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649</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PT Indonesian Tobacco Tbk </w:t>
      </w:r>
      <w:r>
        <w:rPr>
          <w:rFonts w:cs="Times New Roman" w:eastAsia="Times New Roman"/>
          <w:kern w:val="0"/>
          <w:szCs w:val="24"/>
          <w14:ligatures xmlns:w14="http://schemas.microsoft.com/office/word/2010/wordml" w14:val="none"/>
        </w:rPr>
        <w:t>(ITIC) pada tahun 2023. Nilai rata-rata</w:t>
      </w:r>
      <w:r>
        <w:rPr>
          <w:rFonts w:cs="Times New Roman" w:eastAsia="Times New Roman"/>
          <w:color w:val="000000"/>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dan standar deviasi </w:t>
      </w:r>
      <w:r>
        <w:rPr>
          <w:rFonts w:cs="Times New Roman" w:eastAsia="Times New Roman"/>
          <w:kern w:val="0"/>
          <w:szCs w:val="24"/>
          <w14:ligatures xmlns:w14="http://schemas.microsoft.com/office/word/2010/wordml" w14:val="none"/>
        </w:rPr>
        <w:t xml:space="preserve">masing-masing </w:t>
      </w:r>
      <w:r>
        <w:rPr>
          <w:rFonts w:cs="Times New Roman" w:eastAsia="Times New Roman"/>
          <w:kern w:val="0"/>
          <w:szCs w:val="24"/>
          <w14:ligatures xmlns:w14="http://schemas.microsoft.com/office/word/2010/wordml" w14:val="none"/>
        </w:rPr>
        <w:t xml:space="preserve">sebesar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102</w:t>
      </w:r>
      <w:r>
        <w:rPr>
          <w:rFonts w:cs="Times New Roman" w:eastAsia="Times New Roman"/>
          <w:kern w:val="0"/>
          <w:szCs w:val="24"/>
          <w14:ligatures xmlns:w14="http://schemas.microsoft.com/office/word/2010/wordml" w14:val="none"/>
        </w:rPr>
        <w:t xml:space="preserve"> dan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145</w:t>
      </w:r>
      <w:r>
        <w:rPr>
          <w:rFonts w:cs="Times New Roman" w:eastAsia="Times New Roman"/>
          <w:kern w:val="0"/>
          <w:szCs w:val="24"/>
          <w14:ligatures xmlns:w14="http://schemas.microsoft.com/office/word/2010/wordml" w14:val="none"/>
        </w:rPr>
        <w:t>.</w:t>
      </w:r>
    </w:p>
    <w:p>
      <w:pPr>
        <w:pStyle w:val="style0"/>
        <w:spacing w:after="0" w:lineRule="auto" w:line="480"/>
        <w:jc w:val="both"/>
        <w:rPr>
          <w:rFonts w:cs="Times New Roman" w:eastAsia="Times New Roman"/>
          <w:kern w:val="0"/>
          <w:szCs w:val="24"/>
          <w14:ligatures xmlns:w14="http://schemas.microsoft.com/office/word/2010/wordml" w14:val="none"/>
        </w:rPr>
      </w:pPr>
      <w:r>
        <w:rPr>
          <w:rFonts w:cs="Times New Roman" w:eastAsia="Times New Roman"/>
          <w:kern w:val="0"/>
          <w:szCs w:val="24"/>
          <w14:ligatures xmlns:w14="http://schemas.microsoft.com/office/word/2010/wordml" w14:val="none"/>
        </w:rPr>
        <w:t>4.</w:t>
      </w:r>
      <w:r>
        <w:rPr>
          <w:rFonts w:cs="Times New Roman" w:eastAsia="Times New Roman"/>
          <w:kern w:val="0"/>
          <w:szCs w:val="24"/>
          <w14:ligatures xmlns:w14="http://schemas.microsoft.com/office/word/2010/wordml" w14:val="none"/>
        </w:rPr>
        <w:t xml:space="preserve"> </w:t>
      </w:r>
      <w:r>
        <w:rPr>
          <w:rFonts w:cs="Times New Roman" w:eastAsia="Times New Roman"/>
          <w:i/>
          <w:iCs/>
          <w:kern w:val="0"/>
          <w:szCs w:val="24"/>
          <w14:ligatures xmlns:w14="http://schemas.microsoft.com/office/word/2010/wordml" w14:val="none"/>
        </w:rPr>
        <w:t>Institutional Ownership</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(X3)</w:t>
      </w:r>
    </w:p>
    <w:p>
      <w:pPr>
        <w:pStyle w:val="style0"/>
        <w:tabs>
          <w:tab w:val="left" w:leader="none" w:pos="810"/>
        </w:tabs>
        <w:spacing w:after="0" w:lineRule="auto" w:line="480"/>
        <w:jc w:val="both"/>
        <w:rPr>
          <w:rFonts w:cs="Times New Roman" w:eastAsia="Times New Roman"/>
          <w:kern w:val="0"/>
          <w:szCs w:val="24"/>
          <w14:ligatures xmlns:w14="http://schemas.microsoft.com/office/word/2010/wordml" w14:val="none"/>
        </w:rPr>
      </w:pPr>
      <w:r>
        <w:rPr>
          <w:rFonts w:cs="Times New Roman" w:eastAsia="Times New Roman"/>
          <w:kern w:val="0"/>
          <w:szCs w:val="24"/>
          <w14:ligatures xmlns:w14="http://schemas.microsoft.com/office/word/2010/wordml" w14:val="none"/>
        </w:rPr>
        <w:tab/>
      </w:r>
      <w:r>
        <w:rPr>
          <w:rFonts w:cs="Times New Roman" w:eastAsia="Times New Roman"/>
          <w:kern w:val="0"/>
          <w:szCs w:val="24"/>
          <w14:ligatures xmlns:w14="http://schemas.microsoft.com/office/word/2010/wordml" w14:val="none"/>
        </w:rPr>
        <w:t xml:space="preserve">Variabel independen (X3) pada </w:t>
      </w:r>
      <w:r>
        <w:rPr>
          <w:rFonts w:cs="Times New Roman" w:eastAsia="Times New Roman"/>
          <w:i/>
          <w:iCs/>
          <w:kern w:val="0"/>
          <w:szCs w:val="24"/>
          <w14:ligatures xmlns:w14="http://schemas.microsoft.com/office/word/2010/wordml" w14:val="none"/>
        </w:rPr>
        <w:t xml:space="preserve">Institutional Ownership </w:t>
      </w:r>
      <w:r>
        <w:rPr>
          <w:rFonts w:cs="Times New Roman" w:eastAsia="Times New Roman"/>
          <w:kern w:val="0"/>
          <w:szCs w:val="24"/>
          <w14:ligatures xmlns:w14="http://schemas.microsoft.com/office/word/2010/wordml" w14:val="none"/>
        </w:rPr>
        <w:t xml:space="preserve">mempunyai nilai minimum sebesar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000</w:t>
      </w:r>
      <w:r>
        <w:rPr>
          <w:rFonts w:cs="Times New Roman" w:eastAsia="Times New Roman"/>
          <w:kern w:val="0"/>
          <w:szCs w:val="24"/>
          <w14:ligatures xmlns:w14="http://schemas.microsoft.com/office/word/2010/wordml" w14:val="none"/>
        </w:rPr>
        <w:t xml:space="preserve"> atau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000</w:t>
      </w:r>
      <w:r>
        <w:rPr>
          <w:rFonts w:cs="Times New Roman" w:eastAsia="Times New Roman"/>
          <w:kern w:val="0"/>
          <w:szCs w:val="24"/>
          <w14:ligatures xmlns:w14="http://schemas.microsoft.com/office/word/2010/wordml" w14:val="none"/>
        </w:rPr>
        <w:t>5</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PT Campina Ice Cream Industry Tbk </w:t>
      </w:r>
      <w:r>
        <w:rPr>
          <w:rFonts w:cs="Times New Roman" w:eastAsia="Times New Roman"/>
          <w:kern w:val="0"/>
          <w:szCs w:val="24"/>
          <w14:ligatures xmlns:w14="http://schemas.microsoft.com/office/word/2010/wordml" w14:val="none"/>
        </w:rPr>
        <w:t xml:space="preserve">(ZINC) pada tahun 2020. Nilai maximum sebesar </w:t>
      </w:r>
      <w:r>
        <w:rPr>
          <w:rFonts w:cs="Times New Roman" w:eastAsia="Times New Roman"/>
          <w:kern w:val="0"/>
          <w:szCs w:val="24"/>
          <w14:ligatures xmlns:w14="http://schemas.microsoft.com/office/word/2010/wordml" w14:val="none"/>
        </w:rPr>
        <w:t>1.563</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PT Sekar Bumi Tbk </w:t>
      </w:r>
      <w:r>
        <w:rPr>
          <w:rFonts w:cs="Times New Roman" w:eastAsia="Times New Roman"/>
          <w:kern w:val="0"/>
          <w:szCs w:val="24"/>
          <w14:ligatures xmlns:w14="http://schemas.microsoft.com/office/word/2010/wordml" w14:val="none"/>
        </w:rPr>
        <w:t xml:space="preserve">(SKBM) pada </w:t>
      </w:r>
      <w:r>
        <w:rPr>
          <w:rFonts w:cs="Times New Roman" w:eastAsia="Times New Roman"/>
          <w:kern w:val="0"/>
          <w:szCs w:val="24"/>
          <w14:ligatures xmlns:w14="http://schemas.microsoft.com/office/word/2010/wordml" w14:val="none"/>
        </w:rPr>
        <w:t>tahun 2021. Nilai rata-rata</w:t>
      </w:r>
      <w:r>
        <w:rPr>
          <w:rFonts w:cs="Times New Roman" w:eastAsia="Times New Roman"/>
          <w:color w:val="000000"/>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dan standar deviasi </w:t>
      </w:r>
      <w:r>
        <w:rPr>
          <w:rFonts w:cs="Times New Roman" w:eastAsia="Times New Roman"/>
          <w:kern w:val="0"/>
          <w:szCs w:val="24"/>
          <w14:ligatures xmlns:w14="http://schemas.microsoft.com/office/word/2010/wordml" w14:val="none"/>
        </w:rPr>
        <w:t xml:space="preserve">masing-masing </w:t>
      </w:r>
      <w:r>
        <w:rPr>
          <w:rFonts w:cs="Times New Roman" w:eastAsia="Times New Roman"/>
          <w:kern w:val="0"/>
          <w:szCs w:val="24"/>
          <w14:ligatures xmlns:w14="http://schemas.microsoft.com/office/word/2010/wordml" w14:val="none"/>
        </w:rPr>
        <w:t>sebesar</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653</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dan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277</w:t>
      </w:r>
      <w:r>
        <w:rPr>
          <w:rFonts w:cs="Times New Roman" w:eastAsia="Times New Roman"/>
          <w:kern w:val="0"/>
          <w:szCs w:val="24"/>
          <w14:ligatures xmlns:w14="http://schemas.microsoft.com/office/word/2010/wordml" w14:val="none"/>
        </w:rPr>
        <w:t>.</w:t>
      </w:r>
    </w:p>
    <w:bookmarkStart w:id="77" w:name="_Toc218854634"/>
    <w:p>
      <w:pPr>
        <w:pStyle w:val="style3"/>
        <w:rPr>
          <w:rFonts w:eastAsia="Times New Roman"/>
        </w:rPr>
      </w:pPr>
      <w:r>
        <w:rPr>
          <w:rFonts w:eastAsia="Times New Roman"/>
        </w:rPr>
        <w:t xml:space="preserve">4.2.2. </w:t>
      </w:r>
      <w:r>
        <w:rPr>
          <w:rFonts w:eastAsia="Times New Roman"/>
        </w:rPr>
        <w:tab/>
      </w:r>
      <w:r>
        <w:rPr>
          <w:rFonts w:eastAsia="Times New Roman"/>
        </w:rPr>
        <w:tab/>
      </w:r>
      <w:r>
        <w:rPr>
          <w:rFonts w:eastAsia="Times New Roman"/>
        </w:rPr>
        <w:t>Uji Asumsi Klasik</w:t>
      </w:r>
      <w:bookmarkEnd w:id="77"/>
      <w:r>
        <w:rPr>
          <w:rFonts w:eastAsia="Times New Roman"/>
        </w:rPr>
        <w:t xml:space="preserve"> </w:t>
      </w:r>
    </w:p>
    <w:p>
      <w:pPr>
        <w:pStyle w:val="style4"/>
        <w:tabs>
          <w:tab w:val="left" w:leader="none" w:pos="810"/>
        </w:tabs>
        <w:spacing w:before="0" w:after="0" w:lineRule="auto" w:line="480"/>
        <w:rPr/>
      </w:pPr>
      <w:r>
        <w:t xml:space="preserve">4.2.2.1. </w:t>
      </w:r>
      <w:r>
        <w:tab/>
      </w:r>
      <w:r>
        <w:t>Uji Normalitas</w:t>
      </w:r>
    </w:p>
    <w:p>
      <w:pPr>
        <w:pStyle w:val="style0"/>
        <w:tabs>
          <w:tab w:val="left" w:leader="none" w:pos="810"/>
        </w:tabs>
        <w:spacing w:after="0" w:lineRule="auto" w:line="480"/>
        <w:jc w:val="both"/>
        <w:rPr>
          <w:rFonts w:cs="Times New Roman"/>
          <w:iCs/>
          <w:szCs w:val="24"/>
        </w:rPr>
      </w:pPr>
      <w:r>
        <w:rPr>
          <w:rFonts w:cs="Times New Roman"/>
          <w:iCs/>
          <w:szCs w:val="24"/>
        </w:rPr>
        <w:tab/>
      </w:r>
      <w:r>
        <w:rPr>
          <w:rFonts w:cs="Times New Roman"/>
          <w:iCs/>
          <w:szCs w:val="24"/>
        </w:rPr>
        <w:t>Pe</w:t>
      </w:r>
      <w:r>
        <w:rPr>
          <w:rFonts w:cs="Times New Roman"/>
          <w:iCs/>
          <w:szCs w:val="24"/>
        </w:rPr>
        <w:t>ngujian ini</w:t>
      </w:r>
      <w:r>
        <w:rPr>
          <w:rFonts w:cs="Times New Roman"/>
          <w:iCs/>
          <w:szCs w:val="24"/>
        </w:rPr>
        <w:t xml:space="preserve"> di</w:t>
      </w:r>
      <w:r>
        <w:rPr>
          <w:rFonts w:cs="Times New Roman"/>
          <w:iCs/>
          <w:szCs w:val="24"/>
        </w:rPr>
        <w:t>gunakan</w:t>
      </w:r>
      <w:r>
        <w:rPr>
          <w:rFonts w:cs="Times New Roman"/>
          <w:iCs/>
          <w:szCs w:val="24"/>
        </w:rPr>
        <w:t xml:space="preserve"> untuk menguji model regresi dari suatu variabel independen dan variabel dependen ataupun keduanya mempunyai distribusi normal atau tidak normal. Uji </w:t>
      </w:r>
      <w:r>
        <w:rPr>
          <w:rFonts w:cs="Times New Roman"/>
          <w:iCs/>
          <w:szCs w:val="24"/>
        </w:rPr>
        <w:t xml:space="preserve">normalitas ini </w:t>
      </w:r>
      <w:r>
        <w:rPr>
          <w:rFonts w:cs="Times New Roman"/>
          <w:iCs/>
          <w:szCs w:val="24"/>
        </w:rPr>
        <w:t>menggunakan</w:t>
      </w:r>
      <w:r>
        <w:rPr>
          <w:rFonts w:cs="Times New Roman"/>
          <w:iCs/>
          <w:szCs w:val="24"/>
        </w:rPr>
        <w:t xml:space="preserve"> </w:t>
      </w:r>
      <w:r>
        <w:rPr>
          <w:rFonts w:cs="Times New Roman"/>
          <w:i/>
          <w:szCs w:val="24"/>
        </w:rPr>
        <w:t>One Sample Kolmogrov</w:t>
      </w:r>
      <w:r>
        <w:rPr>
          <w:rFonts w:cs="Times New Roman"/>
          <w:i/>
          <w:szCs w:val="24"/>
        </w:rPr>
        <w:t>-</w:t>
      </w:r>
      <w:r>
        <w:rPr>
          <w:rFonts w:cs="Times New Roman"/>
          <w:i/>
          <w:szCs w:val="24"/>
        </w:rPr>
        <w:t>Smirnov</w:t>
      </w:r>
      <w:r>
        <w:rPr>
          <w:rFonts w:cs="Times New Roman"/>
          <w:i/>
          <w:szCs w:val="24"/>
        </w:rPr>
        <w:t>,</w:t>
      </w:r>
      <w:r>
        <w:rPr>
          <w:rFonts w:cs="Times New Roman"/>
          <w:iCs/>
          <w:szCs w:val="24"/>
        </w:rPr>
        <w:t xml:space="preserve"> apabila nilai signifikasi lebih dari 0,05</w:t>
      </w:r>
      <w:r>
        <w:rPr>
          <w:rFonts w:cs="Times New Roman"/>
          <w:iCs/>
          <w:szCs w:val="24"/>
        </w:rPr>
        <w:t xml:space="preserve"> (Sig. &gt; 0,05)</w:t>
      </w:r>
      <w:r>
        <w:rPr>
          <w:rFonts w:cs="Times New Roman"/>
          <w:iCs/>
          <w:szCs w:val="24"/>
        </w:rPr>
        <w:t xml:space="preserve"> maka data memiliki distribusi normal</w:t>
      </w:r>
      <w:r>
        <w:rPr>
          <w:rFonts w:cs="Times New Roman"/>
          <w:iCs/>
          <w:szCs w:val="24"/>
        </w:rPr>
        <w:t xml:space="preserve"> atau diterima. Hasil u</w:t>
      </w:r>
      <w:r>
        <w:rPr>
          <w:rFonts w:cs="Times New Roman"/>
          <w:iCs/>
          <w:szCs w:val="24"/>
        </w:rPr>
        <w:t>j</w:t>
      </w:r>
      <w:r>
        <w:rPr>
          <w:rFonts w:cs="Times New Roman"/>
          <w:iCs/>
          <w:szCs w:val="24"/>
        </w:rPr>
        <w:t xml:space="preserve">i normalitas dapat dilihat pada tabel </w:t>
      </w:r>
      <w:r>
        <w:rPr>
          <w:rFonts w:cs="Times New Roman"/>
          <w:iCs/>
          <w:szCs w:val="24"/>
        </w:rPr>
        <w:t>4.2</w:t>
      </w:r>
      <w:r>
        <w:rPr>
          <w:rFonts w:cs="Times New Roman"/>
          <w:iCs/>
          <w:szCs w:val="24"/>
        </w:rPr>
        <w:t>:</w:t>
      </w:r>
    </w:p>
    <w:bookmarkStart w:id="78" w:name="_Toc215602303"/>
    <w:bookmarkStart w:id="79" w:name="_Toc216129259"/>
    <w:bookmarkStart w:id="80" w:name="_Toc216804039"/>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4</w:t>
      </w:r>
      <w:r>
        <w:rPr>
          <w:b w:val="false"/>
          <w:bCs/>
          <w:i/>
          <w:iCs w:val="false"/>
          <w:color w:val="ffffff"/>
          <w:sz w:val="22"/>
          <w:szCs w:val="22"/>
        </w:rPr>
        <w:fldChar w:fldCharType="end"/>
      </w:r>
      <w:r>
        <w:rPr>
          <w:bCs/>
          <w:iCs w:val="false"/>
          <w:color w:val="auto"/>
          <w:sz w:val="22"/>
          <w:szCs w:val="22"/>
        </w:rPr>
        <w:t xml:space="preserve">4. </w:t>
      </w:r>
      <w:r>
        <w:rPr>
          <w:bCs/>
          <w:iCs w:val="false"/>
          <w:color w:val="auto"/>
          <w:sz w:val="22"/>
          <w:szCs w:val="22"/>
        </w:rPr>
        <w:t>2</w:t>
      </w:r>
      <w:r>
        <w:rPr>
          <w:bCs/>
          <w:iCs w:val="false"/>
          <w:color w:val="auto"/>
          <w:sz w:val="22"/>
          <w:szCs w:val="22"/>
        </w:rPr>
        <w:t>. Uji Normalitas (</w:t>
      </w:r>
      <w:r>
        <w:rPr>
          <w:bCs/>
          <w:color w:val="auto"/>
          <w:sz w:val="22"/>
          <w:szCs w:val="22"/>
        </w:rPr>
        <w:t>One-Sample Kolmogorov-Smirnov</w:t>
      </w:r>
      <w:r>
        <w:rPr>
          <w:bCs/>
          <w:iCs w:val="false"/>
          <w:color w:val="auto"/>
          <w:sz w:val="22"/>
          <w:szCs w:val="22"/>
        </w:rPr>
        <w:t>)</w:t>
      </w:r>
      <w:bookmarkEnd w:id="78"/>
      <w:bookmarkEnd w:id="79"/>
      <w:bookmarkEnd w:id="80"/>
    </w:p>
    <w:tbl>
      <w:tblPr>
        <w:tblStyle w:val="style154"/>
        <w:tblW w:w="8005" w:type="dxa"/>
        <w:tblLook w:val="04A0" w:firstRow="1" w:lastRow="0" w:firstColumn="1" w:lastColumn="0" w:noHBand="0" w:noVBand="1"/>
      </w:tblPr>
      <w:tblGrid>
        <w:gridCol w:w="2515"/>
        <w:gridCol w:w="1890"/>
        <w:gridCol w:w="1350"/>
        <w:gridCol w:w="2250"/>
      </w:tblGrid>
      <w:tr>
        <w:trPr>
          <w:trHeight w:val="350" w:hRule="atLeast"/>
        </w:trPr>
        <w:tc>
          <w:tcPr>
            <w:tcW w:w="5755" w:type="dxa"/>
            <w:gridSpan w:val="3"/>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w:t>
            </w:r>
          </w:p>
        </w:tc>
        <w:tc>
          <w:tcPr>
            <w:tcW w:w="225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Unstandardized Residual</w:t>
            </w:r>
          </w:p>
        </w:tc>
      </w:tr>
      <w:tr>
        <w:tblPrEx/>
        <w:trPr>
          <w:trHeight w:val="310" w:hRule="atLeast"/>
        </w:trPr>
        <w:tc>
          <w:tcPr>
            <w:tcW w:w="5755" w:type="dxa"/>
            <w:gridSpan w:val="3"/>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N</w:t>
            </w:r>
          </w:p>
        </w:tc>
        <w:tc>
          <w:tcPr>
            <w:tcW w:w="225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r>
      <w:tr>
        <w:tblPrEx/>
        <w:trPr>
          <w:trHeight w:val="310" w:hRule="atLeast"/>
        </w:trPr>
        <w:tc>
          <w:tcPr>
            <w:tcW w:w="2515" w:type="dxa"/>
            <w:vMerge w:val="restart"/>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Normal Parameters</w:t>
            </w:r>
            <w:r>
              <w:rPr>
                <w:rFonts w:cs="Times New Roman" w:eastAsia="Times New Roman"/>
                <w:kern w:val="0"/>
                <w:sz w:val="20"/>
                <w:szCs w:val="20"/>
                <w:vertAlign w:val="superscript"/>
                <w14:ligatures xmlns:w14="http://schemas.microsoft.com/office/word/2010/wordml" w14:val="none"/>
              </w:rPr>
              <w:t>a,b</w:t>
            </w:r>
          </w:p>
        </w:tc>
        <w:tc>
          <w:tcPr>
            <w:tcW w:w="3240"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Mean</w:t>
            </w:r>
          </w:p>
        </w:tc>
        <w:tc>
          <w:tcPr>
            <w:tcW w:w="225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r>
      <w:tr>
        <w:tblPrEx/>
        <w:trPr>
          <w:trHeight w:val="310" w:hRule="atLeast"/>
        </w:trPr>
        <w:tc>
          <w:tcPr>
            <w:tcW w:w="251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3240"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Std. Deviation</w:t>
            </w:r>
          </w:p>
        </w:tc>
        <w:tc>
          <w:tcPr>
            <w:tcW w:w="225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1.546</w:t>
            </w:r>
          </w:p>
        </w:tc>
      </w:tr>
      <w:tr>
        <w:tblPrEx/>
        <w:trPr>
          <w:trHeight w:val="310" w:hRule="atLeast"/>
        </w:trPr>
        <w:tc>
          <w:tcPr>
            <w:tcW w:w="2515" w:type="dxa"/>
            <w:vMerge w:val="restart"/>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Most Extreme Differences</w:t>
            </w:r>
          </w:p>
        </w:tc>
        <w:tc>
          <w:tcPr>
            <w:tcW w:w="3240"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Absolute</w:t>
            </w:r>
          </w:p>
        </w:tc>
        <w:tc>
          <w:tcPr>
            <w:tcW w:w="225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0.203</w:t>
            </w:r>
          </w:p>
        </w:tc>
      </w:tr>
      <w:tr>
        <w:tblPrEx/>
        <w:trPr>
          <w:trHeight w:val="310" w:hRule="atLeast"/>
        </w:trPr>
        <w:tc>
          <w:tcPr>
            <w:tcW w:w="251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3240"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Positive</w:t>
            </w:r>
          </w:p>
        </w:tc>
        <w:tc>
          <w:tcPr>
            <w:tcW w:w="225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0.201</w:t>
            </w:r>
          </w:p>
        </w:tc>
      </w:tr>
      <w:tr>
        <w:tblPrEx/>
        <w:trPr>
          <w:trHeight w:val="310" w:hRule="atLeast"/>
        </w:trPr>
        <w:tc>
          <w:tcPr>
            <w:tcW w:w="251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3240"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Negative</w:t>
            </w:r>
          </w:p>
        </w:tc>
        <w:tc>
          <w:tcPr>
            <w:tcW w:w="225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-0.203</w:t>
            </w:r>
          </w:p>
        </w:tc>
      </w:tr>
      <w:tr>
        <w:tblPrEx/>
        <w:trPr>
          <w:trHeight w:val="310" w:hRule="atLeast"/>
        </w:trPr>
        <w:tc>
          <w:tcPr>
            <w:tcW w:w="5755" w:type="dxa"/>
            <w:gridSpan w:val="3"/>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Test Statistic</w:t>
            </w:r>
          </w:p>
        </w:tc>
        <w:tc>
          <w:tcPr>
            <w:tcW w:w="225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0.203</w:t>
            </w:r>
          </w:p>
        </w:tc>
      </w:tr>
      <w:tr>
        <w:tblPrEx/>
        <w:trPr>
          <w:trHeight w:val="310" w:hRule="atLeast"/>
        </w:trPr>
        <w:tc>
          <w:tcPr>
            <w:tcW w:w="5755" w:type="dxa"/>
            <w:gridSpan w:val="3"/>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Asymp. Sig. (2-tailed)</w:t>
            </w:r>
            <w:r>
              <w:rPr>
                <w:rFonts w:cs="Times New Roman" w:eastAsia="Times New Roman"/>
                <w:kern w:val="0"/>
                <w:sz w:val="20"/>
                <w:szCs w:val="20"/>
                <w:vertAlign w:val="superscript"/>
                <w14:ligatures xmlns:w14="http://schemas.microsoft.com/office/word/2010/wordml" w14:val="none"/>
              </w:rPr>
              <w:t>c</w:t>
            </w:r>
          </w:p>
        </w:tc>
        <w:tc>
          <w:tcPr>
            <w:tcW w:w="225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r>
      <w:tr>
        <w:tblPrEx/>
        <w:trPr>
          <w:trHeight w:val="310" w:hRule="atLeast"/>
        </w:trPr>
        <w:tc>
          <w:tcPr>
            <w:tcW w:w="2515" w:type="dxa"/>
            <w:vMerge w:val="restart"/>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Monte Carlo Sig. (2-tailed)</w:t>
            </w:r>
            <w:r>
              <w:rPr>
                <w:rFonts w:cs="Times New Roman" w:eastAsia="Times New Roman"/>
                <w:kern w:val="0"/>
                <w:sz w:val="20"/>
                <w:szCs w:val="20"/>
                <w:vertAlign w:val="superscript"/>
                <w14:ligatures xmlns:w14="http://schemas.microsoft.com/office/word/2010/wordml" w14:val="none"/>
              </w:rPr>
              <w:t>d</w:t>
            </w:r>
          </w:p>
        </w:tc>
        <w:tc>
          <w:tcPr>
            <w:tcW w:w="3240"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Sig.</w:t>
            </w:r>
          </w:p>
        </w:tc>
        <w:tc>
          <w:tcPr>
            <w:tcW w:w="225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r>
      <w:tr>
        <w:tblPrEx/>
        <w:trPr>
          <w:trHeight w:val="359" w:hRule="atLeast"/>
        </w:trPr>
        <w:tc>
          <w:tcPr>
            <w:tcW w:w="251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1890" w:type="dxa"/>
            <w:vMerge w:val="restart"/>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99% Confidence Interval</w:t>
            </w:r>
          </w:p>
        </w:tc>
        <w:tc>
          <w:tcPr>
            <w:tcW w:w="1350"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Lower Bound</w:t>
            </w:r>
          </w:p>
        </w:tc>
        <w:tc>
          <w:tcPr>
            <w:tcW w:w="225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r>
      <w:tr>
        <w:tblPrEx/>
        <w:trPr>
          <w:trHeight w:val="314" w:hRule="atLeast"/>
        </w:trPr>
        <w:tc>
          <w:tcPr>
            <w:tcW w:w="251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1890"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1350"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Upper Bound</w:t>
            </w:r>
          </w:p>
        </w:tc>
        <w:tc>
          <w:tcPr>
            <w:tcW w:w="225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r>
    </w:tbl>
    <w:p>
      <w:pPr>
        <w:pStyle w:val="style0"/>
        <w:spacing w:lineRule="auto" w:line="360"/>
        <w:jc w:val="both"/>
        <w:rPr>
          <w:rFonts w:cs="Times New Roman"/>
          <w:i/>
          <w:sz w:val="20"/>
          <w:szCs w:val="20"/>
        </w:rPr>
      </w:pPr>
      <w:r>
        <w:rPr>
          <w:rFonts w:cs="Times New Roman"/>
          <w:i/>
          <w:sz w:val="20"/>
          <w:szCs w:val="20"/>
        </w:rPr>
        <w:t>Sumber: Output SPSS</w:t>
      </w:r>
      <w:r>
        <w:rPr>
          <w:rFonts w:cs="Times New Roman"/>
          <w:i/>
          <w:sz w:val="20"/>
          <w:szCs w:val="20"/>
        </w:rPr>
        <w:t xml:space="preserve"> 30</w:t>
      </w:r>
      <w:r>
        <w:rPr>
          <w:rFonts w:cs="Times New Roman"/>
          <w:i/>
          <w:sz w:val="20"/>
          <w:szCs w:val="20"/>
        </w:rPr>
        <w:t>, 2025</w:t>
      </w:r>
    </w:p>
    <w:p>
      <w:pPr>
        <w:pStyle w:val="style0"/>
        <w:tabs>
          <w:tab w:val="left" w:leader="none" w:pos="810"/>
        </w:tabs>
        <w:spacing w:after="0" w:lineRule="auto" w:line="480"/>
        <w:jc w:val="both"/>
        <w:rPr>
          <w:rFonts w:cs="Times New Roman"/>
          <w:iCs/>
          <w:szCs w:val="24"/>
        </w:rPr>
      </w:pPr>
      <w:r>
        <w:rPr>
          <w:rFonts w:cs="Times New Roman"/>
          <w:iCs/>
          <w:szCs w:val="24"/>
        </w:rPr>
        <w:tab/>
      </w:r>
      <w:r>
        <w:rPr>
          <w:rFonts w:cs="Times New Roman"/>
          <w:iCs/>
          <w:szCs w:val="24"/>
        </w:rPr>
        <w:t>Pada tabel 4.</w:t>
      </w:r>
      <w:r>
        <w:rPr>
          <w:rFonts w:cs="Times New Roman"/>
          <w:iCs/>
          <w:szCs w:val="24"/>
        </w:rPr>
        <w:t>2</w:t>
      </w:r>
      <w:r>
        <w:rPr>
          <w:rFonts w:cs="Times New Roman"/>
          <w:iCs/>
          <w:szCs w:val="24"/>
        </w:rPr>
        <w:t xml:space="preserve">. menunjukkan bahwa </w:t>
      </w:r>
      <w:r>
        <w:rPr>
          <w:rFonts w:cs="Times New Roman" w:eastAsia="Times New Roman"/>
          <w:i/>
          <w:iCs/>
          <w:kern w:val="0"/>
          <w:szCs w:val="24"/>
          <w14:ligatures xmlns:w14="http://schemas.microsoft.com/office/word/2010/wordml" w14:val="none"/>
        </w:rPr>
        <w:t>Asymp. Sig.</w:t>
      </w:r>
      <w:r>
        <w:rPr>
          <w:rFonts w:cs="Times New Roman" w:eastAsia="Times New Roman"/>
          <w:kern w:val="0"/>
          <w:szCs w:val="24"/>
          <w14:ligatures xmlns:w14="http://schemas.microsoft.com/office/word/2010/wordml" w14:val="none"/>
        </w:rPr>
        <w:t xml:space="preserve"> (2-</w:t>
      </w:r>
      <w:r>
        <w:rPr>
          <w:rFonts w:cs="Times New Roman" w:eastAsia="Times New Roman"/>
          <w:i/>
          <w:iCs/>
          <w:kern w:val="0"/>
          <w:szCs w:val="24"/>
          <w14:ligatures xmlns:w14="http://schemas.microsoft.com/office/word/2010/wordml" w14:val="none"/>
        </w:rPr>
        <w:t>tailed</w:t>
      </w:r>
      <w:r>
        <w:rPr>
          <w:rFonts w:cs="Times New Roman" w:eastAsia="Times New Roman"/>
          <w:kern w:val="0"/>
          <w:szCs w:val="24"/>
          <w14:ligatures xmlns:w14="http://schemas.microsoft.com/office/word/2010/wordml" w14:val="none"/>
        </w:rPr>
        <w:t>)</w:t>
      </w:r>
      <w:r>
        <w:rPr>
          <w:rFonts w:cs="Times New Roman" w:eastAsia="Times New Roman"/>
          <w:kern w:val="0"/>
          <w:szCs w:val="24"/>
          <w:vertAlign w:val="superscript"/>
          <w14:ligatures xmlns:w14="http://schemas.microsoft.com/office/word/2010/wordml" w14:val="none"/>
        </w:rPr>
        <w:t xml:space="preserve">  </w:t>
      </w:r>
      <w:r>
        <w:rPr>
          <w:rFonts w:cs="Times New Roman"/>
          <w:iCs/>
          <w:szCs w:val="24"/>
        </w:rPr>
        <w:t xml:space="preserve">atau </w:t>
      </w:r>
      <w:r>
        <w:rPr>
          <w:rFonts w:cs="Times New Roman"/>
          <w:iCs/>
          <w:szCs w:val="24"/>
        </w:rPr>
        <w:t>nilai signifikasi</w:t>
      </w:r>
      <w:r>
        <w:rPr>
          <w:rFonts w:cs="Times New Roman"/>
          <w:iCs/>
          <w:szCs w:val="24"/>
        </w:rPr>
        <w:t xml:space="preserve"> sebesar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000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Data</w:t>
      </w:r>
      <w:r>
        <w:rPr>
          <w:rFonts w:cs="Times New Roman" w:eastAsia="Times New Roman"/>
          <w:kern w:val="0"/>
          <w:szCs w:val="24"/>
          <w14:ligatures xmlns:w14="http://schemas.microsoft.com/office/word/2010/wordml" w14:val="none"/>
        </w:rPr>
        <w:t xml:space="preserve"> yang digunakan</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menunjukkan </w:t>
      </w:r>
      <w:r>
        <w:rPr>
          <w:rFonts w:cs="Times New Roman" w:eastAsia="Times New Roman"/>
          <w:kern w:val="0"/>
          <w:szCs w:val="24"/>
          <w14:ligatures xmlns:w14="http://schemas.microsoft.com/office/word/2010/wordml" w14:val="none"/>
        </w:rPr>
        <w:t>memiliki distribusi tidak normal</w:t>
      </w:r>
      <w:r>
        <w:rPr>
          <w:rFonts w:cs="Times New Roman" w:eastAsia="Times New Roman"/>
          <w:kern w:val="0"/>
          <w:szCs w:val="24"/>
          <w14:ligatures xmlns:w14="http://schemas.microsoft.com/office/word/2010/wordml" w14:val="none"/>
        </w:rPr>
        <w:t xml:space="preserve"> karena</w:t>
      </w:r>
      <w:r>
        <w:rPr>
          <w:rFonts w:cs="Times New Roman" w:eastAsia="Times New Roman"/>
          <w:kern w:val="0"/>
          <w:szCs w:val="24"/>
          <w14:ligatures xmlns:w14="http://schemas.microsoft.com/office/word/2010/wordml" w14:val="none"/>
        </w:rPr>
        <w:t xml:space="preserve"> nilai signifikansi </w:t>
      </w:r>
      <w:r>
        <w:rPr>
          <w:rFonts w:cs="Times New Roman" w:eastAsia="Times New Roman"/>
          <w:kern w:val="0"/>
          <w:szCs w:val="24"/>
          <w14:ligatures xmlns:w14="http://schemas.microsoft.com/office/word/2010/wordml" w14:val="none"/>
        </w:rPr>
        <w:t>kurang</w:t>
      </w:r>
      <w:r>
        <w:rPr>
          <w:rFonts w:cs="Times New Roman" w:eastAsia="Times New Roman"/>
          <w:kern w:val="0"/>
          <w:szCs w:val="24"/>
          <w14:ligatures xmlns:w14="http://schemas.microsoft.com/office/word/2010/wordml" w14:val="none"/>
        </w:rPr>
        <w:t xml:space="preserve"> dari 0,05</w:t>
      </w:r>
      <w:r>
        <w:rPr>
          <w:rFonts w:cs="Times New Roman" w:eastAsia="Times New Roman"/>
          <w:kern w:val="0"/>
          <w:szCs w:val="24"/>
          <w14:ligatures xmlns:w14="http://schemas.microsoft.com/office/word/2010/wordml" w14:val="none"/>
        </w:rPr>
        <w:t xml:space="preserve"> </w:t>
      </w:r>
      <w:r>
        <w:rPr>
          <w:rFonts w:cs="Times New Roman"/>
          <w:iCs/>
          <w:szCs w:val="24"/>
        </w:rPr>
        <w:t xml:space="preserve"> (0,000 &lt; 0,05)</w:t>
      </w:r>
      <w:r>
        <w:rPr>
          <w:rFonts w:cs="Times New Roman" w:eastAsia="Times New Roman"/>
          <w:kern w:val="0"/>
          <w:szCs w:val="24"/>
          <w14:ligatures xmlns:w14="http://schemas.microsoft.com/office/word/2010/wordml" w14:val="none"/>
        </w:rPr>
        <w:t xml:space="preserve">. Data tersebut kemudian </w:t>
      </w:r>
      <w:r>
        <w:rPr>
          <w:rFonts w:cs="Times New Roman" w:eastAsia="Times New Roman"/>
          <w:kern w:val="0"/>
          <w:szCs w:val="24"/>
          <w14:ligatures xmlns:w14="http://schemas.microsoft.com/office/word/2010/wordml" w14:val="none"/>
        </w:rPr>
        <w:t xml:space="preserve">dilakukan </w:t>
      </w:r>
      <w:r>
        <w:rPr>
          <w:rFonts w:cs="Times New Roman" w:eastAsia="Times New Roman"/>
          <w:kern w:val="0"/>
          <w:szCs w:val="24"/>
          <w14:ligatures xmlns:w14="http://schemas.microsoft.com/office/word/2010/wordml" w14:val="none"/>
        </w:rPr>
        <w:t>transform</w:t>
      </w:r>
      <w:r>
        <w:rPr>
          <w:rFonts w:cs="Times New Roman" w:eastAsia="Times New Roman"/>
          <w:kern w:val="0"/>
          <w:szCs w:val="24"/>
          <w14:ligatures xmlns:w14="http://schemas.microsoft.com/office/word/2010/wordml" w14:val="none"/>
        </w:rPr>
        <w:t>asi</w:t>
      </w:r>
      <w:r>
        <w:rPr>
          <w:rFonts w:cs="Times New Roman" w:eastAsia="Times New Roman"/>
          <w:kern w:val="0"/>
          <w:szCs w:val="24"/>
          <w14:ligatures xmlns:w14="http://schemas.microsoft.com/office/word/2010/wordml" w14:val="none"/>
        </w:rPr>
        <w:t xml:space="preserve"> dengan mengubah dalam logaritma maupun </w:t>
      </w:r>
      <w:r>
        <w:rPr>
          <w:rFonts w:cs="Times New Roman" w:eastAsia="Times New Roman"/>
          <w:kern w:val="0"/>
          <w:szCs w:val="24"/>
          <w14:ligatures xmlns:w14="http://schemas.microsoft.com/office/word/2010/wordml" w14:val="none"/>
        </w:rPr>
        <w:t>bentuk lainnya</w:t>
      </w:r>
      <w:r>
        <w:rPr>
          <w:rFonts w:cs="Times New Roman" w:eastAsia="Times New Roman"/>
          <w:kern w:val="0"/>
          <w:szCs w:val="24"/>
          <w14:ligatures xmlns:w14="http://schemas.microsoft.com/office/word/2010/wordml" w14:val="none"/>
        </w:rPr>
        <w:t>. Hasil tranformasi tersebut menghasilkan data</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residual</w:t>
      </w:r>
      <w:r>
        <w:rPr>
          <w:rFonts w:cs="Times New Roman" w:eastAsia="Times New Roman"/>
          <w:kern w:val="0"/>
          <w:szCs w:val="24"/>
          <w14:ligatures xmlns:w14="http://schemas.microsoft.com/office/word/2010/wordml" w14:val="none"/>
        </w:rPr>
        <w:t xml:space="preserve"> sehingga distribusinya menjadi normal y</w:t>
      </w:r>
      <w:r>
        <w:rPr>
          <w:rFonts w:cs="Times New Roman" w:eastAsia="Times New Roman"/>
          <w:kern w:val="0"/>
          <w:szCs w:val="24"/>
          <w14:ligatures xmlns:w14="http://schemas.microsoft.com/office/word/2010/wordml" w14:val="none"/>
        </w:rPr>
        <w:t>ang</w:t>
      </w:r>
      <w:r>
        <w:rPr>
          <w:rFonts w:cs="Times New Roman" w:eastAsia="Times New Roman"/>
          <w:kern w:val="0"/>
          <w:szCs w:val="24"/>
          <w14:ligatures xmlns:w14="http://schemas.microsoft.com/office/word/2010/wordml" w14:val="none"/>
        </w:rPr>
        <w:t xml:space="preserve"> dilihat pada tabel </w:t>
      </w:r>
      <w:r>
        <w:rPr>
          <w:rFonts w:cs="Times New Roman" w:eastAsia="Times New Roman"/>
          <w:kern w:val="0"/>
          <w:szCs w:val="24"/>
          <w14:ligatures xmlns:w14="http://schemas.microsoft.com/office/word/2010/wordml" w14:val="none"/>
        </w:rPr>
        <w:t>4.3</w:t>
      </w:r>
      <w:r>
        <w:rPr>
          <w:rFonts w:cs="Times New Roman" w:eastAsia="Times New Roman"/>
          <w:kern w:val="0"/>
          <w:szCs w:val="24"/>
          <w14:ligatures xmlns:w14="http://schemas.microsoft.com/office/word/2010/wordml" w14:val="none"/>
        </w:rPr>
        <w:t>:</w:t>
      </w:r>
    </w:p>
    <w:bookmarkStart w:id="81" w:name="_Toc215602304"/>
    <w:bookmarkStart w:id="82" w:name="_Toc216129260"/>
    <w:bookmarkStart w:id="83" w:name="_Toc216804040"/>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5</w:t>
      </w:r>
      <w:r>
        <w:rPr>
          <w:b w:val="false"/>
          <w:bCs/>
          <w:i/>
          <w:iCs w:val="false"/>
          <w:color w:val="ffffff"/>
          <w:sz w:val="22"/>
          <w:szCs w:val="22"/>
        </w:rPr>
        <w:fldChar w:fldCharType="end"/>
      </w:r>
      <w:r>
        <w:rPr>
          <w:bCs/>
          <w:iCs w:val="false"/>
          <w:color w:val="auto"/>
          <w:sz w:val="22"/>
          <w:szCs w:val="22"/>
        </w:rPr>
        <w:t xml:space="preserve">4. </w:t>
      </w:r>
      <w:r>
        <w:rPr>
          <w:bCs/>
          <w:iCs w:val="false"/>
          <w:color w:val="auto"/>
          <w:sz w:val="22"/>
          <w:szCs w:val="22"/>
        </w:rPr>
        <w:t>3</w:t>
      </w:r>
      <w:r>
        <w:rPr>
          <w:bCs/>
          <w:iCs w:val="false"/>
          <w:color w:val="auto"/>
          <w:sz w:val="22"/>
          <w:szCs w:val="22"/>
        </w:rPr>
        <w:t>. Uji Normalitas setelah ditransformasi</w:t>
      </w:r>
      <w:bookmarkEnd w:id="81"/>
      <w:bookmarkEnd w:id="82"/>
      <w:bookmarkEnd w:id="83"/>
    </w:p>
    <w:tbl>
      <w:tblPr>
        <w:tblStyle w:val="style154"/>
        <w:tblW w:w="8005" w:type="dxa"/>
        <w:tblLook w:val="04A0" w:firstRow="1" w:lastRow="0" w:firstColumn="1" w:lastColumn="0" w:noHBand="0" w:noVBand="1"/>
      </w:tblPr>
      <w:tblGrid>
        <w:gridCol w:w="2423"/>
        <w:gridCol w:w="1979"/>
        <w:gridCol w:w="1259"/>
        <w:gridCol w:w="2344"/>
      </w:tblGrid>
      <w:tr>
        <w:trPr>
          <w:trHeight w:val="332" w:hRule="atLeast"/>
        </w:trPr>
        <w:tc>
          <w:tcPr>
            <w:tcW w:w="5661" w:type="dxa"/>
            <w:gridSpan w:val="3"/>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w:t>
            </w:r>
          </w:p>
        </w:tc>
        <w:tc>
          <w:tcPr>
            <w:tcW w:w="2344" w:type="dxa"/>
            <w:tcBorders/>
            <w:hideMark/>
          </w:tcPr>
          <w:p>
            <w:pPr>
              <w:pStyle w:val="style0"/>
              <w:ind w:left="-100" w:right="-93"/>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Unstandardized Residual</w:t>
            </w:r>
          </w:p>
        </w:tc>
      </w:tr>
      <w:tr>
        <w:tblPrEx/>
        <w:trPr>
          <w:trHeight w:val="310" w:hRule="atLeast"/>
        </w:trPr>
        <w:tc>
          <w:tcPr>
            <w:tcW w:w="5661" w:type="dxa"/>
            <w:gridSpan w:val="3"/>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N</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r>
      <w:tr>
        <w:tblPrEx/>
        <w:trPr>
          <w:trHeight w:val="310" w:hRule="atLeast"/>
        </w:trPr>
        <w:tc>
          <w:tcPr>
            <w:tcW w:w="2425" w:type="dxa"/>
            <w:vMerge w:val="restart"/>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Normal Parameters</w:t>
            </w:r>
            <w:r>
              <w:rPr>
                <w:rFonts w:cs="Times New Roman" w:eastAsia="Times New Roman"/>
                <w:kern w:val="0"/>
                <w:sz w:val="20"/>
                <w:szCs w:val="20"/>
                <w:vertAlign w:val="superscript"/>
                <w14:ligatures xmlns:w14="http://schemas.microsoft.com/office/word/2010/wordml" w14:val="none"/>
              </w:rPr>
              <w:t>a,b</w:t>
            </w: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Mean</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r>
      <w:tr>
        <w:tblPrEx/>
        <w:trPr>
          <w:trHeight w:val="310" w:hRule="atLeast"/>
        </w:trPr>
        <w:tc>
          <w:tcPr>
            <w:tcW w:w="242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Std. Deviation</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0.965</w:t>
            </w:r>
          </w:p>
        </w:tc>
      </w:tr>
      <w:tr>
        <w:tblPrEx/>
        <w:trPr>
          <w:trHeight w:val="310" w:hRule="atLeast"/>
        </w:trPr>
        <w:tc>
          <w:tcPr>
            <w:tcW w:w="2425" w:type="dxa"/>
            <w:vMerge w:val="restart"/>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Most Extreme Differences</w:t>
            </w: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Absolute</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0.055</w:t>
            </w:r>
          </w:p>
        </w:tc>
      </w:tr>
      <w:tr>
        <w:tblPrEx/>
        <w:trPr>
          <w:trHeight w:val="310" w:hRule="atLeast"/>
        </w:trPr>
        <w:tc>
          <w:tcPr>
            <w:tcW w:w="242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Positive</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0.055</w:t>
            </w:r>
          </w:p>
        </w:tc>
      </w:tr>
      <w:tr>
        <w:tblPrEx/>
        <w:trPr>
          <w:trHeight w:val="310" w:hRule="atLeast"/>
        </w:trPr>
        <w:tc>
          <w:tcPr>
            <w:tcW w:w="242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Negative</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-0.035</w:t>
            </w:r>
          </w:p>
        </w:tc>
      </w:tr>
      <w:tr>
        <w:tblPrEx/>
        <w:trPr>
          <w:trHeight w:val="310" w:hRule="atLeast"/>
        </w:trPr>
        <w:tc>
          <w:tcPr>
            <w:tcW w:w="5661" w:type="dxa"/>
            <w:gridSpan w:val="3"/>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Test Statistic</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0.055</w:t>
            </w:r>
          </w:p>
        </w:tc>
      </w:tr>
      <w:tr>
        <w:tblPrEx/>
        <w:trPr>
          <w:trHeight w:val="310" w:hRule="atLeast"/>
        </w:trPr>
        <w:tc>
          <w:tcPr>
            <w:tcW w:w="5661" w:type="dxa"/>
            <w:gridSpan w:val="3"/>
            <w:tcBorders>
              <w:bottom w:val="single" w:sz="4" w:space="0" w:color="auto"/>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Asymp. Sig. (2-tailed)</w:t>
            </w:r>
            <w:r>
              <w:rPr>
                <w:rFonts w:cs="Times New Roman" w:eastAsia="Times New Roman"/>
                <w:kern w:val="0"/>
                <w:sz w:val="20"/>
                <w:szCs w:val="20"/>
                <w:vertAlign w:val="superscript"/>
                <w14:ligatures xmlns:w14="http://schemas.microsoft.com/office/word/2010/wordml" w14:val="none"/>
              </w:rPr>
              <w:t>c</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0.091</w:t>
            </w:r>
          </w:p>
        </w:tc>
      </w:tr>
      <w:tr>
        <w:tblPrEx/>
        <w:trPr>
          <w:trHeight w:val="310" w:hRule="atLeast"/>
        </w:trPr>
        <w:tc>
          <w:tcPr>
            <w:tcW w:w="2425" w:type="dxa"/>
            <w:vMerge w:val="restart"/>
            <w:tcBorders/>
            <w:hideMark/>
          </w:tcPr>
          <w:p>
            <w:pPr>
              <w:pStyle w:val="style0"/>
              <w:ind w:right="-106"/>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Monte Carlo Sig. (2-tailed)</w:t>
            </w:r>
            <w:r>
              <w:rPr>
                <w:rFonts w:cs="Times New Roman" w:eastAsia="Times New Roman"/>
                <w:kern w:val="0"/>
                <w:sz w:val="20"/>
                <w:szCs w:val="20"/>
                <w:vertAlign w:val="superscript"/>
                <w14:ligatures xmlns:w14="http://schemas.microsoft.com/office/word/2010/wordml" w14:val="none"/>
              </w:rPr>
              <w:t>d</w:t>
            </w: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Sig.</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0.095</w:t>
            </w:r>
          </w:p>
        </w:tc>
      </w:tr>
      <w:tr>
        <w:tblPrEx/>
        <w:trPr>
          <w:trHeight w:val="251" w:hRule="atLeast"/>
        </w:trPr>
        <w:tc>
          <w:tcPr>
            <w:tcW w:w="2425" w:type="dxa"/>
            <w:vMerge w:val="continue"/>
            <w:tcBorders>
              <w:right w:val="single" w:sz="4" w:space="0" w:color="auto"/>
            </w:tcBorders>
            <w:hideMark/>
          </w:tcPr>
          <w:p>
            <w:pPr>
              <w:pStyle w:val="style0"/>
              <w:rPr>
                <w:rFonts w:cs="Times New Roman" w:eastAsia="Times New Roman"/>
                <w:kern w:val="0"/>
                <w:sz w:val="20"/>
                <w:szCs w:val="20"/>
                <w14:ligatures xmlns:w14="http://schemas.microsoft.com/office/word/2010/wordml" w14:val="none"/>
              </w:rPr>
            </w:pPr>
          </w:p>
        </w:tc>
        <w:tc>
          <w:tcPr>
            <w:tcW w:w="1976" w:type="dxa"/>
            <w:tcBorders>
              <w:top w:val="nil"/>
              <w:left w:val="single" w:sz="4" w:space="0" w:color="auto"/>
              <w:bottom w:val="nil"/>
              <w:right w:val="single" w:sz="4" w:space="0" w:color="auto"/>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xml:space="preserve">99% Confidence </w:t>
            </w:r>
          </w:p>
        </w:tc>
        <w:tc>
          <w:tcPr>
            <w:tcW w:w="1260" w:type="dxa"/>
            <w:tcBorders>
              <w:left w:val="single" w:sz="4" w:space="0" w:color="auto"/>
            </w:tcBorders>
            <w:hideMark/>
          </w:tcPr>
          <w:p>
            <w:pPr>
              <w:pStyle w:val="style0"/>
              <w:ind w:left="-15" w:right="-116"/>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Lower Bound</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0.088</w:t>
            </w:r>
          </w:p>
        </w:tc>
      </w:tr>
      <w:tr>
        <w:tblPrEx/>
        <w:trPr>
          <w:trHeight w:val="296" w:hRule="atLeast"/>
        </w:trPr>
        <w:tc>
          <w:tcPr>
            <w:tcW w:w="242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1980" w:type="dxa"/>
            <w:tcBorders>
              <w:top w:val="nil"/>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Interval</w:t>
            </w:r>
          </w:p>
        </w:tc>
        <w:tc>
          <w:tcPr>
            <w:tcW w:w="1256" w:type="dxa"/>
            <w:tcBorders/>
            <w:hideMark/>
          </w:tcPr>
          <w:p>
            <w:pPr>
              <w:pStyle w:val="style0"/>
              <w:ind w:left="-15" w:right="-116"/>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Upper Bound</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0.103</w:t>
            </w:r>
          </w:p>
        </w:tc>
      </w:tr>
    </w:tbl>
    <w:p>
      <w:pPr>
        <w:pStyle w:val="style0"/>
        <w:spacing w:lineRule="auto" w:line="360"/>
        <w:jc w:val="both"/>
        <w:rPr>
          <w:rFonts w:cs="Times New Roman"/>
          <w:i/>
          <w:sz w:val="20"/>
          <w:szCs w:val="20"/>
        </w:rPr>
      </w:pPr>
      <w:r>
        <w:rPr>
          <w:rFonts w:cs="Times New Roman"/>
          <w:i/>
          <w:sz w:val="20"/>
          <w:szCs w:val="20"/>
        </w:rPr>
        <w:t>Sumber: Output SPSS</w:t>
      </w:r>
      <w:r>
        <w:rPr>
          <w:rFonts w:cs="Times New Roman"/>
          <w:i/>
          <w:sz w:val="20"/>
          <w:szCs w:val="20"/>
        </w:rPr>
        <w:t xml:space="preserve"> 30</w:t>
      </w:r>
      <w:r>
        <w:rPr>
          <w:rFonts w:cs="Times New Roman"/>
          <w:i/>
          <w:sz w:val="20"/>
          <w:szCs w:val="20"/>
        </w:rPr>
        <w:t xml:space="preserve">, 2025 </w:t>
      </w:r>
    </w:p>
    <w:p>
      <w:pPr>
        <w:pStyle w:val="style0"/>
        <w:tabs>
          <w:tab w:val="left" w:leader="none" w:pos="810"/>
        </w:tabs>
        <w:spacing w:after="0" w:lineRule="auto" w:line="480"/>
        <w:jc w:val="both"/>
        <w:rPr>
          <w:rFonts w:cs="Times New Roman" w:eastAsia="Times New Roman"/>
          <w:kern w:val="0"/>
          <w:szCs w:val="24"/>
          <w14:ligatures xmlns:w14="http://schemas.microsoft.com/office/word/2010/wordml" w14:val="none"/>
        </w:rPr>
      </w:pPr>
      <w:r>
        <w:rPr>
          <w:rFonts w:cs="Times New Roman"/>
          <w:iCs/>
          <w:szCs w:val="24"/>
        </w:rPr>
        <w:tab/>
      </w:r>
      <w:r>
        <w:rPr>
          <w:rFonts w:cs="Times New Roman"/>
          <w:iCs/>
          <w:szCs w:val="24"/>
        </w:rPr>
        <w:t>Pada tabel 4.</w:t>
      </w:r>
      <w:r>
        <w:rPr>
          <w:rFonts w:cs="Times New Roman"/>
          <w:iCs/>
          <w:szCs w:val="24"/>
        </w:rPr>
        <w:t>3</w:t>
      </w:r>
      <w:r>
        <w:rPr>
          <w:rFonts w:cs="Times New Roman"/>
          <w:iCs/>
          <w:szCs w:val="24"/>
        </w:rPr>
        <w:t xml:space="preserve">. </w:t>
      </w:r>
      <w:r>
        <w:rPr>
          <w:rFonts w:cs="Times New Roman"/>
          <w:iCs/>
          <w:szCs w:val="24"/>
        </w:rPr>
        <w:t xml:space="preserve">merupakan hasil pengolahan data setelah dilakukan transformasi yang </w:t>
      </w:r>
      <w:r>
        <w:rPr>
          <w:rFonts w:cs="Times New Roman"/>
          <w:iCs/>
          <w:szCs w:val="24"/>
        </w:rPr>
        <w:t xml:space="preserve">menunjukkan bahwa </w:t>
      </w:r>
      <w:r>
        <w:rPr>
          <w:rFonts w:cs="Times New Roman" w:eastAsia="Times New Roman"/>
          <w:i/>
          <w:iCs/>
          <w:kern w:val="0"/>
          <w:szCs w:val="24"/>
          <w14:ligatures xmlns:w14="http://schemas.microsoft.com/office/word/2010/wordml" w14:val="none"/>
        </w:rPr>
        <w:t>Asymp.</w:t>
      </w:r>
      <w:r>
        <w:rPr>
          <w:rFonts w:cs="Times New Roman" w:eastAsia="Times New Roman"/>
          <w:kern w:val="0"/>
          <w:szCs w:val="24"/>
          <w14:ligatures xmlns:w14="http://schemas.microsoft.com/office/word/2010/wordml" w14:val="none"/>
        </w:rPr>
        <w:t xml:space="preserve"> </w:t>
      </w:r>
      <w:r>
        <w:rPr>
          <w:rFonts w:cs="Times New Roman" w:eastAsia="Times New Roman"/>
          <w:i/>
          <w:iCs/>
          <w:kern w:val="0"/>
          <w:szCs w:val="24"/>
          <w14:ligatures xmlns:w14="http://schemas.microsoft.com/office/word/2010/wordml" w14:val="none"/>
        </w:rPr>
        <w:t>Sig.</w:t>
      </w:r>
      <w:r>
        <w:rPr>
          <w:rFonts w:cs="Times New Roman" w:eastAsia="Times New Roman"/>
          <w:kern w:val="0"/>
          <w:szCs w:val="24"/>
          <w14:ligatures xmlns:w14="http://schemas.microsoft.com/office/word/2010/wordml" w14:val="none"/>
        </w:rPr>
        <w:t xml:space="preserve"> (2-</w:t>
      </w:r>
      <w:r>
        <w:rPr>
          <w:rFonts w:cs="Times New Roman" w:eastAsia="Times New Roman"/>
          <w:i/>
          <w:iCs/>
          <w:kern w:val="0"/>
          <w:szCs w:val="24"/>
          <w14:ligatures xmlns:w14="http://schemas.microsoft.com/office/word/2010/wordml" w14:val="none"/>
        </w:rPr>
        <w:t>tailed</w:t>
      </w:r>
      <w:r>
        <w:rPr>
          <w:rFonts w:cs="Times New Roman" w:eastAsia="Times New Roman"/>
          <w:kern w:val="0"/>
          <w:szCs w:val="24"/>
          <w14:ligatures xmlns:w14="http://schemas.microsoft.com/office/word/2010/wordml" w14:val="none"/>
        </w:rPr>
        <w:t>)</w:t>
      </w:r>
      <w:r>
        <w:rPr>
          <w:rFonts w:cs="Times New Roman" w:eastAsia="Times New Roman"/>
          <w:kern w:val="0"/>
          <w:szCs w:val="24"/>
          <w:vertAlign w:val="superscript"/>
          <w14:ligatures xmlns:w14="http://schemas.microsoft.com/office/word/2010/wordml" w14:val="none"/>
        </w:rPr>
        <w:t xml:space="preserve">  </w:t>
      </w:r>
      <w:r>
        <w:rPr>
          <w:rFonts w:cs="Times New Roman"/>
          <w:iCs/>
          <w:szCs w:val="24"/>
        </w:rPr>
        <w:t>atau nilai signifikasi</w:t>
      </w:r>
      <w:r>
        <w:rPr>
          <w:rFonts w:cs="Times New Roman"/>
          <w:iCs/>
          <w:szCs w:val="24"/>
        </w:rPr>
        <w:t xml:space="preserve"> sebesar</w:t>
      </w:r>
      <w:r>
        <w:rPr>
          <w:rFonts w:cs="Times New Roman"/>
          <w:iCs/>
          <w:szCs w:val="24"/>
        </w:rPr>
        <w:t xml:space="preserve">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091</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 xml:space="preserve"> Data yang digunakan</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dapat disimpulkan bahwa </w:t>
      </w:r>
      <w:r>
        <w:rPr>
          <w:rFonts w:cs="Times New Roman" w:eastAsia="Times New Roman"/>
          <w:kern w:val="0"/>
          <w:szCs w:val="24"/>
          <w14:ligatures xmlns:w14="http://schemas.microsoft.com/office/word/2010/wordml" w14:val="none"/>
        </w:rPr>
        <w:t>memiliki distribusi normal</w:t>
      </w:r>
      <w:r>
        <w:rPr>
          <w:rFonts w:cs="Times New Roman" w:eastAsia="Times New Roman"/>
          <w:kern w:val="0"/>
          <w:szCs w:val="24"/>
          <w14:ligatures xmlns:w14="http://schemas.microsoft.com/office/word/2010/wordml" w14:val="none"/>
        </w:rPr>
        <w:t xml:space="preserve"> karena signifikansi telah lebih dari 0,05</w:t>
      </w:r>
      <w:r>
        <w:rPr>
          <w:rFonts w:cs="Times New Roman" w:eastAsia="Times New Roman"/>
          <w:kern w:val="0"/>
          <w:szCs w:val="24"/>
          <w14:ligatures xmlns:w14="http://schemas.microsoft.com/office/word/2010/wordml" w14:val="none"/>
        </w:rPr>
        <w:t xml:space="preserve"> </w:t>
      </w:r>
      <w:r>
        <w:rPr>
          <w:rFonts w:cs="Times New Roman"/>
          <w:iCs/>
          <w:szCs w:val="24"/>
        </w:rPr>
        <w:t xml:space="preserve"> (0,091 &gt; 0,05)</w:t>
      </w:r>
      <w:r>
        <w:rPr>
          <w:rFonts w:cs="Times New Roman"/>
          <w:iCs/>
          <w:szCs w:val="24"/>
        </w:rPr>
        <w:t xml:space="preserve"> </w:t>
      </w:r>
      <w:r>
        <w:rPr>
          <w:rFonts w:cs="Times New Roman" w:eastAsia="Times New Roman"/>
          <w:kern w:val="0"/>
          <w:szCs w:val="24"/>
          <w14:ligatures xmlns:w14="http://schemas.microsoft.com/office/word/2010/wordml" w14:val="none"/>
        </w:rPr>
        <w:t>sehingga layak dilakukan pengujian</w:t>
      </w:r>
      <w:r>
        <w:rPr>
          <w:rFonts w:cs="Times New Roman" w:eastAsia="Times New Roman"/>
          <w:kern w:val="0"/>
          <w:szCs w:val="24"/>
          <w14:ligatures xmlns:w14="http://schemas.microsoft.com/office/word/2010/wordml" w14:val="none"/>
        </w:rPr>
        <w:t>.</w:t>
      </w:r>
    </w:p>
    <w:p>
      <w:pPr>
        <w:pStyle w:val="style4"/>
        <w:spacing w:before="0"/>
        <w:rPr/>
      </w:pPr>
      <w:r>
        <w:t xml:space="preserve">4.2.2.2. Uji Multikolinearitas </w:t>
      </w:r>
      <w:r>
        <w:rPr>
          <w:rFonts w:cs="Times New Roman" w:eastAsia="Times New Roman"/>
          <w:color w:val="000000"/>
          <w:szCs w:val="24"/>
        </w:rPr>
        <w:t>(Hubungan Antar Variabel)</w:t>
      </w:r>
    </w:p>
    <w:p>
      <w:pPr>
        <w:pStyle w:val="style0"/>
        <w:tabs>
          <w:tab w:val="left" w:leader="none" w:pos="810"/>
        </w:tabs>
        <w:spacing w:after="0" w:lineRule="auto" w:line="480"/>
        <w:jc w:val="both"/>
        <w:rPr>
          <w:rFonts w:cs="Times New Roman"/>
          <w:iCs/>
          <w:szCs w:val="24"/>
        </w:rPr>
      </w:pPr>
      <w:r>
        <w:rPr>
          <w:rFonts w:cs="Times New Roman" w:eastAsia="Times New Roman"/>
          <w:color w:val="000000"/>
          <w:szCs w:val="24"/>
        </w:rPr>
        <w:tab/>
      </w:r>
      <w:r>
        <w:rPr>
          <w:rFonts w:cs="Times New Roman" w:eastAsia="Times New Roman"/>
          <w:color w:val="000000"/>
          <w:szCs w:val="24"/>
        </w:rPr>
        <w:t>Pengujian ini di</w:t>
      </w:r>
      <w:r>
        <w:rPr>
          <w:rFonts w:cs="Times New Roman" w:eastAsia="Times New Roman"/>
          <w:color w:val="000000"/>
          <w:szCs w:val="24"/>
        </w:rPr>
        <w:t>lakukan</w:t>
      </w:r>
      <w:r>
        <w:rPr>
          <w:rFonts w:cs="Times New Roman" w:eastAsia="Times New Roman"/>
          <w:color w:val="000000"/>
          <w:szCs w:val="24"/>
        </w:rPr>
        <w:t xml:space="preserve"> untuk mengetahui adanya hubungan linier atau korelasi yang tinggi antar variabel yang menjelaskan model regresi</w:t>
      </w:r>
      <w:r>
        <w:rPr>
          <w:rFonts w:cs="Times New Roman" w:eastAsia="Times New Roman"/>
          <w:color w:val="000000"/>
          <w:szCs w:val="24"/>
        </w:rPr>
        <w:t xml:space="preserve"> ganda</w:t>
      </w:r>
      <w:r>
        <w:rPr>
          <w:rFonts w:cs="Times New Roman" w:eastAsia="Times New Roman"/>
          <w:color w:val="000000"/>
          <w:szCs w:val="24"/>
        </w:rPr>
        <w:t>.</w:t>
      </w:r>
      <w:r>
        <w:rPr>
          <w:rFonts w:cs="Times New Roman" w:eastAsia="Times New Roman"/>
          <w:color w:val="000000"/>
          <w:szCs w:val="24"/>
        </w:rPr>
        <w:t xml:space="preserve"> Pengujian ini dapat dideteksi dengan nilai </w:t>
      </w:r>
      <w:r>
        <w:rPr>
          <w:rFonts w:cs="Times New Roman" w:eastAsia="Times New Roman"/>
          <w:i/>
          <w:iCs/>
          <w:color w:val="000000"/>
          <w:szCs w:val="24"/>
        </w:rPr>
        <w:t xml:space="preserve">Variance Inflation Factors </w:t>
      </w:r>
      <w:r>
        <w:rPr>
          <w:rFonts w:cs="Times New Roman" w:eastAsia="Times New Roman"/>
          <w:color w:val="000000"/>
          <w:szCs w:val="24"/>
        </w:rPr>
        <w:t xml:space="preserve">(VIF). Dikatakan </w:t>
      </w:r>
      <w:r>
        <w:rPr>
          <w:rFonts w:cs="Times New Roman" w:eastAsia="Times New Roman"/>
          <w:color w:val="000000"/>
          <w:szCs w:val="24"/>
        </w:rPr>
        <w:t xml:space="preserve">data </w:t>
      </w:r>
      <w:r>
        <w:rPr>
          <w:rFonts w:cs="Times New Roman" w:eastAsia="Times New Roman"/>
          <w:color w:val="000000"/>
          <w:szCs w:val="24"/>
        </w:rPr>
        <w:t xml:space="preserve">tidak multikolinearitas, jika nilai </w:t>
      </w:r>
      <w:r>
        <w:rPr>
          <w:rFonts w:cs="Times New Roman" w:eastAsia="Times New Roman"/>
          <w:i/>
          <w:iCs/>
          <w:color w:val="000000"/>
          <w:szCs w:val="24"/>
        </w:rPr>
        <w:t xml:space="preserve">Variance Inflation Factors </w:t>
      </w:r>
      <w:r>
        <w:rPr>
          <w:rFonts w:cs="Times New Roman" w:eastAsia="Times New Roman"/>
          <w:color w:val="000000"/>
          <w:szCs w:val="24"/>
        </w:rPr>
        <w:t xml:space="preserve">(VIF) kurang dari </w:t>
      </w:r>
      <w:r>
        <w:rPr>
          <w:rFonts w:cs="Times New Roman" w:eastAsia="Times New Roman"/>
          <w:color w:val="000000"/>
          <w:szCs w:val="24"/>
        </w:rPr>
        <w:t>10</w:t>
      </w:r>
      <w:r>
        <w:rPr>
          <w:rFonts w:cs="Times New Roman" w:eastAsia="Times New Roman"/>
          <w:color w:val="000000"/>
          <w:szCs w:val="24"/>
        </w:rPr>
        <w:t xml:space="preserve"> (VIF &lt; 10)</w:t>
      </w:r>
      <w:r>
        <w:rPr>
          <w:rFonts w:cs="Times New Roman" w:eastAsia="Times New Roman"/>
          <w:color w:val="000000"/>
          <w:szCs w:val="24"/>
        </w:rPr>
        <w:t xml:space="preserve">. </w:t>
      </w:r>
      <w:r>
        <w:rPr>
          <w:rFonts w:cs="Times New Roman"/>
          <w:iCs/>
          <w:szCs w:val="24"/>
        </w:rPr>
        <w:t xml:space="preserve">Hasil uji </w:t>
      </w:r>
      <w:r>
        <w:rPr>
          <w:rFonts w:cs="Times New Roman"/>
          <w:iCs/>
          <w:szCs w:val="24"/>
        </w:rPr>
        <w:t>multikolinearitas</w:t>
      </w:r>
      <w:r>
        <w:rPr>
          <w:rFonts w:cs="Times New Roman"/>
          <w:iCs/>
          <w:szCs w:val="24"/>
        </w:rPr>
        <w:t xml:space="preserve"> dapat dilihat pada tabel </w:t>
      </w:r>
      <w:r>
        <w:rPr>
          <w:rFonts w:cs="Times New Roman"/>
          <w:iCs/>
          <w:szCs w:val="24"/>
        </w:rPr>
        <w:t>4.4</w:t>
      </w:r>
      <w:r>
        <w:rPr>
          <w:rFonts w:cs="Times New Roman"/>
          <w:iCs/>
          <w:szCs w:val="24"/>
        </w:rPr>
        <w:t>:</w:t>
      </w:r>
    </w:p>
    <w:p>
      <w:pPr>
        <w:pStyle w:val="style0"/>
        <w:tabs>
          <w:tab w:val="left" w:leader="none" w:pos="810"/>
        </w:tabs>
        <w:spacing w:after="0" w:lineRule="auto" w:line="480"/>
        <w:jc w:val="both"/>
        <w:rPr/>
      </w:pPr>
    </w:p>
    <w:bookmarkStart w:id="84" w:name="_Toc215602305"/>
    <w:bookmarkStart w:id="85" w:name="_Toc216129261"/>
    <w:bookmarkStart w:id="86" w:name="_Toc216804041"/>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6</w:t>
      </w:r>
      <w:r>
        <w:rPr>
          <w:b w:val="false"/>
          <w:bCs/>
          <w:i/>
          <w:iCs w:val="false"/>
          <w:color w:val="ffffff"/>
          <w:sz w:val="22"/>
          <w:szCs w:val="22"/>
        </w:rPr>
        <w:fldChar w:fldCharType="end"/>
      </w:r>
      <w:r>
        <w:rPr>
          <w:bCs/>
          <w:iCs w:val="false"/>
          <w:color w:val="auto"/>
          <w:sz w:val="22"/>
          <w:szCs w:val="22"/>
        </w:rPr>
        <w:t xml:space="preserve">4. </w:t>
      </w:r>
      <w:r>
        <w:rPr>
          <w:bCs/>
          <w:iCs w:val="false"/>
          <w:color w:val="auto"/>
          <w:sz w:val="22"/>
          <w:szCs w:val="22"/>
        </w:rPr>
        <w:t>4</w:t>
      </w:r>
      <w:r>
        <w:rPr>
          <w:bCs/>
          <w:iCs w:val="false"/>
          <w:color w:val="auto"/>
          <w:sz w:val="22"/>
          <w:szCs w:val="22"/>
        </w:rPr>
        <w:t>. Uji Multikolinearitas</w:t>
      </w:r>
      <w:bookmarkEnd w:id="84"/>
      <w:bookmarkEnd w:id="85"/>
      <w:bookmarkEnd w:id="86"/>
    </w:p>
    <w:tbl>
      <w:tblPr>
        <w:tblStyle w:val="style154"/>
        <w:tblW w:w="0" w:type="auto"/>
        <w:tblLayout w:type="fixed"/>
        <w:tblLook w:val="04A0" w:firstRow="1" w:lastRow="0" w:firstColumn="1" w:lastColumn="0" w:noHBand="0" w:noVBand="1"/>
      </w:tblPr>
      <w:tblGrid>
        <w:gridCol w:w="324"/>
        <w:gridCol w:w="1520"/>
        <w:gridCol w:w="761"/>
        <w:gridCol w:w="900"/>
        <w:gridCol w:w="1247"/>
        <w:gridCol w:w="781"/>
        <w:gridCol w:w="666"/>
        <w:gridCol w:w="1042"/>
        <w:gridCol w:w="686"/>
      </w:tblGrid>
      <w:tr>
        <w:trPr>
          <w:trHeight w:val="249" w:hRule="atLeast"/>
        </w:trPr>
        <w:tc>
          <w:tcPr>
            <w:tcW w:w="7927" w:type="dxa"/>
            <w:gridSpan w:val="9"/>
            <w:tcBorders/>
            <w:hideMark/>
          </w:tcPr>
          <w:p>
            <w:pPr>
              <w:pStyle w:val="style0"/>
              <w:jc w:val="center"/>
              <w:rPr>
                <w:rFonts w:cs="Times New Roman" w:eastAsia="Times New Roman"/>
                <w:b/>
                <w:bCs/>
                <w:kern w:val="0"/>
                <w:sz w:val="20"/>
                <w:szCs w:val="20"/>
                <w14:ligatures xmlns:w14="http://schemas.microsoft.com/office/word/2010/wordml" w14:val="none"/>
              </w:rPr>
            </w:pPr>
            <w:r>
              <w:rPr>
                <w:rFonts w:cs="Times New Roman" w:eastAsia="Times New Roman"/>
                <w:b/>
                <w:bCs/>
                <w:kern w:val="0"/>
                <w:sz w:val="20"/>
                <w:szCs w:val="20"/>
                <w14:ligatures xmlns:w14="http://schemas.microsoft.com/office/word/2010/wordml" w14:val="none"/>
              </w:rPr>
              <w:t>Coefficients</w:t>
            </w:r>
            <w:r>
              <w:rPr>
                <w:rFonts w:cs="Times New Roman" w:eastAsia="Times New Roman"/>
                <w:b/>
                <w:bCs/>
                <w:kern w:val="0"/>
                <w:sz w:val="20"/>
                <w:szCs w:val="20"/>
                <w:vertAlign w:val="superscript"/>
                <w14:ligatures xmlns:w14="http://schemas.microsoft.com/office/word/2010/wordml" w14:val="none"/>
              </w:rPr>
              <w:t>a</w:t>
            </w:r>
          </w:p>
        </w:tc>
      </w:tr>
      <w:tr>
        <w:tblPrEx/>
        <w:trPr>
          <w:trHeight w:val="441" w:hRule="atLeast"/>
        </w:trPr>
        <w:tc>
          <w:tcPr>
            <w:tcW w:w="1844" w:type="dxa"/>
            <w:gridSpan w:val="2"/>
            <w:vMerge w:val="restart"/>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Model</w:t>
            </w:r>
          </w:p>
        </w:tc>
        <w:tc>
          <w:tcPr>
            <w:tcW w:w="1661" w:type="dxa"/>
            <w:gridSpan w:val="2"/>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Unstandardized Coefficients</w:t>
            </w:r>
          </w:p>
        </w:tc>
        <w:tc>
          <w:tcPr>
            <w:tcW w:w="1247" w:type="dxa"/>
            <w:tcBorders/>
            <w:hideMark/>
          </w:tcPr>
          <w:p>
            <w:pPr>
              <w:pStyle w:val="style0"/>
              <w:ind w:right="-114"/>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Standardized Coefficients</w:t>
            </w:r>
          </w:p>
        </w:tc>
        <w:tc>
          <w:tcPr>
            <w:tcW w:w="781" w:type="dxa"/>
            <w:vMerge w:val="restart"/>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t</w:t>
            </w:r>
          </w:p>
        </w:tc>
        <w:tc>
          <w:tcPr>
            <w:tcW w:w="666" w:type="dxa"/>
            <w:vMerge w:val="restart"/>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Sig.</w:t>
            </w:r>
          </w:p>
        </w:tc>
        <w:tc>
          <w:tcPr>
            <w:tcW w:w="1728" w:type="dxa"/>
            <w:gridSpan w:val="2"/>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Collinearity Statistics</w:t>
            </w:r>
          </w:p>
        </w:tc>
      </w:tr>
      <w:tr>
        <w:tblPrEx/>
        <w:trPr>
          <w:trHeight w:val="251" w:hRule="atLeast"/>
        </w:trPr>
        <w:tc>
          <w:tcPr>
            <w:tcW w:w="1844" w:type="dxa"/>
            <w:gridSpan w:val="2"/>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761"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B</w:t>
            </w:r>
          </w:p>
        </w:tc>
        <w:tc>
          <w:tcPr>
            <w:tcW w:w="900" w:type="dxa"/>
            <w:tcBorders/>
            <w:hideMark/>
          </w:tcPr>
          <w:p>
            <w:pPr>
              <w:pStyle w:val="style0"/>
              <w:ind w:left="-110" w:right="-11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Std. Error</w:t>
            </w:r>
          </w:p>
        </w:tc>
        <w:tc>
          <w:tcPr>
            <w:tcW w:w="1247"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Beta</w:t>
            </w:r>
          </w:p>
        </w:tc>
        <w:tc>
          <w:tcPr>
            <w:tcW w:w="781" w:type="dxa"/>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666" w:type="dxa"/>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1042" w:type="dxa"/>
            <w:tcBorders/>
            <w:hideMark/>
          </w:tcPr>
          <w:p>
            <w:pPr>
              <w:pStyle w:val="style0"/>
              <w:ind w:right="-85"/>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Tolerance</w:t>
            </w:r>
          </w:p>
        </w:tc>
        <w:tc>
          <w:tcPr>
            <w:tcW w:w="686"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VIF</w:t>
            </w:r>
          </w:p>
        </w:tc>
      </w:tr>
      <w:tr>
        <w:tblPrEx/>
        <w:trPr>
          <w:trHeight w:val="224" w:hRule="atLeast"/>
        </w:trPr>
        <w:tc>
          <w:tcPr>
            <w:tcW w:w="324" w:type="dxa"/>
            <w:vMerge w:val="restart"/>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w:t>
            </w:r>
          </w:p>
        </w:tc>
        <w:tc>
          <w:tcPr>
            <w:tcW w:w="1520"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(Constant)</w:t>
            </w:r>
          </w:p>
        </w:tc>
        <w:tc>
          <w:tcPr>
            <w:tcW w:w="761"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0.064</w:t>
            </w:r>
          </w:p>
        </w:tc>
        <w:tc>
          <w:tcPr>
            <w:tcW w:w="1247" w:type="dxa"/>
            <w:tcBorders/>
            <w:hideMark/>
          </w:tcPr>
          <w:p>
            <w:pPr>
              <w:pStyle w:val="style0"/>
              <w:jc w:val="center"/>
              <w:rPr>
                <w:rFonts w:cs="Times New Roman" w:eastAsia="Times New Roman"/>
                <w:kern w:val="0"/>
                <w:sz w:val="20"/>
                <w:szCs w:val="20"/>
                <w14:ligatures xmlns:w14="http://schemas.microsoft.com/office/word/2010/wordml" w14:val="none"/>
              </w:rPr>
            </w:pPr>
          </w:p>
        </w:tc>
        <w:tc>
          <w:tcPr>
            <w:tcW w:w="781"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0.006</w:t>
            </w:r>
          </w:p>
        </w:tc>
        <w:tc>
          <w:tcPr>
            <w:tcW w:w="66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0.996</w:t>
            </w:r>
          </w:p>
        </w:tc>
        <w:tc>
          <w:tcPr>
            <w:tcW w:w="1042" w:type="dxa"/>
            <w:tcBorders/>
            <w:hideMark/>
          </w:tcPr>
          <w:p>
            <w:pPr>
              <w:pStyle w:val="style0"/>
              <w:jc w:val="center"/>
              <w:rPr>
                <w:rFonts w:cs="Times New Roman" w:eastAsia="Times New Roman"/>
                <w:kern w:val="0"/>
                <w:sz w:val="20"/>
                <w:szCs w:val="20"/>
                <w14:ligatures xmlns:w14="http://schemas.microsoft.com/office/word/2010/wordml" w14:val="none"/>
              </w:rPr>
            </w:pPr>
          </w:p>
        </w:tc>
        <w:tc>
          <w:tcPr>
            <w:tcW w:w="686" w:type="dxa"/>
            <w:tcBorders/>
            <w:hideMark/>
          </w:tcPr>
          <w:p>
            <w:pPr>
              <w:pStyle w:val="style0"/>
              <w:jc w:val="center"/>
              <w:rPr>
                <w:rFonts w:cs="Times New Roman" w:eastAsia="Times New Roman"/>
                <w:kern w:val="0"/>
                <w:sz w:val="20"/>
                <w:szCs w:val="20"/>
                <w14:ligatures xmlns:w14="http://schemas.microsoft.com/office/word/2010/wordml" w14:val="none"/>
              </w:rPr>
            </w:pPr>
          </w:p>
        </w:tc>
      </w:tr>
      <w:tr>
        <w:tblPrEx/>
        <w:trPr>
          <w:trHeight w:val="461" w:hRule="atLeast"/>
        </w:trPr>
        <w:tc>
          <w:tcPr>
            <w:tcW w:w="324" w:type="dxa"/>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1520"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Enterprise Risk Management</w:t>
            </w:r>
          </w:p>
        </w:tc>
        <w:tc>
          <w:tcPr>
            <w:tcW w:w="761"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0.121</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0.068</w:t>
            </w:r>
          </w:p>
        </w:tc>
        <w:tc>
          <w:tcPr>
            <w:tcW w:w="1247"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0.118</w:t>
            </w:r>
          </w:p>
        </w:tc>
        <w:tc>
          <w:tcPr>
            <w:tcW w:w="781"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1.787</w:t>
            </w:r>
          </w:p>
        </w:tc>
        <w:tc>
          <w:tcPr>
            <w:tcW w:w="66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0.075</w:t>
            </w:r>
          </w:p>
        </w:tc>
        <w:tc>
          <w:tcPr>
            <w:tcW w:w="1042"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0.941</w:t>
            </w:r>
          </w:p>
        </w:tc>
        <w:tc>
          <w:tcPr>
            <w:tcW w:w="68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1.063</w:t>
            </w:r>
          </w:p>
        </w:tc>
      </w:tr>
      <w:tr>
        <w:tblPrEx/>
        <w:trPr>
          <w:trHeight w:val="395" w:hRule="atLeast"/>
        </w:trPr>
        <w:tc>
          <w:tcPr>
            <w:tcW w:w="324" w:type="dxa"/>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1520"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Managerial Ownership</w:t>
            </w:r>
          </w:p>
        </w:tc>
        <w:tc>
          <w:tcPr>
            <w:tcW w:w="761"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-0.016</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0.082</w:t>
            </w:r>
          </w:p>
        </w:tc>
        <w:tc>
          <w:tcPr>
            <w:tcW w:w="1247"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-0.016</w:t>
            </w:r>
          </w:p>
        </w:tc>
        <w:tc>
          <w:tcPr>
            <w:tcW w:w="781"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-0.200</w:t>
            </w:r>
          </w:p>
        </w:tc>
        <w:tc>
          <w:tcPr>
            <w:tcW w:w="66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0.842</w:t>
            </w:r>
          </w:p>
        </w:tc>
        <w:tc>
          <w:tcPr>
            <w:tcW w:w="1042"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0.681</w:t>
            </w:r>
          </w:p>
        </w:tc>
        <w:tc>
          <w:tcPr>
            <w:tcW w:w="68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1.469</w:t>
            </w:r>
          </w:p>
        </w:tc>
      </w:tr>
      <w:tr>
        <w:tblPrEx/>
        <w:trPr>
          <w:trHeight w:val="404" w:hRule="atLeast"/>
        </w:trPr>
        <w:tc>
          <w:tcPr>
            <w:tcW w:w="324" w:type="dxa"/>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1520"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Institutional Ownership</w:t>
            </w:r>
          </w:p>
        </w:tc>
        <w:tc>
          <w:tcPr>
            <w:tcW w:w="761"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0.188</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0.076</w:t>
            </w:r>
          </w:p>
        </w:tc>
        <w:tc>
          <w:tcPr>
            <w:tcW w:w="1247"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0.188</w:t>
            </w:r>
          </w:p>
        </w:tc>
        <w:tc>
          <w:tcPr>
            <w:tcW w:w="781"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2.468</w:t>
            </w:r>
          </w:p>
        </w:tc>
        <w:tc>
          <w:tcPr>
            <w:tcW w:w="66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0.014</w:t>
            </w:r>
          </w:p>
        </w:tc>
        <w:tc>
          <w:tcPr>
            <w:tcW w:w="1042"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0.715</w:t>
            </w:r>
          </w:p>
        </w:tc>
        <w:tc>
          <w:tcPr>
            <w:tcW w:w="68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1.399</w:t>
            </w:r>
          </w:p>
        </w:tc>
      </w:tr>
    </w:tbl>
    <w:p>
      <w:pPr>
        <w:pStyle w:val="style0"/>
        <w:spacing w:lineRule="auto" w:line="360"/>
        <w:jc w:val="both"/>
        <w:rPr>
          <w:rFonts w:cs="Times New Roman" w:eastAsia="Times New Roman"/>
          <w:i/>
          <w:iCs/>
          <w:kern w:val="0"/>
          <w:sz w:val="20"/>
          <w:szCs w:val="20"/>
          <w14:ligatures xmlns:w14="http://schemas.microsoft.com/office/word/2010/wordml" w14:val="none"/>
        </w:rPr>
      </w:pPr>
      <w:r>
        <w:rPr>
          <w:rFonts w:cs="Times New Roman" w:eastAsia="Times New Roman"/>
          <w:i/>
          <w:iCs/>
          <w:kern w:val="0"/>
          <w:sz w:val="20"/>
          <w:szCs w:val="20"/>
          <w14:ligatures xmlns:w14="http://schemas.microsoft.com/office/word/2010/wordml" w14:val="none"/>
        </w:rPr>
        <w:t>Sumber: Output SPSS</w:t>
      </w:r>
      <w:r>
        <w:rPr>
          <w:rFonts w:cs="Times New Roman" w:eastAsia="Times New Roman"/>
          <w:i/>
          <w:iCs/>
          <w:kern w:val="0"/>
          <w:sz w:val="20"/>
          <w:szCs w:val="20"/>
          <w14:ligatures xmlns:w14="http://schemas.microsoft.com/office/word/2010/wordml" w14:val="none"/>
        </w:rPr>
        <w:t xml:space="preserve"> 30</w:t>
      </w:r>
      <w:r>
        <w:rPr>
          <w:rFonts w:cs="Times New Roman" w:eastAsia="Times New Roman"/>
          <w:i/>
          <w:iCs/>
          <w:kern w:val="0"/>
          <w:sz w:val="20"/>
          <w:szCs w:val="20"/>
          <w14:ligatures xmlns:w14="http://schemas.microsoft.com/office/word/2010/wordml" w14:val="none"/>
        </w:rPr>
        <w:t>, 2025</w:t>
      </w:r>
    </w:p>
    <w:p>
      <w:pPr>
        <w:pStyle w:val="style0"/>
        <w:tabs>
          <w:tab w:val="left" w:leader="none" w:pos="810"/>
        </w:tabs>
        <w:spacing w:after="0" w:lineRule="auto" w:line="480"/>
        <w:jc w:val="both"/>
        <w:rPr>
          <w:rFonts w:cs="Times New Roman" w:eastAsia="Times New Roman"/>
          <w:kern w:val="0"/>
          <w:szCs w:val="24"/>
          <w14:ligatures xmlns:w14="http://schemas.microsoft.com/office/word/2010/wordml" w14:val="none"/>
        </w:rPr>
      </w:pPr>
      <w:r>
        <w:rPr>
          <w:rFonts w:cs="Times New Roman"/>
          <w:iCs/>
          <w:szCs w:val="24"/>
        </w:rPr>
        <w:tab/>
      </w:r>
      <w:r>
        <w:rPr>
          <w:rFonts w:cs="Times New Roman"/>
          <w:iCs/>
          <w:szCs w:val="24"/>
        </w:rPr>
        <w:t>Pada tabel 4.</w:t>
      </w:r>
      <w:r>
        <w:rPr>
          <w:rFonts w:cs="Times New Roman"/>
          <w:iCs/>
          <w:szCs w:val="24"/>
        </w:rPr>
        <w:t>4</w:t>
      </w:r>
      <w:r>
        <w:rPr>
          <w:rFonts w:cs="Times New Roman"/>
          <w:iCs/>
          <w:szCs w:val="24"/>
        </w:rPr>
        <w:t>. menunjukkan bahwa</w:t>
      </w:r>
      <w:r>
        <w:rPr>
          <w:rFonts w:cs="Times New Roman"/>
          <w:iCs/>
          <w:szCs w:val="24"/>
        </w:rPr>
        <w:t xml:space="preserve"> nilai VIF pada variabel </w:t>
      </w:r>
      <w:r>
        <w:rPr>
          <w:rFonts w:cs="Times New Roman"/>
          <w:i/>
          <w:szCs w:val="24"/>
        </w:rPr>
        <w:t xml:space="preserve">Enterprise Risk Management </w:t>
      </w:r>
      <w:r>
        <w:rPr>
          <w:rFonts w:cs="Times New Roman"/>
          <w:iCs/>
          <w:szCs w:val="24"/>
        </w:rPr>
        <w:t xml:space="preserve">(X1), </w:t>
      </w:r>
      <w:r>
        <w:rPr>
          <w:rFonts w:cs="Times New Roman"/>
          <w:i/>
          <w:szCs w:val="24"/>
        </w:rPr>
        <w:t xml:space="preserve">Managerial Ownership </w:t>
      </w:r>
      <w:r>
        <w:rPr>
          <w:rFonts w:cs="Times New Roman"/>
          <w:iCs/>
          <w:szCs w:val="24"/>
        </w:rPr>
        <w:t xml:space="preserve">(X2), dan </w:t>
      </w:r>
      <w:r>
        <w:rPr>
          <w:rFonts w:cs="Times New Roman"/>
          <w:i/>
          <w:szCs w:val="24"/>
        </w:rPr>
        <w:t xml:space="preserve">Institutional Ownership </w:t>
      </w:r>
      <w:r>
        <w:rPr>
          <w:rFonts w:cs="Times New Roman"/>
          <w:iCs/>
          <w:szCs w:val="24"/>
        </w:rPr>
        <w:t xml:space="preserve">(X3) </w:t>
      </w:r>
      <w:r>
        <w:rPr>
          <w:rFonts w:cs="Times New Roman"/>
          <w:iCs/>
          <w:szCs w:val="24"/>
        </w:rPr>
        <w:t>berturut-turut</w:t>
      </w:r>
      <w:r>
        <w:rPr>
          <w:rFonts w:cs="Times New Roman"/>
          <w:iCs/>
          <w:szCs w:val="24"/>
        </w:rPr>
        <w:t xml:space="preserve"> sebesar</w:t>
      </w:r>
      <w:r>
        <w:rPr>
          <w:rFonts w:cs="Times New Roman"/>
          <w:iCs/>
          <w:szCs w:val="24"/>
        </w:rPr>
        <w:t xml:space="preserve"> </w:t>
      </w:r>
      <w:r>
        <w:rPr>
          <w:rFonts w:cs="Times New Roman" w:eastAsia="Times New Roman"/>
          <w:kern w:val="0"/>
          <w:szCs w:val="24"/>
          <w14:ligatures xmlns:w14="http://schemas.microsoft.com/office/word/2010/wordml" w14:val="none"/>
        </w:rPr>
        <w:t>1</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63</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 xml:space="preserve"> 1</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469</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 xml:space="preserve"> dan 1</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399</w:t>
      </w:r>
      <w:r>
        <w:rPr>
          <w:rFonts w:cs="Times New Roman" w:eastAsia="Times New Roman"/>
          <w:kern w:val="0"/>
          <w:szCs w:val="24"/>
          <w14:ligatures xmlns:w14="http://schemas.microsoft.com/office/word/2010/wordml" w14:val="none"/>
        </w:rPr>
        <w:t>. Data yang digunakan</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dapat disimpulkan bahwa tidak memiliki gejala multikolinearitas karena </w:t>
      </w:r>
      <w:r>
        <w:rPr>
          <w:rFonts w:cs="Times New Roman" w:eastAsia="Times New Roman"/>
          <w:color w:val="000000"/>
          <w:szCs w:val="24"/>
        </w:rPr>
        <w:t xml:space="preserve">nilai </w:t>
      </w:r>
      <w:r>
        <w:rPr>
          <w:rFonts w:cs="Times New Roman" w:eastAsia="Times New Roman"/>
          <w:i/>
          <w:iCs/>
          <w:color w:val="000000"/>
          <w:szCs w:val="24"/>
        </w:rPr>
        <w:t xml:space="preserve">Variance Inflation Factors </w:t>
      </w:r>
      <w:r>
        <w:rPr>
          <w:rFonts w:cs="Times New Roman" w:eastAsia="Times New Roman"/>
          <w:kern w:val="0"/>
          <w:szCs w:val="24"/>
          <w14:ligatures xmlns:w14="http://schemas.microsoft.com/office/word/2010/wordml" w14:val="none"/>
        </w:rPr>
        <w:t>kurang dari 10</w:t>
      </w:r>
      <w:r>
        <w:rPr>
          <w:rFonts w:cs="Times New Roman" w:eastAsia="Times New Roman"/>
          <w:kern w:val="0"/>
          <w:szCs w:val="24"/>
          <w14:ligatures xmlns:w14="http://schemas.microsoft.com/office/word/2010/wordml" w14:val="none"/>
        </w:rPr>
        <w:t xml:space="preserve"> </w:t>
      </w:r>
      <w:r>
        <w:rPr>
          <w:rFonts w:cs="Times New Roman" w:eastAsia="Times New Roman"/>
          <w:color w:val="000000"/>
          <w:szCs w:val="24"/>
        </w:rPr>
        <w:t>(VIF &lt; 10)</w:t>
      </w:r>
      <w:r>
        <w:rPr>
          <w:rFonts w:cs="Times New Roman" w:eastAsia="Times New Roman"/>
          <w:kern w:val="0"/>
          <w:szCs w:val="24"/>
          <w14:ligatures xmlns:w14="http://schemas.microsoft.com/office/word/2010/wordml" w14:val="none"/>
        </w:rPr>
        <w:t>.</w:t>
      </w:r>
    </w:p>
    <w:p>
      <w:pPr>
        <w:pStyle w:val="style4"/>
        <w:tabs>
          <w:tab w:val="left" w:leader="none" w:pos="810"/>
        </w:tabs>
        <w:spacing w:before="0" w:after="0" w:lineRule="auto" w:line="480"/>
        <w:rPr>
          <w:rFonts w:eastAsia="Times New Roman"/>
          <w:color w:val="auto"/>
          <w:kern w:val="0"/>
          <w14:ligatures xmlns:w14="http://schemas.microsoft.com/office/word/2010/wordml" w14:val="none"/>
        </w:rPr>
      </w:pPr>
      <w:r>
        <w:rPr>
          <w:rFonts w:eastAsia="Times New Roman"/>
        </w:rPr>
        <w:t xml:space="preserve">4.2.2.3. Uji </w:t>
      </w:r>
      <w:r>
        <w:rPr>
          <w:rFonts w:eastAsia="Times New Roman"/>
        </w:rPr>
        <w:t>Hetero</w:t>
      </w:r>
      <w:r>
        <w:rPr>
          <w:rFonts w:eastAsia="Times New Roman"/>
        </w:rPr>
        <w:t>s</w:t>
      </w:r>
      <w:r>
        <w:rPr>
          <w:rFonts w:eastAsia="Times New Roman"/>
        </w:rPr>
        <w:t>kedastisitas</w:t>
      </w:r>
      <w:r>
        <w:rPr>
          <w:rFonts w:eastAsia="Times New Roman"/>
        </w:rPr>
        <w:t xml:space="preserve"> (Sebaran Data Pengamatan)</w:t>
      </w:r>
    </w:p>
    <w:p>
      <w:pPr>
        <w:pStyle w:val="style0"/>
        <w:tabs>
          <w:tab w:val="left" w:leader="none" w:pos="810"/>
        </w:tabs>
        <w:spacing w:after="0" w:lineRule="auto" w:line="480"/>
        <w:jc w:val="both"/>
        <w:rPr>
          <w:rFonts w:cs="Times New Roman"/>
          <w:iCs/>
          <w:szCs w:val="24"/>
        </w:rPr>
      </w:pPr>
      <w:r>
        <w:rPr>
          <w:rFonts w:cs="Times New Roman" w:eastAsia="Times New Roman"/>
          <w:szCs w:val="24"/>
        </w:rPr>
        <w:tab/>
      </w:r>
      <w:r>
        <w:rPr>
          <w:rFonts w:cs="Times New Roman" w:eastAsia="Times New Roman"/>
          <w:szCs w:val="24"/>
        </w:rPr>
        <w:t>Pengujian ini di</w:t>
      </w:r>
      <w:r>
        <w:rPr>
          <w:rFonts w:cs="Times New Roman" w:eastAsia="Times New Roman"/>
          <w:szCs w:val="24"/>
        </w:rPr>
        <w:t>gunakan</w:t>
      </w:r>
      <w:r>
        <w:rPr>
          <w:rFonts w:cs="Times New Roman" w:eastAsia="Times New Roman"/>
          <w:szCs w:val="24"/>
        </w:rPr>
        <w:t xml:space="preserve"> untuk mengetahui adanya varian residual yang tidak konstan atau tidak sama di seluruh nilai </w:t>
      </w:r>
      <w:r>
        <w:rPr>
          <w:rFonts w:cs="Times New Roman" w:eastAsia="Times New Roman"/>
          <w:szCs w:val="24"/>
        </w:rPr>
        <w:t>prediktor</w:t>
      </w:r>
      <w:r>
        <w:rPr>
          <w:rFonts w:cs="Times New Roman" w:eastAsia="Times New Roman"/>
          <w:color w:val="000000"/>
          <w:szCs w:val="24"/>
        </w:rPr>
        <w:t xml:space="preserve">. Pengujian ini menggunakan uji </w:t>
      </w:r>
      <w:r>
        <w:rPr>
          <w:rFonts w:cs="Times New Roman" w:eastAsia="Times New Roman"/>
          <w:i/>
          <w:iCs/>
          <w:color w:val="000000"/>
          <w:szCs w:val="24"/>
        </w:rPr>
        <w:t>Glejser</w:t>
      </w:r>
      <w:r>
        <w:rPr>
          <w:rFonts w:cs="Times New Roman" w:eastAsia="Times New Roman"/>
          <w:color w:val="000000"/>
          <w:szCs w:val="24"/>
        </w:rPr>
        <w:t>.</w:t>
      </w:r>
      <w:r>
        <w:rPr>
          <w:rFonts w:cs="Times New Roman" w:eastAsia="Times New Roman"/>
          <w:color w:val="000000"/>
          <w:szCs w:val="24"/>
        </w:rPr>
        <w:t xml:space="preserve"> </w:t>
      </w:r>
      <w:r>
        <w:rPr>
          <w:rFonts w:cs="Times New Roman" w:eastAsia="Times New Roman"/>
          <w:color w:val="000000"/>
          <w:szCs w:val="24"/>
        </w:rPr>
        <w:t>Dikatakan tidak ada masalah heteroskedastisitas, jika nilai signifikansi probabilitas lebih dari 0,05</w:t>
      </w:r>
      <w:r>
        <w:rPr>
          <w:rFonts w:cs="Times New Roman"/>
          <w:iCs/>
          <w:szCs w:val="24"/>
        </w:rPr>
        <w:t xml:space="preserve"> (Sig. &gt; 0,05)</w:t>
      </w:r>
      <w:r>
        <w:rPr>
          <w:rFonts w:cs="Times New Roman" w:eastAsia="Times New Roman"/>
          <w:color w:val="000000"/>
          <w:szCs w:val="24"/>
        </w:rPr>
        <w:t xml:space="preserve">. </w:t>
      </w:r>
      <w:r>
        <w:rPr>
          <w:rFonts w:cs="Times New Roman"/>
          <w:iCs/>
          <w:szCs w:val="24"/>
        </w:rPr>
        <w:t>Hasil uji hetero</w:t>
      </w:r>
      <w:r>
        <w:rPr>
          <w:rFonts w:cs="Times New Roman"/>
          <w:iCs/>
          <w:szCs w:val="24"/>
        </w:rPr>
        <w:t>skedastisitas</w:t>
      </w:r>
      <w:r>
        <w:rPr>
          <w:rFonts w:cs="Times New Roman"/>
          <w:iCs/>
          <w:szCs w:val="24"/>
        </w:rPr>
        <w:t xml:space="preserve"> dapat dilihat pada </w:t>
      </w:r>
      <w:r>
        <w:rPr>
          <w:rFonts w:cs="Times New Roman"/>
          <w:iCs/>
          <w:szCs w:val="24"/>
        </w:rPr>
        <w:t>tabel 4.5</w:t>
      </w:r>
      <w:r>
        <w:rPr>
          <w:rFonts w:cs="Times New Roman"/>
          <w:iCs/>
          <w:szCs w:val="24"/>
        </w:rPr>
        <w:t>:</w:t>
      </w:r>
    </w:p>
    <w:bookmarkStart w:id="87" w:name="_Toc215602306"/>
    <w:bookmarkStart w:id="88" w:name="_Toc216129262"/>
    <w:bookmarkStart w:id="89" w:name="_Toc216804042"/>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7</w:t>
      </w:r>
      <w:r>
        <w:rPr>
          <w:b w:val="false"/>
          <w:bCs/>
          <w:i/>
          <w:iCs w:val="false"/>
          <w:color w:val="ffffff"/>
          <w:sz w:val="22"/>
          <w:szCs w:val="22"/>
        </w:rPr>
        <w:fldChar w:fldCharType="end"/>
      </w:r>
      <w:r>
        <w:rPr>
          <w:bCs/>
          <w:iCs w:val="false"/>
          <w:color w:val="auto"/>
          <w:sz w:val="22"/>
          <w:szCs w:val="22"/>
        </w:rPr>
        <w:t xml:space="preserve">4. </w:t>
      </w:r>
      <w:r>
        <w:rPr>
          <w:bCs/>
          <w:iCs w:val="false"/>
          <w:color w:val="auto"/>
          <w:sz w:val="22"/>
          <w:szCs w:val="22"/>
        </w:rPr>
        <w:t>5</w:t>
      </w:r>
      <w:r>
        <w:rPr>
          <w:bCs/>
          <w:iCs w:val="false"/>
          <w:color w:val="auto"/>
          <w:sz w:val="22"/>
          <w:szCs w:val="22"/>
        </w:rPr>
        <w:t>. Uji Heteroskedastisitas (</w:t>
      </w:r>
      <w:r>
        <w:rPr>
          <w:bCs/>
          <w:color w:val="auto"/>
          <w:sz w:val="22"/>
          <w:szCs w:val="22"/>
        </w:rPr>
        <w:t>Glejser</w:t>
      </w:r>
      <w:r>
        <w:rPr>
          <w:bCs/>
          <w:iCs w:val="false"/>
          <w:color w:val="auto"/>
          <w:sz w:val="22"/>
          <w:szCs w:val="22"/>
        </w:rPr>
        <w:t>)</w:t>
      </w:r>
      <w:bookmarkEnd w:id="87"/>
      <w:bookmarkEnd w:id="88"/>
      <w:bookmarkEnd w:id="89"/>
    </w:p>
    <w:tbl>
      <w:tblPr>
        <w:tblStyle w:val="style154"/>
        <w:tblW w:w="0" w:type="auto"/>
        <w:tblLook w:val="04A0" w:firstRow="1" w:lastRow="0" w:firstColumn="1" w:lastColumn="0" w:noHBand="0" w:noVBand="1"/>
      </w:tblPr>
      <w:tblGrid>
        <w:gridCol w:w="334"/>
        <w:gridCol w:w="2181"/>
        <w:gridCol w:w="810"/>
        <w:gridCol w:w="1260"/>
        <w:gridCol w:w="1838"/>
        <w:gridCol w:w="796"/>
        <w:gridCol w:w="716"/>
      </w:tblGrid>
      <w:tr>
        <w:trPr>
          <w:trHeight w:val="360" w:hRule="atLeast"/>
        </w:trPr>
        <w:tc>
          <w:tcPr>
            <w:tcW w:w="7927" w:type="dxa"/>
            <w:gridSpan w:val="7"/>
            <w:tcBorders/>
            <w:hideMark/>
          </w:tcPr>
          <w:p>
            <w:pPr>
              <w:pStyle w:val="style0"/>
              <w:tabs>
                <w:tab w:val="left" w:leader="none" w:pos="810"/>
              </w:tabs>
              <w:jc w:val="center"/>
              <w:rPr>
                <w:rFonts w:cs="Times New Roman"/>
                <w:b/>
                <w:bCs/>
                <w:iCs/>
                <w:sz w:val="20"/>
                <w:szCs w:val="20"/>
              </w:rPr>
            </w:pPr>
            <w:r>
              <w:rPr>
                <w:rFonts w:cs="Times New Roman"/>
                <w:b/>
                <w:bCs/>
                <w:iCs/>
                <w:sz w:val="20"/>
                <w:szCs w:val="20"/>
              </w:rPr>
              <w:t>Coefficients</w:t>
            </w:r>
            <w:r>
              <w:rPr>
                <w:rFonts w:cs="Times New Roman"/>
                <w:b/>
                <w:bCs/>
                <w:iCs/>
                <w:sz w:val="20"/>
                <w:szCs w:val="20"/>
                <w:vertAlign w:val="superscript"/>
              </w:rPr>
              <w:t>a</w:t>
            </w:r>
          </w:p>
        </w:tc>
      </w:tr>
      <w:tr>
        <w:tblPrEx/>
        <w:trPr>
          <w:trHeight w:val="476" w:hRule="atLeast"/>
        </w:trPr>
        <w:tc>
          <w:tcPr>
            <w:tcW w:w="2515" w:type="dxa"/>
            <w:gridSpan w:val="2"/>
            <w:vMerge w:val="restart"/>
            <w:tcBorders/>
            <w:hideMark/>
          </w:tcPr>
          <w:p>
            <w:pPr>
              <w:pStyle w:val="style0"/>
              <w:tabs>
                <w:tab w:val="left" w:leader="none" w:pos="810"/>
              </w:tabs>
              <w:jc w:val="both"/>
              <w:rPr>
                <w:rFonts w:cs="Times New Roman"/>
                <w:iCs/>
                <w:sz w:val="20"/>
                <w:szCs w:val="20"/>
              </w:rPr>
            </w:pPr>
            <w:r>
              <w:rPr>
                <w:rFonts w:cs="Times New Roman"/>
                <w:iCs/>
                <w:sz w:val="20"/>
                <w:szCs w:val="20"/>
              </w:rPr>
              <w:t>Model</w:t>
            </w:r>
          </w:p>
        </w:tc>
        <w:tc>
          <w:tcPr>
            <w:tcW w:w="2070" w:type="dxa"/>
            <w:gridSpan w:val="2"/>
            <w:tcBorders/>
            <w:hideMark/>
          </w:tcPr>
          <w:p>
            <w:pPr>
              <w:pStyle w:val="style0"/>
              <w:tabs>
                <w:tab w:val="left" w:leader="none" w:pos="810"/>
              </w:tabs>
              <w:jc w:val="both"/>
              <w:rPr>
                <w:rFonts w:cs="Times New Roman"/>
                <w:iCs/>
                <w:sz w:val="20"/>
                <w:szCs w:val="20"/>
              </w:rPr>
            </w:pPr>
            <w:r>
              <w:rPr>
                <w:rFonts w:cs="Times New Roman"/>
                <w:iCs/>
                <w:sz w:val="20"/>
                <w:szCs w:val="20"/>
              </w:rPr>
              <w:t>Unstandardized Coefficients</w:t>
            </w:r>
          </w:p>
        </w:tc>
        <w:tc>
          <w:tcPr>
            <w:tcW w:w="1838" w:type="dxa"/>
            <w:tcBorders/>
            <w:hideMark/>
          </w:tcPr>
          <w:p>
            <w:pPr>
              <w:pStyle w:val="style0"/>
              <w:tabs>
                <w:tab w:val="left" w:leader="none" w:pos="810"/>
              </w:tabs>
              <w:ind w:right="25"/>
              <w:rPr>
                <w:rFonts w:cs="Times New Roman"/>
                <w:iCs/>
                <w:sz w:val="20"/>
                <w:szCs w:val="20"/>
              </w:rPr>
            </w:pPr>
            <w:r>
              <w:rPr>
                <w:rFonts w:cs="Times New Roman"/>
                <w:iCs/>
                <w:sz w:val="20"/>
                <w:szCs w:val="20"/>
              </w:rPr>
              <w:t>Standardized Coefficients</w:t>
            </w:r>
          </w:p>
        </w:tc>
        <w:tc>
          <w:tcPr>
            <w:tcW w:w="796" w:type="dxa"/>
            <w:vMerge w:val="restart"/>
            <w:tcBorders/>
            <w:hideMark/>
          </w:tcPr>
          <w:p>
            <w:pPr>
              <w:pStyle w:val="style0"/>
              <w:tabs>
                <w:tab w:val="left" w:leader="none" w:pos="810"/>
              </w:tabs>
              <w:jc w:val="both"/>
              <w:rPr>
                <w:rFonts w:cs="Times New Roman"/>
                <w:iCs/>
                <w:sz w:val="20"/>
                <w:szCs w:val="20"/>
              </w:rPr>
            </w:pPr>
            <w:r>
              <w:rPr>
                <w:rFonts w:cs="Times New Roman"/>
                <w:iCs/>
                <w:sz w:val="20"/>
                <w:szCs w:val="20"/>
              </w:rPr>
              <w:t>t</w:t>
            </w:r>
          </w:p>
        </w:tc>
        <w:tc>
          <w:tcPr>
            <w:tcW w:w="708" w:type="dxa"/>
            <w:vMerge w:val="restart"/>
            <w:tcBorders/>
            <w:hideMark/>
          </w:tcPr>
          <w:p>
            <w:pPr>
              <w:pStyle w:val="style0"/>
              <w:tabs>
                <w:tab w:val="left" w:leader="none" w:pos="810"/>
              </w:tabs>
              <w:jc w:val="both"/>
              <w:rPr>
                <w:rFonts w:cs="Times New Roman"/>
                <w:iCs/>
                <w:sz w:val="20"/>
                <w:szCs w:val="20"/>
              </w:rPr>
            </w:pPr>
            <w:r>
              <w:rPr>
                <w:rFonts w:cs="Times New Roman"/>
                <w:iCs/>
                <w:sz w:val="20"/>
                <w:szCs w:val="20"/>
              </w:rPr>
              <w:t>Sig.</w:t>
            </w:r>
          </w:p>
        </w:tc>
      </w:tr>
      <w:tr>
        <w:tblPrEx/>
        <w:trPr>
          <w:trHeight w:val="242" w:hRule="atLeast"/>
        </w:trPr>
        <w:tc>
          <w:tcPr>
            <w:tcW w:w="2515" w:type="dxa"/>
            <w:gridSpan w:val="2"/>
            <w:vMerge w:val="continue"/>
            <w:tcBorders/>
            <w:hideMark/>
          </w:tcPr>
          <w:p>
            <w:pPr>
              <w:pStyle w:val="style0"/>
              <w:tabs>
                <w:tab w:val="left" w:leader="none" w:pos="810"/>
              </w:tabs>
              <w:jc w:val="both"/>
              <w:rPr>
                <w:rFonts w:cs="Times New Roman"/>
                <w:iCs/>
                <w:sz w:val="20"/>
                <w:szCs w:val="20"/>
              </w:rPr>
            </w:pPr>
          </w:p>
        </w:tc>
        <w:tc>
          <w:tcPr>
            <w:tcW w:w="810" w:type="dxa"/>
            <w:tcBorders/>
            <w:hideMark/>
          </w:tcPr>
          <w:p>
            <w:pPr>
              <w:pStyle w:val="style0"/>
              <w:tabs>
                <w:tab w:val="left" w:leader="none" w:pos="810"/>
              </w:tabs>
              <w:jc w:val="both"/>
              <w:rPr>
                <w:rFonts w:cs="Times New Roman"/>
                <w:iCs/>
                <w:sz w:val="20"/>
                <w:szCs w:val="20"/>
              </w:rPr>
            </w:pPr>
            <w:r>
              <w:rPr>
                <w:rFonts w:cs="Times New Roman"/>
                <w:iCs/>
                <w:sz w:val="20"/>
                <w:szCs w:val="20"/>
              </w:rPr>
              <w:t>B</w:t>
            </w:r>
          </w:p>
        </w:tc>
        <w:tc>
          <w:tcPr>
            <w:tcW w:w="1260" w:type="dxa"/>
            <w:tcBorders/>
            <w:hideMark/>
          </w:tcPr>
          <w:p>
            <w:pPr>
              <w:pStyle w:val="style0"/>
              <w:tabs>
                <w:tab w:val="left" w:leader="none" w:pos="810"/>
              </w:tabs>
              <w:jc w:val="both"/>
              <w:rPr>
                <w:rFonts w:cs="Times New Roman"/>
                <w:iCs/>
                <w:sz w:val="20"/>
                <w:szCs w:val="20"/>
              </w:rPr>
            </w:pPr>
            <w:r>
              <w:rPr>
                <w:rFonts w:cs="Times New Roman"/>
                <w:iCs/>
                <w:sz w:val="20"/>
                <w:szCs w:val="20"/>
              </w:rPr>
              <w:t>Std. Error</w:t>
            </w:r>
          </w:p>
        </w:tc>
        <w:tc>
          <w:tcPr>
            <w:tcW w:w="1838" w:type="dxa"/>
            <w:tcBorders/>
            <w:hideMark/>
          </w:tcPr>
          <w:p>
            <w:pPr>
              <w:pStyle w:val="style0"/>
              <w:tabs>
                <w:tab w:val="left" w:leader="none" w:pos="810"/>
              </w:tabs>
              <w:jc w:val="both"/>
              <w:rPr>
                <w:rFonts w:cs="Times New Roman"/>
                <w:iCs/>
                <w:sz w:val="20"/>
                <w:szCs w:val="20"/>
              </w:rPr>
            </w:pPr>
            <w:r>
              <w:rPr>
                <w:rFonts w:cs="Times New Roman"/>
                <w:iCs/>
                <w:sz w:val="20"/>
                <w:szCs w:val="20"/>
              </w:rPr>
              <w:t>Beta</w:t>
            </w:r>
          </w:p>
        </w:tc>
        <w:tc>
          <w:tcPr>
            <w:tcW w:w="796" w:type="dxa"/>
            <w:vMerge w:val="continue"/>
            <w:tcBorders/>
            <w:hideMark/>
          </w:tcPr>
          <w:p>
            <w:pPr>
              <w:pStyle w:val="style0"/>
              <w:tabs>
                <w:tab w:val="left" w:leader="none" w:pos="810"/>
              </w:tabs>
              <w:jc w:val="both"/>
              <w:rPr>
                <w:rFonts w:cs="Times New Roman"/>
                <w:iCs/>
                <w:sz w:val="20"/>
                <w:szCs w:val="20"/>
              </w:rPr>
            </w:pPr>
          </w:p>
        </w:tc>
        <w:tc>
          <w:tcPr>
            <w:tcW w:w="708" w:type="dxa"/>
            <w:vMerge w:val="continue"/>
            <w:tcBorders/>
            <w:hideMark/>
          </w:tcPr>
          <w:p>
            <w:pPr>
              <w:pStyle w:val="style0"/>
              <w:tabs>
                <w:tab w:val="left" w:leader="none" w:pos="810"/>
              </w:tabs>
              <w:jc w:val="both"/>
              <w:rPr>
                <w:rFonts w:cs="Times New Roman"/>
                <w:iCs/>
                <w:sz w:val="20"/>
                <w:szCs w:val="20"/>
              </w:rPr>
            </w:pPr>
          </w:p>
        </w:tc>
      </w:tr>
      <w:tr>
        <w:tblPrEx/>
        <w:trPr>
          <w:trHeight w:val="251" w:hRule="atLeast"/>
        </w:trPr>
        <w:tc>
          <w:tcPr>
            <w:tcW w:w="334" w:type="dxa"/>
            <w:vMerge w:val="restart"/>
            <w:tcBorders/>
            <w:noWrap/>
            <w:hideMark/>
          </w:tcPr>
          <w:p>
            <w:pPr>
              <w:pStyle w:val="style0"/>
              <w:tabs>
                <w:tab w:val="left" w:leader="none" w:pos="810"/>
              </w:tabs>
              <w:jc w:val="both"/>
              <w:rPr>
                <w:rFonts w:cs="Times New Roman"/>
                <w:iCs/>
                <w:sz w:val="20"/>
                <w:szCs w:val="20"/>
              </w:rPr>
            </w:pPr>
            <w:r>
              <w:rPr>
                <w:rFonts w:cs="Times New Roman"/>
                <w:iCs/>
                <w:sz w:val="20"/>
                <w:szCs w:val="20"/>
              </w:rPr>
              <w:t>1</w:t>
            </w:r>
          </w:p>
        </w:tc>
        <w:tc>
          <w:tcPr>
            <w:tcW w:w="2181" w:type="dxa"/>
            <w:tcBorders/>
            <w:hideMark/>
          </w:tcPr>
          <w:p>
            <w:pPr>
              <w:pStyle w:val="style0"/>
              <w:tabs>
                <w:tab w:val="left" w:leader="none" w:pos="810"/>
              </w:tabs>
              <w:jc w:val="both"/>
              <w:rPr>
                <w:rFonts w:cs="Times New Roman"/>
                <w:iCs/>
                <w:sz w:val="20"/>
                <w:szCs w:val="20"/>
              </w:rPr>
            </w:pPr>
            <w:r>
              <w:rPr>
                <w:rFonts w:cs="Times New Roman"/>
                <w:iCs/>
                <w:sz w:val="20"/>
                <w:szCs w:val="20"/>
              </w:rPr>
              <w:t>(Constant)</w:t>
            </w:r>
          </w:p>
        </w:tc>
        <w:tc>
          <w:tcPr>
            <w:tcW w:w="810" w:type="dxa"/>
            <w:tcBorders/>
            <w:noWrap/>
            <w:hideMark/>
          </w:tcPr>
          <w:p>
            <w:pPr>
              <w:pStyle w:val="style0"/>
              <w:tabs>
                <w:tab w:val="left" w:leader="none" w:pos="810"/>
              </w:tabs>
              <w:jc w:val="center"/>
              <w:rPr>
                <w:rFonts w:cs="Times New Roman"/>
                <w:iCs/>
                <w:sz w:val="20"/>
                <w:szCs w:val="20"/>
              </w:rPr>
            </w:pPr>
            <w:r>
              <w:rPr>
                <w:rFonts w:cs="Times New Roman"/>
                <w:iCs/>
                <w:sz w:val="20"/>
                <w:szCs w:val="20"/>
              </w:rPr>
              <w:t>-0.236</w:t>
            </w:r>
          </w:p>
        </w:tc>
        <w:tc>
          <w:tcPr>
            <w:tcW w:w="1260" w:type="dxa"/>
            <w:tcBorders/>
            <w:noWrap/>
            <w:hideMark/>
          </w:tcPr>
          <w:p>
            <w:pPr>
              <w:pStyle w:val="style0"/>
              <w:tabs>
                <w:tab w:val="left" w:leader="none" w:pos="810"/>
              </w:tabs>
              <w:jc w:val="both"/>
              <w:rPr>
                <w:rFonts w:cs="Times New Roman"/>
                <w:iCs/>
                <w:sz w:val="20"/>
                <w:szCs w:val="20"/>
              </w:rPr>
            </w:pPr>
            <w:r>
              <w:rPr>
                <w:rFonts w:cs="Times New Roman"/>
                <w:iCs/>
                <w:sz w:val="20"/>
                <w:szCs w:val="20"/>
              </w:rPr>
              <w:t>0.442</w:t>
            </w:r>
          </w:p>
        </w:tc>
        <w:tc>
          <w:tcPr>
            <w:tcW w:w="1838" w:type="dxa"/>
            <w:tcBorders/>
            <w:hideMark/>
          </w:tcPr>
          <w:p>
            <w:pPr>
              <w:pStyle w:val="style0"/>
              <w:tabs>
                <w:tab w:val="left" w:leader="none" w:pos="810"/>
              </w:tabs>
              <w:jc w:val="both"/>
              <w:rPr>
                <w:rFonts w:cs="Times New Roman"/>
                <w:iCs/>
                <w:sz w:val="20"/>
                <w:szCs w:val="20"/>
              </w:rPr>
            </w:pPr>
            <w:r>
              <w:rPr>
                <w:rFonts w:cs="Times New Roman"/>
                <w:iCs/>
                <w:sz w:val="20"/>
                <w:szCs w:val="20"/>
              </w:rPr>
              <w:t> </w:t>
            </w:r>
          </w:p>
        </w:tc>
        <w:tc>
          <w:tcPr>
            <w:tcW w:w="796" w:type="dxa"/>
            <w:tcBorders/>
            <w:noWrap/>
            <w:hideMark/>
          </w:tcPr>
          <w:p>
            <w:pPr>
              <w:pStyle w:val="style0"/>
              <w:tabs>
                <w:tab w:val="left" w:leader="none" w:pos="810"/>
              </w:tabs>
              <w:jc w:val="both"/>
              <w:rPr>
                <w:rFonts w:cs="Times New Roman"/>
                <w:iCs/>
                <w:sz w:val="20"/>
                <w:szCs w:val="20"/>
              </w:rPr>
            </w:pPr>
            <w:r>
              <w:rPr>
                <w:rFonts w:cs="Times New Roman"/>
                <w:iCs/>
                <w:sz w:val="20"/>
                <w:szCs w:val="20"/>
              </w:rPr>
              <w:t>-0.534</w:t>
            </w:r>
          </w:p>
        </w:tc>
        <w:tc>
          <w:tcPr>
            <w:tcW w:w="708" w:type="dxa"/>
            <w:tcBorders/>
            <w:noWrap/>
            <w:hideMark/>
          </w:tcPr>
          <w:p>
            <w:pPr>
              <w:pStyle w:val="style0"/>
              <w:tabs>
                <w:tab w:val="left" w:leader="none" w:pos="810"/>
              </w:tabs>
              <w:jc w:val="both"/>
              <w:rPr>
                <w:rFonts w:cs="Times New Roman"/>
                <w:iCs/>
                <w:sz w:val="20"/>
                <w:szCs w:val="20"/>
              </w:rPr>
            </w:pPr>
            <w:r>
              <w:rPr>
                <w:rFonts w:cs="Times New Roman"/>
                <w:iCs/>
                <w:sz w:val="20"/>
                <w:szCs w:val="20"/>
              </w:rPr>
              <w:t>0.594</w:t>
            </w:r>
          </w:p>
        </w:tc>
      </w:tr>
      <w:tr>
        <w:tblPrEx/>
        <w:trPr>
          <w:trHeight w:val="350" w:hRule="atLeast"/>
        </w:trPr>
        <w:tc>
          <w:tcPr>
            <w:tcW w:w="334" w:type="dxa"/>
            <w:vMerge w:val="continue"/>
            <w:tcBorders/>
            <w:hideMark/>
          </w:tcPr>
          <w:p>
            <w:pPr>
              <w:pStyle w:val="style0"/>
              <w:tabs>
                <w:tab w:val="left" w:leader="none" w:pos="810"/>
              </w:tabs>
              <w:jc w:val="both"/>
              <w:rPr>
                <w:rFonts w:cs="Times New Roman"/>
                <w:iCs/>
                <w:sz w:val="20"/>
                <w:szCs w:val="20"/>
              </w:rPr>
            </w:pPr>
          </w:p>
        </w:tc>
        <w:tc>
          <w:tcPr>
            <w:tcW w:w="2181" w:type="dxa"/>
            <w:tcBorders/>
            <w:hideMark/>
          </w:tcPr>
          <w:p>
            <w:pPr>
              <w:pStyle w:val="style0"/>
              <w:tabs>
                <w:tab w:val="left" w:leader="none" w:pos="810"/>
              </w:tabs>
              <w:rPr>
                <w:rFonts w:cs="Times New Roman"/>
                <w:iCs/>
                <w:sz w:val="20"/>
                <w:szCs w:val="20"/>
              </w:rPr>
            </w:pPr>
            <w:r>
              <w:rPr>
                <w:rFonts w:cs="Times New Roman"/>
                <w:iCs/>
                <w:sz w:val="20"/>
                <w:szCs w:val="20"/>
              </w:rPr>
              <w:t>Enterprise Risk Management</w:t>
            </w:r>
          </w:p>
        </w:tc>
        <w:tc>
          <w:tcPr>
            <w:tcW w:w="810" w:type="dxa"/>
            <w:tcBorders/>
            <w:noWrap/>
            <w:hideMark/>
          </w:tcPr>
          <w:p>
            <w:pPr>
              <w:pStyle w:val="style0"/>
              <w:tabs>
                <w:tab w:val="left" w:leader="none" w:pos="810"/>
              </w:tabs>
              <w:jc w:val="center"/>
              <w:rPr>
                <w:rFonts w:cs="Times New Roman"/>
                <w:iCs/>
                <w:sz w:val="20"/>
                <w:szCs w:val="20"/>
              </w:rPr>
            </w:pPr>
            <w:r>
              <w:rPr>
                <w:rFonts w:cs="Times New Roman"/>
                <w:iCs/>
                <w:sz w:val="20"/>
                <w:szCs w:val="20"/>
              </w:rPr>
              <w:t>0.570</w:t>
            </w:r>
          </w:p>
        </w:tc>
        <w:tc>
          <w:tcPr>
            <w:tcW w:w="1260" w:type="dxa"/>
            <w:tcBorders/>
            <w:noWrap/>
            <w:hideMark/>
          </w:tcPr>
          <w:p>
            <w:pPr>
              <w:pStyle w:val="style0"/>
              <w:tabs>
                <w:tab w:val="left" w:leader="none" w:pos="810"/>
              </w:tabs>
              <w:jc w:val="both"/>
              <w:rPr>
                <w:rFonts w:cs="Times New Roman"/>
                <w:iCs/>
                <w:sz w:val="20"/>
                <w:szCs w:val="20"/>
              </w:rPr>
            </w:pPr>
            <w:r>
              <w:rPr>
                <w:rFonts w:cs="Times New Roman"/>
                <w:iCs/>
                <w:sz w:val="20"/>
                <w:szCs w:val="20"/>
              </w:rPr>
              <w:t>0.496</w:t>
            </w:r>
          </w:p>
        </w:tc>
        <w:tc>
          <w:tcPr>
            <w:tcW w:w="1838" w:type="dxa"/>
            <w:tcBorders/>
            <w:noWrap/>
            <w:hideMark/>
          </w:tcPr>
          <w:p>
            <w:pPr>
              <w:pStyle w:val="style0"/>
              <w:tabs>
                <w:tab w:val="left" w:leader="none" w:pos="810"/>
              </w:tabs>
              <w:jc w:val="both"/>
              <w:rPr>
                <w:rFonts w:cs="Times New Roman"/>
                <w:iCs/>
                <w:sz w:val="20"/>
                <w:szCs w:val="20"/>
              </w:rPr>
            </w:pPr>
            <w:r>
              <w:rPr>
                <w:rFonts w:cs="Times New Roman"/>
                <w:iCs/>
                <w:sz w:val="20"/>
                <w:szCs w:val="20"/>
              </w:rPr>
              <w:t>0.076</w:t>
            </w:r>
          </w:p>
        </w:tc>
        <w:tc>
          <w:tcPr>
            <w:tcW w:w="796" w:type="dxa"/>
            <w:tcBorders/>
            <w:noWrap/>
            <w:hideMark/>
          </w:tcPr>
          <w:p>
            <w:pPr>
              <w:pStyle w:val="style0"/>
              <w:tabs>
                <w:tab w:val="left" w:leader="none" w:pos="810"/>
              </w:tabs>
              <w:jc w:val="both"/>
              <w:rPr>
                <w:rFonts w:cs="Times New Roman"/>
                <w:iCs/>
                <w:sz w:val="20"/>
                <w:szCs w:val="20"/>
              </w:rPr>
            </w:pPr>
            <w:r>
              <w:rPr>
                <w:rFonts w:cs="Times New Roman"/>
                <w:iCs/>
                <w:sz w:val="20"/>
                <w:szCs w:val="20"/>
              </w:rPr>
              <w:t>1.150</w:t>
            </w:r>
          </w:p>
        </w:tc>
        <w:tc>
          <w:tcPr>
            <w:tcW w:w="708" w:type="dxa"/>
            <w:tcBorders/>
            <w:noWrap/>
            <w:hideMark/>
          </w:tcPr>
          <w:p>
            <w:pPr>
              <w:pStyle w:val="style0"/>
              <w:tabs>
                <w:tab w:val="left" w:leader="none" w:pos="810"/>
              </w:tabs>
              <w:jc w:val="both"/>
              <w:rPr>
                <w:rFonts w:cs="Times New Roman"/>
                <w:iCs/>
                <w:sz w:val="20"/>
                <w:szCs w:val="20"/>
              </w:rPr>
            </w:pPr>
            <w:r>
              <w:rPr>
                <w:rFonts w:cs="Times New Roman"/>
                <w:iCs/>
                <w:sz w:val="20"/>
                <w:szCs w:val="20"/>
              </w:rPr>
              <w:t>0.251</w:t>
            </w:r>
          </w:p>
        </w:tc>
      </w:tr>
      <w:tr>
        <w:tblPrEx/>
        <w:trPr>
          <w:trHeight w:val="242" w:hRule="atLeast"/>
        </w:trPr>
        <w:tc>
          <w:tcPr>
            <w:tcW w:w="334" w:type="dxa"/>
            <w:vMerge w:val="continue"/>
            <w:tcBorders/>
            <w:hideMark/>
          </w:tcPr>
          <w:p>
            <w:pPr>
              <w:pStyle w:val="style0"/>
              <w:tabs>
                <w:tab w:val="left" w:leader="none" w:pos="810"/>
              </w:tabs>
              <w:jc w:val="both"/>
              <w:rPr>
                <w:rFonts w:cs="Times New Roman"/>
                <w:iCs/>
                <w:sz w:val="20"/>
                <w:szCs w:val="20"/>
              </w:rPr>
            </w:pPr>
          </w:p>
        </w:tc>
        <w:tc>
          <w:tcPr>
            <w:tcW w:w="2181" w:type="dxa"/>
            <w:tcBorders/>
            <w:hideMark/>
          </w:tcPr>
          <w:p>
            <w:pPr>
              <w:pStyle w:val="style0"/>
              <w:tabs>
                <w:tab w:val="left" w:leader="none" w:pos="810"/>
              </w:tabs>
              <w:jc w:val="both"/>
              <w:rPr>
                <w:rFonts w:cs="Times New Roman"/>
                <w:iCs/>
                <w:sz w:val="20"/>
                <w:szCs w:val="20"/>
              </w:rPr>
            </w:pPr>
            <w:r>
              <w:rPr>
                <w:rFonts w:cs="Times New Roman"/>
                <w:iCs/>
                <w:sz w:val="20"/>
                <w:szCs w:val="20"/>
              </w:rPr>
              <w:t>Managerial Ownership</w:t>
            </w:r>
          </w:p>
        </w:tc>
        <w:tc>
          <w:tcPr>
            <w:tcW w:w="810" w:type="dxa"/>
            <w:tcBorders/>
            <w:noWrap/>
            <w:hideMark/>
          </w:tcPr>
          <w:p>
            <w:pPr>
              <w:pStyle w:val="style0"/>
              <w:tabs>
                <w:tab w:val="left" w:leader="none" w:pos="810"/>
              </w:tabs>
              <w:jc w:val="center"/>
              <w:rPr>
                <w:rFonts w:cs="Times New Roman"/>
                <w:iCs/>
                <w:sz w:val="20"/>
                <w:szCs w:val="20"/>
              </w:rPr>
            </w:pPr>
            <w:r>
              <w:rPr>
                <w:rFonts w:cs="Times New Roman"/>
                <w:iCs/>
                <w:sz w:val="20"/>
                <w:szCs w:val="20"/>
              </w:rPr>
              <w:t>0.439</w:t>
            </w:r>
          </w:p>
        </w:tc>
        <w:tc>
          <w:tcPr>
            <w:tcW w:w="1260" w:type="dxa"/>
            <w:tcBorders/>
            <w:noWrap/>
            <w:hideMark/>
          </w:tcPr>
          <w:p>
            <w:pPr>
              <w:pStyle w:val="style0"/>
              <w:tabs>
                <w:tab w:val="left" w:leader="none" w:pos="810"/>
              </w:tabs>
              <w:jc w:val="both"/>
              <w:rPr>
                <w:rFonts w:cs="Times New Roman"/>
                <w:iCs/>
                <w:sz w:val="20"/>
                <w:szCs w:val="20"/>
              </w:rPr>
            </w:pPr>
            <w:r>
              <w:rPr>
                <w:rFonts w:cs="Times New Roman"/>
                <w:iCs/>
                <w:sz w:val="20"/>
                <w:szCs w:val="20"/>
              </w:rPr>
              <w:t>0.720</w:t>
            </w:r>
          </w:p>
        </w:tc>
        <w:tc>
          <w:tcPr>
            <w:tcW w:w="1838" w:type="dxa"/>
            <w:tcBorders/>
            <w:noWrap/>
            <w:hideMark/>
          </w:tcPr>
          <w:p>
            <w:pPr>
              <w:pStyle w:val="style0"/>
              <w:tabs>
                <w:tab w:val="left" w:leader="none" w:pos="810"/>
              </w:tabs>
              <w:jc w:val="both"/>
              <w:rPr>
                <w:rFonts w:cs="Times New Roman"/>
                <w:iCs/>
                <w:sz w:val="20"/>
                <w:szCs w:val="20"/>
              </w:rPr>
            </w:pPr>
            <w:r>
              <w:rPr>
                <w:rFonts w:cs="Times New Roman"/>
                <w:iCs/>
                <w:sz w:val="20"/>
                <w:szCs w:val="20"/>
              </w:rPr>
              <w:t>0.051</w:t>
            </w:r>
          </w:p>
        </w:tc>
        <w:tc>
          <w:tcPr>
            <w:tcW w:w="796" w:type="dxa"/>
            <w:tcBorders/>
            <w:noWrap/>
            <w:hideMark/>
          </w:tcPr>
          <w:p>
            <w:pPr>
              <w:pStyle w:val="style0"/>
              <w:tabs>
                <w:tab w:val="left" w:leader="none" w:pos="810"/>
              </w:tabs>
              <w:jc w:val="both"/>
              <w:rPr>
                <w:rFonts w:cs="Times New Roman"/>
                <w:iCs/>
                <w:sz w:val="20"/>
                <w:szCs w:val="20"/>
              </w:rPr>
            </w:pPr>
            <w:r>
              <w:rPr>
                <w:rFonts w:cs="Times New Roman"/>
                <w:iCs/>
                <w:sz w:val="20"/>
                <w:szCs w:val="20"/>
              </w:rPr>
              <w:t>0.610</w:t>
            </w:r>
          </w:p>
        </w:tc>
        <w:tc>
          <w:tcPr>
            <w:tcW w:w="708" w:type="dxa"/>
            <w:tcBorders/>
            <w:noWrap/>
            <w:hideMark/>
          </w:tcPr>
          <w:p>
            <w:pPr>
              <w:pStyle w:val="style0"/>
              <w:tabs>
                <w:tab w:val="left" w:leader="none" w:pos="810"/>
              </w:tabs>
              <w:jc w:val="both"/>
              <w:rPr>
                <w:rFonts w:cs="Times New Roman"/>
                <w:iCs/>
                <w:sz w:val="20"/>
                <w:szCs w:val="20"/>
              </w:rPr>
            </w:pPr>
            <w:r>
              <w:rPr>
                <w:rFonts w:cs="Times New Roman"/>
                <w:iCs/>
                <w:sz w:val="20"/>
                <w:szCs w:val="20"/>
              </w:rPr>
              <w:t>0.542</w:t>
            </w:r>
          </w:p>
        </w:tc>
      </w:tr>
      <w:tr>
        <w:tblPrEx/>
        <w:trPr>
          <w:trHeight w:val="80" w:hRule="atLeast"/>
        </w:trPr>
        <w:tc>
          <w:tcPr>
            <w:tcW w:w="334" w:type="dxa"/>
            <w:vMerge w:val="continue"/>
            <w:tcBorders/>
            <w:hideMark/>
          </w:tcPr>
          <w:p>
            <w:pPr>
              <w:pStyle w:val="style0"/>
              <w:tabs>
                <w:tab w:val="left" w:leader="none" w:pos="810"/>
              </w:tabs>
              <w:jc w:val="both"/>
              <w:rPr>
                <w:rFonts w:cs="Times New Roman"/>
                <w:iCs/>
                <w:sz w:val="20"/>
                <w:szCs w:val="20"/>
              </w:rPr>
            </w:pPr>
          </w:p>
        </w:tc>
        <w:tc>
          <w:tcPr>
            <w:tcW w:w="2181" w:type="dxa"/>
            <w:tcBorders/>
            <w:hideMark/>
          </w:tcPr>
          <w:p>
            <w:pPr>
              <w:pStyle w:val="style0"/>
              <w:tabs>
                <w:tab w:val="left" w:leader="none" w:pos="810"/>
              </w:tabs>
              <w:jc w:val="both"/>
              <w:rPr>
                <w:rFonts w:cs="Times New Roman"/>
                <w:iCs/>
                <w:sz w:val="20"/>
                <w:szCs w:val="20"/>
              </w:rPr>
            </w:pPr>
            <w:r>
              <w:rPr>
                <w:rFonts w:cs="Times New Roman"/>
                <w:iCs/>
                <w:sz w:val="20"/>
                <w:szCs w:val="20"/>
              </w:rPr>
              <w:t>Institutional Ownership</w:t>
            </w:r>
          </w:p>
        </w:tc>
        <w:tc>
          <w:tcPr>
            <w:tcW w:w="810" w:type="dxa"/>
            <w:tcBorders/>
            <w:noWrap/>
            <w:hideMark/>
          </w:tcPr>
          <w:p>
            <w:pPr>
              <w:pStyle w:val="style0"/>
              <w:tabs>
                <w:tab w:val="left" w:leader="none" w:pos="810"/>
              </w:tabs>
              <w:jc w:val="center"/>
              <w:rPr>
                <w:rFonts w:cs="Times New Roman"/>
                <w:iCs/>
                <w:sz w:val="20"/>
                <w:szCs w:val="20"/>
              </w:rPr>
            </w:pPr>
            <w:r>
              <w:rPr>
                <w:rFonts w:cs="Times New Roman"/>
                <w:iCs/>
                <w:sz w:val="20"/>
                <w:szCs w:val="20"/>
              </w:rPr>
              <w:t>1.170</w:t>
            </w:r>
          </w:p>
        </w:tc>
        <w:tc>
          <w:tcPr>
            <w:tcW w:w="1260" w:type="dxa"/>
            <w:tcBorders/>
            <w:noWrap/>
            <w:hideMark/>
          </w:tcPr>
          <w:p>
            <w:pPr>
              <w:pStyle w:val="style0"/>
              <w:tabs>
                <w:tab w:val="left" w:leader="none" w:pos="810"/>
              </w:tabs>
              <w:jc w:val="both"/>
              <w:rPr>
                <w:rFonts w:cs="Times New Roman"/>
                <w:iCs/>
                <w:sz w:val="20"/>
                <w:szCs w:val="20"/>
              </w:rPr>
            </w:pPr>
            <w:r>
              <w:rPr>
                <w:rFonts w:cs="Times New Roman"/>
                <w:iCs/>
                <w:sz w:val="20"/>
                <w:szCs w:val="20"/>
              </w:rPr>
              <w:t>0.370</w:t>
            </w:r>
          </w:p>
        </w:tc>
        <w:tc>
          <w:tcPr>
            <w:tcW w:w="1838" w:type="dxa"/>
            <w:tcBorders/>
            <w:noWrap/>
            <w:hideMark/>
          </w:tcPr>
          <w:p>
            <w:pPr>
              <w:pStyle w:val="style0"/>
              <w:tabs>
                <w:tab w:val="left" w:leader="none" w:pos="810"/>
              </w:tabs>
              <w:jc w:val="both"/>
              <w:rPr>
                <w:rFonts w:cs="Times New Roman"/>
                <w:iCs/>
                <w:sz w:val="20"/>
                <w:szCs w:val="20"/>
              </w:rPr>
            </w:pPr>
            <w:r>
              <w:rPr>
                <w:rFonts w:cs="Times New Roman"/>
                <w:iCs/>
                <w:sz w:val="20"/>
                <w:szCs w:val="20"/>
              </w:rPr>
              <w:t>0.260</w:t>
            </w:r>
          </w:p>
        </w:tc>
        <w:tc>
          <w:tcPr>
            <w:tcW w:w="796" w:type="dxa"/>
            <w:tcBorders/>
            <w:noWrap/>
            <w:hideMark/>
          </w:tcPr>
          <w:p>
            <w:pPr>
              <w:pStyle w:val="style0"/>
              <w:tabs>
                <w:tab w:val="left" w:leader="none" w:pos="810"/>
              </w:tabs>
              <w:jc w:val="both"/>
              <w:rPr>
                <w:rFonts w:cs="Times New Roman"/>
                <w:iCs/>
                <w:sz w:val="20"/>
                <w:szCs w:val="20"/>
              </w:rPr>
            </w:pPr>
            <w:r>
              <w:rPr>
                <w:rFonts w:cs="Times New Roman"/>
                <w:iCs/>
                <w:sz w:val="20"/>
                <w:szCs w:val="20"/>
              </w:rPr>
              <w:t>3.165</w:t>
            </w:r>
          </w:p>
        </w:tc>
        <w:tc>
          <w:tcPr>
            <w:tcW w:w="708" w:type="dxa"/>
            <w:tcBorders/>
            <w:noWrap/>
            <w:hideMark/>
          </w:tcPr>
          <w:p>
            <w:pPr>
              <w:pStyle w:val="style0"/>
              <w:tabs>
                <w:tab w:val="left" w:leader="none" w:pos="810"/>
              </w:tabs>
              <w:jc w:val="both"/>
              <w:rPr>
                <w:rFonts w:cs="Times New Roman"/>
                <w:iCs/>
                <w:sz w:val="20"/>
                <w:szCs w:val="20"/>
              </w:rPr>
            </w:pPr>
            <w:r>
              <w:rPr>
                <w:rFonts w:cs="Times New Roman"/>
                <w:iCs/>
                <w:sz w:val="20"/>
                <w:szCs w:val="20"/>
              </w:rPr>
              <w:t>0.002</w:t>
            </w:r>
          </w:p>
        </w:tc>
      </w:tr>
    </w:tbl>
    <w:p>
      <w:pPr>
        <w:pStyle w:val="style0"/>
        <w:tabs>
          <w:tab w:val="left" w:leader="none" w:pos="810"/>
        </w:tabs>
        <w:spacing w:after="0" w:lineRule="auto" w:line="480"/>
        <w:jc w:val="both"/>
        <w:rPr>
          <w:rFonts w:cs="Times New Roman"/>
          <w:i/>
          <w:sz w:val="20"/>
          <w:szCs w:val="20"/>
        </w:rPr>
      </w:pPr>
      <w:r>
        <w:rPr>
          <w:rFonts w:cs="Times New Roman"/>
          <w:i/>
          <w:sz w:val="20"/>
          <w:szCs w:val="20"/>
        </w:rPr>
        <w:t>Sumber: Output SPSS 30, 2025</w:t>
      </w:r>
    </w:p>
    <w:p>
      <w:pPr>
        <w:pStyle w:val="style0"/>
        <w:tabs>
          <w:tab w:val="left" w:leader="none" w:pos="810"/>
        </w:tabs>
        <w:spacing w:after="0" w:lineRule="auto" w:line="480"/>
        <w:jc w:val="both"/>
        <w:rPr>
          <w:rFonts w:cs="Times New Roman"/>
          <w:iCs/>
          <w:szCs w:val="24"/>
        </w:rPr>
      </w:pPr>
      <w:r>
        <w:rPr>
          <w:rFonts w:cs="Times New Roman"/>
          <w:iCs/>
          <w:szCs w:val="24"/>
        </w:rPr>
        <w:tab/>
      </w:r>
      <w:r>
        <w:rPr>
          <w:rFonts w:cs="Times New Roman"/>
          <w:iCs/>
          <w:szCs w:val="24"/>
        </w:rPr>
        <w:t>Pada tabel 4.</w:t>
      </w:r>
      <w:r>
        <w:rPr>
          <w:rFonts w:cs="Times New Roman"/>
          <w:iCs/>
          <w:szCs w:val="24"/>
        </w:rPr>
        <w:t>5</w:t>
      </w:r>
      <w:r>
        <w:rPr>
          <w:rFonts w:cs="Times New Roman"/>
          <w:iCs/>
          <w:szCs w:val="24"/>
        </w:rPr>
        <w:t>. menunjukkan bahwa</w:t>
      </w:r>
      <w:r>
        <w:rPr>
          <w:rFonts w:cs="Times New Roman"/>
          <w:iCs/>
          <w:szCs w:val="24"/>
        </w:rPr>
        <w:t xml:space="preserve"> nilai sig</w:t>
      </w:r>
      <w:r>
        <w:rPr>
          <w:rFonts w:cs="Times New Roman"/>
          <w:iCs/>
          <w:szCs w:val="24"/>
        </w:rPr>
        <w:t>.</w:t>
      </w:r>
      <w:r>
        <w:rPr>
          <w:rFonts w:cs="Times New Roman"/>
          <w:iCs/>
          <w:szCs w:val="24"/>
        </w:rPr>
        <w:t xml:space="preserve"> pada variabel </w:t>
      </w:r>
      <w:r>
        <w:rPr>
          <w:rFonts w:cs="Times New Roman"/>
          <w:i/>
          <w:szCs w:val="24"/>
        </w:rPr>
        <w:t xml:space="preserve">Enterprise Risk Management </w:t>
      </w:r>
      <w:r>
        <w:rPr>
          <w:rFonts w:cs="Times New Roman"/>
          <w:iCs/>
          <w:szCs w:val="24"/>
        </w:rPr>
        <w:t xml:space="preserve">(X1), </w:t>
      </w:r>
      <w:r>
        <w:rPr>
          <w:rFonts w:cs="Times New Roman"/>
          <w:i/>
          <w:szCs w:val="24"/>
        </w:rPr>
        <w:t xml:space="preserve">Managerial Ownership </w:t>
      </w:r>
      <w:r>
        <w:rPr>
          <w:rFonts w:cs="Times New Roman"/>
          <w:iCs/>
          <w:szCs w:val="24"/>
        </w:rPr>
        <w:t xml:space="preserve">(X2), dan </w:t>
      </w:r>
      <w:r>
        <w:rPr>
          <w:rFonts w:cs="Times New Roman"/>
          <w:i/>
          <w:szCs w:val="24"/>
        </w:rPr>
        <w:t xml:space="preserve">Institutional Ownership </w:t>
      </w:r>
      <w:r>
        <w:rPr>
          <w:rFonts w:cs="Times New Roman"/>
          <w:iCs/>
          <w:szCs w:val="24"/>
        </w:rPr>
        <w:t xml:space="preserve">(X3) </w:t>
      </w:r>
      <w:r>
        <w:rPr>
          <w:rFonts w:cs="Times New Roman"/>
          <w:iCs/>
          <w:szCs w:val="24"/>
        </w:rPr>
        <w:t>berturut-tur</w:t>
      </w:r>
      <w:r>
        <w:rPr>
          <w:rFonts w:cs="Times New Roman"/>
          <w:iCs/>
          <w:szCs w:val="24"/>
        </w:rPr>
        <w:t>u</w:t>
      </w:r>
      <w:r>
        <w:rPr>
          <w:rFonts w:cs="Times New Roman"/>
          <w:iCs/>
          <w:szCs w:val="24"/>
        </w:rPr>
        <w:t>t</w:t>
      </w:r>
      <w:r>
        <w:rPr>
          <w:rFonts w:cs="Times New Roman"/>
          <w:iCs/>
          <w:szCs w:val="24"/>
        </w:rPr>
        <w:t xml:space="preserve"> sebesar</w:t>
      </w:r>
      <w:r>
        <w:rPr>
          <w:rFonts w:cs="Times New Roman"/>
          <w:iCs/>
          <w:szCs w:val="24"/>
        </w:rPr>
        <w:t xml:space="preserve"> 0,251; 0,542; dan </w:t>
      </w:r>
      <w:r>
        <w:rPr>
          <w:rFonts w:cs="Times New Roman"/>
          <w:iCs/>
          <w:szCs w:val="24"/>
        </w:rPr>
        <w:t>0,002</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H</w:t>
      </w:r>
      <w:r>
        <w:rPr>
          <w:rFonts w:cs="Times New Roman" w:eastAsia="Times New Roman"/>
          <w:color w:val="000000"/>
          <w:szCs w:val="24"/>
        </w:rPr>
        <w:t xml:space="preserve">asil uji menunjukkan bahwa </w:t>
      </w:r>
      <w:r>
        <w:rPr>
          <w:rFonts w:cs="Times New Roman"/>
          <w:i/>
          <w:szCs w:val="24"/>
        </w:rPr>
        <w:t xml:space="preserve">Institutional Ownership </w:t>
      </w:r>
      <w:r>
        <w:rPr>
          <w:rFonts w:cs="Times New Roman"/>
          <w:iCs/>
          <w:szCs w:val="24"/>
        </w:rPr>
        <w:t>(X3)</w:t>
      </w:r>
      <w:r>
        <w:rPr>
          <w:rFonts w:cs="Times New Roman" w:eastAsia="Times New Roman"/>
          <w:color w:val="000000"/>
          <w:szCs w:val="24"/>
        </w:rPr>
        <w:t xml:space="preserve"> tidak memenuhi heteroskedastisitas karena </w:t>
      </w:r>
      <w:r>
        <w:rPr>
          <w:rFonts w:cs="Times New Roman" w:eastAsia="Times New Roman"/>
          <w:color w:val="000000"/>
          <w:szCs w:val="24"/>
        </w:rPr>
        <w:t>kurang dari</w:t>
      </w:r>
      <w:r>
        <w:rPr>
          <w:rFonts w:cs="Times New Roman" w:eastAsia="Times New Roman"/>
          <w:color w:val="000000"/>
          <w:szCs w:val="24"/>
        </w:rPr>
        <w:t xml:space="preserve"> 0,05 </w:t>
      </w:r>
      <w:r>
        <w:rPr>
          <w:rFonts w:cs="Times New Roman" w:eastAsia="Times New Roman"/>
          <w:color w:val="000000"/>
          <w:szCs w:val="24"/>
        </w:rPr>
        <w:t>(</w:t>
      </w:r>
      <w:r>
        <w:rPr>
          <w:rFonts w:cs="Times New Roman" w:eastAsia="Times New Roman"/>
          <w:color w:val="000000"/>
          <w:szCs w:val="24"/>
        </w:rPr>
        <w:t>0,002</w:t>
      </w:r>
      <w:r>
        <w:rPr>
          <w:rFonts w:cs="Times New Roman" w:eastAsia="Times New Roman"/>
          <w:color w:val="000000"/>
          <w:szCs w:val="24"/>
        </w:rPr>
        <w:t xml:space="preserve"> &lt; 0,05) </w:t>
      </w:r>
      <w:r>
        <w:rPr>
          <w:rFonts w:cs="Times New Roman" w:eastAsia="Times New Roman"/>
          <w:color w:val="000000"/>
          <w:szCs w:val="24"/>
        </w:rPr>
        <w:t xml:space="preserve">untuk memenuhi persyaratan </w:t>
      </w:r>
      <w:r>
        <w:rPr>
          <w:rFonts w:cs="Times New Roman" w:eastAsia="Times New Roman"/>
          <w:color w:val="000000"/>
          <w:szCs w:val="24"/>
        </w:rPr>
        <w:t>tersebut</w:t>
      </w:r>
      <w:r>
        <w:rPr>
          <w:rFonts w:cs="Times New Roman" w:eastAsia="Times New Roman"/>
          <w:color w:val="000000"/>
          <w:szCs w:val="24"/>
        </w:rPr>
        <w:t xml:space="preserve"> dilakukan transformasi data</w:t>
      </w:r>
      <w:r>
        <w:rPr>
          <w:rFonts w:cs="Times New Roman" w:eastAsia="Times New Roman"/>
          <w:color w:val="000000"/>
          <w:szCs w:val="24"/>
        </w:rPr>
        <w:t>.</w:t>
      </w:r>
      <w:r>
        <w:rPr>
          <w:rFonts w:cs="Times New Roman" w:eastAsia="Times New Roman"/>
          <w:color w:val="000000"/>
          <w:szCs w:val="24"/>
        </w:rPr>
        <w:t xml:space="preserve"> </w:t>
      </w:r>
      <w:r>
        <w:rPr>
          <w:rFonts w:cs="Times New Roman" w:eastAsia="Times New Roman"/>
          <w:color w:val="000000"/>
          <w:szCs w:val="24"/>
        </w:rPr>
        <w:t xml:space="preserve">Hasil transformasi </w:t>
      </w:r>
      <w:r>
        <w:rPr>
          <w:rFonts w:cs="Times New Roman" w:eastAsia="Times New Roman"/>
          <w:color w:val="000000"/>
          <w:szCs w:val="24"/>
        </w:rPr>
        <w:t xml:space="preserve">data </w:t>
      </w:r>
      <w:r>
        <w:rPr>
          <w:rFonts w:cs="Times New Roman" w:eastAsia="Times New Roman"/>
          <w:color w:val="000000"/>
          <w:szCs w:val="24"/>
        </w:rPr>
        <w:t>tersebut kemudian</w:t>
      </w:r>
      <w:r>
        <w:rPr>
          <w:rFonts w:cs="Times New Roman" w:eastAsia="Times New Roman"/>
          <w:color w:val="000000"/>
          <w:szCs w:val="24"/>
        </w:rPr>
        <w:t xml:space="preserve"> didapatkan hasil yang sesuai dengan persyaratan </w:t>
      </w:r>
      <w:r>
        <w:rPr>
          <w:rFonts w:cs="Times New Roman" w:eastAsia="Times New Roman"/>
          <w:color w:val="000000"/>
          <w:szCs w:val="24"/>
        </w:rPr>
        <w:t>pengujian heteroskedastisitas (</w:t>
      </w:r>
      <w:r>
        <w:rPr>
          <w:rFonts w:cs="Times New Roman" w:eastAsia="Times New Roman"/>
          <w:i/>
          <w:iCs/>
          <w:color w:val="000000"/>
          <w:szCs w:val="24"/>
        </w:rPr>
        <w:t>glejser</w:t>
      </w:r>
      <w:r>
        <w:rPr>
          <w:rFonts w:cs="Times New Roman" w:eastAsia="Times New Roman"/>
          <w:color w:val="000000"/>
          <w:szCs w:val="24"/>
        </w:rPr>
        <w:t xml:space="preserve">) </w:t>
      </w:r>
      <w:r>
        <w:rPr>
          <w:rFonts w:cs="Times New Roman" w:eastAsia="Times New Roman"/>
          <w:color w:val="000000"/>
          <w:szCs w:val="24"/>
        </w:rPr>
        <w:t xml:space="preserve">sehingga dapat dilihat pada tabel </w:t>
      </w:r>
      <w:r>
        <w:rPr>
          <w:rFonts w:cs="Times New Roman" w:eastAsia="Times New Roman"/>
          <w:color w:val="000000"/>
          <w:szCs w:val="24"/>
        </w:rPr>
        <w:t>4.6</w:t>
      </w:r>
      <w:r>
        <w:rPr>
          <w:rFonts w:cs="Times New Roman" w:eastAsia="Times New Roman"/>
          <w:color w:val="000000"/>
          <w:szCs w:val="24"/>
        </w:rPr>
        <w:t xml:space="preserve">: </w:t>
      </w:r>
    </w:p>
    <w:bookmarkStart w:id="90" w:name="_Toc215602307"/>
    <w:bookmarkStart w:id="91" w:name="_Toc216129263"/>
    <w:bookmarkStart w:id="92" w:name="_Toc216804043"/>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8</w:t>
      </w:r>
      <w:r>
        <w:rPr>
          <w:b w:val="false"/>
          <w:bCs/>
          <w:i/>
          <w:iCs w:val="false"/>
          <w:color w:val="ffffff"/>
          <w:sz w:val="22"/>
          <w:szCs w:val="22"/>
        </w:rPr>
        <w:fldChar w:fldCharType="end"/>
      </w:r>
      <w:r>
        <w:rPr>
          <w:bCs/>
          <w:iCs w:val="false"/>
          <w:color w:val="auto"/>
          <w:sz w:val="22"/>
          <w:szCs w:val="22"/>
        </w:rPr>
        <w:t xml:space="preserve">4. </w:t>
      </w:r>
      <w:r>
        <w:rPr>
          <w:bCs/>
          <w:iCs w:val="false"/>
          <w:color w:val="auto"/>
          <w:sz w:val="22"/>
          <w:szCs w:val="22"/>
        </w:rPr>
        <w:t>6</w:t>
      </w:r>
      <w:r>
        <w:rPr>
          <w:bCs/>
          <w:iCs w:val="false"/>
          <w:color w:val="auto"/>
          <w:sz w:val="22"/>
          <w:szCs w:val="22"/>
        </w:rPr>
        <w:t>. Uji Heteroskedastisitas (</w:t>
      </w:r>
      <w:r>
        <w:rPr>
          <w:bCs/>
          <w:color w:val="auto"/>
          <w:sz w:val="22"/>
          <w:szCs w:val="22"/>
        </w:rPr>
        <w:t>Glejser</w:t>
      </w:r>
      <w:r>
        <w:rPr>
          <w:bCs/>
          <w:iCs w:val="false"/>
          <w:color w:val="auto"/>
          <w:sz w:val="22"/>
          <w:szCs w:val="22"/>
        </w:rPr>
        <w:t>) setelah ditransformasi</w:t>
      </w:r>
      <w:bookmarkEnd w:id="90"/>
      <w:bookmarkEnd w:id="91"/>
      <w:bookmarkEnd w:id="92"/>
    </w:p>
    <w:tbl>
      <w:tblPr>
        <w:tblStyle w:val="style154"/>
        <w:tblW w:w="0" w:type="auto"/>
        <w:tblLayout w:type="fixed"/>
        <w:tblLook w:val="04A0" w:firstRow="1" w:lastRow="0" w:firstColumn="1" w:lastColumn="0" w:noHBand="0" w:noVBand="1"/>
      </w:tblPr>
      <w:tblGrid>
        <w:gridCol w:w="316"/>
        <w:gridCol w:w="2199"/>
        <w:gridCol w:w="810"/>
        <w:gridCol w:w="1260"/>
        <w:gridCol w:w="1824"/>
        <w:gridCol w:w="797"/>
        <w:gridCol w:w="721"/>
      </w:tblGrid>
      <w:tr>
        <w:trPr>
          <w:trHeight w:val="360" w:hRule="atLeast"/>
        </w:trPr>
        <w:tc>
          <w:tcPr>
            <w:tcW w:w="7927" w:type="dxa"/>
            <w:gridSpan w:val="7"/>
            <w:tcBorders/>
            <w:hideMark/>
          </w:tcPr>
          <w:p>
            <w:pPr>
              <w:pStyle w:val="style0"/>
              <w:jc w:val="center"/>
              <w:rPr>
                <w:rFonts w:cs="Times New Roman"/>
                <w:b/>
                <w:bCs/>
                <w:iCs/>
                <w:sz w:val="20"/>
                <w:szCs w:val="20"/>
              </w:rPr>
            </w:pPr>
            <w:r>
              <w:rPr>
                <w:rFonts w:cs="Times New Roman"/>
                <w:b/>
                <w:bCs/>
                <w:iCs/>
                <w:sz w:val="20"/>
                <w:szCs w:val="20"/>
              </w:rPr>
              <w:t>Coefficients</w:t>
            </w:r>
            <w:r>
              <w:rPr>
                <w:rFonts w:cs="Times New Roman"/>
                <w:b/>
                <w:bCs/>
                <w:iCs/>
                <w:sz w:val="20"/>
                <w:szCs w:val="20"/>
                <w:vertAlign w:val="superscript"/>
              </w:rPr>
              <w:t>a</w:t>
            </w:r>
          </w:p>
        </w:tc>
      </w:tr>
      <w:tr>
        <w:tblPrEx/>
        <w:trPr>
          <w:trHeight w:val="449" w:hRule="atLeast"/>
        </w:trPr>
        <w:tc>
          <w:tcPr>
            <w:tcW w:w="2515" w:type="dxa"/>
            <w:gridSpan w:val="2"/>
            <w:vMerge w:val="restart"/>
            <w:tcBorders/>
            <w:hideMark/>
          </w:tcPr>
          <w:p>
            <w:pPr>
              <w:pStyle w:val="style0"/>
              <w:jc w:val="both"/>
              <w:rPr>
                <w:rFonts w:cs="Times New Roman"/>
                <w:iCs/>
                <w:sz w:val="20"/>
                <w:szCs w:val="20"/>
              </w:rPr>
            </w:pPr>
            <w:r>
              <w:rPr>
                <w:rFonts w:cs="Times New Roman"/>
                <w:iCs/>
                <w:sz w:val="20"/>
                <w:szCs w:val="20"/>
              </w:rPr>
              <w:t>Model</w:t>
            </w:r>
          </w:p>
        </w:tc>
        <w:tc>
          <w:tcPr>
            <w:tcW w:w="2070" w:type="dxa"/>
            <w:gridSpan w:val="2"/>
            <w:tcBorders/>
            <w:hideMark/>
          </w:tcPr>
          <w:p>
            <w:pPr>
              <w:pStyle w:val="style0"/>
              <w:jc w:val="both"/>
              <w:rPr>
                <w:rFonts w:cs="Times New Roman"/>
                <w:iCs/>
                <w:sz w:val="20"/>
                <w:szCs w:val="20"/>
              </w:rPr>
            </w:pPr>
            <w:r>
              <w:rPr>
                <w:rFonts w:cs="Times New Roman"/>
                <w:iCs/>
                <w:sz w:val="20"/>
                <w:szCs w:val="20"/>
              </w:rPr>
              <w:t>Unstandardized Coefficients</w:t>
            </w:r>
          </w:p>
        </w:tc>
        <w:tc>
          <w:tcPr>
            <w:tcW w:w="1824" w:type="dxa"/>
            <w:tcBorders/>
            <w:hideMark/>
          </w:tcPr>
          <w:p>
            <w:pPr>
              <w:pStyle w:val="style0"/>
              <w:jc w:val="both"/>
              <w:rPr>
                <w:rFonts w:cs="Times New Roman"/>
                <w:iCs/>
                <w:sz w:val="20"/>
                <w:szCs w:val="20"/>
              </w:rPr>
            </w:pPr>
            <w:r>
              <w:rPr>
                <w:rFonts w:cs="Times New Roman"/>
                <w:iCs/>
                <w:sz w:val="20"/>
                <w:szCs w:val="20"/>
              </w:rPr>
              <w:t>Standardized Coefficients</w:t>
            </w:r>
          </w:p>
        </w:tc>
        <w:tc>
          <w:tcPr>
            <w:tcW w:w="797" w:type="dxa"/>
            <w:vMerge w:val="restart"/>
            <w:tcBorders/>
            <w:hideMark/>
          </w:tcPr>
          <w:p>
            <w:pPr>
              <w:pStyle w:val="style0"/>
              <w:jc w:val="both"/>
              <w:rPr>
                <w:rFonts w:cs="Times New Roman"/>
                <w:iCs/>
                <w:sz w:val="20"/>
                <w:szCs w:val="20"/>
              </w:rPr>
            </w:pPr>
            <w:r>
              <w:rPr>
                <w:rFonts w:cs="Times New Roman"/>
                <w:iCs/>
                <w:sz w:val="20"/>
                <w:szCs w:val="20"/>
              </w:rPr>
              <w:t>t</w:t>
            </w:r>
          </w:p>
        </w:tc>
        <w:tc>
          <w:tcPr>
            <w:tcW w:w="721" w:type="dxa"/>
            <w:vMerge w:val="restart"/>
            <w:tcBorders/>
            <w:hideMark/>
          </w:tcPr>
          <w:p>
            <w:pPr>
              <w:pStyle w:val="style0"/>
              <w:jc w:val="both"/>
              <w:rPr>
                <w:rFonts w:cs="Times New Roman"/>
                <w:iCs/>
                <w:sz w:val="20"/>
                <w:szCs w:val="20"/>
              </w:rPr>
            </w:pPr>
            <w:r>
              <w:rPr>
                <w:rFonts w:cs="Times New Roman"/>
                <w:iCs/>
                <w:sz w:val="20"/>
                <w:szCs w:val="20"/>
              </w:rPr>
              <w:t>Sig.</w:t>
            </w:r>
          </w:p>
        </w:tc>
      </w:tr>
      <w:tr>
        <w:tblPrEx/>
        <w:trPr>
          <w:trHeight w:val="125" w:hRule="atLeast"/>
        </w:trPr>
        <w:tc>
          <w:tcPr>
            <w:tcW w:w="2515" w:type="dxa"/>
            <w:gridSpan w:val="2"/>
            <w:vMerge w:val="continue"/>
            <w:tcBorders/>
            <w:hideMark/>
          </w:tcPr>
          <w:p>
            <w:pPr>
              <w:pStyle w:val="style0"/>
              <w:jc w:val="both"/>
              <w:rPr>
                <w:rFonts w:cs="Times New Roman"/>
                <w:iCs/>
                <w:sz w:val="20"/>
                <w:szCs w:val="20"/>
              </w:rPr>
            </w:pPr>
          </w:p>
        </w:tc>
        <w:tc>
          <w:tcPr>
            <w:tcW w:w="810" w:type="dxa"/>
            <w:tcBorders/>
            <w:hideMark/>
          </w:tcPr>
          <w:p>
            <w:pPr>
              <w:pStyle w:val="style0"/>
              <w:jc w:val="center"/>
              <w:rPr>
                <w:rFonts w:cs="Times New Roman"/>
                <w:iCs/>
                <w:sz w:val="20"/>
                <w:szCs w:val="20"/>
              </w:rPr>
            </w:pPr>
            <w:r>
              <w:rPr>
                <w:rFonts w:cs="Times New Roman"/>
                <w:iCs/>
                <w:sz w:val="20"/>
                <w:szCs w:val="20"/>
              </w:rPr>
              <w:t>B</w:t>
            </w:r>
          </w:p>
        </w:tc>
        <w:tc>
          <w:tcPr>
            <w:tcW w:w="1260" w:type="dxa"/>
            <w:tcBorders/>
            <w:hideMark/>
          </w:tcPr>
          <w:p>
            <w:pPr>
              <w:pStyle w:val="style0"/>
              <w:jc w:val="center"/>
              <w:rPr>
                <w:rFonts w:cs="Times New Roman"/>
                <w:iCs/>
                <w:sz w:val="20"/>
                <w:szCs w:val="20"/>
              </w:rPr>
            </w:pPr>
            <w:r>
              <w:rPr>
                <w:rFonts w:cs="Times New Roman"/>
                <w:iCs/>
                <w:sz w:val="20"/>
                <w:szCs w:val="20"/>
              </w:rPr>
              <w:t>Std. Error</w:t>
            </w:r>
          </w:p>
        </w:tc>
        <w:tc>
          <w:tcPr>
            <w:tcW w:w="1824" w:type="dxa"/>
            <w:tcBorders/>
            <w:hideMark/>
          </w:tcPr>
          <w:p>
            <w:pPr>
              <w:pStyle w:val="style0"/>
              <w:jc w:val="center"/>
              <w:rPr>
                <w:rFonts w:cs="Times New Roman"/>
                <w:iCs/>
                <w:sz w:val="20"/>
                <w:szCs w:val="20"/>
              </w:rPr>
            </w:pPr>
            <w:r>
              <w:rPr>
                <w:rFonts w:cs="Times New Roman"/>
                <w:iCs/>
                <w:sz w:val="20"/>
                <w:szCs w:val="20"/>
              </w:rPr>
              <w:t>Beta</w:t>
            </w:r>
          </w:p>
        </w:tc>
        <w:tc>
          <w:tcPr>
            <w:tcW w:w="797" w:type="dxa"/>
            <w:vMerge w:val="continue"/>
            <w:tcBorders/>
            <w:hideMark/>
          </w:tcPr>
          <w:p>
            <w:pPr>
              <w:pStyle w:val="style0"/>
              <w:jc w:val="both"/>
              <w:rPr>
                <w:rFonts w:cs="Times New Roman"/>
                <w:iCs/>
                <w:sz w:val="20"/>
                <w:szCs w:val="20"/>
              </w:rPr>
            </w:pPr>
          </w:p>
        </w:tc>
        <w:tc>
          <w:tcPr>
            <w:tcW w:w="721" w:type="dxa"/>
            <w:vMerge w:val="continue"/>
            <w:tcBorders/>
            <w:hideMark/>
          </w:tcPr>
          <w:p>
            <w:pPr>
              <w:pStyle w:val="style0"/>
              <w:jc w:val="both"/>
              <w:rPr>
                <w:rFonts w:cs="Times New Roman"/>
                <w:iCs/>
                <w:sz w:val="20"/>
                <w:szCs w:val="20"/>
              </w:rPr>
            </w:pPr>
          </w:p>
        </w:tc>
      </w:tr>
      <w:tr>
        <w:tblPrEx/>
        <w:trPr>
          <w:trHeight w:val="260" w:hRule="atLeast"/>
        </w:trPr>
        <w:tc>
          <w:tcPr>
            <w:tcW w:w="316" w:type="dxa"/>
            <w:vMerge w:val="restart"/>
            <w:tcBorders/>
            <w:noWrap/>
            <w:hideMark/>
          </w:tcPr>
          <w:p>
            <w:pPr>
              <w:pStyle w:val="style0"/>
              <w:jc w:val="both"/>
              <w:rPr>
                <w:rFonts w:cs="Times New Roman"/>
                <w:iCs/>
                <w:sz w:val="20"/>
                <w:szCs w:val="20"/>
              </w:rPr>
            </w:pPr>
            <w:r>
              <w:rPr>
                <w:rFonts w:cs="Times New Roman"/>
                <w:iCs/>
                <w:sz w:val="20"/>
                <w:szCs w:val="20"/>
              </w:rPr>
              <w:t>1</w:t>
            </w:r>
          </w:p>
        </w:tc>
        <w:tc>
          <w:tcPr>
            <w:tcW w:w="2199" w:type="dxa"/>
            <w:tcBorders/>
            <w:hideMark/>
          </w:tcPr>
          <w:p>
            <w:pPr>
              <w:pStyle w:val="style0"/>
              <w:jc w:val="both"/>
              <w:rPr>
                <w:rFonts w:cs="Times New Roman"/>
                <w:iCs/>
                <w:sz w:val="20"/>
                <w:szCs w:val="20"/>
              </w:rPr>
            </w:pPr>
            <w:r>
              <w:rPr>
                <w:rFonts w:cs="Times New Roman"/>
                <w:iCs/>
                <w:sz w:val="20"/>
                <w:szCs w:val="20"/>
              </w:rPr>
              <w:t>(Constant)</w:t>
            </w:r>
          </w:p>
        </w:tc>
        <w:tc>
          <w:tcPr>
            <w:tcW w:w="810" w:type="dxa"/>
            <w:tcBorders/>
            <w:noWrap/>
            <w:hideMark/>
          </w:tcPr>
          <w:p>
            <w:pPr>
              <w:pStyle w:val="style0"/>
              <w:jc w:val="center"/>
              <w:rPr>
                <w:rFonts w:cs="Times New Roman"/>
                <w:iCs/>
                <w:sz w:val="20"/>
                <w:szCs w:val="20"/>
              </w:rPr>
            </w:pPr>
            <w:r>
              <w:rPr>
                <w:rFonts w:cs="Times New Roman"/>
                <w:iCs/>
                <w:sz w:val="20"/>
                <w:szCs w:val="20"/>
              </w:rPr>
              <w:t>0.621</w:t>
            </w:r>
          </w:p>
        </w:tc>
        <w:tc>
          <w:tcPr>
            <w:tcW w:w="1260" w:type="dxa"/>
            <w:tcBorders/>
            <w:noWrap/>
            <w:hideMark/>
          </w:tcPr>
          <w:p>
            <w:pPr>
              <w:pStyle w:val="style0"/>
              <w:jc w:val="both"/>
              <w:rPr>
                <w:rFonts w:cs="Times New Roman"/>
                <w:iCs/>
                <w:sz w:val="20"/>
                <w:szCs w:val="20"/>
              </w:rPr>
            </w:pPr>
            <w:r>
              <w:rPr>
                <w:rFonts w:cs="Times New Roman"/>
                <w:iCs/>
                <w:sz w:val="20"/>
                <w:szCs w:val="20"/>
              </w:rPr>
              <w:t>0.337</w:t>
            </w:r>
          </w:p>
        </w:tc>
        <w:tc>
          <w:tcPr>
            <w:tcW w:w="1824" w:type="dxa"/>
            <w:tcBorders/>
            <w:hideMark/>
          </w:tcPr>
          <w:p>
            <w:pPr>
              <w:pStyle w:val="style0"/>
              <w:jc w:val="both"/>
              <w:rPr>
                <w:rFonts w:cs="Times New Roman"/>
                <w:iCs/>
                <w:sz w:val="20"/>
                <w:szCs w:val="20"/>
              </w:rPr>
            </w:pPr>
            <w:r>
              <w:rPr>
                <w:rFonts w:cs="Times New Roman"/>
                <w:iCs/>
                <w:sz w:val="20"/>
                <w:szCs w:val="20"/>
              </w:rPr>
              <w:t> </w:t>
            </w:r>
          </w:p>
        </w:tc>
        <w:tc>
          <w:tcPr>
            <w:tcW w:w="797" w:type="dxa"/>
            <w:tcBorders/>
            <w:noWrap/>
            <w:hideMark/>
          </w:tcPr>
          <w:p>
            <w:pPr>
              <w:pStyle w:val="style0"/>
              <w:jc w:val="both"/>
              <w:rPr>
                <w:rFonts w:cs="Times New Roman"/>
                <w:iCs/>
                <w:sz w:val="20"/>
                <w:szCs w:val="20"/>
              </w:rPr>
            </w:pPr>
            <w:r>
              <w:rPr>
                <w:rFonts w:cs="Times New Roman"/>
                <w:iCs/>
                <w:sz w:val="20"/>
                <w:szCs w:val="20"/>
              </w:rPr>
              <w:t>1.845</w:t>
            </w:r>
          </w:p>
        </w:tc>
        <w:tc>
          <w:tcPr>
            <w:tcW w:w="721" w:type="dxa"/>
            <w:tcBorders/>
            <w:noWrap/>
            <w:hideMark/>
          </w:tcPr>
          <w:p>
            <w:pPr>
              <w:pStyle w:val="style0"/>
              <w:jc w:val="both"/>
              <w:rPr>
                <w:rFonts w:cs="Times New Roman"/>
                <w:iCs/>
                <w:sz w:val="20"/>
                <w:szCs w:val="20"/>
              </w:rPr>
            </w:pPr>
            <w:r>
              <w:rPr>
                <w:rFonts w:cs="Times New Roman"/>
                <w:iCs/>
                <w:sz w:val="20"/>
                <w:szCs w:val="20"/>
              </w:rPr>
              <w:t>0.066</w:t>
            </w:r>
          </w:p>
        </w:tc>
      </w:tr>
      <w:tr>
        <w:tblPrEx/>
        <w:trPr>
          <w:trHeight w:val="440" w:hRule="atLeast"/>
        </w:trPr>
        <w:tc>
          <w:tcPr>
            <w:tcW w:w="316" w:type="dxa"/>
            <w:vMerge w:val="continue"/>
            <w:tcBorders/>
            <w:hideMark/>
          </w:tcPr>
          <w:p>
            <w:pPr>
              <w:pStyle w:val="style0"/>
              <w:jc w:val="both"/>
              <w:rPr>
                <w:rFonts w:cs="Times New Roman"/>
                <w:iCs/>
                <w:sz w:val="20"/>
                <w:szCs w:val="20"/>
              </w:rPr>
            </w:pPr>
          </w:p>
        </w:tc>
        <w:tc>
          <w:tcPr>
            <w:tcW w:w="2199" w:type="dxa"/>
            <w:tcBorders/>
            <w:hideMark/>
          </w:tcPr>
          <w:p>
            <w:pPr>
              <w:pStyle w:val="style0"/>
              <w:rPr>
                <w:rFonts w:cs="Times New Roman"/>
                <w:iCs/>
                <w:sz w:val="20"/>
                <w:szCs w:val="20"/>
              </w:rPr>
            </w:pPr>
            <w:r>
              <w:rPr>
                <w:rFonts w:cs="Times New Roman"/>
                <w:iCs/>
                <w:sz w:val="20"/>
                <w:szCs w:val="20"/>
              </w:rPr>
              <w:t>Enterprise Risk Management</w:t>
            </w:r>
          </w:p>
        </w:tc>
        <w:tc>
          <w:tcPr>
            <w:tcW w:w="810" w:type="dxa"/>
            <w:tcBorders/>
            <w:noWrap/>
            <w:hideMark/>
          </w:tcPr>
          <w:p>
            <w:pPr>
              <w:pStyle w:val="style0"/>
              <w:jc w:val="center"/>
              <w:rPr>
                <w:rFonts w:cs="Times New Roman"/>
                <w:iCs/>
                <w:sz w:val="20"/>
                <w:szCs w:val="20"/>
              </w:rPr>
            </w:pPr>
            <w:r>
              <w:rPr>
                <w:rFonts w:cs="Times New Roman"/>
                <w:iCs/>
                <w:sz w:val="20"/>
                <w:szCs w:val="20"/>
              </w:rPr>
              <w:t>0.710</w:t>
            </w:r>
          </w:p>
        </w:tc>
        <w:tc>
          <w:tcPr>
            <w:tcW w:w="1260" w:type="dxa"/>
            <w:tcBorders/>
            <w:noWrap/>
            <w:hideMark/>
          </w:tcPr>
          <w:p>
            <w:pPr>
              <w:pStyle w:val="style0"/>
              <w:jc w:val="both"/>
              <w:rPr>
                <w:rFonts w:cs="Times New Roman"/>
                <w:iCs/>
                <w:sz w:val="20"/>
                <w:szCs w:val="20"/>
              </w:rPr>
            </w:pPr>
            <w:r>
              <w:rPr>
                <w:rFonts w:cs="Times New Roman"/>
                <w:iCs/>
                <w:sz w:val="20"/>
                <w:szCs w:val="20"/>
              </w:rPr>
              <w:t>0.517</w:t>
            </w:r>
          </w:p>
        </w:tc>
        <w:tc>
          <w:tcPr>
            <w:tcW w:w="1824" w:type="dxa"/>
            <w:tcBorders/>
            <w:noWrap/>
            <w:hideMark/>
          </w:tcPr>
          <w:p>
            <w:pPr>
              <w:pStyle w:val="style0"/>
              <w:jc w:val="both"/>
              <w:rPr>
                <w:rFonts w:cs="Times New Roman"/>
                <w:iCs/>
                <w:sz w:val="20"/>
                <w:szCs w:val="20"/>
              </w:rPr>
            </w:pPr>
            <w:r>
              <w:rPr>
                <w:rFonts w:cs="Times New Roman"/>
                <w:iCs/>
                <w:sz w:val="20"/>
                <w:szCs w:val="20"/>
              </w:rPr>
              <w:t>0.092</w:t>
            </w:r>
          </w:p>
        </w:tc>
        <w:tc>
          <w:tcPr>
            <w:tcW w:w="797" w:type="dxa"/>
            <w:tcBorders/>
            <w:noWrap/>
            <w:hideMark/>
          </w:tcPr>
          <w:p>
            <w:pPr>
              <w:pStyle w:val="style0"/>
              <w:jc w:val="both"/>
              <w:rPr>
                <w:rFonts w:cs="Times New Roman"/>
                <w:iCs/>
                <w:sz w:val="20"/>
                <w:szCs w:val="20"/>
              </w:rPr>
            </w:pPr>
            <w:r>
              <w:rPr>
                <w:rFonts w:cs="Times New Roman"/>
                <w:iCs/>
                <w:sz w:val="20"/>
                <w:szCs w:val="20"/>
              </w:rPr>
              <w:t>1.373</w:t>
            </w:r>
          </w:p>
        </w:tc>
        <w:tc>
          <w:tcPr>
            <w:tcW w:w="721" w:type="dxa"/>
            <w:tcBorders/>
            <w:noWrap/>
            <w:hideMark/>
          </w:tcPr>
          <w:p>
            <w:pPr>
              <w:pStyle w:val="style0"/>
              <w:jc w:val="both"/>
              <w:rPr>
                <w:rFonts w:cs="Times New Roman"/>
                <w:iCs/>
                <w:sz w:val="20"/>
                <w:szCs w:val="20"/>
              </w:rPr>
            </w:pPr>
            <w:r>
              <w:rPr>
                <w:rFonts w:cs="Times New Roman"/>
                <w:iCs/>
                <w:sz w:val="20"/>
                <w:szCs w:val="20"/>
              </w:rPr>
              <w:t>0.171</w:t>
            </w:r>
          </w:p>
        </w:tc>
      </w:tr>
      <w:tr>
        <w:tblPrEx/>
        <w:trPr>
          <w:trHeight w:val="242" w:hRule="atLeast"/>
        </w:trPr>
        <w:tc>
          <w:tcPr>
            <w:tcW w:w="316" w:type="dxa"/>
            <w:vMerge w:val="continue"/>
            <w:tcBorders/>
            <w:hideMark/>
          </w:tcPr>
          <w:p>
            <w:pPr>
              <w:pStyle w:val="style0"/>
              <w:jc w:val="both"/>
              <w:rPr>
                <w:rFonts w:cs="Times New Roman"/>
                <w:iCs/>
                <w:sz w:val="20"/>
                <w:szCs w:val="20"/>
              </w:rPr>
            </w:pPr>
          </w:p>
        </w:tc>
        <w:tc>
          <w:tcPr>
            <w:tcW w:w="2199" w:type="dxa"/>
            <w:tcBorders/>
            <w:hideMark/>
          </w:tcPr>
          <w:p>
            <w:pPr>
              <w:pStyle w:val="style0"/>
              <w:jc w:val="both"/>
              <w:rPr>
                <w:rFonts w:cs="Times New Roman"/>
                <w:iCs/>
                <w:sz w:val="20"/>
                <w:szCs w:val="20"/>
              </w:rPr>
            </w:pPr>
            <w:r>
              <w:rPr>
                <w:rFonts w:cs="Times New Roman"/>
                <w:iCs/>
                <w:sz w:val="20"/>
                <w:szCs w:val="20"/>
              </w:rPr>
              <w:t>Managerial Ownership</w:t>
            </w:r>
          </w:p>
        </w:tc>
        <w:tc>
          <w:tcPr>
            <w:tcW w:w="810" w:type="dxa"/>
            <w:tcBorders/>
            <w:noWrap/>
            <w:hideMark/>
          </w:tcPr>
          <w:p>
            <w:pPr>
              <w:pStyle w:val="style0"/>
              <w:jc w:val="center"/>
              <w:rPr>
                <w:rFonts w:cs="Times New Roman"/>
                <w:iCs/>
                <w:sz w:val="20"/>
                <w:szCs w:val="20"/>
              </w:rPr>
            </w:pPr>
            <w:r>
              <w:rPr>
                <w:rFonts w:cs="Times New Roman"/>
                <w:iCs/>
                <w:sz w:val="20"/>
                <w:szCs w:val="20"/>
              </w:rPr>
              <w:t>-0.610</w:t>
            </w:r>
          </w:p>
        </w:tc>
        <w:tc>
          <w:tcPr>
            <w:tcW w:w="1260" w:type="dxa"/>
            <w:tcBorders/>
            <w:noWrap/>
            <w:hideMark/>
          </w:tcPr>
          <w:p>
            <w:pPr>
              <w:pStyle w:val="style0"/>
              <w:jc w:val="both"/>
              <w:rPr>
                <w:rFonts w:cs="Times New Roman"/>
                <w:iCs/>
                <w:sz w:val="20"/>
                <w:szCs w:val="20"/>
              </w:rPr>
            </w:pPr>
            <w:r>
              <w:rPr>
                <w:rFonts w:cs="Times New Roman"/>
                <w:iCs/>
                <w:sz w:val="20"/>
                <w:szCs w:val="20"/>
              </w:rPr>
              <w:t>0.679</w:t>
            </w:r>
          </w:p>
        </w:tc>
        <w:tc>
          <w:tcPr>
            <w:tcW w:w="1824" w:type="dxa"/>
            <w:tcBorders/>
            <w:noWrap/>
            <w:hideMark/>
          </w:tcPr>
          <w:p>
            <w:pPr>
              <w:pStyle w:val="style0"/>
              <w:jc w:val="both"/>
              <w:rPr>
                <w:rFonts w:cs="Times New Roman"/>
                <w:iCs/>
                <w:sz w:val="20"/>
                <w:szCs w:val="20"/>
              </w:rPr>
            </w:pPr>
            <w:r>
              <w:rPr>
                <w:rFonts w:cs="Times New Roman"/>
                <w:iCs/>
                <w:sz w:val="20"/>
                <w:szCs w:val="20"/>
              </w:rPr>
              <w:t>-0.069</w:t>
            </w:r>
          </w:p>
        </w:tc>
        <w:tc>
          <w:tcPr>
            <w:tcW w:w="797" w:type="dxa"/>
            <w:tcBorders/>
            <w:noWrap/>
            <w:hideMark/>
          </w:tcPr>
          <w:p>
            <w:pPr>
              <w:pStyle w:val="style0"/>
              <w:jc w:val="both"/>
              <w:rPr>
                <w:rFonts w:cs="Times New Roman"/>
                <w:iCs/>
                <w:sz w:val="20"/>
                <w:szCs w:val="20"/>
              </w:rPr>
            </w:pPr>
            <w:r>
              <w:rPr>
                <w:rFonts w:cs="Times New Roman"/>
                <w:iCs/>
                <w:sz w:val="20"/>
                <w:szCs w:val="20"/>
              </w:rPr>
              <w:t>-0.898</w:t>
            </w:r>
          </w:p>
        </w:tc>
        <w:tc>
          <w:tcPr>
            <w:tcW w:w="721" w:type="dxa"/>
            <w:tcBorders/>
            <w:noWrap/>
            <w:hideMark/>
          </w:tcPr>
          <w:p>
            <w:pPr>
              <w:pStyle w:val="style0"/>
              <w:jc w:val="both"/>
              <w:rPr>
                <w:rFonts w:cs="Times New Roman"/>
                <w:iCs/>
                <w:sz w:val="20"/>
                <w:szCs w:val="20"/>
              </w:rPr>
            </w:pPr>
            <w:r>
              <w:rPr>
                <w:rFonts w:cs="Times New Roman"/>
                <w:iCs/>
                <w:sz w:val="20"/>
                <w:szCs w:val="20"/>
              </w:rPr>
              <w:t>0.370</w:t>
            </w:r>
          </w:p>
        </w:tc>
      </w:tr>
      <w:tr>
        <w:tblPrEx/>
        <w:trPr>
          <w:trHeight w:val="161" w:hRule="atLeast"/>
        </w:trPr>
        <w:tc>
          <w:tcPr>
            <w:tcW w:w="316" w:type="dxa"/>
            <w:vMerge w:val="continue"/>
            <w:tcBorders/>
            <w:hideMark/>
          </w:tcPr>
          <w:p>
            <w:pPr>
              <w:pStyle w:val="style0"/>
              <w:jc w:val="both"/>
              <w:rPr>
                <w:rFonts w:cs="Times New Roman"/>
                <w:iCs/>
                <w:sz w:val="20"/>
                <w:szCs w:val="20"/>
              </w:rPr>
            </w:pPr>
          </w:p>
        </w:tc>
        <w:tc>
          <w:tcPr>
            <w:tcW w:w="2199" w:type="dxa"/>
            <w:tcBorders/>
            <w:hideMark/>
          </w:tcPr>
          <w:p>
            <w:pPr>
              <w:pStyle w:val="style0"/>
              <w:jc w:val="both"/>
              <w:rPr>
                <w:rFonts w:cs="Times New Roman"/>
                <w:iCs/>
                <w:sz w:val="20"/>
                <w:szCs w:val="20"/>
              </w:rPr>
            </w:pPr>
            <w:r>
              <w:rPr>
                <w:rFonts w:cs="Times New Roman"/>
                <w:iCs/>
                <w:sz w:val="20"/>
                <w:szCs w:val="20"/>
              </w:rPr>
              <w:t>Institutional Ownership</w:t>
            </w:r>
          </w:p>
        </w:tc>
        <w:tc>
          <w:tcPr>
            <w:tcW w:w="810" w:type="dxa"/>
            <w:tcBorders/>
            <w:noWrap/>
            <w:hideMark/>
          </w:tcPr>
          <w:p>
            <w:pPr>
              <w:pStyle w:val="style0"/>
              <w:jc w:val="center"/>
              <w:rPr>
                <w:rFonts w:cs="Times New Roman"/>
                <w:iCs/>
                <w:sz w:val="20"/>
                <w:szCs w:val="20"/>
              </w:rPr>
            </w:pPr>
            <w:r>
              <w:rPr>
                <w:rFonts w:cs="Times New Roman"/>
                <w:iCs/>
                <w:sz w:val="20"/>
                <w:szCs w:val="20"/>
              </w:rPr>
              <w:t>0.120</w:t>
            </w:r>
          </w:p>
        </w:tc>
        <w:tc>
          <w:tcPr>
            <w:tcW w:w="1260" w:type="dxa"/>
            <w:tcBorders/>
            <w:noWrap/>
            <w:hideMark/>
          </w:tcPr>
          <w:p>
            <w:pPr>
              <w:pStyle w:val="style0"/>
              <w:jc w:val="both"/>
              <w:rPr>
                <w:rFonts w:cs="Times New Roman"/>
                <w:iCs/>
                <w:sz w:val="20"/>
                <w:szCs w:val="20"/>
              </w:rPr>
            </w:pPr>
            <w:r>
              <w:rPr>
                <w:rFonts w:cs="Times New Roman"/>
                <w:iCs/>
                <w:sz w:val="20"/>
                <w:szCs w:val="20"/>
              </w:rPr>
              <w:t>0.091</w:t>
            </w:r>
          </w:p>
        </w:tc>
        <w:tc>
          <w:tcPr>
            <w:tcW w:w="1824" w:type="dxa"/>
            <w:tcBorders/>
            <w:noWrap/>
            <w:hideMark/>
          </w:tcPr>
          <w:p>
            <w:pPr>
              <w:pStyle w:val="style0"/>
              <w:jc w:val="both"/>
              <w:rPr>
                <w:rFonts w:cs="Times New Roman"/>
                <w:iCs/>
                <w:sz w:val="20"/>
                <w:szCs w:val="20"/>
              </w:rPr>
            </w:pPr>
            <w:r>
              <w:rPr>
                <w:rFonts w:cs="Times New Roman"/>
                <w:iCs/>
                <w:sz w:val="20"/>
                <w:szCs w:val="20"/>
              </w:rPr>
              <w:t>0.099</w:t>
            </w:r>
          </w:p>
        </w:tc>
        <w:tc>
          <w:tcPr>
            <w:tcW w:w="797" w:type="dxa"/>
            <w:tcBorders/>
            <w:noWrap/>
            <w:hideMark/>
          </w:tcPr>
          <w:p>
            <w:pPr>
              <w:pStyle w:val="style0"/>
              <w:jc w:val="both"/>
              <w:rPr>
                <w:rFonts w:cs="Times New Roman"/>
                <w:iCs/>
                <w:sz w:val="20"/>
                <w:szCs w:val="20"/>
              </w:rPr>
            </w:pPr>
            <w:r>
              <w:rPr>
                <w:rFonts w:cs="Times New Roman"/>
                <w:iCs/>
                <w:sz w:val="20"/>
                <w:szCs w:val="20"/>
              </w:rPr>
              <w:t>1.314</w:t>
            </w:r>
          </w:p>
        </w:tc>
        <w:tc>
          <w:tcPr>
            <w:tcW w:w="721" w:type="dxa"/>
            <w:tcBorders/>
            <w:noWrap/>
            <w:hideMark/>
          </w:tcPr>
          <w:p>
            <w:pPr>
              <w:pStyle w:val="style0"/>
              <w:jc w:val="both"/>
              <w:rPr>
                <w:rFonts w:cs="Times New Roman"/>
                <w:iCs/>
                <w:sz w:val="20"/>
                <w:szCs w:val="20"/>
              </w:rPr>
            </w:pPr>
            <w:r>
              <w:rPr>
                <w:rFonts w:cs="Times New Roman"/>
                <w:iCs/>
                <w:sz w:val="20"/>
                <w:szCs w:val="20"/>
              </w:rPr>
              <w:t>0.190</w:t>
            </w:r>
          </w:p>
        </w:tc>
      </w:tr>
    </w:tbl>
    <w:p>
      <w:pPr>
        <w:pStyle w:val="style0"/>
        <w:spacing w:lineRule="auto" w:line="240"/>
        <w:jc w:val="both"/>
        <w:rPr>
          <w:rFonts w:cs="Times New Roman"/>
          <w:i/>
          <w:sz w:val="20"/>
          <w:szCs w:val="20"/>
        </w:rPr>
      </w:pPr>
      <w:r>
        <w:rPr>
          <w:rFonts w:cs="Times New Roman"/>
          <w:i/>
          <w:sz w:val="20"/>
          <w:szCs w:val="20"/>
        </w:rPr>
        <w:t>Sumber: Output SPSS 30, 2025</w:t>
      </w:r>
    </w:p>
    <w:p>
      <w:pPr>
        <w:pStyle w:val="style0"/>
        <w:tabs>
          <w:tab w:val="left" w:leader="none" w:pos="810"/>
        </w:tabs>
        <w:spacing w:after="0" w:lineRule="auto" w:line="480"/>
        <w:jc w:val="both"/>
        <w:rPr>
          <w:rFonts w:cs="Times New Roman"/>
          <w:iCs/>
          <w:szCs w:val="24"/>
        </w:rPr>
      </w:pPr>
      <w:r>
        <w:rPr>
          <w:rFonts w:cs="Times New Roman"/>
          <w:iCs/>
          <w:szCs w:val="24"/>
        </w:rPr>
        <w:tab/>
      </w:r>
      <w:r>
        <w:rPr>
          <w:rFonts w:cs="Times New Roman"/>
          <w:iCs/>
          <w:szCs w:val="24"/>
        </w:rPr>
        <w:t xml:space="preserve">Pada tabel </w:t>
      </w:r>
      <w:r>
        <w:rPr>
          <w:rFonts w:cs="Times New Roman"/>
          <w:iCs/>
          <w:szCs w:val="24"/>
        </w:rPr>
        <w:t>4.</w:t>
      </w:r>
      <w:r>
        <w:rPr>
          <w:rFonts w:cs="Times New Roman"/>
          <w:iCs/>
          <w:szCs w:val="24"/>
        </w:rPr>
        <w:t>6</w:t>
      </w:r>
      <w:r>
        <w:rPr>
          <w:rFonts w:cs="Times New Roman"/>
          <w:iCs/>
          <w:szCs w:val="24"/>
        </w:rPr>
        <w:t>.</w:t>
      </w:r>
      <w:r>
        <w:rPr>
          <w:rFonts w:cs="Times New Roman"/>
          <w:iCs/>
          <w:szCs w:val="24"/>
        </w:rPr>
        <w:t xml:space="preserve"> </w:t>
      </w:r>
      <w:r>
        <w:rPr>
          <w:rFonts w:cs="Times New Roman"/>
          <w:iCs/>
          <w:szCs w:val="24"/>
        </w:rPr>
        <w:t xml:space="preserve">nilai sig. pada variabel </w:t>
      </w:r>
      <w:r>
        <w:rPr>
          <w:rFonts w:cs="Times New Roman"/>
          <w:i/>
          <w:szCs w:val="24"/>
        </w:rPr>
        <w:t xml:space="preserve">Enterprise Risk Management </w:t>
      </w:r>
      <w:r>
        <w:rPr>
          <w:rFonts w:cs="Times New Roman"/>
          <w:iCs/>
          <w:szCs w:val="24"/>
        </w:rPr>
        <w:t xml:space="preserve">(X1), </w:t>
      </w:r>
      <w:r>
        <w:rPr>
          <w:rFonts w:cs="Times New Roman"/>
          <w:i/>
          <w:szCs w:val="24"/>
        </w:rPr>
        <w:t xml:space="preserve">Managerial Ownership </w:t>
      </w:r>
      <w:r>
        <w:rPr>
          <w:rFonts w:cs="Times New Roman"/>
          <w:iCs/>
          <w:szCs w:val="24"/>
        </w:rPr>
        <w:t xml:space="preserve">(X2), dan </w:t>
      </w:r>
      <w:r>
        <w:rPr>
          <w:rFonts w:cs="Times New Roman"/>
          <w:i/>
          <w:szCs w:val="24"/>
        </w:rPr>
        <w:t xml:space="preserve">Institutional Ownership </w:t>
      </w:r>
      <w:r>
        <w:rPr>
          <w:rFonts w:cs="Times New Roman"/>
          <w:iCs/>
          <w:szCs w:val="24"/>
        </w:rPr>
        <w:t>(X3) berturut-turt sebesar 0,171; 0,370; dan 0,190</w:t>
      </w:r>
      <w:r>
        <w:rPr>
          <w:rFonts w:cs="Times New Roman" w:eastAsia="Times New Roman"/>
          <w:kern w:val="0"/>
          <w:szCs w:val="24"/>
          <w14:ligatures xmlns:w14="http://schemas.microsoft.com/office/word/2010/wordml" w14:val="none"/>
        </w:rPr>
        <w:t>. H</w:t>
      </w:r>
      <w:r>
        <w:rPr>
          <w:rFonts w:cs="Times New Roman" w:eastAsia="Times New Roman"/>
          <w:color w:val="000000"/>
          <w:szCs w:val="24"/>
        </w:rPr>
        <w:t xml:space="preserve">asil uji menunjukkan bahwa </w:t>
      </w:r>
      <w:r>
        <w:rPr>
          <w:rFonts w:cs="Times New Roman"/>
          <w:iCs/>
          <w:szCs w:val="24"/>
        </w:rPr>
        <w:t xml:space="preserve">data </w:t>
      </w:r>
      <w:r>
        <w:rPr>
          <w:rFonts w:cs="Times New Roman" w:eastAsia="Times New Roman"/>
          <w:color w:val="000000"/>
          <w:szCs w:val="24"/>
        </w:rPr>
        <w:t>tidak ada masalah heteroskedastisitas karena diatas 0,05</w:t>
      </w:r>
      <w:r>
        <w:rPr>
          <w:rFonts w:cs="Times New Roman"/>
          <w:iCs/>
          <w:szCs w:val="24"/>
        </w:rPr>
        <w:t xml:space="preserve"> (Sig. &gt; 0,05)</w:t>
      </w:r>
      <w:r>
        <w:rPr>
          <w:rFonts w:cs="Times New Roman" w:eastAsia="Times New Roman"/>
          <w:color w:val="000000"/>
          <w:szCs w:val="24"/>
        </w:rPr>
        <w:t>.</w:t>
      </w:r>
    </w:p>
    <w:p>
      <w:pPr>
        <w:pStyle w:val="style4"/>
        <w:tabs>
          <w:tab w:val="left" w:leader="none" w:pos="810"/>
        </w:tabs>
        <w:spacing w:before="0" w:after="0" w:lineRule="auto" w:line="480"/>
        <w:rPr>
          <w:rFonts w:cs="宋体"/>
        </w:rPr>
      </w:pPr>
      <w:r>
        <w:rPr>
          <w:rFonts w:eastAsia="Times New Roman"/>
        </w:rPr>
        <w:t xml:space="preserve">4.2.2.4. </w:t>
      </w:r>
      <w:r>
        <w:rPr>
          <w:rFonts w:eastAsia="Times New Roman"/>
        </w:rPr>
        <w:t>Uji Autokorelasi</w:t>
      </w:r>
      <w:r>
        <w:rPr>
          <w:rFonts w:eastAsia="Times New Roman"/>
        </w:rPr>
        <w:t xml:space="preserve"> (Hubungan Antar Periode)</w:t>
      </w:r>
    </w:p>
    <w:p>
      <w:pPr>
        <w:pStyle w:val="style0"/>
        <w:tabs>
          <w:tab w:val="left" w:leader="none" w:pos="810"/>
        </w:tabs>
        <w:spacing w:after="0" w:lineRule="auto" w:line="480"/>
        <w:jc w:val="both"/>
        <w:rPr>
          <w:rFonts w:cs="Times New Roman"/>
          <w:iCs/>
          <w:szCs w:val="24"/>
        </w:rPr>
      </w:pPr>
      <w:r>
        <w:tab/>
      </w:r>
      <w:r>
        <w:t xml:space="preserve">Pengujian ini </w:t>
      </w:r>
      <w:r>
        <w:t>digunakan</w:t>
      </w:r>
      <w:r>
        <w:t xml:space="preserve"> untuk mengetahui terjadinya korelasi antara nilai residual pada waktu tertentu dengan nilai residual pada waktu sebelumnya atau sesudahnya</w:t>
      </w:r>
      <w:r>
        <w:t xml:space="preserve">. Uji ini menggunakan </w:t>
      </w:r>
      <w:r>
        <w:rPr>
          <w:i/>
          <w:iCs/>
        </w:rPr>
        <w:t>Durbin-Watson</w:t>
      </w:r>
      <w:r>
        <w:rPr>
          <w:i/>
          <w:iCs/>
        </w:rPr>
        <w:t>.</w:t>
      </w:r>
      <w:r>
        <w:t xml:space="preserve"> </w:t>
      </w:r>
      <w:r>
        <w:rPr>
          <w:rFonts w:cs="Times New Roman"/>
          <w:iCs/>
          <w:szCs w:val="24"/>
        </w:rPr>
        <w:t xml:space="preserve">Hasil uji autokolerasi dapat </w:t>
      </w:r>
      <w:r>
        <w:rPr>
          <w:rFonts w:cs="Times New Roman"/>
          <w:iCs/>
          <w:szCs w:val="24"/>
        </w:rPr>
        <w:t xml:space="preserve">dilihat pada tabel </w:t>
      </w:r>
      <w:r>
        <w:rPr>
          <w:rFonts w:cs="Times New Roman"/>
          <w:iCs/>
          <w:szCs w:val="24"/>
        </w:rPr>
        <w:t>4.7</w:t>
      </w:r>
      <w:r>
        <w:rPr>
          <w:rFonts w:cs="Times New Roman"/>
          <w:iCs/>
          <w:szCs w:val="24"/>
        </w:rPr>
        <w:t>:</w:t>
      </w:r>
    </w:p>
    <w:bookmarkStart w:id="93" w:name="_Toc215602308"/>
    <w:bookmarkStart w:id="94" w:name="_Toc216129264"/>
    <w:bookmarkStart w:id="95" w:name="_Toc216804044"/>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9</w:t>
      </w:r>
      <w:r>
        <w:rPr>
          <w:b w:val="false"/>
          <w:bCs/>
          <w:i/>
          <w:iCs w:val="false"/>
          <w:color w:val="ffffff"/>
          <w:sz w:val="22"/>
          <w:szCs w:val="22"/>
        </w:rPr>
        <w:fldChar w:fldCharType="end"/>
      </w:r>
      <w:r>
        <w:rPr>
          <w:bCs/>
          <w:iCs w:val="false"/>
          <w:color w:val="auto"/>
          <w:sz w:val="22"/>
          <w:szCs w:val="22"/>
        </w:rPr>
        <w:t xml:space="preserve">4. </w:t>
      </w:r>
      <w:r>
        <w:rPr>
          <w:bCs/>
          <w:iCs w:val="false"/>
          <w:color w:val="auto"/>
          <w:sz w:val="22"/>
          <w:szCs w:val="22"/>
        </w:rPr>
        <w:t>7</w:t>
      </w:r>
      <w:r>
        <w:rPr>
          <w:bCs/>
          <w:iCs w:val="false"/>
          <w:color w:val="auto"/>
          <w:sz w:val="22"/>
          <w:szCs w:val="22"/>
        </w:rPr>
        <w:t>. Uji Autokorelasi (</w:t>
      </w:r>
      <w:r>
        <w:rPr>
          <w:bCs/>
          <w:color w:val="auto"/>
          <w:sz w:val="22"/>
          <w:szCs w:val="22"/>
        </w:rPr>
        <w:t>Durbin-Watson</w:t>
      </w:r>
      <w:r>
        <w:rPr>
          <w:bCs/>
          <w:iCs w:val="false"/>
          <w:color w:val="auto"/>
          <w:sz w:val="22"/>
          <w:szCs w:val="22"/>
        </w:rPr>
        <w:t>)</w:t>
      </w:r>
      <w:bookmarkEnd w:id="93"/>
      <w:bookmarkEnd w:id="94"/>
      <w:bookmarkEnd w:id="95"/>
    </w:p>
    <w:tbl>
      <w:tblPr>
        <w:tblStyle w:val="style154"/>
        <w:tblW w:w="0" w:type="auto"/>
        <w:jc w:val="center"/>
        <w:tblLook w:val="04A0" w:firstRow="1" w:lastRow="0" w:firstColumn="1" w:lastColumn="0" w:noHBand="0" w:noVBand="1"/>
      </w:tblPr>
      <w:tblGrid>
        <w:gridCol w:w="1709"/>
        <w:gridCol w:w="1256"/>
        <w:gridCol w:w="977"/>
        <w:gridCol w:w="1562"/>
        <w:gridCol w:w="1270"/>
        <w:gridCol w:w="1153"/>
      </w:tblGrid>
      <w:tr>
        <w:trPr>
          <w:trHeight w:val="360" w:hRule="atLeast"/>
          <w:jc w:val="center"/>
        </w:trPr>
        <w:tc>
          <w:tcPr>
            <w:tcW w:w="7927" w:type="dxa"/>
            <w:gridSpan w:val="6"/>
            <w:tcBorders/>
            <w:hideMark/>
          </w:tcPr>
          <w:p>
            <w:pPr>
              <w:pStyle w:val="style0"/>
              <w:tabs>
                <w:tab w:val="left" w:leader="none" w:pos="810"/>
              </w:tabs>
              <w:jc w:val="center"/>
              <w:rPr>
                <w:rFonts w:cs="Times New Roman"/>
                <w:b/>
                <w:bCs/>
                <w:iCs/>
                <w:sz w:val="20"/>
                <w:szCs w:val="20"/>
              </w:rPr>
            </w:pPr>
            <w:r>
              <w:rPr>
                <w:rFonts w:cs="Times New Roman"/>
                <w:b/>
                <w:bCs/>
                <w:iCs/>
                <w:sz w:val="20"/>
                <w:szCs w:val="20"/>
              </w:rPr>
              <w:t>Model Summary</w:t>
            </w:r>
            <w:r>
              <w:rPr>
                <w:rFonts w:cs="Times New Roman"/>
                <w:b/>
                <w:bCs/>
                <w:iCs/>
                <w:sz w:val="20"/>
                <w:szCs w:val="20"/>
                <w:vertAlign w:val="superscript"/>
              </w:rPr>
              <w:t>b</w:t>
            </w:r>
          </w:p>
        </w:tc>
      </w:tr>
      <w:tr>
        <w:tblPrEx/>
        <w:trPr>
          <w:trHeight w:val="620" w:hRule="atLeast"/>
          <w:jc w:val="center"/>
        </w:trPr>
        <w:tc>
          <w:tcPr>
            <w:tcW w:w="1709" w:type="dxa"/>
            <w:tcBorders/>
            <w:hideMark/>
          </w:tcPr>
          <w:p>
            <w:pPr>
              <w:pStyle w:val="style0"/>
              <w:tabs>
                <w:tab w:val="left" w:leader="none" w:pos="810"/>
              </w:tabs>
              <w:jc w:val="center"/>
              <w:rPr>
                <w:rFonts w:cs="Times New Roman"/>
                <w:iCs/>
                <w:sz w:val="20"/>
                <w:szCs w:val="20"/>
              </w:rPr>
            </w:pPr>
            <w:r>
              <w:rPr>
                <w:rFonts w:cs="Times New Roman"/>
                <w:iCs/>
                <w:sz w:val="20"/>
                <w:szCs w:val="20"/>
              </w:rPr>
              <w:t>Model</w:t>
            </w:r>
          </w:p>
        </w:tc>
        <w:tc>
          <w:tcPr>
            <w:tcW w:w="1256" w:type="dxa"/>
            <w:tcBorders/>
            <w:hideMark/>
          </w:tcPr>
          <w:p>
            <w:pPr>
              <w:pStyle w:val="style0"/>
              <w:tabs>
                <w:tab w:val="left" w:leader="none" w:pos="810"/>
              </w:tabs>
              <w:jc w:val="center"/>
              <w:rPr>
                <w:rFonts w:cs="Times New Roman"/>
                <w:iCs/>
                <w:sz w:val="20"/>
                <w:szCs w:val="20"/>
              </w:rPr>
            </w:pPr>
            <w:r>
              <w:rPr>
                <w:rFonts w:cs="Times New Roman"/>
                <w:iCs/>
                <w:sz w:val="20"/>
                <w:szCs w:val="20"/>
              </w:rPr>
              <w:t>R</w:t>
            </w:r>
          </w:p>
        </w:tc>
        <w:tc>
          <w:tcPr>
            <w:tcW w:w="977" w:type="dxa"/>
            <w:tcBorders/>
            <w:hideMark/>
          </w:tcPr>
          <w:p>
            <w:pPr>
              <w:pStyle w:val="style0"/>
              <w:tabs>
                <w:tab w:val="left" w:leader="none" w:pos="810"/>
              </w:tabs>
              <w:jc w:val="center"/>
              <w:rPr>
                <w:rFonts w:cs="Times New Roman"/>
                <w:iCs/>
                <w:sz w:val="20"/>
                <w:szCs w:val="20"/>
              </w:rPr>
            </w:pPr>
            <w:r>
              <w:rPr>
                <w:rFonts w:cs="Times New Roman"/>
                <w:iCs/>
                <w:sz w:val="20"/>
                <w:szCs w:val="20"/>
              </w:rPr>
              <w:t>R Square</w:t>
            </w:r>
          </w:p>
        </w:tc>
        <w:tc>
          <w:tcPr>
            <w:tcW w:w="1562" w:type="dxa"/>
            <w:tcBorders/>
            <w:hideMark/>
          </w:tcPr>
          <w:p>
            <w:pPr>
              <w:pStyle w:val="style0"/>
              <w:tabs>
                <w:tab w:val="left" w:leader="none" w:pos="810"/>
              </w:tabs>
              <w:jc w:val="center"/>
              <w:rPr>
                <w:rFonts w:cs="Times New Roman"/>
                <w:iCs/>
                <w:sz w:val="20"/>
                <w:szCs w:val="20"/>
              </w:rPr>
            </w:pPr>
            <w:r>
              <w:rPr>
                <w:rFonts w:cs="Times New Roman"/>
                <w:iCs/>
                <w:sz w:val="20"/>
                <w:szCs w:val="20"/>
              </w:rPr>
              <w:t>Adjusted R Square</w:t>
            </w:r>
          </w:p>
        </w:tc>
        <w:tc>
          <w:tcPr>
            <w:tcW w:w="1270" w:type="dxa"/>
            <w:tcBorders/>
            <w:hideMark/>
          </w:tcPr>
          <w:p>
            <w:pPr>
              <w:pStyle w:val="style0"/>
              <w:tabs>
                <w:tab w:val="left" w:leader="none" w:pos="810"/>
              </w:tabs>
              <w:jc w:val="center"/>
              <w:rPr>
                <w:rFonts w:cs="Times New Roman"/>
                <w:iCs/>
                <w:sz w:val="20"/>
                <w:szCs w:val="20"/>
              </w:rPr>
            </w:pPr>
            <w:r>
              <w:rPr>
                <w:rFonts w:cs="Times New Roman"/>
                <w:iCs/>
                <w:sz w:val="20"/>
                <w:szCs w:val="20"/>
              </w:rPr>
              <w:t>Std. Error of the Estimate</w:t>
            </w:r>
          </w:p>
        </w:tc>
        <w:tc>
          <w:tcPr>
            <w:tcW w:w="1153" w:type="dxa"/>
            <w:tcBorders/>
            <w:hideMark/>
          </w:tcPr>
          <w:p>
            <w:pPr>
              <w:pStyle w:val="style0"/>
              <w:tabs>
                <w:tab w:val="left" w:leader="none" w:pos="810"/>
              </w:tabs>
              <w:jc w:val="center"/>
              <w:rPr>
                <w:rFonts w:cs="Times New Roman"/>
                <w:iCs/>
                <w:sz w:val="20"/>
                <w:szCs w:val="20"/>
              </w:rPr>
            </w:pPr>
            <w:r>
              <w:rPr>
                <w:rFonts w:cs="Times New Roman"/>
                <w:iCs/>
                <w:sz w:val="20"/>
                <w:szCs w:val="20"/>
              </w:rPr>
              <w:t>Durbin-Watson</w:t>
            </w:r>
          </w:p>
        </w:tc>
      </w:tr>
      <w:tr>
        <w:tblPrEx/>
        <w:trPr>
          <w:trHeight w:val="370" w:hRule="atLeast"/>
          <w:jc w:val="center"/>
        </w:trPr>
        <w:tc>
          <w:tcPr>
            <w:tcW w:w="1709" w:type="dxa"/>
            <w:tcBorders/>
            <w:noWrap/>
            <w:hideMark/>
          </w:tcPr>
          <w:p>
            <w:pPr>
              <w:pStyle w:val="style0"/>
              <w:tabs>
                <w:tab w:val="left" w:leader="none" w:pos="810"/>
              </w:tabs>
              <w:jc w:val="both"/>
              <w:rPr>
                <w:rFonts w:cs="Times New Roman"/>
                <w:iCs/>
                <w:sz w:val="20"/>
                <w:szCs w:val="20"/>
              </w:rPr>
            </w:pPr>
            <w:r>
              <w:rPr>
                <w:rFonts w:cs="Times New Roman"/>
                <w:iCs/>
                <w:sz w:val="20"/>
                <w:szCs w:val="20"/>
              </w:rPr>
              <w:t>1</w:t>
            </w:r>
          </w:p>
        </w:tc>
        <w:tc>
          <w:tcPr>
            <w:tcW w:w="1256" w:type="dxa"/>
            <w:tcBorders/>
            <w:noWrap/>
            <w:hideMark/>
          </w:tcPr>
          <w:p>
            <w:pPr>
              <w:pStyle w:val="style0"/>
              <w:tabs>
                <w:tab w:val="left" w:leader="none" w:pos="810"/>
              </w:tabs>
              <w:jc w:val="center"/>
              <w:rPr>
                <w:rFonts w:cs="Times New Roman"/>
                <w:iCs/>
                <w:sz w:val="20"/>
                <w:szCs w:val="20"/>
              </w:rPr>
            </w:pPr>
            <w:r>
              <w:rPr>
                <w:rFonts w:cs="Times New Roman"/>
                <w:iCs/>
                <w:sz w:val="20"/>
                <w:szCs w:val="20"/>
              </w:rPr>
              <w:t>.225</w:t>
            </w:r>
            <w:r>
              <w:rPr>
                <w:rFonts w:cs="Times New Roman"/>
                <w:iCs/>
                <w:sz w:val="20"/>
                <w:szCs w:val="20"/>
                <w:vertAlign w:val="superscript"/>
              </w:rPr>
              <w:t>a</w:t>
            </w:r>
          </w:p>
        </w:tc>
        <w:tc>
          <w:tcPr>
            <w:tcW w:w="977" w:type="dxa"/>
            <w:tcBorders/>
            <w:noWrap/>
            <w:hideMark/>
          </w:tcPr>
          <w:p>
            <w:pPr>
              <w:pStyle w:val="style0"/>
              <w:tabs>
                <w:tab w:val="left" w:leader="none" w:pos="810"/>
              </w:tabs>
              <w:jc w:val="center"/>
              <w:rPr>
                <w:rFonts w:cs="Times New Roman"/>
                <w:iCs/>
                <w:sz w:val="20"/>
                <w:szCs w:val="20"/>
              </w:rPr>
            </w:pPr>
            <w:r>
              <w:rPr>
                <w:rFonts w:cs="Times New Roman"/>
                <w:iCs/>
                <w:sz w:val="20"/>
                <w:szCs w:val="20"/>
              </w:rPr>
              <w:t>0.051</w:t>
            </w:r>
          </w:p>
        </w:tc>
        <w:tc>
          <w:tcPr>
            <w:tcW w:w="1562" w:type="dxa"/>
            <w:tcBorders/>
            <w:noWrap/>
            <w:hideMark/>
          </w:tcPr>
          <w:p>
            <w:pPr>
              <w:pStyle w:val="style0"/>
              <w:tabs>
                <w:tab w:val="left" w:leader="none" w:pos="810"/>
              </w:tabs>
              <w:jc w:val="center"/>
              <w:rPr>
                <w:rFonts w:cs="Times New Roman"/>
                <w:iCs/>
                <w:sz w:val="20"/>
                <w:szCs w:val="20"/>
              </w:rPr>
            </w:pPr>
            <w:r>
              <w:rPr>
                <w:rFonts w:cs="Times New Roman"/>
                <w:iCs/>
                <w:sz w:val="20"/>
                <w:szCs w:val="20"/>
              </w:rPr>
              <w:t>0.038</w:t>
            </w:r>
          </w:p>
        </w:tc>
        <w:tc>
          <w:tcPr>
            <w:tcW w:w="1270" w:type="dxa"/>
            <w:tcBorders/>
            <w:noWrap/>
            <w:hideMark/>
          </w:tcPr>
          <w:p>
            <w:pPr>
              <w:pStyle w:val="style0"/>
              <w:tabs>
                <w:tab w:val="left" w:leader="none" w:pos="810"/>
              </w:tabs>
              <w:jc w:val="center"/>
              <w:rPr>
                <w:rFonts w:cs="Times New Roman"/>
                <w:iCs/>
                <w:sz w:val="20"/>
                <w:szCs w:val="20"/>
              </w:rPr>
            </w:pPr>
            <w:r>
              <w:rPr>
                <w:rFonts w:cs="Times New Roman"/>
                <w:iCs/>
                <w:sz w:val="20"/>
                <w:szCs w:val="20"/>
              </w:rPr>
              <w:t>1.557</w:t>
            </w:r>
          </w:p>
        </w:tc>
        <w:tc>
          <w:tcPr>
            <w:tcW w:w="1153" w:type="dxa"/>
            <w:tcBorders/>
            <w:noWrap/>
            <w:hideMark/>
          </w:tcPr>
          <w:p>
            <w:pPr>
              <w:pStyle w:val="style0"/>
              <w:tabs>
                <w:tab w:val="left" w:leader="none" w:pos="810"/>
              </w:tabs>
              <w:jc w:val="center"/>
              <w:rPr>
                <w:rFonts w:cs="Times New Roman"/>
                <w:iCs/>
                <w:sz w:val="20"/>
                <w:szCs w:val="20"/>
              </w:rPr>
            </w:pPr>
            <w:r>
              <w:rPr>
                <w:rFonts w:cs="Times New Roman"/>
                <w:iCs/>
                <w:sz w:val="20"/>
                <w:szCs w:val="20"/>
              </w:rPr>
              <w:t>0.715</w:t>
            </w:r>
          </w:p>
        </w:tc>
      </w:tr>
    </w:tbl>
    <w:p>
      <w:pPr>
        <w:pStyle w:val="style0"/>
        <w:tabs>
          <w:tab w:val="left" w:leader="none" w:pos="810"/>
        </w:tabs>
        <w:spacing w:after="0" w:lineRule="auto" w:line="480"/>
        <w:jc w:val="both"/>
        <w:rPr>
          <w:rFonts w:cs="Times New Roman"/>
          <w:iCs/>
          <w:szCs w:val="24"/>
        </w:rPr>
      </w:pPr>
      <w:r>
        <w:rPr>
          <w:rFonts w:cs="Times New Roman"/>
          <w:i/>
          <w:sz w:val="20"/>
          <w:szCs w:val="20"/>
        </w:rPr>
        <w:t>Sumber: Output SPSS 30, 2025</w:t>
      </w:r>
    </w:p>
    <w:p>
      <w:pPr>
        <w:pStyle w:val="style0"/>
        <w:tabs>
          <w:tab w:val="left" w:leader="none" w:pos="810"/>
        </w:tabs>
        <w:spacing w:after="0" w:lineRule="auto" w:line="480"/>
        <w:jc w:val="both"/>
        <w:rPr>
          <w:rFonts w:cs="Times New Roman"/>
          <w:iCs/>
          <w:szCs w:val="24"/>
        </w:rPr>
      </w:pPr>
      <w:r>
        <w:rPr>
          <w:rFonts w:cs="Times New Roman"/>
          <w:iCs/>
          <w:szCs w:val="24"/>
        </w:rPr>
        <w:tab/>
      </w:r>
      <w:r>
        <w:rPr>
          <w:rFonts w:cs="Times New Roman"/>
          <w:iCs/>
          <w:szCs w:val="24"/>
        </w:rPr>
        <w:t>Pada tabel</w:t>
      </w:r>
      <w:r>
        <w:rPr>
          <w:rFonts w:cs="Times New Roman"/>
          <w:iCs/>
          <w:szCs w:val="24"/>
        </w:rPr>
        <w:t xml:space="preserve"> 4.</w:t>
      </w:r>
      <w:r>
        <w:rPr>
          <w:rFonts w:cs="Times New Roman"/>
          <w:iCs/>
          <w:szCs w:val="24"/>
        </w:rPr>
        <w:t>7</w:t>
      </w:r>
      <w:r>
        <w:rPr>
          <w:rFonts w:cs="Times New Roman"/>
          <w:iCs/>
          <w:szCs w:val="24"/>
        </w:rPr>
        <w:t>.</w:t>
      </w:r>
      <w:r>
        <w:rPr>
          <w:rFonts w:cs="Times New Roman"/>
          <w:iCs/>
          <w:szCs w:val="24"/>
        </w:rPr>
        <w:t xml:space="preserve"> menunjukkan bahwa</w:t>
      </w:r>
      <w:r>
        <w:rPr>
          <w:rFonts w:cs="Times New Roman"/>
          <w:iCs/>
          <w:szCs w:val="24"/>
        </w:rPr>
        <w:t xml:space="preserve"> nilai </w:t>
      </w:r>
      <w:r>
        <w:rPr>
          <w:rFonts w:cs="Times New Roman"/>
          <w:i/>
          <w:szCs w:val="24"/>
        </w:rPr>
        <w:t>D</w:t>
      </w:r>
      <w:r>
        <w:rPr>
          <w:rFonts w:cs="Times New Roman"/>
          <w:i/>
          <w:szCs w:val="24"/>
        </w:rPr>
        <w:t>urbin-</w:t>
      </w:r>
      <w:r>
        <w:rPr>
          <w:rFonts w:cs="Times New Roman"/>
          <w:i/>
          <w:szCs w:val="24"/>
        </w:rPr>
        <w:t>W</w:t>
      </w:r>
      <w:r>
        <w:rPr>
          <w:rFonts w:cs="Times New Roman"/>
          <w:i/>
          <w:szCs w:val="24"/>
        </w:rPr>
        <w:t>atson</w:t>
      </w:r>
      <w:r>
        <w:rPr>
          <w:rFonts w:cs="Times New Roman"/>
          <w:iCs/>
          <w:szCs w:val="24"/>
        </w:rPr>
        <w:t xml:space="preserve"> sebesar </w:t>
      </w:r>
      <w:r>
        <w:rPr>
          <w:rFonts w:cs="Times New Roman" w:eastAsia="Times New Roman"/>
          <w:color w:val="000000"/>
          <w:szCs w:val="24"/>
        </w:rPr>
        <w:t>0,715</w:t>
      </w:r>
      <w:r>
        <w:rPr>
          <w:rFonts w:cs="Times New Roman"/>
          <w:iCs/>
          <w:szCs w:val="24"/>
        </w:rPr>
        <w:t>.</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Berdasarkan tabel </w:t>
      </w:r>
      <w:r>
        <w:rPr>
          <w:rFonts w:cs="Times New Roman" w:eastAsia="Times New Roman"/>
          <w:i/>
          <w:iCs/>
          <w:kern w:val="0"/>
          <w:szCs w:val="24"/>
          <w14:ligatures xmlns:w14="http://schemas.microsoft.com/office/word/2010/wordml" w14:val="none"/>
        </w:rPr>
        <w:t>Durbin-Watson</w:t>
      </w:r>
      <w:r>
        <w:rPr>
          <w:rFonts w:cs="Times New Roman" w:eastAsia="Times New Roman"/>
          <w:kern w:val="0"/>
          <w:szCs w:val="24"/>
          <w14:ligatures xmlns:w14="http://schemas.microsoft.com/office/word/2010/wordml" w14:val="none"/>
        </w:rPr>
        <w:t xml:space="preserve"> dengan n</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230 dan k = 3 maka diperoleh nilai dL = </w:t>
      </w:r>
      <w:r>
        <w:rPr>
          <w:rFonts w:cs="Times New Roman"/>
          <w:iCs/>
          <w:szCs w:val="24"/>
        </w:rPr>
        <w:t xml:space="preserve">1,766; 4-dL = 2,234; dU = 1,801; dan 4-dU = 2,199. </w:t>
      </w:r>
      <w:r>
        <w:rPr>
          <w:rFonts w:cs="Times New Roman" w:eastAsia="Times New Roman"/>
          <w:kern w:val="0"/>
          <w:szCs w:val="24"/>
          <w14:ligatures xmlns:w14="http://schemas.microsoft.com/office/word/2010/wordml" w14:val="none"/>
        </w:rPr>
        <w:t>H</w:t>
      </w:r>
      <w:r>
        <w:rPr>
          <w:rFonts w:cs="Times New Roman" w:eastAsia="Times New Roman"/>
          <w:color w:val="000000"/>
          <w:szCs w:val="24"/>
        </w:rPr>
        <w:t xml:space="preserve">asil uji menunjukkan bahwa terdapat masalah autokorelasi karena nilai </w:t>
      </w:r>
      <w:r>
        <w:rPr>
          <w:rFonts w:cs="Times New Roman" w:eastAsia="Times New Roman"/>
          <w:i/>
          <w:iCs/>
          <w:color w:val="000000"/>
          <w:szCs w:val="24"/>
        </w:rPr>
        <w:t xml:space="preserve">Durbin-Watson </w:t>
      </w:r>
      <w:r>
        <w:rPr>
          <w:rFonts w:cs="Times New Roman" w:eastAsia="Times New Roman"/>
          <w:color w:val="000000"/>
          <w:szCs w:val="24"/>
        </w:rPr>
        <w:t>kurang dari dL</w:t>
      </w:r>
      <w:r>
        <w:rPr>
          <w:rFonts w:cs="Times New Roman" w:eastAsia="Times New Roman"/>
          <w:i/>
          <w:iCs/>
          <w:color w:val="000000"/>
          <w:szCs w:val="24"/>
        </w:rPr>
        <w:t xml:space="preserve"> </w:t>
      </w:r>
      <w:r>
        <w:rPr>
          <w:rFonts w:cs="Times New Roman" w:eastAsia="Times New Roman"/>
          <w:color w:val="000000"/>
          <w:szCs w:val="24"/>
        </w:rPr>
        <w:t>(</w:t>
      </w:r>
      <w:r>
        <w:rPr>
          <w:rFonts w:cs="Times New Roman" w:eastAsia="Times New Roman"/>
          <w:color w:val="000000"/>
          <w:szCs w:val="24"/>
        </w:rPr>
        <w:t xml:space="preserve">0,715 </w:t>
      </w:r>
      <w:r>
        <w:rPr>
          <w:rFonts w:cs="Times New Roman" w:eastAsia="Times New Roman"/>
          <w:color w:val="000000"/>
          <w:szCs w:val="24"/>
        </w:rPr>
        <w:t xml:space="preserve">&lt; </w:t>
      </w:r>
      <w:r>
        <w:rPr>
          <w:rFonts w:cs="Times New Roman"/>
          <w:iCs/>
          <w:szCs w:val="24"/>
        </w:rPr>
        <w:t>1,766</w:t>
      </w:r>
      <w:r>
        <w:rPr>
          <w:rFonts w:cs="Times New Roman" w:eastAsia="Times New Roman"/>
          <w:color w:val="000000"/>
          <w:szCs w:val="24"/>
        </w:rPr>
        <w:t xml:space="preserve">) untuk memenuhi persyaratan tersebut dilakukan transformasi </w:t>
      </w:r>
      <w:r>
        <w:rPr>
          <w:rFonts w:cs="Times New Roman" w:eastAsia="Times New Roman"/>
          <w:i/>
          <w:iCs/>
          <w:color w:val="000000"/>
          <w:szCs w:val="24"/>
        </w:rPr>
        <w:t>Cochrane Orcutt</w:t>
      </w:r>
      <w:r>
        <w:rPr>
          <w:rFonts w:cs="Times New Roman" w:eastAsia="Times New Roman"/>
          <w:color w:val="000000"/>
          <w:szCs w:val="24"/>
        </w:rPr>
        <w:t xml:space="preserve">. Hasil transformasi </w:t>
      </w:r>
      <w:r>
        <w:rPr>
          <w:rFonts w:cs="Times New Roman" w:eastAsia="Times New Roman"/>
          <w:i/>
          <w:iCs/>
          <w:color w:val="000000"/>
          <w:szCs w:val="24"/>
        </w:rPr>
        <w:t>Cochrane Orcutt</w:t>
      </w:r>
      <w:r>
        <w:rPr>
          <w:rFonts w:cs="Times New Roman" w:eastAsia="Times New Roman"/>
          <w:color w:val="000000"/>
          <w:szCs w:val="24"/>
        </w:rPr>
        <w:t xml:space="preserve"> kemudian </w:t>
      </w:r>
      <w:r>
        <w:rPr>
          <w:rFonts w:cs="Times New Roman" w:eastAsia="Times New Roman"/>
          <w:color w:val="000000"/>
          <w:szCs w:val="24"/>
        </w:rPr>
        <w:t>didapatkan</w:t>
      </w:r>
      <w:r>
        <w:rPr>
          <w:rFonts w:cs="Times New Roman" w:eastAsia="Times New Roman"/>
          <w:color w:val="000000"/>
          <w:szCs w:val="24"/>
        </w:rPr>
        <w:t xml:space="preserve"> </w:t>
      </w:r>
      <w:r>
        <w:rPr>
          <w:rFonts w:cs="Times New Roman" w:eastAsia="Times New Roman"/>
          <w:color w:val="000000"/>
          <w:szCs w:val="24"/>
        </w:rPr>
        <w:t xml:space="preserve">data </w:t>
      </w:r>
      <w:r>
        <w:rPr>
          <w:rFonts w:cs="Times New Roman" w:eastAsia="Times New Roman"/>
          <w:color w:val="000000"/>
          <w:szCs w:val="24"/>
        </w:rPr>
        <w:t>yang sesuai dengan persyaratan</w:t>
      </w:r>
      <w:r>
        <w:rPr>
          <w:rFonts w:cs="Times New Roman" w:eastAsia="Times New Roman"/>
          <w:color w:val="000000"/>
          <w:szCs w:val="24"/>
        </w:rPr>
        <w:t xml:space="preserve"> sehingga dapat dilihat</w:t>
      </w:r>
      <w:r>
        <w:rPr>
          <w:rFonts w:cs="Times New Roman" w:eastAsia="Times New Roman"/>
          <w:color w:val="000000"/>
          <w:szCs w:val="24"/>
        </w:rPr>
        <w:t xml:space="preserve"> pada tabel </w:t>
      </w:r>
      <w:r>
        <w:rPr>
          <w:rFonts w:cs="Times New Roman" w:eastAsia="Times New Roman"/>
          <w:color w:val="000000"/>
          <w:szCs w:val="24"/>
        </w:rPr>
        <w:t>4.8</w:t>
      </w:r>
      <w:r>
        <w:rPr>
          <w:rFonts w:cs="Times New Roman" w:eastAsia="Times New Roman"/>
          <w:color w:val="000000"/>
          <w:szCs w:val="24"/>
        </w:rPr>
        <w:t xml:space="preserve">: </w:t>
      </w:r>
      <w:r>
        <w:rPr>
          <w:rFonts w:cs="Times New Roman"/>
          <w:iCs/>
          <w:szCs w:val="24"/>
        </w:rPr>
        <w:t xml:space="preserve"> </w:t>
      </w:r>
    </w:p>
    <w:bookmarkStart w:id="96" w:name="_Toc215602309"/>
    <w:bookmarkStart w:id="97" w:name="_Toc216129265"/>
    <w:bookmarkStart w:id="98" w:name="_Toc216804045"/>
    <w:p>
      <w:pPr>
        <w:pStyle w:val="style34"/>
        <w:keepNext/>
        <w:rPr>
          <w:b w:val="false"/>
          <w:bCs/>
          <w:i/>
          <w:iCs w:val="false"/>
          <w:color w:val="auto"/>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10</w:t>
      </w:r>
      <w:r>
        <w:rPr>
          <w:b w:val="false"/>
          <w:bCs/>
          <w:i/>
          <w:iCs w:val="false"/>
          <w:color w:val="ffffff"/>
          <w:sz w:val="22"/>
          <w:szCs w:val="22"/>
        </w:rPr>
        <w:fldChar w:fldCharType="end"/>
      </w:r>
      <w:r>
        <w:rPr>
          <w:bCs/>
          <w:iCs w:val="false"/>
          <w:color w:val="auto"/>
          <w:sz w:val="22"/>
          <w:szCs w:val="22"/>
        </w:rPr>
        <w:t xml:space="preserve">4. </w:t>
      </w:r>
      <w:r>
        <w:rPr>
          <w:bCs/>
          <w:iCs w:val="false"/>
          <w:color w:val="auto"/>
          <w:sz w:val="22"/>
          <w:szCs w:val="22"/>
        </w:rPr>
        <w:t>8</w:t>
      </w:r>
      <w:r>
        <w:rPr>
          <w:bCs/>
          <w:iCs w:val="false"/>
          <w:color w:val="auto"/>
          <w:sz w:val="22"/>
          <w:szCs w:val="22"/>
        </w:rPr>
        <w:t xml:space="preserve">. Uji Autokorelasi setelah ditransformasi </w:t>
      </w:r>
      <w:r>
        <w:rPr>
          <w:bCs/>
          <w:color w:val="auto"/>
          <w:sz w:val="22"/>
          <w:szCs w:val="22"/>
        </w:rPr>
        <w:t>Cochrane Orcutt</w:t>
      </w:r>
      <w:bookmarkEnd w:id="96"/>
      <w:bookmarkEnd w:id="97"/>
      <w:bookmarkEnd w:id="98"/>
    </w:p>
    <w:tbl>
      <w:tblPr>
        <w:tblStyle w:val="style154"/>
        <w:tblpPr w:leftFromText="180" w:rightFromText="180" w:topFromText="0" w:bottomFromText="0" w:vertAnchor="text" w:horzAnchor="margin" w:tblpXSpec="left" w:tblpY="-68"/>
        <w:tblW w:w="7916" w:type="dxa"/>
        <w:tblLook w:val="04A0" w:firstRow="1" w:lastRow="0" w:firstColumn="1" w:lastColumn="0" w:noHBand="0" w:noVBand="1"/>
      </w:tblPr>
      <w:tblGrid>
        <w:gridCol w:w="1294"/>
        <w:gridCol w:w="947"/>
        <w:gridCol w:w="1034"/>
        <w:gridCol w:w="1672"/>
        <w:gridCol w:w="1559"/>
        <w:gridCol w:w="1410"/>
      </w:tblGrid>
      <w:tr>
        <w:trPr>
          <w:trHeight w:val="429" w:hRule="atLeast"/>
        </w:trPr>
        <w:tc>
          <w:tcPr>
            <w:tcW w:w="7916" w:type="dxa"/>
            <w:gridSpan w:val="6"/>
            <w:tcBorders/>
            <w:hideMark/>
          </w:tcPr>
          <w:p>
            <w:pPr>
              <w:pStyle w:val="style0"/>
              <w:jc w:val="center"/>
              <w:rPr>
                <w:rFonts w:cs="Times New Roman" w:eastAsia="Times New Roman"/>
                <w:b/>
                <w:bCs/>
                <w:kern w:val="0"/>
                <w:sz w:val="20"/>
                <w:szCs w:val="20"/>
                <w14:ligatures xmlns:w14="http://schemas.microsoft.com/office/word/2010/wordml" w14:val="none"/>
              </w:rPr>
            </w:pPr>
            <w:r>
              <w:rPr>
                <w:rFonts w:cs="Times New Roman" w:eastAsia="Times New Roman"/>
                <w:b/>
                <w:bCs/>
                <w:kern w:val="0"/>
                <w:sz w:val="20"/>
                <w:szCs w:val="20"/>
                <w14:ligatures xmlns:w14="http://schemas.microsoft.com/office/word/2010/wordml" w14:val="none"/>
              </w:rPr>
              <w:t>Model Summary</w:t>
            </w:r>
            <w:r>
              <w:rPr>
                <w:rFonts w:cs="Times New Roman" w:eastAsia="Times New Roman"/>
                <w:b/>
                <w:bCs/>
                <w:kern w:val="0"/>
                <w:sz w:val="20"/>
                <w:szCs w:val="20"/>
                <w:vertAlign w:val="superscript"/>
                <w14:ligatures xmlns:w14="http://schemas.microsoft.com/office/word/2010/wordml" w14:val="none"/>
              </w:rPr>
              <w:t>b</w:t>
            </w:r>
          </w:p>
        </w:tc>
      </w:tr>
      <w:tr>
        <w:tblPrEx/>
        <w:trPr>
          <w:trHeight w:val="632" w:hRule="atLeast"/>
        </w:trPr>
        <w:tc>
          <w:tcPr>
            <w:tcW w:w="1294"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Model</w:t>
            </w:r>
          </w:p>
        </w:tc>
        <w:tc>
          <w:tcPr>
            <w:tcW w:w="947"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R</w:t>
            </w:r>
          </w:p>
        </w:tc>
        <w:tc>
          <w:tcPr>
            <w:tcW w:w="1034"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R Square</w:t>
            </w:r>
          </w:p>
        </w:tc>
        <w:tc>
          <w:tcPr>
            <w:tcW w:w="1672"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Adjusted R Square</w:t>
            </w:r>
          </w:p>
        </w:tc>
        <w:tc>
          <w:tcPr>
            <w:tcW w:w="1559"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Std. Error of the Estimate</w:t>
            </w:r>
          </w:p>
        </w:tc>
        <w:tc>
          <w:tcPr>
            <w:tcW w:w="1408"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Durbin-Watson</w:t>
            </w:r>
          </w:p>
        </w:tc>
      </w:tr>
      <w:tr>
        <w:tblPrEx/>
        <w:trPr>
          <w:trHeight w:val="443" w:hRule="atLeast"/>
        </w:trPr>
        <w:tc>
          <w:tcPr>
            <w:tcW w:w="1294" w:type="dxa"/>
            <w:tcBorders/>
            <w:noWrap/>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w:t>
            </w:r>
          </w:p>
        </w:tc>
        <w:tc>
          <w:tcPr>
            <w:tcW w:w="947"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.175</w:t>
            </w:r>
            <w:r>
              <w:rPr>
                <w:rFonts w:cs="Times New Roman" w:eastAsia="Times New Roman"/>
                <w:kern w:val="0"/>
                <w:sz w:val="20"/>
                <w:szCs w:val="20"/>
                <w:vertAlign w:val="superscript"/>
                <w14:ligatures xmlns:w14="http://schemas.microsoft.com/office/word/2010/wordml" w14:val="none"/>
              </w:rPr>
              <w:t>a</w:t>
            </w:r>
          </w:p>
        </w:tc>
        <w:tc>
          <w:tcPr>
            <w:tcW w:w="103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0.031</w:t>
            </w:r>
          </w:p>
        </w:tc>
        <w:tc>
          <w:tcPr>
            <w:tcW w:w="1672"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0.018</w:t>
            </w:r>
          </w:p>
        </w:tc>
        <w:tc>
          <w:tcPr>
            <w:tcW w:w="1559"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1.169</w:t>
            </w:r>
          </w:p>
        </w:tc>
        <w:tc>
          <w:tcPr>
            <w:tcW w:w="1408"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1.984</w:t>
            </w:r>
          </w:p>
        </w:tc>
      </w:tr>
    </w:tbl>
    <w:p>
      <w:pPr>
        <w:pStyle w:val="style179"/>
        <w:tabs>
          <w:tab w:val="left" w:leader="none" w:pos="810"/>
        </w:tabs>
        <w:spacing w:after="0" w:lineRule="auto" w:line="240"/>
        <w:ind w:left="0"/>
        <w:jc w:val="both"/>
        <w:rPr>
          <w:rFonts w:cs="Times New Roman"/>
          <w:i/>
          <w:iCs/>
          <w:sz w:val="20"/>
          <w:szCs w:val="20"/>
        </w:rPr>
      </w:pPr>
      <w:r>
        <w:rPr>
          <w:i/>
          <w:iCs/>
          <w:sz w:val="20"/>
          <w:szCs w:val="20"/>
        </w:rPr>
        <w:t>Sumber: Output SPSS 30, 2025</w:t>
      </w:r>
    </w:p>
    <w:p>
      <w:pPr>
        <w:pStyle w:val="style0"/>
        <w:tabs>
          <w:tab w:val="left" w:leader="none" w:pos="810"/>
        </w:tabs>
        <w:spacing w:before="240" w:after="0" w:lineRule="auto" w:line="480"/>
        <w:jc w:val="both"/>
        <w:rPr>
          <w:rFonts w:cs="Times New Roman"/>
          <w:iCs/>
          <w:szCs w:val="24"/>
        </w:rPr>
      </w:pPr>
      <w:r>
        <w:rPr>
          <w:rFonts w:cs="Times New Roman"/>
          <w:iCs/>
          <w:szCs w:val="24"/>
        </w:rPr>
        <w:tab/>
      </w:r>
      <w:r>
        <w:rPr>
          <w:rFonts w:cs="Times New Roman"/>
          <w:iCs/>
          <w:szCs w:val="24"/>
        </w:rPr>
        <w:t>Pada tabel</w:t>
      </w:r>
      <w:r>
        <w:rPr>
          <w:rFonts w:cs="Times New Roman"/>
          <w:iCs/>
          <w:szCs w:val="24"/>
        </w:rPr>
        <w:t xml:space="preserve"> 4.</w:t>
      </w:r>
      <w:r>
        <w:rPr>
          <w:rFonts w:cs="Times New Roman"/>
          <w:iCs/>
          <w:szCs w:val="24"/>
        </w:rPr>
        <w:t>8</w:t>
      </w:r>
      <w:r>
        <w:rPr>
          <w:rFonts w:cs="Times New Roman"/>
          <w:iCs/>
          <w:szCs w:val="24"/>
        </w:rPr>
        <w:t>.</w:t>
      </w:r>
      <w:r>
        <w:rPr>
          <w:rFonts w:cs="Times New Roman"/>
          <w:iCs/>
          <w:szCs w:val="24"/>
        </w:rPr>
        <w:t xml:space="preserve"> </w:t>
      </w:r>
      <w:r>
        <w:rPr>
          <w:rFonts w:cs="Times New Roman"/>
          <w:iCs/>
          <w:szCs w:val="24"/>
        </w:rPr>
        <w:t xml:space="preserve">nilai </w:t>
      </w:r>
      <w:r>
        <w:rPr>
          <w:rFonts w:cs="Times New Roman"/>
          <w:i/>
          <w:szCs w:val="24"/>
        </w:rPr>
        <w:t>D</w:t>
      </w:r>
      <w:r>
        <w:rPr>
          <w:rFonts w:cs="Times New Roman"/>
          <w:i/>
          <w:szCs w:val="24"/>
        </w:rPr>
        <w:t>urbin-</w:t>
      </w:r>
      <w:r>
        <w:rPr>
          <w:rFonts w:cs="Times New Roman"/>
          <w:i/>
          <w:szCs w:val="24"/>
        </w:rPr>
        <w:t>W</w:t>
      </w:r>
      <w:r>
        <w:rPr>
          <w:rFonts w:cs="Times New Roman"/>
          <w:i/>
          <w:szCs w:val="24"/>
        </w:rPr>
        <w:t>atson</w:t>
      </w:r>
      <w:r>
        <w:rPr>
          <w:rFonts w:cs="Times New Roman"/>
          <w:iCs/>
          <w:szCs w:val="24"/>
        </w:rPr>
        <w:t xml:space="preserve"> sebesar 1,984</w:t>
      </w:r>
      <w:r>
        <w:rPr>
          <w:rFonts w:cs="Times New Roman" w:eastAsia="Times New Roman"/>
          <w:kern w:val="0"/>
          <w:szCs w:val="24"/>
          <w14:ligatures xmlns:w14="http://schemas.microsoft.com/office/word/2010/wordml" w14:val="none"/>
        </w:rPr>
        <w:t>. H</w:t>
      </w:r>
      <w:r>
        <w:rPr>
          <w:rFonts w:cs="Times New Roman" w:eastAsia="Times New Roman"/>
          <w:color w:val="000000"/>
          <w:szCs w:val="24"/>
        </w:rPr>
        <w:t xml:space="preserve">asil uji menunjukkan bahwa </w:t>
      </w:r>
      <w:r>
        <w:rPr>
          <w:rFonts w:cs="Times New Roman"/>
          <w:iCs/>
          <w:szCs w:val="24"/>
        </w:rPr>
        <w:t xml:space="preserve">data </w:t>
      </w:r>
      <w:r>
        <w:rPr>
          <w:rFonts w:cs="Times New Roman" w:eastAsia="Times New Roman"/>
          <w:color w:val="000000"/>
          <w:szCs w:val="24"/>
        </w:rPr>
        <w:t xml:space="preserve">tidak ada masalah autokorelasi karena nilai </w:t>
      </w:r>
      <w:r>
        <w:rPr>
          <w:rFonts w:cs="Times New Roman" w:eastAsia="Times New Roman"/>
          <w:i/>
          <w:iCs/>
          <w:color w:val="000000"/>
          <w:szCs w:val="24"/>
        </w:rPr>
        <w:t xml:space="preserve">Durbin-Watson </w:t>
      </w:r>
      <w:r>
        <w:rPr>
          <w:rFonts w:cs="Times New Roman" w:eastAsia="Times New Roman"/>
          <w:color w:val="000000"/>
          <w:szCs w:val="24"/>
        </w:rPr>
        <w:t xml:space="preserve">diantara </w:t>
      </w:r>
      <w:r>
        <w:rPr>
          <w:rFonts w:cs="Times New Roman" w:eastAsia="Times New Roman"/>
          <w:szCs w:val="24"/>
        </w:rPr>
        <w:t>dU dan 4-dU</w:t>
      </w:r>
      <w:r>
        <w:rPr>
          <w:rFonts w:cs="Times New Roman" w:eastAsia="Times New Roman"/>
          <w:i/>
          <w:iCs/>
          <w:szCs w:val="24"/>
        </w:rPr>
        <w:t xml:space="preserve"> </w:t>
      </w:r>
      <w:r>
        <w:rPr>
          <w:rFonts w:cs="Times New Roman"/>
          <w:iCs/>
          <w:szCs w:val="24"/>
        </w:rPr>
        <w:t xml:space="preserve"> (</w:t>
      </w:r>
      <w:r>
        <w:rPr>
          <w:rFonts w:cs="Times New Roman"/>
          <w:iCs/>
          <w:szCs w:val="24"/>
        </w:rPr>
        <w:t>1,</w:t>
      </w:r>
      <w:r>
        <w:rPr>
          <w:rFonts w:cs="Times New Roman"/>
          <w:iCs/>
          <w:szCs w:val="24"/>
        </w:rPr>
        <w:t>801</w:t>
      </w:r>
      <w:r>
        <w:rPr>
          <w:rFonts w:cs="Times New Roman"/>
          <w:iCs/>
          <w:szCs w:val="24"/>
        </w:rPr>
        <w:t xml:space="preserve"> &lt; 1,984 &lt; </w:t>
      </w:r>
      <w:r>
        <w:rPr>
          <w:rFonts w:cs="Times New Roman"/>
          <w:iCs/>
          <w:szCs w:val="24"/>
        </w:rPr>
        <w:t>2,199</w:t>
      </w:r>
      <w:r>
        <w:rPr>
          <w:rFonts w:cs="Times New Roman"/>
          <w:iCs/>
          <w:szCs w:val="24"/>
        </w:rPr>
        <w:t>)</w:t>
      </w:r>
      <w:r>
        <w:rPr>
          <w:rFonts w:cs="Times New Roman" w:eastAsia="Times New Roman"/>
          <w:color w:val="000000"/>
          <w:szCs w:val="24"/>
        </w:rPr>
        <w:t>.</w:t>
      </w:r>
    </w:p>
    <w:bookmarkStart w:id="99" w:name="_Toc218854635"/>
    <w:p>
      <w:pPr>
        <w:pStyle w:val="style3"/>
        <w:rPr/>
      </w:pPr>
      <w:r>
        <w:rPr>
          <w:rFonts w:eastAsia="Times New Roman"/>
        </w:rPr>
        <w:t xml:space="preserve">4.2.3. </w:t>
      </w:r>
      <w:r>
        <w:rPr>
          <w:rFonts w:eastAsia="Times New Roman"/>
        </w:rPr>
        <w:tab/>
      </w:r>
      <w:r>
        <w:rPr>
          <w:rFonts w:eastAsia="Times New Roman"/>
        </w:rPr>
        <w:tab/>
      </w:r>
      <w:r>
        <w:t xml:space="preserve">Analisis Regesi </w:t>
      </w:r>
      <w:r>
        <w:t>Linear Berganda</w:t>
      </w:r>
      <w:bookmarkEnd w:id="99"/>
    </w:p>
    <w:p>
      <w:pPr>
        <w:pStyle w:val="style0"/>
        <w:tabs>
          <w:tab w:val="left" w:leader="none" w:pos="810"/>
        </w:tabs>
        <w:spacing w:after="0" w:lineRule="auto" w:line="480"/>
        <w:ind w:firstLine="630"/>
        <w:jc w:val="both"/>
        <w:rPr>
          <w:rFonts w:cs="Times New Roman"/>
          <w:iCs/>
          <w:szCs w:val="24"/>
        </w:rPr>
      </w:pPr>
      <w:r>
        <w:rPr>
          <w:rFonts w:cs="Times New Roman"/>
          <w:iCs/>
          <w:szCs w:val="24"/>
        </w:rPr>
        <w:tab/>
      </w:r>
      <w:r>
        <w:rPr>
          <w:rFonts w:cs="Times New Roman"/>
          <w:iCs/>
          <w:szCs w:val="24"/>
        </w:rPr>
        <w:t xml:space="preserve">Pengujian </w:t>
      </w:r>
      <w:r>
        <w:rPr>
          <w:rFonts w:cs="Times New Roman"/>
          <w:iCs/>
          <w:szCs w:val="24"/>
        </w:rPr>
        <w:t xml:space="preserve">regresi linier berganda dilakukan untuk mengetahui adanya pengaruh </w:t>
      </w:r>
      <w:r>
        <w:rPr>
          <w:rFonts w:cs="Times New Roman"/>
          <w:iCs/>
          <w:szCs w:val="24"/>
        </w:rPr>
        <w:t xml:space="preserve">beberapa </w:t>
      </w:r>
      <w:r>
        <w:rPr>
          <w:rFonts w:cs="Times New Roman"/>
          <w:iCs/>
          <w:szCs w:val="24"/>
        </w:rPr>
        <w:t xml:space="preserve">variabel </w:t>
      </w:r>
      <w:r>
        <w:rPr>
          <w:rFonts w:cs="Times New Roman"/>
          <w:iCs/>
          <w:szCs w:val="24"/>
        </w:rPr>
        <w:t>in</w:t>
      </w:r>
      <w:r>
        <w:rPr>
          <w:rFonts w:cs="Times New Roman"/>
          <w:iCs/>
          <w:szCs w:val="24"/>
        </w:rPr>
        <w:t xml:space="preserve">dependen </w:t>
      </w:r>
      <w:r>
        <w:rPr>
          <w:rFonts w:cs="Times New Roman"/>
          <w:iCs/>
          <w:szCs w:val="24"/>
        </w:rPr>
        <w:t xml:space="preserve">terhadap variabel </w:t>
      </w:r>
      <w:r>
        <w:rPr>
          <w:rFonts w:cs="Times New Roman"/>
          <w:iCs/>
          <w:szCs w:val="24"/>
        </w:rPr>
        <w:t>dependen</w:t>
      </w:r>
      <w:r>
        <w:rPr>
          <w:rFonts w:cs="Times New Roman"/>
          <w:iCs/>
          <w:szCs w:val="24"/>
        </w:rPr>
        <w:t>.</w:t>
      </w:r>
      <w:r>
        <w:rPr>
          <w:rFonts w:cs="Times New Roman"/>
          <w:iCs/>
          <w:szCs w:val="24"/>
        </w:rPr>
        <w:t xml:space="preserve"> </w:t>
      </w:r>
      <w:r>
        <w:rPr>
          <w:rFonts w:cs="Times New Roman"/>
          <w:iCs/>
          <w:szCs w:val="24"/>
        </w:rPr>
        <w:t xml:space="preserve">Hasil perhitungan uji regresi linear berganda dapat dilihat pada tabel </w:t>
      </w:r>
      <w:r>
        <w:rPr>
          <w:rFonts w:cs="Times New Roman"/>
          <w:iCs/>
          <w:szCs w:val="24"/>
        </w:rPr>
        <w:t>4.9</w:t>
      </w:r>
      <w:r>
        <w:rPr>
          <w:rFonts w:cs="Times New Roman"/>
          <w:iCs/>
          <w:szCs w:val="24"/>
        </w:rPr>
        <w:t xml:space="preserve">: </w:t>
      </w:r>
    </w:p>
    <w:bookmarkStart w:id="100" w:name="_Toc215602310"/>
    <w:bookmarkStart w:id="101" w:name="_Toc216129266"/>
    <w:bookmarkStart w:id="102" w:name="_Toc216804046"/>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11</w:t>
      </w:r>
      <w:r>
        <w:rPr>
          <w:b w:val="false"/>
          <w:bCs/>
          <w:i/>
          <w:iCs w:val="false"/>
          <w:color w:val="ffffff"/>
          <w:sz w:val="22"/>
          <w:szCs w:val="22"/>
        </w:rPr>
        <w:fldChar w:fldCharType="end"/>
      </w:r>
      <w:r>
        <w:rPr>
          <w:bCs/>
          <w:iCs w:val="false"/>
          <w:color w:val="auto"/>
          <w:sz w:val="22"/>
          <w:szCs w:val="22"/>
        </w:rPr>
        <w:t xml:space="preserve">4. </w:t>
      </w:r>
      <w:r>
        <w:rPr>
          <w:bCs/>
          <w:iCs w:val="false"/>
          <w:color w:val="auto"/>
          <w:sz w:val="22"/>
          <w:szCs w:val="22"/>
        </w:rPr>
        <w:t>9</w:t>
      </w:r>
      <w:r>
        <w:rPr>
          <w:bCs/>
          <w:iCs w:val="false"/>
          <w:color w:val="auto"/>
          <w:sz w:val="22"/>
          <w:szCs w:val="22"/>
        </w:rPr>
        <w:t>. Uji Regresi Linear Berganda</w:t>
      </w:r>
      <w:bookmarkEnd w:id="100"/>
      <w:bookmarkEnd w:id="101"/>
      <w:bookmarkEnd w:id="102"/>
    </w:p>
    <w:tbl>
      <w:tblPr>
        <w:tblStyle w:val="style154"/>
        <w:tblW w:w="0" w:type="auto"/>
        <w:tblLook w:val="04A0" w:firstRow="1" w:lastRow="0" w:firstColumn="1" w:lastColumn="0" w:noHBand="0" w:noVBand="1"/>
      </w:tblPr>
      <w:tblGrid>
        <w:gridCol w:w="335"/>
        <w:gridCol w:w="1550"/>
        <w:gridCol w:w="1080"/>
        <w:gridCol w:w="1350"/>
        <w:gridCol w:w="1530"/>
        <w:gridCol w:w="896"/>
        <w:gridCol w:w="1186"/>
      </w:tblGrid>
      <w:tr>
        <w:trPr>
          <w:trHeight w:val="360" w:hRule="atLeast"/>
        </w:trPr>
        <w:tc>
          <w:tcPr>
            <w:tcW w:w="7927" w:type="dxa"/>
            <w:gridSpan w:val="7"/>
            <w:tcBorders/>
            <w:hideMark/>
          </w:tcPr>
          <w:p>
            <w:pPr>
              <w:pStyle w:val="style0"/>
              <w:tabs>
                <w:tab w:val="left" w:leader="none" w:pos="810"/>
              </w:tabs>
              <w:jc w:val="center"/>
              <w:rPr>
                <w:rFonts w:cs="Times New Roman"/>
                <w:b/>
                <w:bCs/>
                <w:iCs/>
                <w:sz w:val="20"/>
                <w:szCs w:val="20"/>
              </w:rPr>
            </w:pPr>
            <w:r>
              <w:rPr>
                <w:rFonts w:cs="Times New Roman"/>
                <w:b/>
                <w:bCs/>
                <w:iCs/>
                <w:sz w:val="20"/>
                <w:szCs w:val="20"/>
              </w:rPr>
              <w:t>Coefficients</w:t>
            </w:r>
            <w:r>
              <w:rPr>
                <w:rFonts w:cs="Times New Roman"/>
                <w:b/>
                <w:bCs/>
                <w:iCs/>
                <w:sz w:val="20"/>
                <w:szCs w:val="20"/>
                <w:vertAlign w:val="superscript"/>
              </w:rPr>
              <w:t>a</w:t>
            </w:r>
          </w:p>
        </w:tc>
      </w:tr>
      <w:tr>
        <w:tblPrEx/>
        <w:trPr>
          <w:trHeight w:val="620" w:hRule="atLeast"/>
        </w:trPr>
        <w:tc>
          <w:tcPr>
            <w:tcW w:w="1885" w:type="dxa"/>
            <w:gridSpan w:val="2"/>
            <w:vMerge w:val="restart"/>
            <w:tcBorders/>
            <w:hideMark/>
          </w:tcPr>
          <w:p>
            <w:pPr>
              <w:pStyle w:val="style0"/>
              <w:tabs>
                <w:tab w:val="left" w:leader="none" w:pos="810"/>
              </w:tabs>
              <w:jc w:val="both"/>
              <w:rPr>
                <w:rFonts w:cs="Times New Roman"/>
                <w:iCs/>
                <w:sz w:val="20"/>
                <w:szCs w:val="20"/>
              </w:rPr>
            </w:pPr>
            <w:r>
              <w:rPr>
                <w:rFonts w:cs="Times New Roman"/>
                <w:iCs/>
                <w:sz w:val="20"/>
                <w:szCs w:val="20"/>
              </w:rPr>
              <w:t>Model</w:t>
            </w:r>
          </w:p>
        </w:tc>
        <w:tc>
          <w:tcPr>
            <w:tcW w:w="2430" w:type="dxa"/>
            <w:gridSpan w:val="2"/>
            <w:tcBorders/>
            <w:hideMark/>
          </w:tcPr>
          <w:p>
            <w:pPr>
              <w:pStyle w:val="style0"/>
              <w:tabs>
                <w:tab w:val="left" w:leader="none" w:pos="810"/>
              </w:tabs>
              <w:jc w:val="both"/>
              <w:rPr>
                <w:rFonts w:cs="Times New Roman"/>
                <w:iCs/>
                <w:sz w:val="20"/>
                <w:szCs w:val="20"/>
              </w:rPr>
            </w:pPr>
            <w:r>
              <w:rPr>
                <w:rFonts w:cs="Times New Roman"/>
                <w:iCs/>
                <w:sz w:val="20"/>
                <w:szCs w:val="20"/>
              </w:rPr>
              <w:t>Unstandardized Coefficients</w:t>
            </w:r>
          </w:p>
        </w:tc>
        <w:tc>
          <w:tcPr>
            <w:tcW w:w="1530" w:type="dxa"/>
            <w:tcBorders/>
            <w:hideMark/>
          </w:tcPr>
          <w:p>
            <w:pPr>
              <w:pStyle w:val="style0"/>
              <w:tabs>
                <w:tab w:val="left" w:leader="none" w:pos="810"/>
              </w:tabs>
              <w:jc w:val="both"/>
              <w:rPr>
                <w:rFonts w:cs="Times New Roman"/>
                <w:iCs/>
                <w:sz w:val="20"/>
                <w:szCs w:val="20"/>
              </w:rPr>
            </w:pPr>
            <w:r>
              <w:rPr>
                <w:rFonts w:cs="Times New Roman"/>
                <w:iCs/>
                <w:sz w:val="20"/>
                <w:szCs w:val="20"/>
              </w:rPr>
              <w:t>Standardized Coefficients</w:t>
            </w:r>
          </w:p>
        </w:tc>
        <w:tc>
          <w:tcPr>
            <w:tcW w:w="896" w:type="dxa"/>
            <w:vMerge w:val="restart"/>
            <w:tcBorders/>
            <w:hideMark/>
          </w:tcPr>
          <w:p>
            <w:pPr>
              <w:pStyle w:val="style0"/>
              <w:tabs>
                <w:tab w:val="left" w:leader="none" w:pos="810"/>
              </w:tabs>
              <w:jc w:val="both"/>
              <w:rPr>
                <w:rFonts w:cs="Times New Roman"/>
                <w:iCs/>
                <w:sz w:val="20"/>
                <w:szCs w:val="20"/>
              </w:rPr>
            </w:pPr>
            <w:r>
              <w:rPr>
                <w:rFonts w:cs="Times New Roman"/>
                <w:iCs/>
                <w:sz w:val="20"/>
                <w:szCs w:val="20"/>
              </w:rPr>
              <w:t>t</w:t>
            </w:r>
          </w:p>
        </w:tc>
        <w:tc>
          <w:tcPr>
            <w:tcW w:w="1186" w:type="dxa"/>
            <w:vMerge w:val="restart"/>
            <w:tcBorders/>
            <w:hideMark/>
          </w:tcPr>
          <w:p>
            <w:pPr>
              <w:pStyle w:val="style0"/>
              <w:tabs>
                <w:tab w:val="left" w:leader="none" w:pos="810"/>
              </w:tabs>
              <w:jc w:val="both"/>
              <w:rPr>
                <w:rFonts w:cs="Times New Roman"/>
                <w:iCs/>
                <w:sz w:val="20"/>
                <w:szCs w:val="20"/>
              </w:rPr>
            </w:pPr>
            <w:r>
              <w:rPr>
                <w:rFonts w:cs="Times New Roman"/>
                <w:iCs/>
                <w:sz w:val="20"/>
                <w:szCs w:val="20"/>
              </w:rPr>
              <w:t>Sig.</w:t>
            </w:r>
          </w:p>
        </w:tc>
      </w:tr>
      <w:tr>
        <w:tblPrEx/>
        <w:trPr>
          <w:trHeight w:val="310" w:hRule="atLeast"/>
        </w:trPr>
        <w:tc>
          <w:tcPr>
            <w:tcW w:w="1885" w:type="dxa"/>
            <w:gridSpan w:val="2"/>
            <w:vMerge w:val="continue"/>
            <w:tcBorders/>
            <w:hideMark/>
          </w:tcPr>
          <w:p>
            <w:pPr>
              <w:pStyle w:val="style0"/>
              <w:tabs>
                <w:tab w:val="left" w:leader="none" w:pos="810"/>
              </w:tabs>
              <w:jc w:val="both"/>
              <w:rPr>
                <w:rFonts w:cs="Times New Roman"/>
                <w:iCs/>
                <w:sz w:val="20"/>
                <w:szCs w:val="20"/>
              </w:rPr>
            </w:pPr>
          </w:p>
        </w:tc>
        <w:tc>
          <w:tcPr>
            <w:tcW w:w="1080" w:type="dxa"/>
            <w:tcBorders/>
            <w:hideMark/>
          </w:tcPr>
          <w:p>
            <w:pPr>
              <w:pStyle w:val="style0"/>
              <w:tabs>
                <w:tab w:val="left" w:leader="none" w:pos="810"/>
              </w:tabs>
              <w:jc w:val="both"/>
              <w:rPr>
                <w:rFonts w:cs="Times New Roman"/>
                <w:iCs/>
                <w:sz w:val="20"/>
                <w:szCs w:val="20"/>
              </w:rPr>
            </w:pPr>
            <w:r>
              <w:rPr>
                <w:rFonts w:cs="Times New Roman"/>
                <w:iCs/>
                <w:sz w:val="20"/>
                <w:szCs w:val="20"/>
              </w:rPr>
              <w:t>B</w:t>
            </w:r>
          </w:p>
        </w:tc>
        <w:tc>
          <w:tcPr>
            <w:tcW w:w="1350" w:type="dxa"/>
            <w:tcBorders/>
            <w:hideMark/>
          </w:tcPr>
          <w:p>
            <w:pPr>
              <w:pStyle w:val="style0"/>
              <w:tabs>
                <w:tab w:val="left" w:leader="none" w:pos="810"/>
              </w:tabs>
              <w:jc w:val="both"/>
              <w:rPr>
                <w:rFonts w:cs="Times New Roman"/>
                <w:iCs/>
                <w:sz w:val="20"/>
                <w:szCs w:val="20"/>
              </w:rPr>
            </w:pPr>
            <w:r>
              <w:rPr>
                <w:rFonts w:cs="Times New Roman"/>
                <w:iCs/>
                <w:sz w:val="20"/>
                <w:szCs w:val="20"/>
              </w:rPr>
              <w:t>Std. Error</w:t>
            </w:r>
          </w:p>
        </w:tc>
        <w:tc>
          <w:tcPr>
            <w:tcW w:w="1530" w:type="dxa"/>
            <w:tcBorders/>
            <w:hideMark/>
          </w:tcPr>
          <w:p>
            <w:pPr>
              <w:pStyle w:val="style0"/>
              <w:tabs>
                <w:tab w:val="left" w:leader="none" w:pos="810"/>
              </w:tabs>
              <w:jc w:val="both"/>
              <w:rPr>
                <w:rFonts w:cs="Times New Roman"/>
                <w:iCs/>
                <w:sz w:val="20"/>
                <w:szCs w:val="20"/>
              </w:rPr>
            </w:pPr>
            <w:r>
              <w:rPr>
                <w:rFonts w:cs="Times New Roman"/>
                <w:iCs/>
                <w:sz w:val="20"/>
                <w:szCs w:val="20"/>
              </w:rPr>
              <w:t>Beta</w:t>
            </w:r>
          </w:p>
        </w:tc>
        <w:tc>
          <w:tcPr>
            <w:tcW w:w="896" w:type="dxa"/>
            <w:vMerge w:val="continue"/>
            <w:tcBorders/>
            <w:hideMark/>
          </w:tcPr>
          <w:p>
            <w:pPr>
              <w:pStyle w:val="style0"/>
              <w:tabs>
                <w:tab w:val="left" w:leader="none" w:pos="810"/>
              </w:tabs>
              <w:jc w:val="both"/>
              <w:rPr>
                <w:rFonts w:cs="Times New Roman"/>
                <w:iCs/>
                <w:sz w:val="20"/>
                <w:szCs w:val="20"/>
              </w:rPr>
            </w:pPr>
          </w:p>
        </w:tc>
        <w:tc>
          <w:tcPr>
            <w:tcW w:w="1186" w:type="dxa"/>
            <w:vMerge w:val="continue"/>
            <w:tcBorders/>
            <w:hideMark/>
          </w:tcPr>
          <w:p>
            <w:pPr>
              <w:pStyle w:val="style0"/>
              <w:tabs>
                <w:tab w:val="left" w:leader="none" w:pos="810"/>
              </w:tabs>
              <w:jc w:val="both"/>
              <w:rPr>
                <w:rFonts w:cs="Times New Roman"/>
                <w:iCs/>
                <w:sz w:val="20"/>
                <w:szCs w:val="20"/>
              </w:rPr>
            </w:pPr>
          </w:p>
        </w:tc>
      </w:tr>
      <w:tr>
        <w:tblPrEx/>
        <w:trPr>
          <w:trHeight w:val="377" w:hRule="atLeast"/>
        </w:trPr>
        <w:tc>
          <w:tcPr>
            <w:tcW w:w="335" w:type="dxa"/>
            <w:vMerge w:val="restart"/>
            <w:tcBorders/>
            <w:noWrap/>
            <w:hideMark/>
          </w:tcPr>
          <w:p>
            <w:pPr>
              <w:pStyle w:val="style0"/>
              <w:tabs>
                <w:tab w:val="left" w:leader="none" w:pos="810"/>
              </w:tabs>
              <w:jc w:val="both"/>
              <w:rPr>
                <w:rFonts w:cs="Times New Roman"/>
                <w:iCs/>
                <w:sz w:val="20"/>
                <w:szCs w:val="20"/>
              </w:rPr>
            </w:pPr>
            <w:r>
              <w:rPr>
                <w:rFonts w:cs="Times New Roman"/>
                <w:iCs/>
                <w:sz w:val="20"/>
                <w:szCs w:val="20"/>
              </w:rPr>
              <w:t>1</w:t>
            </w:r>
          </w:p>
        </w:tc>
        <w:tc>
          <w:tcPr>
            <w:tcW w:w="1550" w:type="dxa"/>
            <w:tcBorders/>
            <w:hideMark/>
          </w:tcPr>
          <w:p>
            <w:pPr>
              <w:pStyle w:val="style0"/>
              <w:tabs>
                <w:tab w:val="left" w:leader="none" w:pos="810"/>
              </w:tabs>
              <w:jc w:val="both"/>
              <w:rPr>
                <w:rFonts w:cs="Times New Roman"/>
                <w:iCs/>
                <w:sz w:val="20"/>
                <w:szCs w:val="20"/>
              </w:rPr>
            </w:pPr>
            <w:r>
              <w:rPr>
                <w:rFonts w:cs="Times New Roman"/>
                <w:iCs/>
                <w:sz w:val="20"/>
                <w:szCs w:val="20"/>
              </w:rPr>
              <w:t>(Constant)</w:t>
            </w:r>
          </w:p>
        </w:tc>
        <w:tc>
          <w:tcPr>
            <w:tcW w:w="1080" w:type="dxa"/>
            <w:tcBorders/>
            <w:noWrap/>
            <w:hideMark/>
          </w:tcPr>
          <w:p>
            <w:pPr>
              <w:pStyle w:val="style0"/>
              <w:tabs>
                <w:tab w:val="left" w:leader="none" w:pos="810"/>
              </w:tabs>
              <w:jc w:val="center"/>
              <w:rPr>
                <w:rFonts w:cs="Times New Roman"/>
                <w:iCs/>
                <w:sz w:val="20"/>
                <w:szCs w:val="20"/>
              </w:rPr>
            </w:pPr>
            <w:r>
              <w:rPr>
                <w:rFonts w:cs="Times New Roman"/>
                <w:sz w:val="20"/>
                <w:szCs w:val="20"/>
              </w:rPr>
              <w:t>-0.058</w:t>
            </w:r>
          </w:p>
        </w:tc>
        <w:tc>
          <w:tcPr>
            <w:tcW w:w="1350" w:type="dxa"/>
            <w:tcBorders/>
            <w:noWrap/>
            <w:hideMark/>
          </w:tcPr>
          <w:p>
            <w:pPr>
              <w:pStyle w:val="style0"/>
              <w:tabs>
                <w:tab w:val="left" w:leader="none" w:pos="810"/>
              </w:tabs>
              <w:jc w:val="center"/>
              <w:rPr>
                <w:rFonts w:cs="Times New Roman"/>
                <w:iCs/>
                <w:sz w:val="20"/>
                <w:szCs w:val="20"/>
              </w:rPr>
            </w:pPr>
            <w:r>
              <w:rPr>
                <w:rFonts w:cs="Times New Roman"/>
                <w:sz w:val="20"/>
                <w:szCs w:val="20"/>
              </w:rPr>
              <w:t>0.566</w:t>
            </w:r>
          </w:p>
        </w:tc>
        <w:tc>
          <w:tcPr>
            <w:tcW w:w="1530" w:type="dxa"/>
            <w:tcBorders/>
            <w:hideMark/>
          </w:tcPr>
          <w:p>
            <w:pPr>
              <w:pStyle w:val="style0"/>
              <w:tabs>
                <w:tab w:val="left" w:leader="none" w:pos="810"/>
              </w:tabs>
              <w:jc w:val="center"/>
              <w:rPr>
                <w:rFonts w:cs="Times New Roman"/>
                <w:iCs/>
                <w:sz w:val="20"/>
                <w:szCs w:val="20"/>
              </w:rPr>
            </w:pPr>
          </w:p>
        </w:tc>
        <w:tc>
          <w:tcPr>
            <w:tcW w:w="896" w:type="dxa"/>
            <w:tcBorders/>
            <w:noWrap/>
            <w:hideMark/>
          </w:tcPr>
          <w:p>
            <w:pPr>
              <w:pStyle w:val="style0"/>
              <w:tabs>
                <w:tab w:val="left" w:leader="none" w:pos="810"/>
              </w:tabs>
              <w:jc w:val="center"/>
              <w:rPr>
                <w:rFonts w:cs="Times New Roman"/>
                <w:iCs/>
                <w:sz w:val="20"/>
                <w:szCs w:val="20"/>
              </w:rPr>
            </w:pPr>
            <w:r>
              <w:rPr>
                <w:rFonts w:cs="Times New Roman"/>
                <w:sz w:val="20"/>
                <w:szCs w:val="20"/>
              </w:rPr>
              <w:t>-0.103</w:t>
            </w:r>
          </w:p>
        </w:tc>
        <w:tc>
          <w:tcPr>
            <w:tcW w:w="1186" w:type="dxa"/>
            <w:tcBorders/>
            <w:noWrap/>
            <w:hideMark/>
          </w:tcPr>
          <w:p>
            <w:pPr>
              <w:pStyle w:val="style0"/>
              <w:tabs>
                <w:tab w:val="left" w:leader="none" w:pos="810"/>
              </w:tabs>
              <w:jc w:val="center"/>
              <w:rPr>
                <w:rFonts w:cs="Times New Roman"/>
                <w:iCs/>
                <w:sz w:val="20"/>
                <w:szCs w:val="20"/>
              </w:rPr>
            </w:pPr>
            <w:r>
              <w:rPr>
                <w:rFonts w:cs="Times New Roman"/>
                <w:sz w:val="20"/>
                <w:szCs w:val="20"/>
              </w:rPr>
              <w:t>0.918</w:t>
            </w:r>
          </w:p>
        </w:tc>
      </w:tr>
      <w:tr>
        <w:tblPrEx/>
        <w:trPr>
          <w:trHeight w:val="611" w:hRule="atLeast"/>
        </w:trPr>
        <w:tc>
          <w:tcPr>
            <w:tcW w:w="335" w:type="dxa"/>
            <w:vMerge w:val="continue"/>
            <w:tcBorders/>
            <w:hideMark/>
          </w:tcPr>
          <w:p>
            <w:pPr>
              <w:pStyle w:val="style0"/>
              <w:tabs>
                <w:tab w:val="left" w:leader="none" w:pos="810"/>
              </w:tabs>
              <w:jc w:val="both"/>
              <w:rPr>
                <w:rFonts w:cs="Times New Roman"/>
                <w:iCs/>
                <w:sz w:val="20"/>
                <w:szCs w:val="20"/>
              </w:rPr>
            </w:pPr>
          </w:p>
        </w:tc>
        <w:tc>
          <w:tcPr>
            <w:tcW w:w="1550" w:type="dxa"/>
            <w:tcBorders/>
            <w:hideMark/>
          </w:tcPr>
          <w:p>
            <w:pPr>
              <w:pStyle w:val="style0"/>
              <w:tabs>
                <w:tab w:val="left" w:leader="none" w:pos="810"/>
              </w:tabs>
              <w:jc w:val="both"/>
              <w:rPr>
                <w:rFonts w:cs="Times New Roman"/>
                <w:iCs/>
                <w:sz w:val="20"/>
                <w:szCs w:val="20"/>
              </w:rPr>
            </w:pPr>
            <w:r>
              <w:rPr>
                <w:rFonts w:cs="Times New Roman"/>
                <w:iCs/>
                <w:sz w:val="20"/>
                <w:szCs w:val="20"/>
              </w:rPr>
              <w:t>Enterprise Risk Management</w:t>
            </w:r>
          </w:p>
        </w:tc>
        <w:tc>
          <w:tcPr>
            <w:tcW w:w="1080" w:type="dxa"/>
            <w:tcBorders/>
            <w:noWrap/>
            <w:hideMark/>
          </w:tcPr>
          <w:p>
            <w:pPr>
              <w:pStyle w:val="style0"/>
              <w:tabs>
                <w:tab w:val="left" w:leader="none" w:pos="810"/>
              </w:tabs>
              <w:jc w:val="center"/>
              <w:rPr>
                <w:rFonts w:cs="Times New Roman"/>
                <w:iCs/>
                <w:sz w:val="20"/>
                <w:szCs w:val="20"/>
              </w:rPr>
            </w:pPr>
            <w:r>
              <w:rPr>
                <w:rFonts w:cs="Times New Roman"/>
                <w:sz w:val="20"/>
                <w:szCs w:val="20"/>
              </w:rPr>
              <w:t>0.984</w:t>
            </w:r>
          </w:p>
        </w:tc>
        <w:tc>
          <w:tcPr>
            <w:tcW w:w="1350" w:type="dxa"/>
            <w:tcBorders/>
            <w:noWrap/>
            <w:hideMark/>
          </w:tcPr>
          <w:p>
            <w:pPr>
              <w:pStyle w:val="style0"/>
              <w:tabs>
                <w:tab w:val="left" w:leader="none" w:pos="810"/>
              </w:tabs>
              <w:jc w:val="center"/>
              <w:rPr>
                <w:rFonts w:cs="Times New Roman"/>
                <w:iCs/>
                <w:sz w:val="20"/>
                <w:szCs w:val="20"/>
              </w:rPr>
            </w:pPr>
            <w:r>
              <w:rPr>
                <w:rFonts w:cs="Times New Roman"/>
                <w:sz w:val="20"/>
                <w:szCs w:val="20"/>
              </w:rPr>
              <w:t>0.635</w:t>
            </w:r>
          </w:p>
        </w:tc>
        <w:tc>
          <w:tcPr>
            <w:tcW w:w="1530" w:type="dxa"/>
            <w:tcBorders/>
            <w:noWrap/>
            <w:hideMark/>
          </w:tcPr>
          <w:p>
            <w:pPr>
              <w:pStyle w:val="style0"/>
              <w:tabs>
                <w:tab w:val="left" w:leader="none" w:pos="810"/>
              </w:tabs>
              <w:jc w:val="center"/>
              <w:rPr>
                <w:rFonts w:cs="Times New Roman"/>
                <w:iCs/>
                <w:sz w:val="20"/>
                <w:szCs w:val="20"/>
              </w:rPr>
            </w:pPr>
            <w:r>
              <w:rPr>
                <w:rFonts w:cs="Times New Roman"/>
                <w:sz w:val="20"/>
                <w:szCs w:val="20"/>
              </w:rPr>
              <w:t>0.103</w:t>
            </w:r>
          </w:p>
        </w:tc>
        <w:tc>
          <w:tcPr>
            <w:tcW w:w="896" w:type="dxa"/>
            <w:tcBorders/>
            <w:noWrap/>
            <w:hideMark/>
          </w:tcPr>
          <w:p>
            <w:pPr>
              <w:pStyle w:val="style0"/>
              <w:tabs>
                <w:tab w:val="left" w:leader="none" w:pos="810"/>
              </w:tabs>
              <w:jc w:val="center"/>
              <w:rPr>
                <w:rFonts w:cs="Times New Roman"/>
                <w:iCs/>
                <w:sz w:val="20"/>
                <w:szCs w:val="20"/>
              </w:rPr>
            </w:pPr>
            <w:r>
              <w:rPr>
                <w:rFonts w:cs="Times New Roman"/>
                <w:sz w:val="20"/>
                <w:szCs w:val="20"/>
              </w:rPr>
              <w:t>1.551</w:t>
            </w:r>
          </w:p>
        </w:tc>
        <w:tc>
          <w:tcPr>
            <w:tcW w:w="1186" w:type="dxa"/>
            <w:tcBorders/>
            <w:noWrap/>
            <w:hideMark/>
          </w:tcPr>
          <w:p>
            <w:pPr>
              <w:pStyle w:val="style0"/>
              <w:tabs>
                <w:tab w:val="left" w:leader="none" w:pos="810"/>
              </w:tabs>
              <w:jc w:val="center"/>
              <w:rPr>
                <w:rFonts w:cs="Times New Roman"/>
                <w:iCs/>
                <w:sz w:val="20"/>
                <w:szCs w:val="20"/>
              </w:rPr>
            </w:pPr>
            <w:r>
              <w:rPr>
                <w:rFonts w:cs="Times New Roman"/>
                <w:sz w:val="20"/>
                <w:szCs w:val="20"/>
              </w:rPr>
              <w:t>0.122</w:t>
            </w:r>
          </w:p>
        </w:tc>
      </w:tr>
      <w:tr>
        <w:tblPrEx/>
        <w:trPr>
          <w:trHeight w:val="602" w:hRule="atLeast"/>
        </w:trPr>
        <w:tc>
          <w:tcPr>
            <w:tcW w:w="335" w:type="dxa"/>
            <w:vMerge w:val="continue"/>
            <w:tcBorders/>
            <w:hideMark/>
          </w:tcPr>
          <w:p>
            <w:pPr>
              <w:pStyle w:val="style0"/>
              <w:tabs>
                <w:tab w:val="left" w:leader="none" w:pos="810"/>
              </w:tabs>
              <w:jc w:val="both"/>
              <w:rPr>
                <w:rFonts w:cs="Times New Roman"/>
                <w:iCs/>
                <w:sz w:val="20"/>
                <w:szCs w:val="20"/>
              </w:rPr>
            </w:pPr>
          </w:p>
        </w:tc>
        <w:tc>
          <w:tcPr>
            <w:tcW w:w="1550" w:type="dxa"/>
            <w:tcBorders/>
            <w:hideMark/>
          </w:tcPr>
          <w:p>
            <w:pPr>
              <w:pStyle w:val="style0"/>
              <w:tabs>
                <w:tab w:val="left" w:leader="none" w:pos="810"/>
              </w:tabs>
              <w:jc w:val="both"/>
              <w:rPr>
                <w:rFonts w:cs="Times New Roman"/>
                <w:iCs/>
                <w:sz w:val="20"/>
                <w:szCs w:val="20"/>
              </w:rPr>
            </w:pPr>
            <w:r>
              <w:rPr>
                <w:rFonts w:cs="Times New Roman"/>
                <w:iCs/>
                <w:sz w:val="20"/>
                <w:szCs w:val="20"/>
              </w:rPr>
              <w:t>Managerial Ownership</w:t>
            </w:r>
          </w:p>
        </w:tc>
        <w:tc>
          <w:tcPr>
            <w:tcW w:w="1080" w:type="dxa"/>
            <w:tcBorders/>
            <w:noWrap/>
            <w:hideMark/>
          </w:tcPr>
          <w:p>
            <w:pPr>
              <w:pStyle w:val="style0"/>
              <w:tabs>
                <w:tab w:val="left" w:leader="none" w:pos="810"/>
              </w:tabs>
              <w:jc w:val="center"/>
              <w:rPr>
                <w:rFonts w:cs="Times New Roman"/>
                <w:iCs/>
                <w:sz w:val="20"/>
                <w:szCs w:val="20"/>
              </w:rPr>
            </w:pPr>
            <w:r>
              <w:rPr>
                <w:rFonts w:cs="Times New Roman"/>
                <w:sz w:val="20"/>
                <w:szCs w:val="20"/>
              </w:rPr>
              <w:t>0.956</w:t>
            </w:r>
          </w:p>
        </w:tc>
        <w:tc>
          <w:tcPr>
            <w:tcW w:w="1350" w:type="dxa"/>
            <w:tcBorders/>
            <w:noWrap/>
            <w:hideMark/>
          </w:tcPr>
          <w:p>
            <w:pPr>
              <w:pStyle w:val="style0"/>
              <w:tabs>
                <w:tab w:val="left" w:leader="none" w:pos="810"/>
              </w:tabs>
              <w:jc w:val="center"/>
              <w:rPr>
                <w:rFonts w:cs="Times New Roman"/>
                <w:iCs/>
                <w:sz w:val="20"/>
                <w:szCs w:val="20"/>
              </w:rPr>
            </w:pPr>
            <w:r>
              <w:rPr>
                <w:rFonts w:cs="Times New Roman"/>
                <w:sz w:val="20"/>
                <w:szCs w:val="20"/>
              </w:rPr>
              <w:t>0.921</w:t>
            </w:r>
          </w:p>
        </w:tc>
        <w:tc>
          <w:tcPr>
            <w:tcW w:w="1530" w:type="dxa"/>
            <w:tcBorders/>
            <w:noWrap/>
            <w:hideMark/>
          </w:tcPr>
          <w:p>
            <w:pPr>
              <w:pStyle w:val="style0"/>
              <w:tabs>
                <w:tab w:val="left" w:leader="none" w:pos="810"/>
              </w:tabs>
              <w:jc w:val="center"/>
              <w:rPr>
                <w:rFonts w:cs="Times New Roman"/>
                <w:iCs/>
                <w:sz w:val="20"/>
                <w:szCs w:val="20"/>
              </w:rPr>
            </w:pPr>
            <w:r>
              <w:rPr>
                <w:rFonts w:cs="Times New Roman"/>
                <w:sz w:val="20"/>
                <w:szCs w:val="20"/>
              </w:rPr>
              <w:t>0.088</w:t>
            </w:r>
          </w:p>
        </w:tc>
        <w:tc>
          <w:tcPr>
            <w:tcW w:w="896" w:type="dxa"/>
            <w:tcBorders/>
            <w:noWrap/>
            <w:hideMark/>
          </w:tcPr>
          <w:p>
            <w:pPr>
              <w:pStyle w:val="style0"/>
              <w:tabs>
                <w:tab w:val="left" w:leader="none" w:pos="810"/>
              </w:tabs>
              <w:jc w:val="center"/>
              <w:rPr>
                <w:rFonts w:cs="Times New Roman"/>
                <w:iCs/>
                <w:sz w:val="20"/>
                <w:szCs w:val="20"/>
              </w:rPr>
            </w:pPr>
            <w:r>
              <w:rPr>
                <w:rFonts w:cs="Times New Roman"/>
                <w:sz w:val="20"/>
                <w:szCs w:val="20"/>
              </w:rPr>
              <w:t>1.038</w:t>
            </w:r>
          </w:p>
        </w:tc>
        <w:tc>
          <w:tcPr>
            <w:tcW w:w="1186" w:type="dxa"/>
            <w:tcBorders/>
            <w:noWrap/>
            <w:hideMark/>
          </w:tcPr>
          <w:p>
            <w:pPr>
              <w:pStyle w:val="style0"/>
              <w:tabs>
                <w:tab w:val="left" w:leader="none" w:pos="810"/>
              </w:tabs>
              <w:jc w:val="center"/>
              <w:rPr>
                <w:rFonts w:cs="Times New Roman"/>
                <w:iCs/>
                <w:sz w:val="20"/>
                <w:szCs w:val="20"/>
              </w:rPr>
            </w:pPr>
            <w:r>
              <w:rPr>
                <w:rFonts w:cs="Times New Roman"/>
                <w:sz w:val="20"/>
                <w:szCs w:val="20"/>
              </w:rPr>
              <w:t>0.300</w:t>
            </w:r>
          </w:p>
        </w:tc>
      </w:tr>
      <w:tr>
        <w:tblPrEx/>
        <w:trPr>
          <w:trHeight w:val="557" w:hRule="atLeast"/>
        </w:trPr>
        <w:tc>
          <w:tcPr>
            <w:tcW w:w="335" w:type="dxa"/>
            <w:vMerge w:val="continue"/>
            <w:tcBorders/>
            <w:hideMark/>
          </w:tcPr>
          <w:p>
            <w:pPr>
              <w:pStyle w:val="style0"/>
              <w:tabs>
                <w:tab w:val="left" w:leader="none" w:pos="810"/>
              </w:tabs>
              <w:jc w:val="both"/>
              <w:rPr>
                <w:rFonts w:cs="Times New Roman"/>
                <w:iCs/>
                <w:sz w:val="20"/>
                <w:szCs w:val="20"/>
              </w:rPr>
            </w:pPr>
          </w:p>
        </w:tc>
        <w:tc>
          <w:tcPr>
            <w:tcW w:w="1550" w:type="dxa"/>
            <w:tcBorders/>
            <w:hideMark/>
          </w:tcPr>
          <w:p>
            <w:pPr>
              <w:pStyle w:val="style0"/>
              <w:tabs>
                <w:tab w:val="left" w:leader="none" w:pos="810"/>
              </w:tabs>
              <w:jc w:val="both"/>
              <w:rPr>
                <w:rFonts w:cs="Times New Roman"/>
                <w:iCs/>
                <w:sz w:val="20"/>
                <w:szCs w:val="20"/>
              </w:rPr>
            </w:pPr>
            <w:r>
              <w:rPr>
                <w:rFonts w:cs="Times New Roman"/>
                <w:iCs/>
                <w:sz w:val="20"/>
                <w:szCs w:val="20"/>
              </w:rPr>
              <w:t>Institutional Ownership</w:t>
            </w:r>
          </w:p>
        </w:tc>
        <w:tc>
          <w:tcPr>
            <w:tcW w:w="1080" w:type="dxa"/>
            <w:tcBorders/>
            <w:noWrap/>
            <w:hideMark/>
          </w:tcPr>
          <w:p>
            <w:pPr>
              <w:pStyle w:val="style0"/>
              <w:tabs>
                <w:tab w:val="left" w:leader="none" w:pos="810"/>
              </w:tabs>
              <w:jc w:val="center"/>
              <w:rPr>
                <w:rFonts w:cs="Times New Roman"/>
                <w:iCs/>
                <w:sz w:val="20"/>
                <w:szCs w:val="20"/>
              </w:rPr>
            </w:pPr>
            <w:r>
              <w:rPr>
                <w:rFonts w:cs="Times New Roman"/>
                <w:sz w:val="20"/>
                <w:szCs w:val="20"/>
              </w:rPr>
              <w:t>1.376</w:t>
            </w:r>
          </w:p>
        </w:tc>
        <w:tc>
          <w:tcPr>
            <w:tcW w:w="1350" w:type="dxa"/>
            <w:tcBorders/>
            <w:noWrap/>
            <w:hideMark/>
          </w:tcPr>
          <w:p>
            <w:pPr>
              <w:pStyle w:val="style0"/>
              <w:tabs>
                <w:tab w:val="left" w:leader="none" w:pos="810"/>
              </w:tabs>
              <w:jc w:val="center"/>
              <w:rPr>
                <w:rFonts w:cs="Times New Roman"/>
                <w:iCs/>
                <w:sz w:val="20"/>
                <w:szCs w:val="20"/>
              </w:rPr>
            </w:pPr>
            <w:r>
              <w:rPr>
                <w:rFonts w:cs="Times New Roman"/>
                <w:sz w:val="20"/>
                <w:szCs w:val="20"/>
              </w:rPr>
              <w:t>0.473</w:t>
            </w:r>
          </w:p>
        </w:tc>
        <w:tc>
          <w:tcPr>
            <w:tcW w:w="1530" w:type="dxa"/>
            <w:tcBorders/>
            <w:noWrap/>
            <w:hideMark/>
          </w:tcPr>
          <w:p>
            <w:pPr>
              <w:pStyle w:val="style0"/>
              <w:tabs>
                <w:tab w:val="left" w:leader="none" w:pos="810"/>
              </w:tabs>
              <w:jc w:val="center"/>
              <w:rPr>
                <w:rFonts w:cs="Times New Roman"/>
                <w:iCs/>
                <w:sz w:val="20"/>
                <w:szCs w:val="20"/>
              </w:rPr>
            </w:pPr>
            <w:r>
              <w:rPr>
                <w:rFonts w:cs="Times New Roman"/>
                <w:sz w:val="20"/>
                <w:szCs w:val="20"/>
              </w:rPr>
              <w:t>0.241</w:t>
            </w:r>
          </w:p>
        </w:tc>
        <w:tc>
          <w:tcPr>
            <w:tcW w:w="896" w:type="dxa"/>
            <w:tcBorders/>
            <w:noWrap/>
            <w:hideMark/>
          </w:tcPr>
          <w:p>
            <w:pPr>
              <w:pStyle w:val="style0"/>
              <w:tabs>
                <w:tab w:val="left" w:leader="none" w:pos="810"/>
              </w:tabs>
              <w:jc w:val="center"/>
              <w:rPr>
                <w:rFonts w:cs="Times New Roman"/>
                <w:iCs/>
                <w:sz w:val="20"/>
                <w:szCs w:val="20"/>
              </w:rPr>
            </w:pPr>
            <w:r>
              <w:rPr>
                <w:rFonts w:cs="Times New Roman"/>
                <w:sz w:val="20"/>
                <w:szCs w:val="20"/>
              </w:rPr>
              <w:t>2.911</w:t>
            </w:r>
          </w:p>
        </w:tc>
        <w:tc>
          <w:tcPr>
            <w:tcW w:w="1186" w:type="dxa"/>
            <w:tcBorders/>
            <w:noWrap/>
            <w:hideMark/>
          </w:tcPr>
          <w:p>
            <w:pPr>
              <w:pStyle w:val="style0"/>
              <w:tabs>
                <w:tab w:val="left" w:leader="none" w:pos="810"/>
              </w:tabs>
              <w:jc w:val="center"/>
              <w:rPr>
                <w:rFonts w:cs="Times New Roman"/>
                <w:iCs/>
                <w:sz w:val="20"/>
                <w:szCs w:val="20"/>
              </w:rPr>
            </w:pPr>
            <w:r>
              <w:rPr>
                <w:rFonts w:cs="Times New Roman"/>
                <w:sz w:val="20"/>
                <w:szCs w:val="20"/>
              </w:rPr>
              <w:t>0.004</w:t>
            </w:r>
          </w:p>
        </w:tc>
      </w:tr>
    </w:tbl>
    <w:p>
      <w:pPr>
        <w:pStyle w:val="style0"/>
        <w:tabs>
          <w:tab w:val="left" w:leader="none" w:pos="810"/>
        </w:tabs>
        <w:spacing w:after="0" w:lineRule="auto" w:line="480"/>
        <w:jc w:val="both"/>
        <w:rPr>
          <w:rFonts w:cs="Times New Roman"/>
          <w:iCs/>
          <w:sz w:val="20"/>
          <w:szCs w:val="20"/>
        </w:rPr>
      </w:pPr>
      <w:r>
        <w:rPr>
          <w:rFonts w:cs="Times New Roman"/>
          <w:i/>
          <w:sz w:val="20"/>
          <w:szCs w:val="20"/>
        </w:rPr>
        <w:t>Sumber: Output SPSS 30, 2025</w:t>
      </w:r>
      <w:r>
        <w:rPr>
          <w:rFonts w:cs="Times New Roman"/>
          <w:iCs/>
          <w:sz w:val="20"/>
          <w:szCs w:val="20"/>
        </w:rPr>
        <w:tab/>
      </w:r>
    </w:p>
    <w:p>
      <w:pPr>
        <w:pStyle w:val="style0"/>
        <w:tabs>
          <w:tab w:val="left" w:leader="none" w:pos="810"/>
        </w:tabs>
        <w:spacing w:after="0" w:lineRule="auto" w:line="480"/>
        <w:ind w:firstLine="630"/>
        <w:jc w:val="both"/>
        <w:rPr>
          <w:rFonts w:cs="Times New Roman"/>
          <w:iCs/>
          <w:szCs w:val="24"/>
        </w:rPr>
      </w:pPr>
      <w:r>
        <w:rPr>
          <w:rFonts w:cs="Times New Roman"/>
          <w:iCs/>
          <w:noProof/>
          <w:szCs w:val="24"/>
        </w:rPr>
        <mc:AlternateContent>
          <mc:Choice Requires="wps">
            <w:drawing>
              <wp:anchor distT="0" distB="0" distL="0" distR="0" simplePos="false" relativeHeight="3" behindDoc="false" locked="false" layoutInCell="true" allowOverlap="true">
                <wp:simplePos x="0" y="0"/>
                <wp:positionH relativeFrom="margin">
                  <wp:posOffset>539820</wp:posOffset>
                </wp:positionH>
                <wp:positionV relativeFrom="paragraph">
                  <wp:posOffset>637970</wp:posOffset>
                </wp:positionV>
                <wp:extent cx="4003039" cy="352799"/>
                <wp:effectExtent l="0" t="0" r="16510" b="28575"/>
                <wp:wrapNone/>
                <wp:docPr id="1082" name="Rectangle 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03039" cy="352799"/>
                        </a:xfrm>
                        <a:prstGeom prst="rect"/>
                        <a:ln cmpd="sng" cap="flat" w="9525">
                          <a:solidFill>
                            <a:srgbClr val="000000"/>
                          </a:solidFill>
                          <a:prstDash val="solid"/>
                          <a:round/>
                          <a:headEnd len="med" w="med" type="none"/>
                          <a:tailEnd len="med" w="med" type="none"/>
                        </a:ln>
                      </wps:spPr>
                      <wps:txbx id="1082">
                        <w:txbxContent>
                          <w:p>
                            <w:pPr>
                              <w:pStyle w:val="style0"/>
                              <w:jc w:val="center"/>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82" filled="f" stroked="t" style="position:absolute;margin-left:42.51pt;margin-top:50.23pt;width:315.2pt;height:27.78pt;z-index:3;mso-position-horizontal-relative:margin;mso-position-vertical-relative:text;mso-width-percent:0;mso-height-percent:0;mso-width-relative:margin;mso-height-relative:margin;mso-wrap-distance-left:0.0pt;mso-wrap-distance-right:0.0pt;visibility:visible;v-text-anchor:middle;">
                <v:fill/>
                <v:textbox inset="7.2pt,3.6pt,7.2pt,3.6pt">
                  <w:txbxContent>
                    <w:p>
                      <w:pPr>
                        <w:pStyle w:val="style0"/>
                        <w:jc w:val="center"/>
                        <w:rPr/>
                      </w:pPr>
                    </w:p>
                  </w:txbxContent>
                </v:textbox>
              </v:rect>
            </w:pict>
          </mc:Fallback>
        </mc:AlternateContent>
      </w:r>
      <w:r>
        <w:rPr>
          <w:rFonts w:cs="Times New Roman"/>
          <w:iCs/>
          <w:szCs w:val="24"/>
        </w:rPr>
        <w:t>P</w:t>
      </w:r>
      <w:r>
        <w:rPr>
          <w:rFonts w:cs="Times New Roman"/>
          <w:iCs/>
          <w:szCs w:val="24"/>
        </w:rPr>
        <w:t>ersamaan model regresi</w:t>
      </w:r>
      <w:r>
        <w:rPr>
          <w:rFonts w:cs="Times New Roman"/>
          <w:iCs/>
          <w:szCs w:val="24"/>
        </w:rPr>
        <w:t xml:space="preserve"> linear berganda</w:t>
      </w:r>
      <w:r>
        <w:rPr>
          <w:rFonts w:cs="Times New Roman"/>
          <w:iCs/>
          <w:szCs w:val="24"/>
        </w:rPr>
        <w:t xml:space="preserve"> </w:t>
      </w:r>
      <w:r>
        <w:rPr>
          <w:rFonts w:cs="Times New Roman"/>
          <w:iCs/>
          <w:szCs w:val="24"/>
        </w:rPr>
        <w:t>dari hasil perhitungan pada tabel 4.</w:t>
      </w:r>
      <w:r>
        <w:rPr>
          <w:rFonts w:cs="Times New Roman"/>
          <w:iCs/>
          <w:szCs w:val="24"/>
        </w:rPr>
        <w:t>9</w:t>
      </w:r>
      <w:r>
        <w:rPr>
          <w:rFonts w:cs="Times New Roman"/>
          <w:iCs/>
          <w:szCs w:val="24"/>
        </w:rPr>
        <w:t>. dapat dipaparkan, sebagai berikut</w:t>
      </w:r>
      <w:r>
        <w:rPr>
          <w:rFonts w:cs="Times New Roman"/>
          <w:iCs/>
          <w:szCs w:val="24"/>
        </w:rPr>
        <w:t>:</w:t>
      </w:r>
    </w:p>
    <w:p>
      <w:pPr>
        <w:pStyle w:val="style0"/>
        <w:spacing w:after="0" w:lineRule="auto" w:line="480"/>
        <w:jc w:val="both"/>
        <w:rPr>
          <w:rFonts w:cs="Times New Roman" w:eastAsia="宋体"/>
          <w:b/>
          <w:bCs/>
          <w:szCs w:val="24"/>
        </w:rPr>
      </w:pPr>
      <m:oMathPara>
        <m:oMath>
          <m:r>
            <m:rPr>
              <m:sty m:val="b"/>
            </m:rPr>
            <w:rPr>
              <w:rFonts w:ascii="Cambria Math" w:cs="Times New Roman" w:hAnsi="Cambria Math"/>
              <w:szCs w:val="24"/>
            </w:rPr>
            <m:t>FV</m:t>
          </m:r>
          <m:r>
            <m:rPr>
              <m:sty m:val="bi"/>
            </m:rPr>
            <w:rPr>
              <w:rFonts w:ascii="Cambria Math" w:cs="Times New Roman" w:hAnsi="Cambria Math"/>
              <w:szCs w:val="24"/>
            </w:rPr>
            <m:t>=-</m:t>
          </m:r>
          <m:r>
            <m:rPr>
              <m:sty m:val="b"/>
            </m:rPr>
            <w:rPr>
              <w:rFonts w:ascii="Cambria Math" w:cs="Times New Roman" w:eastAsia="宋体" w:hAnsi="Cambria Math"/>
              <w:szCs w:val="24"/>
            </w:rPr>
            <m:t>0,058</m:t>
          </m:r>
          <m:r>
            <m:rPr>
              <m:sty m:val="b"/>
            </m:rPr>
            <w:rPr>
              <w:rFonts w:ascii="Cambria Math" w:cs="Times New Roman" w:eastAsia="宋体"/>
              <w:szCs w:val="24"/>
            </w:rPr>
            <m:t xml:space="preserve">+0,984 </m:t>
          </m:r>
          <m:r>
            <m:rPr>
              <m:sty m:val="b"/>
            </m:rPr>
            <w:rPr>
              <w:rFonts w:ascii="Cambria Math" w:cs="Times New Roman" w:hAnsi="Cambria Math"/>
              <w:szCs w:val="24"/>
            </w:rPr>
            <m:t>ERM-0,956 MO+</m:t>
          </m:r>
          <m:r>
            <m:rPr>
              <m:sty m:val="bi"/>
            </m:rPr>
            <w:rPr>
              <w:rFonts w:ascii="Cambria Math" w:cs="Times New Roman" w:hAnsi="Cambria Math"/>
              <w:szCs w:val="24"/>
            </w:rPr>
            <m:t xml:space="preserve">1,376 </m:t>
          </m:r>
          <m:r>
            <m:rPr>
              <m:sty m:val="b"/>
            </m:rPr>
            <w:rPr>
              <w:rFonts w:ascii="Cambria Math" w:cs="Times New Roman" w:hAnsi="Cambria Math"/>
              <w:szCs w:val="24"/>
            </w:rPr>
            <m:t>IO+e</m:t>
          </m:r>
        </m:oMath>
      </m:oMathPara>
    </w:p>
    <w:p>
      <w:pPr>
        <w:pStyle w:val="style0"/>
        <w:tabs>
          <w:tab w:val="left" w:leader="none" w:pos="810"/>
        </w:tabs>
        <w:spacing w:after="0" w:lineRule="auto" w:line="480"/>
        <w:jc w:val="both"/>
        <w:rPr>
          <w:rFonts w:cs="Times New Roman" w:eastAsia="宋体"/>
          <w:iCs/>
          <w:szCs w:val="24"/>
        </w:rPr>
      </w:pPr>
      <w:r>
        <w:rPr>
          <w:rFonts w:cs="Times New Roman" w:eastAsia="宋体"/>
          <w:iCs/>
          <w:szCs w:val="24"/>
        </w:rPr>
        <w:tab/>
      </w:r>
      <w:r>
        <w:rPr>
          <w:rFonts w:cs="Times New Roman" w:eastAsia="宋体"/>
          <w:iCs/>
          <w:szCs w:val="24"/>
        </w:rPr>
        <w:t>Berdasarkan pemaparan persamaan model regresi linear berganda tersebut, maka dapat dijabarkan sebagai berikut:</w:t>
      </w:r>
    </w:p>
    <w:p>
      <w:pPr>
        <w:pStyle w:val="style179"/>
        <w:numPr>
          <w:ilvl w:val="0"/>
          <w:numId w:val="12"/>
        </w:numPr>
        <w:spacing w:after="0" w:lineRule="auto" w:line="480"/>
        <w:ind w:left="360"/>
        <w:jc w:val="both"/>
        <w:rPr>
          <w:rFonts w:cs="Times New Roman" w:eastAsia="宋体"/>
          <w:iCs/>
          <w:szCs w:val="24"/>
        </w:rPr>
      </w:pPr>
      <w:r>
        <w:rPr>
          <w:rFonts w:cs="Times New Roman" w:eastAsia="宋体"/>
          <w:iCs/>
          <w:szCs w:val="24"/>
        </w:rPr>
        <w:t>Nilai konstanta diperoleh sebesar</w:t>
      </w:r>
      <w:r>
        <w:rPr>
          <w:rFonts w:cs="Times New Roman" w:eastAsia="宋体"/>
          <w:iCs/>
          <w:szCs w:val="24"/>
        </w:rPr>
        <w:t xml:space="preserve"> </w:t>
      </w:r>
      <w:r>
        <w:rPr>
          <w:rFonts w:cs="Times New Roman" w:eastAsia="宋体"/>
          <w:iCs/>
          <w:szCs w:val="24"/>
        </w:rPr>
        <w:t>-</w:t>
      </w:r>
      <w:r>
        <w:rPr>
          <w:rFonts w:cs="Times New Roman" w:eastAsia="宋体"/>
          <w:iCs/>
          <w:szCs w:val="24"/>
        </w:rPr>
        <w:t>0,</w:t>
      </w:r>
      <w:r>
        <w:rPr>
          <w:rFonts w:cs="Times New Roman" w:eastAsia="宋体"/>
          <w:iCs/>
          <w:szCs w:val="24"/>
        </w:rPr>
        <w:t>058</w:t>
      </w:r>
      <w:r>
        <w:rPr>
          <w:rFonts w:cs="Times New Roman" w:eastAsia="宋体"/>
          <w:iCs/>
          <w:szCs w:val="24"/>
        </w:rPr>
        <w:t>. Hal ini me</w:t>
      </w:r>
      <w:r>
        <w:rPr>
          <w:rFonts w:cs="Times New Roman" w:eastAsia="宋体"/>
          <w:iCs/>
          <w:szCs w:val="24"/>
        </w:rPr>
        <w:t>nyatakan</w:t>
      </w:r>
      <w:r>
        <w:rPr>
          <w:rFonts w:cs="Times New Roman" w:eastAsia="宋体"/>
          <w:iCs/>
          <w:szCs w:val="24"/>
        </w:rPr>
        <w:t xml:space="preserve"> bahwa </w:t>
      </w:r>
      <w:r>
        <w:rPr>
          <w:rFonts w:cs="Times New Roman" w:eastAsia="宋体"/>
          <w:i/>
          <w:szCs w:val="24"/>
        </w:rPr>
        <w:t xml:space="preserve">enterprise risk management, managerial ownership, </w:t>
      </w:r>
      <w:r>
        <w:rPr>
          <w:rFonts w:cs="Times New Roman" w:eastAsia="宋体"/>
          <w:iCs/>
          <w:szCs w:val="24"/>
        </w:rPr>
        <w:t xml:space="preserve">dan </w:t>
      </w:r>
      <w:r>
        <w:rPr>
          <w:rFonts w:cs="Times New Roman" w:eastAsia="宋体"/>
          <w:i/>
          <w:szCs w:val="24"/>
        </w:rPr>
        <w:t>institutional ownership</w:t>
      </w:r>
      <w:r>
        <w:rPr>
          <w:rFonts w:cs="Times New Roman" w:eastAsia="宋体"/>
          <w:i/>
          <w:szCs w:val="24"/>
        </w:rPr>
        <w:t xml:space="preserve"> </w:t>
      </w:r>
      <w:r>
        <w:rPr>
          <w:rFonts w:cs="Times New Roman" w:eastAsia="宋体"/>
          <w:iCs/>
          <w:szCs w:val="24"/>
        </w:rPr>
        <w:t>sebesar 0</w:t>
      </w:r>
      <w:r>
        <w:rPr>
          <w:rFonts w:cs="Times New Roman" w:eastAsia="宋体"/>
          <w:iCs/>
          <w:szCs w:val="24"/>
        </w:rPr>
        <w:t xml:space="preserve">, maka </w:t>
      </w:r>
      <w:r>
        <w:rPr>
          <w:rFonts w:cs="Times New Roman" w:eastAsia="宋体"/>
          <w:i/>
          <w:szCs w:val="24"/>
        </w:rPr>
        <w:t>firm value</w:t>
      </w:r>
      <w:r>
        <w:rPr>
          <w:rFonts w:cs="Times New Roman" w:eastAsia="宋体"/>
          <w:i/>
          <w:szCs w:val="24"/>
        </w:rPr>
        <w:t xml:space="preserve"> </w:t>
      </w:r>
      <w:r>
        <w:rPr>
          <w:rFonts w:cs="Times New Roman" w:eastAsia="宋体"/>
          <w:iCs/>
          <w:szCs w:val="24"/>
        </w:rPr>
        <w:t xml:space="preserve">akan menurun </w:t>
      </w:r>
      <w:r>
        <w:rPr>
          <w:rFonts w:cs="Times New Roman" w:eastAsia="宋体"/>
          <w:iCs/>
          <w:szCs w:val="24"/>
        </w:rPr>
        <w:t xml:space="preserve">sebesar </w:t>
      </w:r>
      <w:r>
        <w:rPr>
          <w:rFonts w:cs="Times New Roman" w:eastAsia="宋体"/>
          <w:iCs/>
          <w:szCs w:val="24"/>
        </w:rPr>
        <w:t>-0,058.</w:t>
      </w:r>
    </w:p>
    <w:p>
      <w:pPr>
        <w:pStyle w:val="style179"/>
        <w:numPr>
          <w:ilvl w:val="0"/>
          <w:numId w:val="12"/>
        </w:numPr>
        <w:spacing w:after="0" w:lineRule="auto" w:line="480"/>
        <w:ind w:left="360"/>
        <w:jc w:val="both"/>
        <w:rPr>
          <w:rFonts w:cs="Times New Roman" w:eastAsia="宋体"/>
          <w:iCs/>
          <w:szCs w:val="24"/>
        </w:rPr>
      </w:pPr>
      <w:r>
        <w:rPr>
          <w:rFonts w:cs="Times New Roman" w:eastAsia="宋体"/>
          <w:iCs/>
          <w:szCs w:val="24"/>
        </w:rPr>
        <w:t xml:space="preserve">Nilai koefisien regresi </w:t>
      </w:r>
      <w:r>
        <w:rPr>
          <w:rFonts w:cs="Times New Roman" w:eastAsia="宋体"/>
          <w:iCs/>
          <w:szCs w:val="24"/>
        </w:rPr>
        <w:t>ERM</w:t>
      </w:r>
      <w:r>
        <w:rPr>
          <w:rFonts w:cs="Times New Roman" w:eastAsia="宋体"/>
          <w:iCs/>
          <w:szCs w:val="24"/>
        </w:rPr>
        <w:t xml:space="preserve"> (</w:t>
      </w:r>
      <w:r>
        <w:rPr>
          <w:rFonts w:cs="Times New Roman" w:eastAsia="宋体"/>
          <w:i/>
          <w:szCs w:val="24"/>
        </w:rPr>
        <w:t>Enterprise Risk Management</w:t>
      </w:r>
      <w:r>
        <w:rPr>
          <w:rFonts w:cs="Times New Roman" w:eastAsia="宋体"/>
          <w:iCs/>
          <w:szCs w:val="24"/>
        </w:rPr>
        <w:t>) diperoleh sebesar</w:t>
      </w:r>
      <w:r>
        <w:rPr>
          <w:rFonts w:cs="Times New Roman" w:eastAsia="宋体"/>
          <w:iCs/>
          <w:szCs w:val="24"/>
        </w:rPr>
        <w:t xml:space="preserve"> </w:t>
      </w:r>
      <w:r>
        <w:rPr>
          <w:rFonts w:cs="Times New Roman" w:eastAsia="宋体"/>
          <w:iCs/>
          <w:szCs w:val="24"/>
        </w:rPr>
        <w:t>0,</w:t>
      </w:r>
      <w:r>
        <w:rPr>
          <w:rFonts w:cs="Times New Roman" w:eastAsia="宋体"/>
          <w:iCs/>
          <w:szCs w:val="24"/>
        </w:rPr>
        <w:t>984</w:t>
      </w:r>
      <w:r>
        <w:rPr>
          <w:rFonts w:cs="Times New Roman" w:eastAsia="宋体"/>
          <w:iCs/>
          <w:szCs w:val="24"/>
        </w:rPr>
        <w:t>. Hal ini menyatakan bahwa</w:t>
      </w:r>
      <w:r>
        <w:rPr>
          <w:rFonts w:cs="Times New Roman" w:eastAsia="宋体"/>
          <w:iCs/>
          <w:szCs w:val="24"/>
        </w:rPr>
        <w:t xml:space="preserve"> </w:t>
      </w:r>
      <w:r>
        <w:rPr>
          <w:rFonts w:cs="Times New Roman" w:eastAsia="宋体"/>
          <w:i/>
          <w:szCs w:val="24"/>
        </w:rPr>
        <w:t>enterprise risk management</w:t>
      </w:r>
      <w:r>
        <w:rPr>
          <w:rFonts w:cs="Times New Roman" w:eastAsia="宋体"/>
          <w:iCs/>
          <w:szCs w:val="24"/>
        </w:rPr>
        <w:t xml:space="preserve"> memiliki koefisien</w:t>
      </w:r>
      <w:r>
        <w:rPr>
          <w:rFonts w:cs="Times New Roman" w:eastAsia="宋体"/>
          <w:iCs/>
          <w:szCs w:val="24"/>
        </w:rPr>
        <w:t xml:space="preserve"> </w:t>
      </w:r>
      <w:r>
        <w:rPr>
          <w:rFonts w:cs="Times New Roman" w:eastAsia="宋体"/>
          <w:iCs/>
          <w:szCs w:val="24"/>
        </w:rPr>
        <w:t xml:space="preserve">positif sehingga </w:t>
      </w:r>
      <w:r>
        <w:rPr>
          <w:rFonts w:cs="Times New Roman" w:eastAsia="宋体"/>
          <w:iCs/>
          <w:szCs w:val="24"/>
        </w:rPr>
        <w:t>s</w:t>
      </w:r>
      <w:r>
        <w:rPr>
          <w:rFonts w:cs="Times New Roman" w:eastAsia="宋体"/>
          <w:iCs/>
          <w:szCs w:val="24"/>
        </w:rPr>
        <w:t xml:space="preserve">etiap terjadinya </w:t>
      </w:r>
      <w:r>
        <w:rPr>
          <w:rFonts w:cs="Times New Roman" w:eastAsia="宋体"/>
          <w:iCs/>
          <w:szCs w:val="24"/>
        </w:rPr>
        <w:t xml:space="preserve">1 </w:t>
      </w:r>
      <w:r>
        <w:rPr>
          <w:rFonts w:cs="Times New Roman" w:eastAsia="宋体"/>
          <w:iCs/>
          <w:szCs w:val="24"/>
        </w:rPr>
        <w:t>kenaikan</w:t>
      </w:r>
      <w:r>
        <w:rPr>
          <w:rFonts w:cs="Times New Roman" w:eastAsia="宋体"/>
          <w:iCs/>
          <w:szCs w:val="24"/>
        </w:rPr>
        <w:t xml:space="preserve">,  maka </w:t>
      </w:r>
      <w:r>
        <w:rPr>
          <w:rFonts w:cs="Times New Roman" w:eastAsia="宋体"/>
          <w:i/>
          <w:szCs w:val="24"/>
        </w:rPr>
        <w:t>firm value</w:t>
      </w:r>
      <w:r>
        <w:rPr>
          <w:rFonts w:cs="Times New Roman" w:eastAsia="宋体"/>
          <w:i/>
          <w:szCs w:val="24"/>
        </w:rPr>
        <w:t xml:space="preserve"> </w:t>
      </w:r>
      <w:r>
        <w:rPr>
          <w:rFonts w:cs="Times New Roman" w:eastAsia="宋体"/>
          <w:iCs/>
          <w:szCs w:val="24"/>
        </w:rPr>
        <w:t>ak</w:t>
      </w:r>
      <w:r>
        <w:rPr>
          <w:rFonts w:cs="Times New Roman" w:eastAsia="宋体"/>
          <w:iCs/>
          <w:szCs w:val="24"/>
        </w:rPr>
        <w:t xml:space="preserve">an meningkat sebesar </w:t>
      </w:r>
      <w:r>
        <w:rPr>
          <w:rFonts w:cs="Times New Roman" w:eastAsia="宋体"/>
          <w:iCs/>
          <w:szCs w:val="24"/>
        </w:rPr>
        <w:t>0,</w:t>
      </w:r>
      <w:r>
        <w:rPr>
          <w:rFonts w:cs="Times New Roman" w:eastAsia="宋体"/>
          <w:iCs/>
          <w:szCs w:val="24"/>
        </w:rPr>
        <w:t>984</w:t>
      </w:r>
      <w:r>
        <w:rPr>
          <w:rFonts w:cs="Times New Roman" w:eastAsia="宋体"/>
          <w:iCs/>
          <w:szCs w:val="24"/>
        </w:rPr>
        <w:t>.</w:t>
      </w:r>
    </w:p>
    <w:p>
      <w:pPr>
        <w:pStyle w:val="style179"/>
        <w:numPr>
          <w:ilvl w:val="0"/>
          <w:numId w:val="12"/>
        </w:numPr>
        <w:spacing w:after="0" w:lineRule="auto" w:line="480"/>
        <w:ind w:left="360"/>
        <w:jc w:val="both"/>
        <w:rPr>
          <w:rFonts w:cs="Times New Roman" w:eastAsia="宋体"/>
          <w:iCs/>
          <w:szCs w:val="24"/>
        </w:rPr>
      </w:pPr>
      <w:r>
        <w:rPr>
          <w:rFonts w:cs="Times New Roman" w:eastAsia="宋体"/>
          <w:iCs/>
          <w:szCs w:val="24"/>
        </w:rPr>
        <w:t xml:space="preserve">Nilai koefisien regresi </w:t>
      </w:r>
      <w:r>
        <w:rPr>
          <w:rFonts w:cs="Times New Roman" w:eastAsia="宋体"/>
          <w:iCs/>
          <w:szCs w:val="24"/>
        </w:rPr>
        <w:t>MO</w:t>
      </w:r>
      <w:r>
        <w:rPr>
          <w:rFonts w:cs="Times New Roman" w:eastAsia="宋体"/>
          <w:iCs/>
          <w:szCs w:val="24"/>
        </w:rPr>
        <w:t xml:space="preserve"> (</w:t>
      </w:r>
      <w:r>
        <w:rPr>
          <w:rFonts w:cs="Times New Roman" w:eastAsia="宋体"/>
          <w:i/>
          <w:szCs w:val="24"/>
        </w:rPr>
        <w:t>Managerial Ownership</w:t>
      </w:r>
      <w:r>
        <w:rPr>
          <w:rFonts w:cs="Times New Roman" w:eastAsia="宋体"/>
          <w:iCs/>
          <w:szCs w:val="24"/>
        </w:rPr>
        <w:t>) diperoleh sebesar</w:t>
      </w:r>
      <w:r>
        <w:rPr>
          <w:rFonts w:cs="Times New Roman" w:eastAsia="宋体"/>
          <w:iCs/>
          <w:szCs w:val="24"/>
        </w:rPr>
        <w:t xml:space="preserve"> </w:t>
      </w:r>
      <w:r>
        <w:rPr>
          <w:rFonts w:cs="Times New Roman" w:eastAsia="宋体"/>
          <w:iCs/>
          <w:szCs w:val="24"/>
        </w:rPr>
        <w:t>0,956</w:t>
      </w:r>
      <w:r>
        <w:rPr>
          <w:rFonts w:cs="Times New Roman" w:eastAsia="宋体"/>
          <w:iCs/>
          <w:szCs w:val="24"/>
        </w:rPr>
        <w:t xml:space="preserve">. </w:t>
      </w:r>
      <w:r>
        <w:rPr>
          <w:rFonts w:cs="Times New Roman" w:eastAsia="宋体"/>
          <w:iCs/>
          <w:szCs w:val="24"/>
        </w:rPr>
        <w:t xml:space="preserve">Hal ini menyatakan bahwa </w:t>
      </w:r>
      <w:r>
        <w:rPr>
          <w:rFonts w:cs="Times New Roman" w:eastAsia="宋体"/>
          <w:i/>
          <w:szCs w:val="24"/>
        </w:rPr>
        <w:t>managerial ownership</w:t>
      </w:r>
      <w:r>
        <w:rPr>
          <w:rFonts w:cs="Times New Roman" w:eastAsia="宋体"/>
          <w:iCs/>
          <w:szCs w:val="24"/>
        </w:rPr>
        <w:t xml:space="preserve"> memiliki koefisien </w:t>
      </w:r>
      <w:r>
        <w:rPr>
          <w:rFonts w:cs="Times New Roman" w:eastAsia="宋体"/>
          <w:iCs/>
          <w:szCs w:val="24"/>
        </w:rPr>
        <w:t xml:space="preserve">positif </w:t>
      </w:r>
      <w:r>
        <w:rPr>
          <w:rFonts w:cs="Times New Roman" w:eastAsia="宋体"/>
          <w:iCs/>
          <w:szCs w:val="24"/>
        </w:rPr>
        <w:t>mengakibatkan</w:t>
      </w:r>
      <w:r>
        <w:rPr>
          <w:rFonts w:cs="Times New Roman" w:eastAsia="宋体"/>
          <w:iCs/>
          <w:szCs w:val="24"/>
        </w:rPr>
        <w:t xml:space="preserve"> setiap terjadin</w:t>
      </w:r>
      <w:r>
        <w:rPr>
          <w:rFonts w:cs="Times New Roman" w:eastAsia="宋体"/>
          <w:iCs/>
          <w:szCs w:val="24"/>
        </w:rPr>
        <w:t>ya</w:t>
      </w:r>
      <w:r>
        <w:rPr>
          <w:rFonts w:cs="Times New Roman" w:eastAsia="宋体"/>
          <w:iCs/>
          <w:szCs w:val="24"/>
        </w:rPr>
        <w:t xml:space="preserve"> </w:t>
      </w:r>
      <w:r>
        <w:rPr>
          <w:rFonts w:cs="Times New Roman" w:eastAsia="宋体"/>
          <w:iCs/>
          <w:szCs w:val="24"/>
        </w:rPr>
        <w:t xml:space="preserve">1 </w:t>
      </w:r>
      <w:r>
        <w:rPr>
          <w:rFonts w:cs="Times New Roman" w:eastAsia="宋体"/>
          <w:iCs/>
          <w:szCs w:val="24"/>
        </w:rPr>
        <w:t>kenaikan</w:t>
      </w:r>
      <w:r>
        <w:rPr>
          <w:rFonts w:cs="Times New Roman" w:eastAsia="宋体"/>
          <w:iCs/>
          <w:szCs w:val="24"/>
        </w:rPr>
        <w:t xml:space="preserve">, maka </w:t>
      </w:r>
      <w:r>
        <w:rPr>
          <w:rFonts w:cs="Times New Roman" w:eastAsia="宋体"/>
          <w:i/>
          <w:szCs w:val="24"/>
        </w:rPr>
        <w:t>firm value</w:t>
      </w:r>
      <w:r>
        <w:rPr>
          <w:rFonts w:cs="Times New Roman" w:eastAsia="宋体"/>
          <w:i/>
          <w:szCs w:val="24"/>
        </w:rPr>
        <w:t xml:space="preserve"> </w:t>
      </w:r>
      <w:r>
        <w:rPr>
          <w:rFonts w:cs="Times New Roman" w:eastAsia="宋体"/>
          <w:iCs/>
          <w:szCs w:val="24"/>
        </w:rPr>
        <w:t xml:space="preserve">akan </w:t>
      </w:r>
      <w:r>
        <w:rPr>
          <w:rFonts w:cs="Times New Roman" w:eastAsia="宋体"/>
          <w:iCs/>
          <w:szCs w:val="24"/>
        </w:rPr>
        <w:t>meningkat</w:t>
      </w:r>
      <w:r>
        <w:rPr>
          <w:rFonts w:cs="Times New Roman" w:eastAsia="宋体"/>
          <w:iCs/>
          <w:szCs w:val="24"/>
        </w:rPr>
        <w:t xml:space="preserve"> sebesar </w:t>
      </w:r>
      <w:r>
        <w:rPr>
          <w:rFonts w:cs="Times New Roman" w:eastAsia="宋体"/>
          <w:iCs/>
          <w:szCs w:val="24"/>
        </w:rPr>
        <w:t>0,956</w:t>
      </w:r>
      <w:r>
        <w:rPr>
          <w:rFonts w:cs="Times New Roman" w:eastAsia="宋体"/>
          <w:iCs/>
          <w:szCs w:val="24"/>
        </w:rPr>
        <w:t>.</w:t>
      </w:r>
    </w:p>
    <w:p>
      <w:pPr>
        <w:pStyle w:val="style179"/>
        <w:numPr>
          <w:ilvl w:val="0"/>
          <w:numId w:val="12"/>
        </w:numPr>
        <w:spacing w:after="0" w:lineRule="auto" w:line="480"/>
        <w:ind w:left="360"/>
        <w:jc w:val="both"/>
        <w:rPr>
          <w:rFonts w:cs="Times New Roman" w:eastAsia="宋体"/>
          <w:iCs/>
          <w:szCs w:val="24"/>
        </w:rPr>
      </w:pPr>
      <w:r>
        <w:rPr>
          <w:rFonts w:cs="Times New Roman" w:eastAsia="宋体"/>
          <w:iCs/>
          <w:szCs w:val="24"/>
        </w:rPr>
        <w:t xml:space="preserve">Nilai koefisien regresi </w:t>
      </w:r>
      <w:r>
        <w:rPr>
          <w:rFonts w:cs="Times New Roman" w:eastAsia="宋体"/>
          <w:iCs/>
          <w:szCs w:val="24"/>
        </w:rPr>
        <w:t>IO</w:t>
      </w:r>
      <w:r>
        <w:rPr>
          <w:rFonts w:cs="Times New Roman" w:eastAsia="宋体"/>
          <w:iCs/>
          <w:szCs w:val="24"/>
        </w:rPr>
        <w:t xml:space="preserve"> (</w:t>
      </w:r>
      <w:r>
        <w:rPr>
          <w:rFonts w:cs="Times New Roman" w:eastAsia="宋体"/>
          <w:i/>
          <w:szCs w:val="24"/>
        </w:rPr>
        <w:t>Institutional Ownership</w:t>
      </w:r>
      <w:r>
        <w:rPr>
          <w:rFonts w:cs="Times New Roman" w:eastAsia="宋体"/>
          <w:iCs/>
          <w:szCs w:val="24"/>
        </w:rPr>
        <w:t>) diperoleh sebesar</w:t>
      </w:r>
      <w:r>
        <w:rPr>
          <w:rFonts w:cs="Times New Roman" w:eastAsia="宋体"/>
          <w:iCs/>
          <w:szCs w:val="24"/>
        </w:rPr>
        <w:t xml:space="preserve"> </w:t>
      </w:r>
      <w:r>
        <w:rPr>
          <w:rFonts w:cs="Times New Roman" w:eastAsia="宋体"/>
          <w:iCs/>
          <w:szCs w:val="24"/>
        </w:rPr>
        <w:t>1,376</w:t>
      </w:r>
      <w:r>
        <w:rPr>
          <w:rFonts w:cs="Times New Roman" w:eastAsia="宋体"/>
          <w:iCs/>
          <w:szCs w:val="24"/>
        </w:rPr>
        <w:t xml:space="preserve">. Hal ini menyatakan bahwa </w:t>
      </w:r>
      <w:r>
        <w:rPr>
          <w:rFonts w:cs="Times New Roman" w:eastAsia="宋体"/>
          <w:i/>
          <w:szCs w:val="24"/>
        </w:rPr>
        <w:t>institutional ownership</w:t>
      </w:r>
      <w:r>
        <w:rPr>
          <w:rFonts w:cs="Times New Roman" w:eastAsia="宋体"/>
          <w:iCs/>
          <w:szCs w:val="24"/>
        </w:rPr>
        <w:t xml:space="preserve"> </w:t>
      </w:r>
      <w:r>
        <w:rPr>
          <w:rFonts w:cs="Times New Roman" w:eastAsia="宋体"/>
          <w:iCs/>
          <w:szCs w:val="24"/>
        </w:rPr>
        <w:t xml:space="preserve">memiliki koefisien positif sehingga setiap terjadinya 1 kenaikan, maka </w:t>
      </w:r>
      <w:r>
        <w:rPr>
          <w:rFonts w:cs="Times New Roman" w:eastAsia="宋体"/>
          <w:i/>
          <w:szCs w:val="24"/>
        </w:rPr>
        <w:t>firm value</w:t>
      </w:r>
      <w:r>
        <w:rPr>
          <w:rFonts w:cs="Times New Roman" w:eastAsia="宋体"/>
          <w:i/>
          <w:szCs w:val="24"/>
        </w:rPr>
        <w:t xml:space="preserve"> </w:t>
      </w:r>
      <w:r>
        <w:rPr>
          <w:rFonts w:cs="Times New Roman" w:eastAsia="宋体"/>
          <w:iCs/>
          <w:szCs w:val="24"/>
        </w:rPr>
        <w:t xml:space="preserve">akan meningkat sebesar </w:t>
      </w:r>
      <w:r>
        <w:rPr>
          <w:rFonts w:cs="Times New Roman" w:eastAsia="宋体"/>
          <w:iCs/>
          <w:szCs w:val="24"/>
        </w:rPr>
        <w:t>1,376</w:t>
      </w:r>
      <w:r>
        <w:rPr>
          <w:rFonts w:cs="Times New Roman" w:eastAsia="宋体"/>
          <w:iCs/>
          <w:szCs w:val="24"/>
        </w:rPr>
        <w:t>.</w:t>
      </w:r>
    </w:p>
    <w:bookmarkStart w:id="103" w:name="_Toc218854636"/>
    <w:p>
      <w:pPr>
        <w:pStyle w:val="style3"/>
        <w:rPr/>
      </w:pPr>
      <w:r>
        <w:rPr>
          <w:rFonts w:eastAsia="宋体"/>
        </w:rPr>
        <w:t xml:space="preserve">4.2.4. </w:t>
      </w:r>
      <w:r>
        <w:rPr>
          <w:rFonts w:eastAsia="宋体"/>
        </w:rPr>
        <w:tab/>
      </w:r>
      <w:r>
        <w:rPr>
          <w:rFonts w:eastAsia="宋体"/>
        </w:rPr>
        <w:tab/>
      </w:r>
      <w:r>
        <w:t>Uji Kelayakan Model</w:t>
      </w:r>
      <w:r>
        <w:t xml:space="preserve"> (Uji F)</w:t>
      </w:r>
      <w:bookmarkEnd w:id="103"/>
    </w:p>
    <w:p>
      <w:pPr>
        <w:pStyle w:val="style0"/>
        <w:tabs>
          <w:tab w:val="left" w:leader="none" w:pos="810"/>
        </w:tabs>
        <w:spacing w:after="0" w:lineRule="auto" w:line="480"/>
        <w:jc w:val="both"/>
        <w:rPr>
          <w:rFonts w:cs="Times New Roman"/>
          <w:iCs/>
          <w:szCs w:val="24"/>
        </w:rPr>
      </w:pPr>
      <w:r>
        <w:rPr>
          <w:rFonts w:cs="Times New Roman"/>
          <w:iCs/>
          <w:szCs w:val="24"/>
        </w:rPr>
        <w:tab/>
      </w:r>
      <w:r>
        <w:rPr>
          <w:rFonts w:cs="Times New Roman"/>
          <w:iCs/>
          <w:szCs w:val="24"/>
        </w:rPr>
        <w:t xml:space="preserve">Uji </w:t>
      </w:r>
      <w:r>
        <w:rPr>
          <w:rFonts w:cs="Times New Roman"/>
          <w:iCs/>
          <w:szCs w:val="24"/>
        </w:rPr>
        <w:t>F</w:t>
      </w:r>
      <w:r>
        <w:rPr>
          <w:rFonts w:cs="Times New Roman"/>
          <w:iCs/>
          <w:szCs w:val="24"/>
        </w:rPr>
        <w:t xml:space="preserve"> dilakukan untuk mengetahui</w:t>
      </w:r>
      <w:r>
        <w:rPr>
          <w:rFonts w:cs="Times New Roman"/>
          <w:iCs/>
          <w:szCs w:val="24"/>
        </w:rPr>
        <w:t xml:space="preserve"> layak atau tidaknya model</w:t>
      </w:r>
      <w:r>
        <w:rPr>
          <w:rFonts w:cs="Times New Roman"/>
          <w:iCs/>
          <w:szCs w:val="24"/>
        </w:rPr>
        <w:t xml:space="preserve"> </w:t>
      </w:r>
      <w:r>
        <w:rPr>
          <w:rFonts w:cs="Times New Roman"/>
          <w:iCs/>
          <w:szCs w:val="24"/>
        </w:rPr>
        <w:t>regresi</w:t>
      </w:r>
      <w:r>
        <w:rPr>
          <w:rFonts w:cs="Times New Roman"/>
          <w:iCs/>
          <w:szCs w:val="24"/>
        </w:rPr>
        <w:t xml:space="preserve"> yang digunakan</w:t>
      </w:r>
      <w:r>
        <w:rPr>
          <w:rFonts w:cs="Times New Roman"/>
          <w:iCs/>
          <w:szCs w:val="24"/>
        </w:rPr>
        <w:t>.</w:t>
      </w:r>
      <w:r>
        <w:rPr>
          <w:rFonts w:cs="Times New Roman"/>
          <w:iCs/>
          <w:szCs w:val="24"/>
        </w:rPr>
        <w:t xml:space="preserve"> Model regresi </w:t>
      </w:r>
      <w:r>
        <w:rPr>
          <w:rFonts w:cs="Times New Roman"/>
          <w:iCs/>
          <w:szCs w:val="24"/>
        </w:rPr>
        <w:t xml:space="preserve">dikatakan </w:t>
      </w:r>
      <w:r>
        <w:rPr>
          <w:rFonts w:cs="Times New Roman"/>
          <w:iCs/>
          <w:szCs w:val="24"/>
        </w:rPr>
        <w:t>layak, jika nilai signifikansi kurang dari 5% atau 0,05</w:t>
      </w:r>
      <w:r>
        <w:rPr>
          <w:rFonts w:cs="Times New Roman"/>
          <w:iCs/>
          <w:szCs w:val="24"/>
        </w:rPr>
        <w:t xml:space="preserve">. Hasil uji F dapat dilihat pada tabel </w:t>
      </w:r>
      <w:r>
        <w:rPr>
          <w:rFonts w:cs="Times New Roman"/>
          <w:iCs/>
          <w:szCs w:val="24"/>
        </w:rPr>
        <w:t>4.10</w:t>
      </w:r>
      <w:r>
        <w:rPr>
          <w:rFonts w:cs="Times New Roman"/>
          <w:iCs/>
          <w:szCs w:val="24"/>
        </w:rPr>
        <w:t>:</w:t>
      </w:r>
    </w:p>
    <w:bookmarkStart w:id="104" w:name="_Toc215602311"/>
    <w:bookmarkStart w:id="105" w:name="_Toc216129267"/>
    <w:bookmarkStart w:id="106" w:name="_Toc216804047"/>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12</w:t>
      </w:r>
      <w:r>
        <w:rPr>
          <w:b w:val="false"/>
          <w:bCs/>
          <w:i/>
          <w:iCs w:val="false"/>
          <w:color w:val="ffffff"/>
          <w:sz w:val="22"/>
          <w:szCs w:val="22"/>
        </w:rPr>
        <w:fldChar w:fldCharType="end"/>
      </w:r>
      <w:r>
        <w:rPr>
          <w:bCs/>
          <w:iCs w:val="false"/>
          <w:color w:val="auto"/>
          <w:sz w:val="22"/>
          <w:szCs w:val="22"/>
        </w:rPr>
        <w:t>4. 1</w:t>
      </w:r>
      <w:r>
        <w:rPr>
          <w:bCs/>
          <w:iCs w:val="false"/>
          <w:color w:val="auto"/>
          <w:sz w:val="22"/>
          <w:szCs w:val="22"/>
        </w:rPr>
        <w:t>0</w:t>
      </w:r>
      <w:r>
        <w:rPr>
          <w:bCs/>
          <w:iCs w:val="false"/>
          <w:color w:val="auto"/>
          <w:sz w:val="22"/>
          <w:szCs w:val="22"/>
        </w:rPr>
        <w:t>. Uji F</w:t>
      </w:r>
      <w:bookmarkEnd w:id="104"/>
      <w:bookmarkEnd w:id="105"/>
      <w:bookmarkEnd w:id="106"/>
    </w:p>
    <w:tbl>
      <w:tblPr>
        <w:tblStyle w:val="style154"/>
        <w:tblW w:w="0" w:type="auto"/>
        <w:tblLook w:val="04A0" w:firstRow="1" w:lastRow="0" w:firstColumn="1" w:lastColumn="0" w:noHBand="0" w:noVBand="1"/>
      </w:tblPr>
      <w:tblGrid>
        <w:gridCol w:w="336"/>
        <w:gridCol w:w="1549"/>
        <w:gridCol w:w="1111"/>
        <w:gridCol w:w="1127"/>
        <w:gridCol w:w="1383"/>
        <w:gridCol w:w="1242"/>
        <w:gridCol w:w="1179"/>
      </w:tblGrid>
      <w:tr>
        <w:trPr>
          <w:trHeight w:val="350" w:hRule="atLeast"/>
        </w:trPr>
        <w:tc>
          <w:tcPr>
            <w:tcW w:w="7927" w:type="dxa"/>
            <w:gridSpan w:val="7"/>
            <w:tcBorders/>
            <w:hideMark/>
          </w:tcPr>
          <w:p>
            <w:pPr>
              <w:pStyle w:val="style0"/>
              <w:jc w:val="center"/>
              <w:rPr>
                <w:rFonts w:cs="Times New Roman"/>
                <w:b/>
                <w:bCs/>
                <w:iCs/>
                <w:sz w:val="20"/>
                <w:szCs w:val="20"/>
              </w:rPr>
            </w:pPr>
            <w:r>
              <w:rPr>
                <w:rFonts w:cs="Times New Roman"/>
                <w:b/>
                <w:bCs/>
                <w:iCs/>
                <w:sz w:val="20"/>
                <w:szCs w:val="20"/>
              </w:rPr>
              <w:t>ANOVA</w:t>
            </w:r>
            <w:r>
              <w:rPr>
                <w:rFonts w:cs="Times New Roman"/>
                <w:b/>
                <w:bCs/>
                <w:iCs/>
                <w:sz w:val="20"/>
                <w:szCs w:val="20"/>
                <w:vertAlign w:val="superscript"/>
              </w:rPr>
              <w:t>a</w:t>
            </w:r>
          </w:p>
        </w:tc>
      </w:tr>
      <w:tr>
        <w:tblPrEx/>
        <w:trPr>
          <w:trHeight w:val="611" w:hRule="atLeast"/>
        </w:trPr>
        <w:tc>
          <w:tcPr>
            <w:tcW w:w="1885" w:type="dxa"/>
            <w:gridSpan w:val="2"/>
            <w:tcBorders/>
            <w:hideMark/>
          </w:tcPr>
          <w:p>
            <w:pPr>
              <w:pStyle w:val="style0"/>
              <w:jc w:val="both"/>
              <w:rPr>
                <w:rFonts w:cs="Times New Roman"/>
                <w:iCs/>
                <w:sz w:val="20"/>
                <w:szCs w:val="20"/>
              </w:rPr>
            </w:pPr>
            <w:r>
              <w:rPr>
                <w:rFonts w:cs="Times New Roman"/>
                <w:iCs/>
                <w:sz w:val="20"/>
                <w:szCs w:val="20"/>
              </w:rPr>
              <w:t>Model</w:t>
            </w:r>
          </w:p>
        </w:tc>
        <w:tc>
          <w:tcPr>
            <w:tcW w:w="1111" w:type="dxa"/>
            <w:tcBorders/>
            <w:hideMark/>
          </w:tcPr>
          <w:p>
            <w:pPr>
              <w:pStyle w:val="style0"/>
              <w:jc w:val="both"/>
              <w:rPr>
                <w:rFonts w:cs="Times New Roman"/>
                <w:iCs/>
                <w:sz w:val="20"/>
                <w:szCs w:val="20"/>
              </w:rPr>
            </w:pPr>
            <w:r>
              <w:rPr>
                <w:rFonts w:cs="Times New Roman"/>
                <w:iCs/>
                <w:sz w:val="20"/>
                <w:szCs w:val="20"/>
              </w:rPr>
              <w:t>Sum of Squares</w:t>
            </w:r>
          </w:p>
        </w:tc>
        <w:tc>
          <w:tcPr>
            <w:tcW w:w="1127" w:type="dxa"/>
            <w:tcBorders/>
            <w:hideMark/>
          </w:tcPr>
          <w:p>
            <w:pPr>
              <w:pStyle w:val="style0"/>
              <w:jc w:val="center"/>
              <w:rPr>
                <w:rFonts w:cs="Times New Roman"/>
                <w:iCs/>
                <w:sz w:val="20"/>
                <w:szCs w:val="20"/>
              </w:rPr>
            </w:pPr>
            <w:r>
              <w:rPr>
                <w:rFonts w:cs="Times New Roman"/>
                <w:iCs/>
                <w:sz w:val="20"/>
                <w:szCs w:val="20"/>
              </w:rPr>
              <w:t>df</w:t>
            </w:r>
          </w:p>
        </w:tc>
        <w:tc>
          <w:tcPr>
            <w:tcW w:w="1383" w:type="dxa"/>
            <w:tcBorders/>
            <w:hideMark/>
          </w:tcPr>
          <w:p>
            <w:pPr>
              <w:pStyle w:val="style0"/>
              <w:jc w:val="center"/>
              <w:rPr>
                <w:rFonts w:cs="Times New Roman"/>
                <w:iCs/>
                <w:sz w:val="20"/>
                <w:szCs w:val="20"/>
              </w:rPr>
            </w:pPr>
            <w:r>
              <w:rPr>
                <w:rFonts w:cs="Times New Roman"/>
                <w:iCs/>
                <w:sz w:val="20"/>
                <w:szCs w:val="20"/>
              </w:rPr>
              <w:t>Mean Square</w:t>
            </w:r>
          </w:p>
        </w:tc>
        <w:tc>
          <w:tcPr>
            <w:tcW w:w="1242" w:type="dxa"/>
            <w:tcBorders/>
            <w:hideMark/>
          </w:tcPr>
          <w:p>
            <w:pPr>
              <w:pStyle w:val="style0"/>
              <w:jc w:val="center"/>
              <w:rPr>
                <w:rFonts w:cs="Times New Roman"/>
                <w:iCs/>
                <w:sz w:val="20"/>
                <w:szCs w:val="20"/>
              </w:rPr>
            </w:pPr>
            <w:r>
              <w:rPr>
                <w:rFonts w:cs="Times New Roman"/>
                <w:iCs/>
                <w:sz w:val="20"/>
                <w:szCs w:val="20"/>
              </w:rPr>
              <w:t>F</w:t>
            </w:r>
          </w:p>
        </w:tc>
        <w:tc>
          <w:tcPr>
            <w:tcW w:w="1179" w:type="dxa"/>
            <w:tcBorders/>
            <w:hideMark/>
          </w:tcPr>
          <w:p>
            <w:pPr>
              <w:pStyle w:val="style0"/>
              <w:jc w:val="center"/>
              <w:rPr>
                <w:rFonts w:cs="Times New Roman"/>
                <w:iCs/>
                <w:sz w:val="20"/>
                <w:szCs w:val="20"/>
              </w:rPr>
            </w:pPr>
            <w:r>
              <w:rPr>
                <w:rFonts w:cs="Times New Roman"/>
                <w:iCs/>
                <w:sz w:val="20"/>
                <w:szCs w:val="20"/>
              </w:rPr>
              <w:t>Sig.</w:t>
            </w:r>
          </w:p>
        </w:tc>
      </w:tr>
      <w:tr>
        <w:tblPrEx/>
        <w:trPr>
          <w:trHeight w:val="350" w:hRule="atLeast"/>
        </w:trPr>
        <w:tc>
          <w:tcPr>
            <w:tcW w:w="336" w:type="dxa"/>
            <w:vMerge w:val="restart"/>
            <w:tcBorders/>
            <w:noWrap/>
            <w:hideMark/>
          </w:tcPr>
          <w:p>
            <w:pPr>
              <w:pStyle w:val="style0"/>
              <w:jc w:val="both"/>
              <w:rPr>
                <w:rFonts w:cs="Times New Roman"/>
                <w:iCs/>
                <w:sz w:val="20"/>
                <w:szCs w:val="20"/>
              </w:rPr>
            </w:pPr>
            <w:r>
              <w:rPr>
                <w:rFonts w:cs="Times New Roman"/>
                <w:iCs/>
                <w:sz w:val="20"/>
                <w:szCs w:val="20"/>
              </w:rPr>
              <w:t>1</w:t>
            </w:r>
          </w:p>
        </w:tc>
        <w:tc>
          <w:tcPr>
            <w:tcW w:w="1549" w:type="dxa"/>
            <w:tcBorders/>
            <w:hideMark/>
          </w:tcPr>
          <w:p>
            <w:pPr>
              <w:pStyle w:val="style0"/>
              <w:jc w:val="both"/>
              <w:rPr>
                <w:rFonts w:cs="Times New Roman"/>
                <w:iCs/>
                <w:sz w:val="20"/>
                <w:szCs w:val="20"/>
              </w:rPr>
            </w:pPr>
            <w:r>
              <w:rPr>
                <w:rFonts w:cs="Times New Roman"/>
                <w:iCs/>
                <w:sz w:val="20"/>
                <w:szCs w:val="20"/>
              </w:rPr>
              <w:t>Regression</w:t>
            </w:r>
          </w:p>
        </w:tc>
        <w:tc>
          <w:tcPr>
            <w:tcW w:w="1111" w:type="dxa"/>
            <w:tcBorders/>
            <w:noWrap/>
            <w:hideMark/>
          </w:tcPr>
          <w:p>
            <w:pPr>
              <w:pStyle w:val="style0"/>
              <w:jc w:val="center"/>
              <w:rPr>
                <w:rFonts w:cs="Times New Roman"/>
                <w:iCs/>
                <w:sz w:val="20"/>
                <w:szCs w:val="20"/>
              </w:rPr>
            </w:pPr>
            <w:r>
              <w:rPr>
                <w:rFonts w:cs="Times New Roman"/>
                <w:iCs/>
                <w:sz w:val="20"/>
                <w:szCs w:val="20"/>
              </w:rPr>
              <w:t>29.526</w:t>
            </w:r>
          </w:p>
        </w:tc>
        <w:tc>
          <w:tcPr>
            <w:tcW w:w="1127" w:type="dxa"/>
            <w:tcBorders/>
            <w:noWrap/>
            <w:hideMark/>
          </w:tcPr>
          <w:p>
            <w:pPr>
              <w:pStyle w:val="style0"/>
              <w:jc w:val="center"/>
              <w:rPr>
                <w:rFonts w:cs="Times New Roman"/>
                <w:iCs/>
                <w:sz w:val="20"/>
                <w:szCs w:val="20"/>
              </w:rPr>
            </w:pPr>
            <w:r>
              <w:rPr>
                <w:rFonts w:cs="Times New Roman"/>
                <w:iCs/>
                <w:sz w:val="20"/>
                <w:szCs w:val="20"/>
              </w:rPr>
              <w:t>3</w:t>
            </w:r>
          </w:p>
        </w:tc>
        <w:tc>
          <w:tcPr>
            <w:tcW w:w="1383" w:type="dxa"/>
            <w:tcBorders/>
            <w:noWrap/>
            <w:hideMark/>
          </w:tcPr>
          <w:p>
            <w:pPr>
              <w:pStyle w:val="style0"/>
              <w:jc w:val="center"/>
              <w:rPr>
                <w:rFonts w:cs="Times New Roman"/>
                <w:iCs/>
                <w:sz w:val="20"/>
                <w:szCs w:val="20"/>
              </w:rPr>
            </w:pPr>
            <w:r>
              <w:rPr>
                <w:rFonts w:cs="Times New Roman"/>
                <w:iCs/>
                <w:sz w:val="20"/>
                <w:szCs w:val="20"/>
              </w:rPr>
              <w:t>9.842</w:t>
            </w:r>
          </w:p>
        </w:tc>
        <w:tc>
          <w:tcPr>
            <w:tcW w:w="1242" w:type="dxa"/>
            <w:tcBorders/>
            <w:noWrap/>
            <w:hideMark/>
          </w:tcPr>
          <w:p>
            <w:pPr>
              <w:pStyle w:val="style0"/>
              <w:jc w:val="center"/>
              <w:rPr>
                <w:rFonts w:cs="Times New Roman"/>
                <w:iCs/>
                <w:sz w:val="20"/>
                <w:szCs w:val="20"/>
              </w:rPr>
            </w:pPr>
            <w:r>
              <w:rPr>
                <w:rFonts w:cs="Times New Roman"/>
                <w:iCs/>
                <w:sz w:val="20"/>
                <w:szCs w:val="20"/>
              </w:rPr>
              <w:t>4.059</w:t>
            </w:r>
          </w:p>
        </w:tc>
        <w:tc>
          <w:tcPr>
            <w:tcW w:w="1179" w:type="dxa"/>
            <w:tcBorders/>
            <w:noWrap/>
            <w:hideMark/>
          </w:tcPr>
          <w:p>
            <w:pPr>
              <w:pStyle w:val="style0"/>
              <w:jc w:val="center"/>
              <w:rPr>
                <w:rFonts w:cs="Times New Roman"/>
                <w:iCs/>
                <w:sz w:val="20"/>
                <w:szCs w:val="20"/>
              </w:rPr>
            </w:pPr>
            <w:r>
              <w:rPr>
                <w:rFonts w:cs="Times New Roman"/>
                <w:iCs/>
                <w:sz w:val="20"/>
                <w:szCs w:val="20"/>
              </w:rPr>
              <w:t>.008</w:t>
            </w:r>
            <w:r>
              <w:rPr>
                <w:rFonts w:cs="Times New Roman"/>
                <w:iCs/>
                <w:sz w:val="20"/>
                <w:szCs w:val="20"/>
                <w:vertAlign w:val="superscript"/>
              </w:rPr>
              <w:t>b</w:t>
            </w:r>
          </w:p>
        </w:tc>
      </w:tr>
      <w:tr>
        <w:tblPrEx/>
        <w:trPr>
          <w:trHeight w:val="359" w:hRule="atLeast"/>
        </w:trPr>
        <w:tc>
          <w:tcPr>
            <w:tcW w:w="336" w:type="dxa"/>
            <w:vMerge w:val="continue"/>
            <w:tcBorders/>
            <w:hideMark/>
          </w:tcPr>
          <w:p>
            <w:pPr>
              <w:pStyle w:val="style0"/>
              <w:jc w:val="both"/>
              <w:rPr>
                <w:rFonts w:cs="Times New Roman"/>
                <w:iCs/>
                <w:sz w:val="20"/>
                <w:szCs w:val="20"/>
              </w:rPr>
            </w:pPr>
          </w:p>
        </w:tc>
        <w:tc>
          <w:tcPr>
            <w:tcW w:w="1549" w:type="dxa"/>
            <w:tcBorders/>
            <w:hideMark/>
          </w:tcPr>
          <w:p>
            <w:pPr>
              <w:pStyle w:val="style0"/>
              <w:jc w:val="both"/>
              <w:rPr>
                <w:rFonts w:cs="Times New Roman"/>
                <w:iCs/>
                <w:sz w:val="20"/>
                <w:szCs w:val="20"/>
              </w:rPr>
            </w:pPr>
            <w:r>
              <w:rPr>
                <w:rFonts w:cs="Times New Roman"/>
                <w:iCs/>
                <w:sz w:val="20"/>
                <w:szCs w:val="20"/>
              </w:rPr>
              <w:t>Residual</w:t>
            </w:r>
          </w:p>
        </w:tc>
        <w:tc>
          <w:tcPr>
            <w:tcW w:w="1111" w:type="dxa"/>
            <w:tcBorders/>
            <w:noWrap/>
            <w:hideMark/>
          </w:tcPr>
          <w:p>
            <w:pPr>
              <w:pStyle w:val="style0"/>
              <w:jc w:val="center"/>
              <w:rPr>
                <w:rFonts w:cs="Times New Roman"/>
                <w:iCs/>
                <w:sz w:val="20"/>
                <w:szCs w:val="20"/>
              </w:rPr>
            </w:pPr>
            <w:r>
              <w:rPr>
                <w:rFonts w:cs="Times New Roman"/>
                <w:iCs/>
                <w:sz w:val="20"/>
                <w:szCs w:val="20"/>
              </w:rPr>
              <w:t>552.787</w:t>
            </w:r>
          </w:p>
        </w:tc>
        <w:tc>
          <w:tcPr>
            <w:tcW w:w="1127" w:type="dxa"/>
            <w:tcBorders/>
            <w:noWrap/>
            <w:hideMark/>
          </w:tcPr>
          <w:p>
            <w:pPr>
              <w:pStyle w:val="style0"/>
              <w:jc w:val="center"/>
              <w:rPr>
                <w:rFonts w:cs="Times New Roman"/>
                <w:iCs/>
                <w:sz w:val="20"/>
                <w:szCs w:val="20"/>
              </w:rPr>
            </w:pPr>
            <w:r>
              <w:rPr>
                <w:rFonts w:cs="Times New Roman"/>
                <w:iCs/>
                <w:sz w:val="20"/>
                <w:szCs w:val="20"/>
              </w:rPr>
              <w:t>228</w:t>
            </w:r>
          </w:p>
        </w:tc>
        <w:tc>
          <w:tcPr>
            <w:tcW w:w="1383" w:type="dxa"/>
            <w:tcBorders/>
            <w:noWrap/>
            <w:hideMark/>
          </w:tcPr>
          <w:p>
            <w:pPr>
              <w:pStyle w:val="style0"/>
              <w:jc w:val="center"/>
              <w:rPr>
                <w:rFonts w:cs="Times New Roman"/>
                <w:iCs/>
                <w:sz w:val="20"/>
                <w:szCs w:val="20"/>
              </w:rPr>
            </w:pPr>
            <w:r>
              <w:rPr>
                <w:rFonts w:cs="Times New Roman"/>
                <w:iCs/>
                <w:sz w:val="20"/>
                <w:szCs w:val="20"/>
              </w:rPr>
              <w:t>2.425</w:t>
            </w:r>
          </w:p>
        </w:tc>
        <w:tc>
          <w:tcPr>
            <w:tcW w:w="1242" w:type="dxa"/>
            <w:tcBorders/>
            <w:hideMark/>
          </w:tcPr>
          <w:p>
            <w:pPr>
              <w:pStyle w:val="style0"/>
              <w:jc w:val="center"/>
              <w:rPr>
                <w:rFonts w:cs="Times New Roman"/>
                <w:iCs/>
                <w:sz w:val="20"/>
                <w:szCs w:val="20"/>
              </w:rPr>
            </w:pPr>
          </w:p>
        </w:tc>
        <w:tc>
          <w:tcPr>
            <w:tcW w:w="1179" w:type="dxa"/>
            <w:tcBorders/>
            <w:hideMark/>
          </w:tcPr>
          <w:p>
            <w:pPr>
              <w:pStyle w:val="style0"/>
              <w:jc w:val="center"/>
              <w:rPr>
                <w:rFonts w:cs="Times New Roman"/>
                <w:iCs/>
                <w:sz w:val="20"/>
                <w:szCs w:val="20"/>
              </w:rPr>
            </w:pPr>
          </w:p>
        </w:tc>
      </w:tr>
      <w:tr>
        <w:tblPrEx/>
        <w:trPr>
          <w:trHeight w:val="341" w:hRule="atLeast"/>
        </w:trPr>
        <w:tc>
          <w:tcPr>
            <w:tcW w:w="336" w:type="dxa"/>
            <w:vMerge w:val="continue"/>
            <w:tcBorders/>
            <w:hideMark/>
          </w:tcPr>
          <w:p>
            <w:pPr>
              <w:pStyle w:val="style0"/>
              <w:jc w:val="both"/>
              <w:rPr>
                <w:rFonts w:cs="Times New Roman"/>
                <w:iCs/>
                <w:sz w:val="20"/>
                <w:szCs w:val="20"/>
              </w:rPr>
            </w:pPr>
          </w:p>
        </w:tc>
        <w:tc>
          <w:tcPr>
            <w:tcW w:w="1549" w:type="dxa"/>
            <w:tcBorders/>
            <w:hideMark/>
          </w:tcPr>
          <w:p>
            <w:pPr>
              <w:pStyle w:val="style0"/>
              <w:jc w:val="both"/>
              <w:rPr>
                <w:rFonts w:cs="Times New Roman"/>
                <w:iCs/>
                <w:sz w:val="20"/>
                <w:szCs w:val="20"/>
              </w:rPr>
            </w:pPr>
            <w:r>
              <w:rPr>
                <w:rFonts w:cs="Times New Roman"/>
                <w:iCs/>
                <w:sz w:val="20"/>
                <w:szCs w:val="20"/>
              </w:rPr>
              <w:t>Total</w:t>
            </w:r>
          </w:p>
        </w:tc>
        <w:tc>
          <w:tcPr>
            <w:tcW w:w="1111" w:type="dxa"/>
            <w:tcBorders/>
            <w:noWrap/>
            <w:hideMark/>
          </w:tcPr>
          <w:p>
            <w:pPr>
              <w:pStyle w:val="style0"/>
              <w:jc w:val="center"/>
              <w:rPr>
                <w:rFonts w:cs="Times New Roman"/>
                <w:iCs/>
                <w:sz w:val="20"/>
                <w:szCs w:val="20"/>
              </w:rPr>
            </w:pPr>
            <w:r>
              <w:rPr>
                <w:rFonts w:cs="Times New Roman"/>
                <w:iCs/>
                <w:sz w:val="20"/>
                <w:szCs w:val="20"/>
              </w:rPr>
              <w:t>582.312</w:t>
            </w:r>
          </w:p>
        </w:tc>
        <w:tc>
          <w:tcPr>
            <w:tcW w:w="1127" w:type="dxa"/>
            <w:tcBorders/>
            <w:noWrap/>
            <w:hideMark/>
          </w:tcPr>
          <w:p>
            <w:pPr>
              <w:pStyle w:val="style0"/>
              <w:jc w:val="center"/>
              <w:rPr>
                <w:rFonts w:cs="Times New Roman"/>
                <w:iCs/>
                <w:sz w:val="20"/>
                <w:szCs w:val="20"/>
              </w:rPr>
            </w:pPr>
            <w:r>
              <w:rPr>
                <w:rFonts w:cs="Times New Roman"/>
                <w:iCs/>
                <w:sz w:val="20"/>
                <w:szCs w:val="20"/>
              </w:rPr>
              <w:t>231</w:t>
            </w:r>
          </w:p>
        </w:tc>
        <w:tc>
          <w:tcPr>
            <w:tcW w:w="1383" w:type="dxa"/>
            <w:tcBorders/>
            <w:hideMark/>
          </w:tcPr>
          <w:p>
            <w:pPr>
              <w:pStyle w:val="style0"/>
              <w:jc w:val="center"/>
              <w:rPr>
                <w:rFonts w:cs="Times New Roman"/>
                <w:iCs/>
                <w:sz w:val="20"/>
                <w:szCs w:val="20"/>
              </w:rPr>
            </w:pPr>
          </w:p>
        </w:tc>
        <w:tc>
          <w:tcPr>
            <w:tcW w:w="1242" w:type="dxa"/>
            <w:tcBorders/>
            <w:hideMark/>
          </w:tcPr>
          <w:p>
            <w:pPr>
              <w:pStyle w:val="style0"/>
              <w:jc w:val="center"/>
              <w:rPr>
                <w:rFonts w:cs="Times New Roman"/>
                <w:iCs/>
                <w:sz w:val="20"/>
                <w:szCs w:val="20"/>
              </w:rPr>
            </w:pPr>
          </w:p>
        </w:tc>
        <w:tc>
          <w:tcPr>
            <w:tcW w:w="1179" w:type="dxa"/>
            <w:tcBorders/>
            <w:hideMark/>
          </w:tcPr>
          <w:p>
            <w:pPr>
              <w:pStyle w:val="style0"/>
              <w:jc w:val="center"/>
              <w:rPr>
                <w:rFonts w:cs="Times New Roman"/>
                <w:iCs/>
                <w:sz w:val="20"/>
                <w:szCs w:val="20"/>
              </w:rPr>
            </w:pPr>
          </w:p>
        </w:tc>
      </w:tr>
    </w:tbl>
    <w:p>
      <w:pPr>
        <w:pStyle w:val="style0"/>
        <w:spacing w:lineRule="auto" w:line="240"/>
        <w:jc w:val="both"/>
        <w:rPr>
          <w:rFonts w:cs="Times New Roman"/>
          <w:i/>
          <w:sz w:val="20"/>
          <w:szCs w:val="20"/>
        </w:rPr>
      </w:pPr>
      <w:r>
        <w:rPr>
          <w:rFonts w:cs="Times New Roman"/>
          <w:i/>
          <w:sz w:val="20"/>
          <w:szCs w:val="20"/>
        </w:rPr>
        <w:t xml:space="preserve">Sumber: Output SPSS 30, 2025 </w:t>
      </w:r>
    </w:p>
    <w:p>
      <w:pPr>
        <w:pStyle w:val="style0"/>
        <w:tabs>
          <w:tab w:val="left" w:leader="none" w:pos="810"/>
        </w:tabs>
        <w:spacing w:after="0" w:lineRule="auto" w:line="480"/>
        <w:jc w:val="both"/>
        <w:rPr>
          <w:rFonts w:cs="Times New Roman" w:eastAsia="Times New Roman"/>
          <w:kern w:val="0"/>
          <w:szCs w:val="24"/>
          <w14:ligatures xmlns:w14="http://schemas.microsoft.com/office/word/2010/wordml" w14:val="none"/>
        </w:rPr>
      </w:pPr>
      <w:r>
        <w:rPr>
          <w:rFonts w:cs="Times New Roman"/>
          <w:iCs/>
          <w:szCs w:val="24"/>
        </w:rPr>
        <w:tab/>
      </w:r>
      <w:r>
        <w:rPr>
          <w:rFonts w:cs="Times New Roman"/>
          <w:iCs/>
          <w:szCs w:val="24"/>
        </w:rPr>
        <w:t>Pada tabel 4.</w:t>
      </w:r>
      <w:r>
        <w:rPr>
          <w:rFonts w:cs="Times New Roman"/>
          <w:iCs/>
          <w:szCs w:val="24"/>
        </w:rPr>
        <w:t>1</w:t>
      </w:r>
      <w:r>
        <w:rPr>
          <w:rFonts w:cs="Times New Roman"/>
          <w:iCs/>
          <w:szCs w:val="24"/>
        </w:rPr>
        <w:t>0</w:t>
      </w:r>
      <w:r>
        <w:rPr>
          <w:rFonts w:cs="Times New Roman"/>
          <w:iCs/>
          <w:szCs w:val="24"/>
        </w:rPr>
        <w:t>.</w:t>
      </w:r>
      <w:r>
        <w:rPr>
          <w:rFonts w:cs="Times New Roman"/>
          <w:iCs/>
          <w:szCs w:val="24"/>
        </w:rPr>
        <w:t xml:space="preserve"> menunjukkan bahwa nilai</w:t>
      </w:r>
      <w:r>
        <w:rPr>
          <w:rFonts w:cs="Times New Roman"/>
          <w:iCs/>
          <w:szCs w:val="24"/>
        </w:rPr>
        <w:t xml:space="preserve"> sig. </w:t>
      </w:r>
      <w:r>
        <w:rPr>
          <w:rFonts w:cs="Times New Roman"/>
          <w:iCs/>
          <w:szCs w:val="24"/>
        </w:rPr>
        <w:t>atau nilai signifikasi</w:t>
      </w:r>
      <w:r>
        <w:rPr>
          <w:rFonts w:cs="Times New Roman"/>
          <w:iCs/>
          <w:szCs w:val="24"/>
        </w:rPr>
        <w:t xml:space="preserve"> sebesar </w:t>
      </w:r>
      <w:r>
        <w:rPr>
          <w:rFonts w:cs="Times New Roman" w:eastAsia="Times New Roman"/>
          <w:kern w:val="0"/>
          <w:szCs w:val="24"/>
          <w14:ligatures xmlns:w14="http://schemas.microsoft.com/office/word/2010/wordml" w14:val="none"/>
        </w:rPr>
        <w:t>0</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00</w:t>
      </w:r>
      <w:r>
        <w:rPr>
          <w:rFonts w:cs="Times New Roman" w:eastAsia="Times New Roman"/>
          <w:kern w:val="0"/>
          <w:szCs w:val="24"/>
          <w14:ligatures xmlns:w14="http://schemas.microsoft.com/office/word/2010/wordml" w14:val="none"/>
        </w:rPr>
        <w:t>8, maka</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dapat disimpulkan bahwa</w:t>
      </w:r>
      <w:r>
        <w:rPr>
          <w:rFonts w:cs="Times New Roman" w:eastAsia="Times New Roman"/>
          <w:kern w:val="0"/>
          <w:szCs w:val="24"/>
          <w14:ligatures xmlns:w14="http://schemas.microsoft.com/office/word/2010/wordml" w14:val="none"/>
        </w:rPr>
        <w:t xml:space="preserve"> model ini telah memenuhi kriteria pengujian ini. Model ini menunjukkan nilai </w:t>
      </w:r>
      <w:r>
        <w:rPr>
          <w:rFonts w:cs="Times New Roman" w:eastAsia="Times New Roman"/>
          <w:kern w:val="0"/>
          <w:szCs w:val="24"/>
          <w14:ligatures xmlns:w14="http://schemas.microsoft.com/office/word/2010/wordml" w14:val="none"/>
        </w:rPr>
        <w:t>signifikansi kurang dari 0,05 (0,008 &lt; 0,05) sehingga layak digunakan.</w:t>
      </w:r>
    </w:p>
    <w:p>
      <w:pPr>
        <w:pStyle w:val="style4"/>
        <w:tabs>
          <w:tab w:val="left" w:leader="none" w:pos="810"/>
        </w:tabs>
        <w:spacing w:before="0" w:after="0" w:lineRule="auto" w:line="480"/>
        <w:rPr/>
      </w:pPr>
      <w:r>
        <w:t>4.2.4. Koefisien Determinasi (</w:t>
      </w:r>
      <m:oMath>
        <m:sSup>
          <m:sSupPr>
            <m:ctrlPr>
              <w:rPr>
                <w:rFonts w:ascii="Cambria Math" w:eastAsia="Calibri" w:hAnsi="Cambria Math"/>
                <w:i/>
              </w:rPr>
            </m:ctrlPr>
          </m:sSupPr>
          <m:e>
            <m:r>
              <m:rPr>
                <m:sty m:val="b"/>
              </m:rPr>
              <w:rPr>
                <w:rFonts w:ascii="Cambria Math" w:hAnsi="Cambria Math"/>
              </w:rPr>
              <m:t>R</m:t>
            </m:r>
          </m:e>
          <m:sup>
            <m:r>
              <m:rPr>
                <m:sty m:val="bi"/>
              </m:rPr>
              <w:rPr>
                <w:rFonts w:ascii="Cambria Math" w:hAnsi="Cambria Math"/>
              </w:rPr>
              <m:t>2</m:t>
            </m:r>
          </m:sup>
        </m:sSup>
      </m:oMath>
      <w:r>
        <w:t>)</w:t>
      </w:r>
    </w:p>
    <w:p>
      <w:pPr>
        <w:pStyle w:val="style0"/>
        <w:tabs>
          <w:tab w:val="left" w:leader="none" w:pos="810"/>
        </w:tabs>
        <w:spacing w:after="0" w:lineRule="auto" w:line="480"/>
        <w:jc w:val="both"/>
        <w:rPr>
          <w:rFonts w:cs="Times New Roman"/>
          <w:iCs/>
          <w:szCs w:val="24"/>
        </w:rPr>
      </w:pPr>
      <w:r>
        <w:rPr>
          <w:rFonts w:cs="Times New Roman"/>
          <w:iCs/>
          <w:szCs w:val="24"/>
        </w:rPr>
        <w:tab/>
      </w:r>
      <w:r>
        <w:rPr>
          <w:rFonts w:cs="Times New Roman"/>
          <w:iCs/>
          <w:szCs w:val="24"/>
        </w:rPr>
        <w:t xml:space="preserve">Uji </w:t>
      </w:r>
      <w:r>
        <w:rPr>
          <w:rFonts w:cs="Times New Roman"/>
          <w:iCs/>
          <w:szCs w:val="24"/>
        </w:rPr>
        <w:t>koefisien determinasi</w:t>
      </w:r>
      <w:r>
        <w:rPr>
          <w:rFonts w:cs="Times New Roman"/>
          <w:iCs/>
          <w:szCs w:val="24"/>
        </w:rPr>
        <w:t xml:space="preserve"> dilakukan untuk menentukan besarnya pengaruh antar variabel dengan nilai koefisien.</w:t>
      </w:r>
      <w:r>
        <w:rPr>
          <w:rFonts w:cs="Times New Roman"/>
          <w:iCs/>
          <w:szCs w:val="24"/>
        </w:rPr>
        <w:t xml:space="preserve"> </w:t>
      </w:r>
      <w:r>
        <w:rPr>
          <w:rFonts w:cs="Times New Roman"/>
          <w:iCs/>
          <w:szCs w:val="24"/>
        </w:rPr>
        <w:t xml:space="preserve">Hasil uji koefisien determinasi dapat dilihat pada tabel </w:t>
      </w:r>
      <w:r>
        <w:rPr>
          <w:rFonts w:cs="Times New Roman"/>
          <w:iCs/>
          <w:szCs w:val="24"/>
        </w:rPr>
        <w:t>4.11</w:t>
      </w:r>
      <w:r>
        <w:rPr>
          <w:rFonts w:cs="Times New Roman"/>
          <w:iCs/>
          <w:szCs w:val="24"/>
        </w:rPr>
        <w:t>:</w:t>
      </w:r>
    </w:p>
    <w:bookmarkStart w:id="107" w:name="_Toc215602312"/>
    <w:bookmarkStart w:id="108" w:name="_Toc216129268"/>
    <w:bookmarkStart w:id="109" w:name="_Toc216804048"/>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13</w:t>
      </w:r>
      <w:r>
        <w:rPr>
          <w:b w:val="false"/>
          <w:bCs/>
          <w:i/>
          <w:iCs w:val="false"/>
          <w:color w:val="ffffff"/>
          <w:sz w:val="22"/>
          <w:szCs w:val="22"/>
        </w:rPr>
        <w:fldChar w:fldCharType="end"/>
      </w:r>
      <w:r>
        <w:rPr>
          <w:bCs/>
          <w:iCs w:val="false"/>
          <w:color w:val="auto"/>
          <w:sz w:val="22"/>
          <w:szCs w:val="22"/>
        </w:rPr>
        <w:t>4. 1</w:t>
      </w:r>
      <w:r>
        <w:rPr>
          <w:bCs/>
          <w:iCs w:val="false"/>
          <w:color w:val="auto"/>
          <w:sz w:val="22"/>
          <w:szCs w:val="22"/>
        </w:rPr>
        <w:t>1</w:t>
      </w:r>
      <w:r>
        <w:rPr>
          <w:bCs/>
          <w:iCs w:val="false"/>
          <w:color w:val="auto"/>
          <w:sz w:val="22"/>
          <w:szCs w:val="22"/>
        </w:rPr>
        <w:t>. Uji Koefisien Determinasi (</w:t>
      </w:r>
      <m:oMath>
        <m:sSup>
          <m:sSupPr>
            <m:ctrlPr>
              <w:rPr>
                <w:rFonts w:ascii="Cambria Math" w:hAnsi="Cambria Math"/>
                <w:color w:val="auto"/>
                <w:sz w:val="22"/>
                <w:szCs w:val="22"/>
              </w:rPr>
            </m:ctrlPr>
          </m:sSupPr>
          <m:e>
            <m:r>
              <m:rPr>
                <m:sty m:val="bi"/>
              </m:rPr>
              <w:rPr>
                <w:rFonts w:ascii="Cambria Math" w:hAnsi="Cambria Math"/>
                <w:color w:val="auto"/>
                <w:sz w:val="22"/>
                <w:szCs w:val="22"/>
              </w:rPr>
              <m:t>R</m:t>
            </m:r>
          </m:e>
          <m:sup>
            <m:r>
              <m:rPr>
                <m:sty m:val="bi"/>
              </m:rPr>
              <w:rPr>
                <w:rFonts w:ascii="Cambria Math" w:hAnsi="Cambria Math"/>
                <w:color w:val="auto"/>
                <w:sz w:val="22"/>
                <w:szCs w:val="22"/>
              </w:rPr>
              <m:t>2</m:t>
            </m:r>
          </m:sup>
        </m:sSup>
      </m:oMath>
      <w:r>
        <w:rPr>
          <w:bCs/>
          <w:iCs w:val="false"/>
          <w:color w:val="auto"/>
          <w:sz w:val="22"/>
          <w:szCs w:val="22"/>
        </w:rPr>
        <w:t>)</w:t>
      </w:r>
      <w:bookmarkEnd w:id="107"/>
      <w:bookmarkEnd w:id="108"/>
      <w:bookmarkEnd w:id="109"/>
    </w:p>
    <w:tbl>
      <w:tblPr>
        <w:tblStyle w:val="style154"/>
        <w:tblpPr w:leftFromText="180" w:rightFromText="180" w:topFromText="0" w:bottomFromText="0" w:vertAnchor="text" w:horzAnchor="margin" w:tblpXSpec="left" w:tblpY="23"/>
        <w:tblW w:w="7915" w:type="dxa"/>
        <w:tblLook w:val="04A0" w:firstRow="1" w:lastRow="0" w:firstColumn="1" w:lastColumn="0" w:noHBand="0" w:noVBand="1"/>
      </w:tblPr>
      <w:tblGrid>
        <w:gridCol w:w="1350"/>
        <w:gridCol w:w="1345"/>
        <w:gridCol w:w="1440"/>
        <w:gridCol w:w="1980"/>
        <w:gridCol w:w="1800"/>
      </w:tblGrid>
      <w:tr>
        <w:trPr>
          <w:trHeight w:val="349" w:hRule="atLeast"/>
        </w:trPr>
        <w:tc>
          <w:tcPr>
            <w:tcW w:w="7915" w:type="dxa"/>
            <w:gridSpan w:val="5"/>
            <w:tcBorders/>
            <w:hideMark/>
          </w:tcPr>
          <w:p>
            <w:pPr>
              <w:pStyle w:val="style0"/>
              <w:jc w:val="center"/>
              <w:rPr>
                <w:rFonts w:cs="Times New Roman" w:eastAsia="Times New Roman"/>
                <w:b/>
                <w:bCs/>
                <w:kern w:val="0"/>
                <w:sz w:val="20"/>
                <w:szCs w:val="20"/>
                <w14:ligatures xmlns:w14="http://schemas.microsoft.com/office/word/2010/wordml" w14:val="none"/>
              </w:rPr>
            </w:pPr>
            <w:r>
              <w:rPr>
                <w:rFonts w:cs="Times New Roman" w:eastAsia="Times New Roman"/>
                <w:b/>
                <w:bCs/>
                <w:kern w:val="0"/>
                <w:sz w:val="20"/>
                <w:szCs w:val="20"/>
                <w14:ligatures xmlns:w14="http://schemas.microsoft.com/office/word/2010/wordml" w14:val="none"/>
              </w:rPr>
              <w:t>Model Summary</w:t>
            </w:r>
            <w:r>
              <w:rPr>
                <w:rFonts w:cs="Times New Roman" w:eastAsia="Times New Roman"/>
                <w:b/>
                <w:bCs/>
                <w:kern w:val="0"/>
                <w:sz w:val="20"/>
                <w:szCs w:val="20"/>
                <w:vertAlign w:val="superscript"/>
                <w14:ligatures xmlns:w14="http://schemas.microsoft.com/office/word/2010/wordml" w14:val="none"/>
              </w:rPr>
              <w:t>b</w:t>
            </w:r>
          </w:p>
        </w:tc>
      </w:tr>
      <w:tr>
        <w:tblPrEx/>
        <w:trPr>
          <w:trHeight w:val="529" w:hRule="atLeast"/>
        </w:trPr>
        <w:tc>
          <w:tcPr>
            <w:tcW w:w="1350"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Model</w:t>
            </w:r>
          </w:p>
        </w:tc>
        <w:tc>
          <w:tcPr>
            <w:tcW w:w="1345"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R</w:t>
            </w:r>
          </w:p>
        </w:tc>
        <w:tc>
          <w:tcPr>
            <w:tcW w:w="144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R Square</w:t>
            </w:r>
          </w:p>
        </w:tc>
        <w:tc>
          <w:tcPr>
            <w:tcW w:w="198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Adjusted R Square</w:t>
            </w:r>
          </w:p>
        </w:tc>
        <w:tc>
          <w:tcPr>
            <w:tcW w:w="180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Std. Error of the Estimate</w:t>
            </w:r>
          </w:p>
        </w:tc>
      </w:tr>
      <w:tr>
        <w:tblPrEx/>
        <w:trPr>
          <w:trHeight w:val="358" w:hRule="atLeast"/>
        </w:trPr>
        <w:tc>
          <w:tcPr>
            <w:tcW w:w="1350" w:type="dxa"/>
            <w:tcBorders/>
            <w:noWrap/>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w:t>
            </w:r>
          </w:p>
        </w:tc>
        <w:tc>
          <w:tcPr>
            <w:tcW w:w="1345"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sz w:val="20"/>
                <w:szCs w:val="20"/>
              </w:rPr>
              <w:t>.225</w:t>
            </w:r>
            <w:r>
              <w:rPr>
                <w:rFonts w:cs="Times New Roman"/>
                <w:sz w:val="20"/>
                <w:szCs w:val="20"/>
                <w:vertAlign w:val="superscript"/>
              </w:rPr>
              <w:t>a</w:t>
            </w:r>
          </w:p>
        </w:tc>
        <w:tc>
          <w:tcPr>
            <w:tcW w:w="144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sz w:val="20"/>
                <w:szCs w:val="20"/>
              </w:rPr>
              <w:t>0.051</w:t>
            </w:r>
          </w:p>
        </w:tc>
        <w:tc>
          <w:tcPr>
            <w:tcW w:w="198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sz w:val="20"/>
                <w:szCs w:val="20"/>
              </w:rPr>
              <w:t>0.038</w:t>
            </w:r>
          </w:p>
        </w:tc>
        <w:tc>
          <w:tcPr>
            <w:tcW w:w="180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sz w:val="20"/>
                <w:szCs w:val="20"/>
              </w:rPr>
              <w:t>1.557</w:t>
            </w:r>
          </w:p>
        </w:tc>
      </w:tr>
    </w:tbl>
    <w:p>
      <w:pPr>
        <w:pStyle w:val="style0"/>
        <w:tabs>
          <w:tab w:val="left" w:leader="none" w:pos="810"/>
        </w:tabs>
        <w:spacing w:lineRule="auto" w:line="360"/>
        <w:jc w:val="both"/>
        <w:rPr>
          <w:rFonts w:cs="Times New Roman"/>
          <w:i/>
          <w:sz w:val="20"/>
          <w:szCs w:val="20"/>
        </w:rPr>
      </w:pPr>
      <w:r>
        <w:rPr>
          <w:rFonts w:cs="Times New Roman"/>
          <w:i/>
          <w:sz w:val="20"/>
          <w:szCs w:val="20"/>
        </w:rPr>
        <w:t>Sumber: Output SPSS 30, 2025</w:t>
      </w:r>
    </w:p>
    <w:p>
      <w:pPr>
        <w:pStyle w:val="style0"/>
        <w:tabs>
          <w:tab w:val="left" w:leader="none" w:pos="810"/>
        </w:tabs>
        <w:spacing w:after="0" w:lineRule="auto" w:line="480"/>
        <w:jc w:val="both"/>
        <w:rPr>
          <w:rFonts w:cs="Times New Roman" w:eastAsia="Times New Roman"/>
          <w:kern w:val="0"/>
          <w:szCs w:val="24"/>
          <w14:ligatures xmlns:w14="http://schemas.microsoft.com/office/word/2010/wordml" w14:val="none"/>
        </w:rPr>
      </w:pPr>
      <w:r>
        <w:rPr>
          <w:rFonts w:cs="Times New Roman"/>
          <w:iCs/>
          <w:szCs w:val="24"/>
        </w:rPr>
        <w:tab/>
      </w:r>
      <w:r>
        <w:rPr>
          <w:rFonts w:cs="Times New Roman"/>
          <w:iCs/>
          <w:szCs w:val="24"/>
        </w:rPr>
        <w:t>Pada tabel 4.</w:t>
      </w:r>
      <w:r>
        <w:rPr>
          <w:rFonts w:cs="Times New Roman"/>
          <w:iCs/>
          <w:szCs w:val="24"/>
        </w:rPr>
        <w:t>1</w:t>
      </w:r>
      <w:r>
        <w:rPr>
          <w:rFonts w:cs="Times New Roman"/>
          <w:iCs/>
          <w:szCs w:val="24"/>
        </w:rPr>
        <w:t>1</w:t>
      </w:r>
      <w:r>
        <w:rPr>
          <w:rFonts w:cs="Times New Roman"/>
          <w:iCs/>
          <w:szCs w:val="24"/>
        </w:rPr>
        <w:t>.</w:t>
      </w:r>
      <w:r>
        <w:rPr>
          <w:rFonts w:cs="Times New Roman"/>
          <w:iCs/>
          <w:szCs w:val="24"/>
        </w:rPr>
        <w:t xml:space="preserve"> menunjukkan bahwa nilai</w:t>
      </w:r>
      <w:r>
        <w:rPr>
          <w:rFonts w:cs="Times New Roman"/>
          <w:iCs/>
          <w:szCs w:val="24"/>
        </w:rPr>
        <w:t xml:space="preserve"> </w:t>
      </w:r>
      <w:r>
        <w:rPr>
          <w:rFonts w:cs="Times New Roman" w:eastAsia="Times New Roman"/>
          <w:i/>
          <w:iCs/>
          <w:kern w:val="0"/>
          <w:szCs w:val="24"/>
          <w14:ligatures xmlns:w14="http://schemas.microsoft.com/office/word/2010/wordml" w14:val="none"/>
        </w:rPr>
        <w:t>R Square</w:t>
      </w:r>
      <w:r>
        <w:rPr>
          <w:rFonts w:cs="Times New Roman" w:eastAsia="Times New Roman"/>
          <w:kern w:val="0"/>
          <w:szCs w:val="24"/>
          <w14:ligatures xmlns:w14="http://schemas.microsoft.com/office/word/2010/wordml" w14:val="none"/>
        </w:rPr>
        <w:t xml:space="preserve"> sebesar 0,051</w:t>
      </w:r>
      <w:r>
        <w:rPr>
          <w:rFonts w:cs="Times New Roman" w:eastAsia="Times New Roman"/>
          <w:kern w:val="0"/>
          <w:szCs w:val="24"/>
          <w14:ligatures xmlns:w14="http://schemas.microsoft.com/office/word/2010/wordml" w14:val="none"/>
        </w:rPr>
        <w:t>.</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Nilai </w:t>
      </w:r>
      <w:r>
        <w:rPr>
          <w:rFonts w:cs="Times New Roman" w:eastAsia="Times New Roman"/>
          <w:i/>
          <w:iCs/>
          <w:kern w:val="0"/>
          <w:szCs w:val="24"/>
          <w14:ligatures xmlns:w14="http://schemas.microsoft.com/office/word/2010/wordml" w14:val="none"/>
        </w:rPr>
        <w:t>R S quare</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tersebut </w:t>
      </w:r>
      <w:r>
        <w:rPr>
          <w:rFonts w:cs="Times New Roman" w:eastAsia="Times New Roman"/>
          <w:kern w:val="0"/>
          <w:szCs w:val="24"/>
          <w14:ligatures xmlns:w14="http://schemas.microsoft.com/office/word/2010/wordml" w14:val="none"/>
        </w:rPr>
        <w:t xml:space="preserve">dapat </w:t>
      </w:r>
      <w:r>
        <w:rPr>
          <w:rFonts w:cs="Times New Roman" w:eastAsia="Times New Roman"/>
          <w:kern w:val="0"/>
          <w:szCs w:val="24"/>
          <w14:ligatures xmlns:w14="http://schemas.microsoft.com/office/word/2010/wordml" w14:val="none"/>
        </w:rPr>
        <w:t>diartikan</w:t>
      </w:r>
      <w:r>
        <w:rPr>
          <w:rFonts w:cs="Times New Roman" w:eastAsia="Times New Roman"/>
          <w:kern w:val="0"/>
          <w:szCs w:val="24"/>
          <w14:ligatures xmlns:w14="http://schemas.microsoft.com/office/word/2010/wordml" w14:val="none"/>
        </w:rPr>
        <w:t xml:space="preserve"> bahwa</w:t>
      </w:r>
      <w:r>
        <w:rPr>
          <w:rFonts w:cs="Times New Roman" w:eastAsia="Times New Roman"/>
          <w:kern w:val="0"/>
          <w:szCs w:val="24"/>
          <w14:ligatures xmlns:w14="http://schemas.microsoft.com/office/word/2010/wordml" w14:val="none"/>
        </w:rPr>
        <w:t xml:space="preserve"> variabel </w:t>
      </w:r>
      <w:r>
        <w:rPr>
          <w:rFonts w:cs="Times New Roman" w:eastAsia="Times New Roman"/>
          <w:kern w:val="0"/>
          <w:szCs w:val="24"/>
          <w14:ligatures xmlns:w14="http://schemas.microsoft.com/office/word/2010/wordml" w14:val="none"/>
        </w:rPr>
        <w:t>independen</w:t>
      </w:r>
      <w:r>
        <w:rPr>
          <w:rFonts w:cs="Times New Roman" w:eastAsia="Times New Roman"/>
          <w:kern w:val="0"/>
          <w:szCs w:val="24"/>
          <w14:ligatures xmlns:w14="http://schemas.microsoft.com/office/word/2010/wordml" w14:val="none"/>
        </w:rPr>
        <w:t xml:space="preserve"> mempengaruhi </w:t>
      </w:r>
      <w:r>
        <w:rPr>
          <w:rFonts w:cs="Times New Roman" w:eastAsia="Times New Roman"/>
          <w:i/>
          <w:iCs/>
          <w:kern w:val="0"/>
          <w:szCs w:val="24"/>
          <w14:ligatures xmlns:w14="http://schemas.microsoft.com/office/word/2010/wordml" w14:val="none"/>
        </w:rPr>
        <w:t>firm value</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 xml:space="preserve">sebesar 0,051 atau 5,1%, sedangkan </w:t>
      </w:r>
      <w:r>
        <w:rPr>
          <w:rFonts w:cs="Times New Roman" w:eastAsia="Times New Roman"/>
          <w:kern w:val="0"/>
          <w:szCs w:val="24"/>
          <w14:ligatures xmlns:w14="http://schemas.microsoft.com/office/word/2010/wordml" w14:val="none"/>
        </w:rPr>
        <w:t xml:space="preserve">variabel lain yang tidak termasuk dalam model penelitian mempengaruhi </w:t>
      </w:r>
      <w:r>
        <w:rPr>
          <w:rFonts w:cs="Times New Roman" w:eastAsia="Times New Roman"/>
          <w:i/>
          <w:iCs/>
          <w:kern w:val="0"/>
          <w:szCs w:val="24"/>
          <w14:ligatures xmlns:w14="http://schemas.microsoft.com/office/word/2010/wordml" w14:val="none"/>
        </w:rPr>
        <w:t>firm value</w:t>
      </w:r>
      <w:r>
        <w:rPr>
          <w:rFonts w:cs="Times New Roman" w:eastAsia="Times New Roman"/>
          <w:kern w:val="0"/>
          <w:szCs w:val="24"/>
          <w14:ligatures xmlns:w14="http://schemas.microsoft.com/office/word/2010/wordml" w14:val="none"/>
        </w:rPr>
        <w:t xml:space="preserve"> </w:t>
      </w:r>
      <w:r>
        <w:rPr>
          <w:rFonts w:cs="Times New Roman" w:eastAsia="Times New Roman"/>
          <w:kern w:val="0"/>
          <w:szCs w:val="24"/>
          <w14:ligatures xmlns:w14="http://schemas.microsoft.com/office/word/2010/wordml" w14:val="none"/>
        </w:rPr>
        <w:t>yaitu 94,9% dari sisanya</w:t>
      </w:r>
      <w:r>
        <w:rPr>
          <w:rFonts w:cs="Times New Roman" w:eastAsia="Times New Roman"/>
          <w:kern w:val="0"/>
          <w:szCs w:val="24"/>
          <w14:ligatures xmlns:w14="http://schemas.microsoft.com/office/word/2010/wordml" w14:val="none"/>
        </w:rPr>
        <w:t xml:space="preserve">. </w:t>
      </w:r>
    </w:p>
    <w:p>
      <w:pPr>
        <w:pStyle w:val="style4"/>
        <w:tabs>
          <w:tab w:val="left" w:leader="none" w:pos="810"/>
        </w:tabs>
        <w:spacing w:before="0" w:after="0" w:lineRule="auto" w:line="480"/>
        <w:rPr/>
      </w:pPr>
      <w:r>
        <w:t xml:space="preserve">4.2.4. </w:t>
      </w:r>
      <w:r>
        <w:t>Uji Hipotesis (</w:t>
      </w:r>
      <w:r>
        <w:t>Uji t</w:t>
      </w:r>
      <w:r>
        <w:t>)</w:t>
      </w:r>
    </w:p>
    <w:p>
      <w:pPr>
        <w:pStyle w:val="style0"/>
        <w:tabs>
          <w:tab w:val="left" w:leader="none" w:pos="810"/>
        </w:tabs>
        <w:spacing w:after="0" w:lineRule="auto" w:line="480"/>
        <w:jc w:val="both"/>
        <w:rPr>
          <w:rFonts w:cs="Times New Roman"/>
          <w:iCs/>
          <w:szCs w:val="24"/>
        </w:rPr>
      </w:pPr>
      <w:r>
        <w:rPr>
          <w:rFonts w:cs="Times New Roman"/>
          <w:iCs/>
          <w:szCs w:val="24"/>
        </w:rPr>
        <w:tab/>
      </w:r>
      <w:r>
        <w:rPr>
          <w:rFonts w:cs="Times New Roman"/>
          <w:iCs/>
          <w:szCs w:val="24"/>
        </w:rPr>
        <w:t>Uji</w:t>
      </w:r>
      <w:r>
        <w:rPr>
          <w:rFonts w:cs="Times New Roman"/>
          <w:iCs/>
          <w:szCs w:val="24"/>
        </w:rPr>
        <w:t xml:space="preserve"> t</w:t>
      </w:r>
      <w:r>
        <w:rPr>
          <w:rFonts w:cs="Times New Roman"/>
          <w:iCs/>
          <w:szCs w:val="24"/>
        </w:rPr>
        <w:t xml:space="preserve"> dilakukan untuk mengetahui pengaruh antar variabel secara </w:t>
      </w:r>
      <w:r>
        <w:rPr>
          <w:rFonts w:cs="Times New Roman"/>
          <w:iCs/>
          <w:szCs w:val="24"/>
        </w:rPr>
        <w:t>parsial</w:t>
      </w:r>
      <w:r>
        <w:rPr>
          <w:rFonts w:cs="Times New Roman"/>
          <w:iCs/>
          <w:szCs w:val="24"/>
        </w:rPr>
        <w:t xml:space="preserve"> </w:t>
      </w:r>
      <w:r>
        <w:rPr>
          <w:rFonts w:cs="Times New Roman"/>
          <w:iCs/>
          <w:szCs w:val="24"/>
        </w:rPr>
        <w:t>(sendiri)</w:t>
      </w:r>
      <w:r>
        <w:rPr>
          <w:rFonts w:cs="Times New Roman"/>
          <w:iCs/>
          <w:szCs w:val="24"/>
        </w:rPr>
        <w:t xml:space="preserve">. </w:t>
      </w:r>
      <w:r>
        <w:rPr>
          <w:rFonts w:cs="Times New Roman"/>
          <w:iCs/>
          <w:szCs w:val="24"/>
        </w:rPr>
        <w:t>Uji t dapat dilihat dengan tingkat nilai</w:t>
      </w:r>
      <w:r>
        <w:rPr>
          <w:rFonts w:cs="Times New Roman"/>
          <w:iCs/>
          <w:szCs w:val="24"/>
        </w:rPr>
        <w:t xml:space="preserve"> </w:t>
      </w:r>
      <w:r>
        <w:rPr>
          <w:rFonts w:cs="Times New Roman"/>
          <w:iCs/>
          <w:szCs w:val="24"/>
        </w:rPr>
        <w:t xml:space="preserve">signifikansi 5% atau 0,05. </w:t>
      </w:r>
      <w:r>
        <w:rPr>
          <w:rFonts w:cs="Times New Roman"/>
          <w:iCs/>
          <w:szCs w:val="24"/>
        </w:rPr>
        <w:t xml:space="preserve">Hasil uji hipotesis (uji t) dapat dilihat pada tabel </w:t>
      </w:r>
      <w:r>
        <w:rPr>
          <w:rFonts w:cs="Times New Roman"/>
          <w:iCs/>
          <w:szCs w:val="24"/>
        </w:rPr>
        <w:t>4.12</w:t>
      </w:r>
      <w:r>
        <w:rPr>
          <w:rFonts w:cs="Times New Roman"/>
          <w:iCs/>
          <w:szCs w:val="24"/>
        </w:rPr>
        <w:t>:</w:t>
      </w:r>
    </w:p>
    <w:bookmarkStart w:id="110" w:name="_Toc215602313"/>
    <w:bookmarkStart w:id="111" w:name="_Toc216129269"/>
    <w:bookmarkStart w:id="112" w:name="_Toc216804049"/>
    <w:p>
      <w:pPr>
        <w:pStyle w:val="style34"/>
        <w:keepNext/>
        <w:rPr>
          <w:b w:val="false"/>
          <w:bCs/>
          <w:i/>
          <w:iCs w:val="false"/>
          <w:sz w:val="22"/>
          <w:szCs w:val="22"/>
        </w:rPr>
      </w:pPr>
      <w:r>
        <w:rPr>
          <w:bCs/>
          <w:iCs w:val="false"/>
          <w:color w:val="auto"/>
          <w:sz w:val="22"/>
          <w:szCs w:val="22"/>
        </w:rPr>
        <w:t>Tabel</w:t>
      </w:r>
      <w:r>
        <w:rPr>
          <w:b w:val="false"/>
          <w:bCs/>
          <w:i/>
          <w:iCs w:val="false"/>
          <w:color w:val="ffffff"/>
          <w:sz w:val="22"/>
          <w:szCs w:val="22"/>
        </w:rPr>
        <w:fldChar w:fldCharType="begin"/>
      </w:r>
      <w:r>
        <w:rPr>
          <w:bCs/>
          <w:iCs w:val="false"/>
          <w:color w:val="ffffff"/>
          <w:sz w:val="22"/>
          <w:szCs w:val="22"/>
        </w:rPr>
        <w:instrText xml:space="preserve"> SEQ Tabel_ \* ARABIC </w:instrText>
      </w:r>
      <w:r>
        <w:rPr>
          <w:b w:val="false"/>
          <w:bCs/>
          <w:i/>
          <w:iCs w:val="false"/>
          <w:color w:val="ffffff"/>
          <w:sz w:val="22"/>
          <w:szCs w:val="22"/>
        </w:rPr>
        <w:fldChar w:fldCharType="separate"/>
      </w:r>
      <w:r>
        <w:rPr>
          <w:bCs/>
          <w:iCs w:val="false"/>
          <w:noProof/>
          <w:color w:val="ffffff"/>
          <w:sz w:val="22"/>
          <w:szCs w:val="22"/>
        </w:rPr>
        <w:t>14</w:t>
      </w:r>
      <w:r>
        <w:rPr>
          <w:b w:val="false"/>
          <w:bCs/>
          <w:i/>
          <w:iCs w:val="false"/>
          <w:color w:val="ffffff"/>
          <w:sz w:val="22"/>
          <w:szCs w:val="22"/>
        </w:rPr>
        <w:fldChar w:fldCharType="end"/>
      </w:r>
      <w:r>
        <w:rPr>
          <w:bCs/>
          <w:iCs w:val="false"/>
          <w:color w:val="auto"/>
          <w:sz w:val="22"/>
          <w:szCs w:val="22"/>
        </w:rPr>
        <w:t>4. 1</w:t>
      </w:r>
      <w:r>
        <w:rPr>
          <w:bCs/>
          <w:iCs w:val="false"/>
          <w:color w:val="auto"/>
          <w:sz w:val="22"/>
          <w:szCs w:val="22"/>
        </w:rPr>
        <w:t>2</w:t>
      </w:r>
      <w:r>
        <w:rPr>
          <w:bCs/>
          <w:iCs w:val="false"/>
          <w:color w:val="auto"/>
          <w:sz w:val="22"/>
          <w:szCs w:val="22"/>
        </w:rPr>
        <w:t>. Uji t</w:t>
      </w:r>
      <w:bookmarkEnd w:id="110"/>
      <w:bookmarkEnd w:id="111"/>
      <w:bookmarkEnd w:id="112"/>
    </w:p>
    <w:tbl>
      <w:tblPr>
        <w:tblStyle w:val="style154"/>
        <w:tblW w:w="0" w:type="auto"/>
        <w:tblLook w:val="04A0" w:firstRow="1" w:lastRow="0" w:firstColumn="1" w:lastColumn="0" w:noHBand="0" w:noVBand="1"/>
      </w:tblPr>
      <w:tblGrid>
        <w:gridCol w:w="335"/>
        <w:gridCol w:w="1730"/>
        <w:gridCol w:w="900"/>
        <w:gridCol w:w="1354"/>
        <w:gridCol w:w="1604"/>
        <w:gridCol w:w="1098"/>
        <w:gridCol w:w="906"/>
      </w:tblGrid>
      <w:tr>
        <w:trPr>
          <w:trHeight w:val="360" w:hRule="atLeast"/>
        </w:trPr>
        <w:tc>
          <w:tcPr>
            <w:tcW w:w="7927" w:type="dxa"/>
            <w:gridSpan w:val="7"/>
            <w:tcBorders/>
            <w:hideMark/>
          </w:tcPr>
          <w:p>
            <w:pPr>
              <w:pStyle w:val="style0"/>
              <w:jc w:val="center"/>
              <w:rPr>
                <w:b/>
                <w:bCs/>
                <w:sz w:val="20"/>
                <w:szCs w:val="20"/>
              </w:rPr>
            </w:pPr>
            <w:r>
              <w:rPr>
                <w:b/>
                <w:bCs/>
                <w:sz w:val="20"/>
                <w:szCs w:val="20"/>
              </w:rPr>
              <w:t>Coefficients</w:t>
            </w:r>
            <w:r>
              <w:rPr>
                <w:b/>
                <w:bCs/>
                <w:sz w:val="20"/>
                <w:szCs w:val="20"/>
                <w:vertAlign w:val="superscript"/>
              </w:rPr>
              <w:t>a</w:t>
            </w:r>
          </w:p>
        </w:tc>
      </w:tr>
      <w:tr>
        <w:tblPrEx/>
        <w:trPr>
          <w:trHeight w:val="620" w:hRule="atLeast"/>
        </w:trPr>
        <w:tc>
          <w:tcPr>
            <w:tcW w:w="2065" w:type="dxa"/>
            <w:gridSpan w:val="2"/>
            <w:vMerge w:val="restart"/>
            <w:tcBorders/>
            <w:hideMark/>
          </w:tcPr>
          <w:p>
            <w:pPr>
              <w:pStyle w:val="style0"/>
              <w:jc w:val="center"/>
              <w:rPr>
                <w:sz w:val="20"/>
                <w:szCs w:val="20"/>
              </w:rPr>
            </w:pPr>
            <w:r>
              <w:rPr>
                <w:sz w:val="20"/>
                <w:szCs w:val="20"/>
              </w:rPr>
              <w:t>Model</w:t>
            </w:r>
          </w:p>
        </w:tc>
        <w:tc>
          <w:tcPr>
            <w:tcW w:w="2254" w:type="dxa"/>
            <w:gridSpan w:val="2"/>
            <w:tcBorders/>
            <w:hideMark/>
          </w:tcPr>
          <w:p>
            <w:pPr>
              <w:pStyle w:val="style0"/>
              <w:jc w:val="center"/>
              <w:rPr>
                <w:sz w:val="20"/>
                <w:szCs w:val="20"/>
              </w:rPr>
            </w:pPr>
            <w:r>
              <w:rPr>
                <w:sz w:val="20"/>
                <w:szCs w:val="20"/>
              </w:rPr>
              <w:t>Unstandardized Coefficients</w:t>
            </w:r>
          </w:p>
        </w:tc>
        <w:tc>
          <w:tcPr>
            <w:tcW w:w="1604" w:type="dxa"/>
            <w:tcBorders/>
            <w:hideMark/>
          </w:tcPr>
          <w:p>
            <w:pPr>
              <w:pStyle w:val="style0"/>
              <w:jc w:val="center"/>
              <w:rPr>
                <w:sz w:val="20"/>
                <w:szCs w:val="20"/>
              </w:rPr>
            </w:pPr>
            <w:r>
              <w:rPr>
                <w:sz w:val="20"/>
                <w:szCs w:val="20"/>
              </w:rPr>
              <w:t>Standardized Coefficients</w:t>
            </w:r>
          </w:p>
        </w:tc>
        <w:tc>
          <w:tcPr>
            <w:tcW w:w="1098" w:type="dxa"/>
            <w:vMerge w:val="restart"/>
            <w:tcBorders/>
            <w:hideMark/>
          </w:tcPr>
          <w:p>
            <w:pPr>
              <w:pStyle w:val="style0"/>
              <w:jc w:val="center"/>
              <w:rPr>
                <w:sz w:val="20"/>
                <w:szCs w:val="20"/>
              </w:rPr>
            </w:pPr>
            <w:r>
              <w:rPr>
                <w:sz w:val="20"/>
                <w:szCs w:val="20"/>
              </w:rPr>
              <w:t>t</w:t>
            </w:r>
          </w:p>
        </w:tc>
        <w:tc>
          <w:tcPr>
            <w:tcW w:w="906" w:type="dxa"/>
            <w:vMerge w:val="restart"/>
            <w:tcBorders/>
            <w:hideMark/>
          </w:tcPr>
          <w:p>
            <w:pPr>
              <w:pStyle w:val="style0"/>
              <w:jc w:val="center"/>
              <w:rPr>
                <w:sz w:val="20"/>
                <w:szCs w:val="20"/>
              </w:rPr>
            </w:pPr>
            <w:r>
              <w:rPr>
                <w:sz w:val="20"/>
                <w:szCs w:val="20"/>
              </w:rPr>
              <w:t>Sig.</w:t>
            </w:r>
          </w:p>
        </w:tc>
      </w:tr>
      <w:tr>
        <w:tblPrEx/>
        <w:trPr>
          <w:trHeight w:val="310" w:hRule="atLeast"/>
        </w:trPr>
        <w:tc>
          <w:tcPr>
            <w:tcW w:w="2065" w:type="dxa"/>
            <w:gridSpan w:val="2"/>
            <w:vMerge w:val="continue"/>
            <w:tcBorders/>
            <w:hideMark/>
          </w:tcPr>
          <w:p>
            <w:pPr>
              <w:pStyle w:val="style0"/>
              <w:jc w:val="center"/>
              <w:rPr>
                <w:sz w:val="20"/>
                <w:szCs w:val="20"/>
              </w:rPr>
            </w:pPr>
          </w:p>
        </w:tc>
        <w:tc>
          <w:tcPr>
            <w:tcW w:w="900" w:type="dxa"/>
            <w:tcBorders/>
            <w:hideMark/>
          </w:tcPr>
          <w:p>
            <w:pPr>
              <w:pStyle w:val="style0"/>
              <w:jc w:val="center"/>
              <w:rPr>
                <w:sz w:val="20"/>
                <w:szCs w:val="20"/>
              </w:rPr>
            </w:pPr>
            <w:r>
              <w:rPr>
                <w:sz w:val="20"/>
                <w:szCs w:val="20"/>
              </w:rPr>
              <w:t>B</w:t>
            </w:r>
          </w:p>
        </w:tc>
        <w:tc>
          <w:tcPr>
            <w:tcW w:w="1354" w:type="dxa"/>
            <w:tcBorders/>
            <w:hideMark/>
          </w:tcPr>
          <w:p>
            <w:pPr>
              <w:pStyle w:val="style0"/>
              <w:jc w:val="center"/>
              <w:rPr>
                <w:sz w:val="20"/>
                <w:szCs w:val="20"/>
              </w:rPr>
            </w:pPr>
            <w:r>
              <w:rPr>
                <w:sz w:val="20"/>
                <w:szCs w:val="20"/>
              </w:rPr>
              <w:t>Std. Error</w:t>
            </w:r>
          </w:p>
        </w:tc>
        <w:tc>
          <w:tcPr>
            <w:tcW w:w="1604" w:type="dxa"/>
            <w:tcBorders/>
            <w:hideMark/>
          </w:tcPr>
          <w:p>
            <w:pPr>
              <w:pStyle w:val="style0"/>
              <w:jc w:val="center"/>
              <w:rPr>
                <w:sz w:val="20"/>
                <w:szCs w:val="20"/>
              </w:rPr>
            </w:pPr>
            <w:r>
              <w:rPr>
                <w:sz w:val="20"/>
                <w:szCs w:val="20"/>
              </w:rPr>
              <w:t>Beta</w:t>
            </w:r>
          </w:p>
        </w:tc>
        <w:tc>
          <w:tcPr>
            <w:tcW w:w="1098" w:type="dxa"/>
            <w:vMerge w:val="continue"/>
            <w:tcBorders/>
            <w:hideMark/>
          </w:tcPr>
          <w:p>
            <w:pPr>
              <w:pStyle w:val="style0"/>
              <w:jc w:val="center"/>
              <w:rPr>
                <w:sz w:val="20"/>
                <w:szCs w:val="20"/>
              </w:rPr>
            </w:pPr>
          </w:p>
        </w:tc>
        <w:tc>
          <w:tcPr>
            <w:tcW w:w="906" w:type="dxa"/>
            <w:vMerge w:val="continue"/>
            <w:tcBorders/>
            <w:hideMark/>
          </w:tcPr>
          <w:p>
            <w:pPr>
              <w:pStyle w:val="style0"/>
              <w:jc w:val="center"/>
              <w:rPr>
                <w:sz w:val="20"/>
                <w:szCs w:val="20"/>
              </w:rPr>
            </w:pPr>
          </w:p>
        </w:tc>
      </w:tr>
      <w:tr>
        <w:tblPrEx/>
        <w:trPr>
          <w:trHeight w:val="310" w:hRule="atLeast"/>
        </w:trPr>
        <w:tc>
          <w:tcPr>
            <w:tcW w:w="335" w:type="dxa"/>
            <w:vMerge w:val="restart"/>
            <w:tcBorders/>
            <w:noWrap/>
            <w:hideMark/>
          </w:tcPr>
          <w:p>
            <w:pPr>
              <w:pStyle w:val="style0"/>
              <w:jc w:val="center"/>
              <w:rPr>
                <w:sz w:val="20"/>
                <w:szCs w:val="20"/>
              </w:rPr>
            </w:pPr>
            <w:r>
              <w:rPr>
                <w:sz w:val="20"/>
                <w:szCs w:val="20"/>
              </w:rPr>
              <w:t>1</w:t>
            </w:r>
          </w:p>
        </w:tc>
        <w:tc>
          <w:tcPr>
            <w:tcW w:w="1730" w:type="dxa"/>
            <w:tcBorders/>
            <w:hideMark/>
          </w:tcPr>
          <w:p>
            <w:pPr>
              <w:pStyle w:val="style0"/>
              <w:rPr>
                <w:sz w:val="20"/>
                <w:szCs w:val="20"/>
              </w:rPr>
            </w:pPr>
            <w:r>
              <w:rPr>
                <w:sz w:val="20"/>
                <w:szCs w:val="20"/>
              </w:rPr>
              <w:t>(Constant)</w:t>
            </w:r>
          </w:p>
        </w:tc>
        <w:tc>
          <w:tcPr>
            <w:tcW w:w="900" w:type="dxa"/>
            <w:tcBorders/>
            <w:noWrap/>
            <w:hideMark/>
          </w:tcPr>
          <w:p>
            <w:pPr>
              <w:pStyle w:val="style0"/>
              <w:jc w:val="center"/>
              <w:rPr>
                <w:rFonts w:cs="Times New Roman"/>
                <w:sz w:val="20"/>
                <w:szCs w:val="20"/>
              </w:rPr>
            </w:pPr>
            <w:r>
              <w:rPr>
                <w:rFonts w:cs="Times New Roman"/>
                <w:sz w:val="20"/>
                <w:szCs w:val="20"/>
              </w:rPr>
              <w:t>-0.058</w:t>
            </w:r>
          </w:p>
        </w:tc>
        <w:tc>
          <w:tcPr>
            <w:tcW w:w="1354" w:type="dxa"/>
            <w:tcBorders/>
            <w:noWrap/>
            <w:hideMark/>
          </w:tcPr>
          <w:p>
            <w:pPr>
              <w:pStyle w:val="style0"/>
              <w:jc w:val="center"/>
              <w:rPr>
                <w:rFonts w:cs="Times New Roman"/>
                <w:sz w:val="20"/>
                <w:szCs w:val="20"/>
              </w:rPr>
            </w:pPr>
            <w:r>
              <w:rPr>
                <w:rFonts w:cs="Times New Roman"/>
                <w:sz w:val="20"/>
                <w:szCs w:val="20"/>
              </w:rPr>
              <w:t>0.566</w:t>
            </w:r>
          </w:p>
        </w:tc>
        <w:tc>
          <w:tcPr>
            <w:tcW w:w="1604" w:type="dxa"/>
            <w:tcBorders/>
            <w:hideMark/>
          </w:tcPr>
          <w:p>
            <w:pPr>
              <w:pStyle w:val="style0"/>
              <w:jc w:val="center"/>
              <w:rPr>
                <w:rFonts w:cs="Times New Roman"/>
                <w:sz w:val="20"/>
                <w:szCs w:val="20"/>
              </w:rPr>
            </w:pPr>
            <w:r>
              <w:rPr>
                <w:rFonts w:cs="Times New Roman"/>
                <w:sz w:val="20"/>
                <w:szCs w:val="20"/>
              </w:rPr>
              <w:t> </w:t>
            </w:r>
          </w:p>
        </w:tc>
        <w:tc>
          <w:tcPr>
            <w:tcW w:w="1098" w:type="dxa"/>
            <w:tcBorders/>
            <w:noWrap/>
            <w:hideMark/>
          </w:tcPr>
          <w:p>
            <w:pPr>
              <w:pStyle w:val="style0"/>
              <w:jc w:val="center"/>
              <w:rPr>
                <w:rFonts w:cs="Times New Roman"/>
                <w:sz w:val="20"/>
                <w:szCs w:val="20"/>
              </w:rPr>
            </w:pPr>
            <w:r>
              <w:rPr>
                <w:rFonts w:cs="Times New Roman"/>
                <w:sz w:val="20"/>
                <w:szCs w:val="20"/>
              </w:rPr>
              <w:t>-0.103</w:t>
            </w:r>
          </w:p>
        </w:tc>
        <w:tc>
          <w:tcPr>
            <w:tcW w:w="906" w:type="dxa"/>
            <w:tcBorders/>
            <w:noWrap/>
            <w:hideMark/>
          </w:tcPr>
          <w:p>
            <w:pPr>
              <w:pStyle w:val="style0"/>
              <w:jc w:val="center"/>
              <w:rPr>
                <w:rFonts w:cs="Times New Roman"/>
                <w:sz w:val="20"/>
                <w:szCs w:val="20"/>
              </w:rPr>
            </w:pPr>
            <w:r>
              <w:rPr>
                <w:rFonts w:cs="Times New Roman"/>
                <w:sz w:val="20"/>
                <w:szCs w:val="20"/>
              </w:rPr>
              <w:t>0.918</w:t>
            </w:r>
          </w:p>
        </w:tc>
      </w:tr>
      <w:tr>
        <w:tblPrEx/>
        <w:trPr>
          <w:trHeight w:val="310" w:hRule="atLeast"/>
        </w:trPr>
        <w:tc>
          <w:tcPr>
            <w:tcW w:w="335" w:type="dxa"/>
            <w:vMerge w:val="continue"/>
            <w:tcBorders/>
            <w:hideMark/>
          </w:tcPr>
          <w:p>
            <w:pPr>
              <w:pStyle w:val="style0"/>
              <w:jc w:val="center"/>
              <w:rPr>
                <w:sz w:val="20"/>
                <w:szCs w:val="20"/>
              </w:rPr>
            </w:pPr>
          </w:p>
        </w:tc>
        <w:tc>
          <w:tcPr>
            <w:tcW w:w="1730" w:type="dxa"/>
            <w:tcBorders/>
            <w:hideMark/>
          </w:tcPr>
          <w:p>
            <w:pPr>
              <w:pStyle w:val="style0"/>
              <w:rPr>
                <w:sz w:val="20"/>
                <w:szCs w:val="20"/>
              </w:rPr>
            </w:pPr>
            <w:r>
              <w:rPr>
                <w:sz w:val="20"/>
                <w:szCs w:val="20"/>
              </w:rPr>
              <w:t>Enterprise Risk Management</w:t>
            </w:r>
          </w:p>
        </w:tc>
        <w:tc>
          <w:tcPr>
            <w:tcW w:w="900" w:type="dxa"/>
            <w:tcBorders/>
            <w:noWrap/>
            <w:hideMark/>
          </w:tcPr>
          <w:p>
            <w:pPr>
              <w:pStyle w:val="style0"/>
              <w:jc w:val="center"/>
              <w:rPr>
                <w:rFonts w:cs="Times New Roman"/>
                <w:sz w:val="20"/>
                <w:szCs w:val="20"/>
              </w:rPr>
            </w:pPr>
            <w:r>
              <w:rPr>
                <w:rFonts w:cs="Times New Roman"/>
                <w:sz w:val="20"/>
                <w:szCs w:val="20"/>
              </w:rPr>
              <w:t>0.984</w:t>
            </w:r>
          </w:p>
        </w:tc>
        <w:tc>
          <w:tcPr>
            <w:tcW w:w="1354" w:type="dxa"/>
            <w:tcBorders/>
            <w:noWrap/>
            <w:hideMark/>
          </w:tcPr>
          <w:p>
            <w:pPr>
              <w:pStyle w:val="style0"/>
              <w:jc w:val="center"/>
              <w:rPr>
                <w:rFonts w:cs="Times New Roman"/>
                <w:sz w:val="20"/>
                <w:szCs w:val="20"/>
              </w:rPr>
            </w:pPr>
            <w:r>
              <w:rPr>
                <w:rFonts w:cs="Times New Roman"/>
                <w:sz w:val="20"/>
                <w:szCs w:val="20"/>
              </w:rPr>
              <w:t>0.635</w:t>
            </w:r>
          </w:p>
        </w:tc>
        <w:tc>
          <w:tcPr>
            <w:tcW w:w="1604" w:type="dxa"/>
            <w:tcBorders/>
            <w:noWrap/>
            <w:hideMark/>
          </w:tcPr>
          <w:p>
            <w:pPr>
              <w:pStyle w:val="style0"/>
              <w:jc w:val="center"/>
              <w:rPr>
                <w:rFonts w:cs="Times New Roman"/>
                <w:sz w:val="20"/>
                <w:szCs w:val="20"/>
              </w:rPr>
            </w:pPr>
            <w:r>
              <w:rPr>
                <w:rFonts w:cs="Times New Roman"/>
                <w:sz w:val="20"/>
                <w:szCs w:val="20"/>
              </w:rPr>
              <w:t>0.103</w:t>
            </w:r>
          </w:p>
        </w:tc>
        <w:tc>
          <w:tcPr>
            <w:tcW w:w="1098" w:type="dxa"/>
            <w:tcBorders/>
            <w:noWrap/>
            <w:hideMark/>
          </w:tcPr>
          <w:p>
            <w:pPr>
              <w:pStyle w:val="style0"/>
              <w:jc w:val="center"/>
              <w:rPr>
                <w:rFonts w:cs="Times New Roman"/>
                <w:sz w:val="20"/>
                <w:szCs w:val="20"/>
              </w:rPr>
            </w:pPr>
            <w:r>
              <w:rPr>
                <w:rFonts w:cs="Times New Roman"/>
                <w:sz w:val="20"/>
                <w:szCs w:val="20"/>
              </w:rPr>
              <w:t>1.551</w:t>
            </w:r>
          </w:p>
        </w:tc>
        <w:tc>
          <w:tcPr>
            <w:tcW w:w="906" w:type="dxa"/>
            <w:tcBorders/>
            <w:noWrap/>
            <w:hideMark/>
          </w:tcPr>
          <w:p>
            <w:pPr>
              <w:pStyle w:val="style0"/>
              <w:jc w:val="center"/>
              <w:rPr>
                <w:rFonts w:cs="Times New Roman"/>
                <w:sz w:val="20"/>
                <w:szCs w:val="20"/>
              </w:rPr>
            </w:pPr>
            <w:r>
              <w:rPr>
                <w:rFonts w:cs="Times New Roman"/>
                <w:sz w:val="20"/>
                <w:szCs w:val="20"/>
              </w:rPr>
              <w:t>0.122</w:t>
            </w:r>
          </w:p>
        </w:tc>
      </w:tr>
      <w:tr>
        <w:tblPrEx/>
        <w:trPr>
          <w:trHeight w:val="310" w:hRule="atLeast"/>
        </w:trPr>
        <w:tc>
          <w:tcPr>
            <w:tcW w:w="335" w:type="dxa"/>
            <w:vMerge w:val="continue"/>
            <w:tcBorders/>
            <w:hideMark/>
          </w:tcPr>
          <w:p>
            <w:pPr>
              <w:pStyle w:val="style0"/>
              <w:jc w:val="center"/>
              <w:rPr>
                <w:sz w:val="20"/>
                <w:szCs w:val="20"/>
              </w:rPr>
            </w:pPr>
          </w:p>
        </w:tc>
        <w:tc>
          <w:tcPr>
            <w:tcW w:w="1730" w:type="dxa"/>
            <w:tcBorders/>
            <w:hideMark/>
          </w:tcPr>
          <w:p>
            <w:pPr>
              <w:pStyle w:val="style0"/>
              <w:rPr>
                <w:sz w:val="20"/>
                <w:szCs w:val="20"/>
              </w:rPr>
            </w:pPr>
            <w:r>
              <w:rPr>
                <w:sz w:val="20"/>
                <w:szCs w:val="20"/>
              </w:rPr>
              <w:t>Managerial Ownership</w:t>
            </w:r>
          </w:p>
        </w:tc>
        <w:tc>
          <w:tcPr>
            <w:tcW w:w="900" w:type="dxa"/>
            <w:tcBorders/>
            <w:noWrap/>
            <w:hideMark/>
          </w:tcPr>
          <w:p>
            <w:pPr>
              <w:pStyle w:val="style0"/>
              <w:jc w:val="center"/>
              <w:rPr>
                <w:rFonts w:cs="Times New Roman"/>
                <w:sz w:val="20"/>
                <w:szCs w:val="20"/>
              </w:rPr>
            </w:pPr>
            <w:r>
              <w:rPr>
                <w:rFonts w:cs="Times New Roman"/>
                <w:sz w:val="20"/>
                <w:szCs w:val="20"/>
              </w:rPr>
              <w:t>0.956</w:t>
            </w:r>
          </w:p>
        </w:tc>
        <w:tc>
          <w:tcPr>
            <w:tcW w:w="1354" w:type="dxa"/>
            <w:tcBorders/>
            <w:noWrap/>
            <w:hideMark/>
          </w:tcPr>
          <w:p>
            <w:pPr>
              <w:pStyle w:val="style0"/>
              <w:jc w:val="center"/>
              <w:rPr>
                <w:rFonts w:cs="Times New Roman"/>
                <w:sz w:val="20"/>
                <w:szCs w:val="20"/>
              </w:rPr>
            </w:pPr>
            <w:r>
              <w:rPr>
                <w:rFonts w:cs="Times New Roman"/>
                <w:sz w:val="20"/>
                <w:szCs w:val="20"/>
              </w:rPr>
              <w:t>0.921</w:t>
            </w:r>
          </w:p>
        </w:tc>
        <w:tc>
          <w:tcPr>
            <w:tcW w:w="1604" w:type="dxa"/>
            <w:tcBorders/>
            <w:noWrap/>
            <w:hideMark/>
          </w:tcPr>
          <w:p>
            <w:pPr>
              <w:pStyle w:val="style0"/>
              <w:jc w:val="center"/>
              <w:rPr>
                <w:rFonts w:cs="Times New Roman"/>
                <w:sz w:val="20"/>
                <w:szCs w:val="20"/>
              </w:rPr>
            </w:pPr>
            <w:r>
              <w:rPr>
                <w:rFonts w:cs="Times New Roman"/>
                <w:sz w:val="20"/>
                <w:szCs w:val="20"/>
              </w:rPr>
              <w:t>0.088</w:t>
            </w:r>
          </w:p>
        </w:tc>
        <w:tc>
          <w:tcPr>
            <w:tcW w:w="1098" w:type="dxa"/>
            <w:tcBorders/>
            <w:noWrap/>
            <w:hideMark/>
          </w:tcPr>
          <w:p>
            <w:pPr>
              <w:pStyle w:val="style0"/>
              <w:jc w:val="center"/>
              <w:rPr>
                <w:rFonts w:cs="Times New Roman"/>
                <w:sz w:val="20"/>
                <w:szCs w:val="20"/>
              </w:rPr>
            </w:pPr>
            <w:r>
              <w:rPr>
                <w:rFonts w:cs="Times New Roman"/>
                <w:sz w:val="20"/>
                <w:szCs w:val="20"/>
              </w:rPr>
              <w:t>1.038</w:t>
            </w:r>
          </w:p>
        </w:tc>
        <w:tc>
          <w:tcPr>
            <w:tcW w:w="906" w:type="dxa"/>
            <w:tcBorders/>
            <w:noWrap/>
            <w:hideMark/>
          </w:tcPr>
          <w:p>
            <w:pPr>
              <w:pStyle w:val="style0"/>
              <w:jc w:val="center"/>
              <w:rPr>
                <w:rFonts w:cs="Times New Roman"/>
                <w:sz w:val="20"/>
                <w:szCs w:val="20"/>
              </w:rPr>
            </w:pPr>
            <w:r>
              <w:rPr>
                <w:rFonts w:cs="Times New Roman"/>
                <w:sz w:val="20"/>
                <w:szCs w:val="20"/>
              </w:rPr>
              <w:t>0.300</w:t>
            </w:r>
          </w:p>
        </w:tc>
      </w:tr>
      <w:tr>
        <w:tblPrEx/>
        <w:trPr>
          <w:trHeight w:val="310" w:hRule="atLeast"/>
        </w:trPr>
        <w:tc>
          <w:tcPr>
            <w:tcW w:w="335" w:type="dxa"/>
            <w:vMerge w:val="continue"/>
            <w:tcBorders/>
            <w:hideMark/>
          </w:tcPr>
          <w:p>
            <w:pPr>
              <w:pStyle w:val="style0"/>
              <w:jc w:val="center"/>
              <w:rPr>
                <w:sz w:val="20"/>
                <w:szCs w:val="20"/>
              </w:rPr>
            </w:pPr>
          </w:p>
        </w:tc>
        <w:tc>
          <w:tcPr>
            <w:tcW w:w="1730" w:type="dxa"/>
            <w:tcBorders/>
            <w:hideMark/>
          </w:tcPr>
          <w:p>
            <w:pPr>
              <w:pStyle w:val="style0"/>
              <w:rPr>
                <w:sz w:val="20"/>
                <w:szCs w:val="20"/>
              </w:rPr>
            </w:pPr>
            <w:r>
              <w:rPr>
                <w:sz w:val="20"/>
                <w:szCs w:val="20"/>
              </w:rPr>
              <w:t>Institutional Ownership</w:t>
            </w:r>
          </w:p>
        </w:tc>
        <w:tc>
          <w:tcPr>
            <w:tcW w:w="900" w:type="dxa"/>
            <w:tcBorders/>
            <w:noWrap/>
            <w:hideMark/>
          </w:tcPr>
          <w:p>
            <w:pPr>
              <w:pStyle w:val="style0"/>
              <w:jc w:val="center"/>
              <w:rPr>
                <w:rFonts w:cs="Times New Roman"/>
                <w:sz w:val="20"/>
                <w:szCs w:val="20"/>
              </w:rPr>
            </w:pPr>
            <w:r>
              <w:rPr>
                <w:rFonts w:cs="Times New Roman"/>
                <w:sz w:val="20"/>
                <w:szCs w:val="20"/>
              </w:rPr>
              <w:t>1.376</w:t>
            </w:r>
          </w:p>
        </w:tc>
        <w:tc>
          <w:tcPr>
            <w:tcW w:w="1354" w:type="dxa"/>
            <w:tcBorders/>
            <w:noWrap/>
            <w:hideMark/>
          </w:tcPr>
          <w:p>
            <w:pPr>
              <w:pStyle w:val="style0"/>
              <w:jc w:val="center"/>
              <w:rPr>
                <w:rFonts w:cs="Times New Roman"/>
                <w:sz w:val="20"/>
                <w:szCs w:val="20"/>
              </w:rPr>
            </w:pPr>
            <w:r>
              <w:rPr>
                <w:rFonts w:cs="Times New Roman"/>
                <w:sz w:val="20"/>
                <w:szCs w:val="20"/>
              </w:rPr>
              <w:t>0.473</w:t>
            </w:r>
          </w:p>
        </w:tc>
        <w:tc>
          <w:tcPr>
            <w:tcW w:w="1604" w:type="dxa"/>
            <w:tcBorders/>
            <w:noWrap/>
            <w:hideMark/>
          </w:tcPr>
          <w:p>
            <w:pPr>
              <w:pStyle w:val="style0"/>
              <w:jc w:val="center"/>
              <w:rPr>
                <w:rFonts w:cs="Times New Roman"/>
                <w:sz w:val="20"/>
                <w:szCs w:val="20"/>
              </w:rPr>
            </w:pPr>
            <w:r>
              <w:rPr>
                <w:rFonts w:cs="Times New Roman"/>
                <w:sz w:val="20"/>
                <w:szCs w:val="20"/>
              </w:rPr>
              <w:t>0.241</w:t>
            </w:r>
          </w:p>
        </w:tc>
        <w:tc>
          <w:tcPr>
            <w:tcW w:w="1098" w:type="dxa"/>
            <w:tcBorders/>
            <w:noWrap/>
            <w:hideMark/>
          </w:tcPr>
          <w:p>
            <w:pPr>
              <w:pStyle w:val="style0"/>
              <w:jc w:val="center"/>
              <w:rPr>
                <w:rFonts w:cs="Times New Roman"/>
                <w:sz w:val="20"/>
                <w:szCs w:val="20"/>
              </w:rPr>
            </w:pPr>
            <w:r>
              <w:rPr>
                <w:rFonts w:cs="Times New Roman"/>
                <w:sz w:val="20"/>
                <w:szCs w:val="20"/>
              </w:rPr>
              <w:t>2.911</w:t>
            </w:r>
          </w:p>
        </w:tc>
        <w:tc>
          <w:tcPr>
            <w:tcW w:w="906" w:type="dxa"/>
            <w:tcBorders/>
            <w:noWrap/>
            <w:hideMark/>
          </w:tcPr>
          <w:p>
            <w:pPr>
              <w:pStyle w:val="style0"/>
              <w:jc w:val="center"/>
              <w:rPr>
                <w:rFonts w:cs="Times New Roman"/>
                <w:sz w:val="20"/>
                <w:szCs w:val="20"/>
              </w:rPr>
            </w:pPr>
            <w:r>
              <w:rPr>
                <w:rFonts w:cs="Times New Roman"/>
                <w:sz w:val="20"/>
                <w:szCs w:val="20"/>
              </w:rPr>
              <w:t>0.004</w:t>
            </w:r>
          </w:p>
        </w:tc>
      </w:tr>
    </w:tbl>
    <w:p>
      <w:pPr>
        <w:pStyle w:val="style0"/>
        <w:rPr>
          <w:i/>
          <w:iCs/>
          <w:sz w:val="20"/>
          <w:szCs w:val="20"/>
        </w:rPr>
      </w:pPr>
      <w:r>
        <w:rPr>
          <w:i/>
          <w:iCs/>
          <w:sz w:val="20"/>
          <w:szCs w:val="20"/>
        </w:rPr>
        <w:t>Sumber: Output SPSS 30, 2025</w:t>
      </w:r>
    </w:p>
    <w:p>
      <w:pPr>
        <w:pStyle w:val="style0"/>
        <w:tabs>
          <w:tab w:val="left" w:leader="none" w:pos="810"/>
        </w:tabs>
        <w:spacing w:after="0" w:lineRule="auto" w:line="480"/>
        <w:jc w:val="both"/>
        <w:rPr>
          <w:szCs w:val="24"/>
        </w:rPr>
      </w:pPr>
      <w:r>
        <w:rPr>
          <w:szCs w:val="24"/>
        </w:rPr>
        <w:tab/>
      </w:r>
      <w:r>
        <w:rPr>
          <w:szCs w:val="24"/>
        </w:rPr>
        <w:t xml:space="preserve">Berdasarkan tabel </w:t>
      </w:r>
      <w:r>
        <w:rPr>
          <w:szCs w:val="24"/>
        </w:rPr>
        <w:t>4.1</w:t>
      </w:r>
      <w:r>
        <w:rPr>
          <w:szCs w:val="24"/>
        </w:rPr>
        <w:t>2</w:t>
      </w:r>
      <w:r>
        <w:rPr>
          <w:szCs w:val="24"/>
        </w:rPr>
        <w:t xml:space="preserve">. </w:t>
      </w:r>
      <w:r>
        <w:rPr>
          <w:szCs w:val="24"/>
        </w:rPr>
        <w:t>hasil uji t</w:t>
      </w:r>
      <w:r>
        <w:rPr>
          <w:szCs w:val="24"/>
        </w:rPr>
        <w:t xml:space="preserve"> </w:t>
      </w:r>
      <w:r>
        <w:rPr>
          <w:szCs w:val="24"/>
        </w:rPr>
        <w:t>diatas</w:t>
      </w:r>
      <w:r>
        <w:rPr>
          <w:szCs w:val="24"/>
        </w:rPr>
        <w:t xml:space="preserve"> dapat dijelaskan sebagai berikut:</w:t>
      </w:r>
    </w:p>
    <w:p>
      <w:pPr>
        <w:pStyle w:val="style179"/>
        <w:numPr>
          <w:ilvl w:val="0"/>
          <w:numId w:val="13"/>
        </w:numPr>
        <w:spacing w:after="0" w:lineRule="auto" w:line="480"/>
        <w:ind w:left="360"/>
        <w:jc w:val="both"/>
        <w:rPr>
          <w:i/>
          <w:iCs/>
          <w:szCs w:val="24"/>
        </w:rPr>
      </w:pPr>
      <w:r>
        <w:rPr>
          <w:szCs w:val="24"/>
        </w:rPr>
        <w:t>Hasil pengujian menunjukkan bahwa nilai koe</w:t>
      </w:r>
      <w:r>
        <w:rPr>
          <w:szCs w:val="24"/>
        </w:rPr>
        <w:t>f</w:t>
      </w:r>
      <w:r>
        <w:rPr>
          <w:szCs w:val="24"/>
        </w:rPr>
        <w:t xml:space="preserve">isien </w:t>
      </w:r>
      <w:r>
        <w:rPr>
          <w:i/>
          <w:iCs/>
          <w:szCs w:val="24"/>
        </w:rPr>
        <w:t xml:space="preserve">enterprise risk management </w:t>
      </w:r>
      <w:r>
        <w:rPr>
          <w:szCs w:val="24"/>
        </w:rPr>
        <w:t>sebesar 0,</w:t>
      </w:r>
      <w:r>
        <w:rPr>
          <w:szCs w:val="24"/>
        </w:rPr>
        <w:t>984</w:t>
      </w:r>
      <w:r>
        <w:rPr>
          <w:szCs w:val="24"/>
        </w:rPr>
        <w:t xml:space="preserve"> dengan signifikansi 0,</w:t>
      </w:r>
      <w:r>
        <w:rPr>
          <w:szCs w:val="24"/>
        </w:rPr>
        <w:t>122</w:t>
      </w:r>
      <w:r>
        <w:rPr>
          <w:szCs w:val="24"/>
        </w:rPr>
        <w:t xml:space="preserve">. </w:t>
      </w:r>
      <w:r>
        <w:rPr>
          <w:szCs w:val="24"/>
        </w:rPr>
        <w:t>Nilai signifikansi lebih dari 0,05 (</w:t>
      </w:r>
      <w:r>
        <w:rPr>
          <w:szCs w:val="24"/>
        </w:rPr>
        <w:t>0,122</w:t>
      </w:r>
      <w:r>
        <w:rPr>
          <w:szCs w:val="24"/>
        </w:rPr>
        <w:t xml:space="preserve"> </w:t>
      </w:r>
      <w:r>
        <w:rPr>
          <w:szCs w:val="24"/>
        </w:rPr>
        <w:t>&gt; 0,</w:t>
      </w:r>
      <w:r>
        <w:rPr>
          <w:szCs w:val="24"/>
        </w:rPr>
        <w:t>05</w:t>
      </w:r>
      <w:r>
        <w:rPr>
          <w:szCs w:val="24"/>
        </w:rPr>
        <w:t xml:space="preserve">) yang </w:t>
      </w:r>
      <w:r>
        <w:rPr>
          <w:szCs w:val="24"/>
        </w:rPr>
        <w:t>menunjukkan bahwa</w:t>
      </w:r>
      <w:r>
        <w:rPr>
          <w:szCs w:val="24"/>
        </w:rPr>
        <w:t xml:space="preserve"> </w:t>
      </w:r>
      <w:r>
        <w:rPr>
          <w:i/>
          <w:iCs/>
          <w:szCs w:val="24"/>
        </w:rPr>
        <w:t xml:space="preserve">enterprise risk management </w:t>
      </w:r>
      <w:r>
        <w:rPr>
          <w:szCs w:val="24"/>
        </w:rPr>
        <w:t xml:space="preserve">tidak </w:t>
      </w:r>
      <w:r>
        <w:rPr>
          <w:szCs w:val="24"/>
        </w:rPr>
        <w:t>berpengaruh</w:t>
      </w:r>
      <w:r>
        <w:rPr>
          <w:szCs w:val="24"/>
        </w:rPr>
        <w:t xml:space="preserve"> </w:t>
      </w:r>
      <w:r>
        <w:rPr>
          <w:szCs w:val="24"/>
        </w:rPr>
        <w:t xml:space="preserve">signifikan terhadap </w:t>
      </w:r>
      <w:r>
        <w:rPr>
          <w:i/>
          <w:iCs/>
          <w:szCs w:val="24"/>
        </w:rPr>
        <w:t>firm value</w:t>
      </w:r>
      <w:r>
        <w:rPr>
          <w:i/>
          <w:iCs/>
          <w:szCs w:val="24"/>
        </w:rPr>
        <w:t>.</w:t>
      </w:r>
      <w:r>
        <w:rPr>
          <w:szCs w:val="24"/>
        </w:rPr>
        <w:t xml:space="preserve"> Hal ini dapat disimpulkan bahwa </w:t>
      </w:r>
      <w:r>
        <w:rPr>
          <w:b/>
          <w:bCs/>
          <w:szCs w:val="24"/>
        </w:rPr>
        <w:t>hipotesis pertama ditolak</w:t>
      </w:r>
      <w:r>
        <w:rPr>
          <w:b/>
          <w:bCs/>
          <w:szCs w:val="24"/>
        </w:rPr>
        <w:t xml:space="preserve"> </w:t>
      </w:r>
      <w:r>
        <w:rPr>
          <w:szCs w:val="24"/>
        </w:rPr>
        <w:t xml:space="preserve">yang menyatakan </w:t>
      </w:r>
      <w:r>
        <w:rPr>
          <w:i/>
          <w:iCs/>
          <w:szCs w:val="24"/>
        </w:rPr>
        <w:t xml:space="preserve">enterprise risk management </w:t>
      </w:r>
      <w:r>
        <w:rPr>
          <w:szCs w:val="24"/>
        </w:rPr>
        <w:t xml:space="preserve">berpengaruh signifikan positif terhadap </w:t>
      </w:r>
      <w:r>
        <w:rPr>
          <w:i/>
          <w:iCs/>
          <w:szCs w:val="24"/>
        </w:rPr>
        <w:t>firm value</w:t>
      </w:r>
      <w:r>
        <w:rPr>
          <w:szCs w:val="24"/>
        </w:rPr>
        <w:t>.</w:t>
      </w:r>
    </w:p>
    <w:p>
      <w:pPr>
        <w:pStyle w:val="style179"/>
        <w:numPr>
          <w:ilvl w:val="0"/>
          <w:numId w:val="13"/>
        </w:numPr>
        <w:spacing w:after="0" w:lineRule="auto" w:line="480"/>
        <w:ind w:left="360"/>
        <w:jc w:val="both"/>
        <w:rPr>
          <w:i/>
          <w:iCs/>
          <w:szCs w:val="24"/>
        </w:rPr>
      </w:pPr>
      <w:r>
        <w:rPr>
          <w:szCs w:val="24"/>
        </w:rPr>
        <w:t xml:space="preserve">Hasil pengujian menunjukkan bahwa nilai koefisien </w:t>
      </w:r>
      <w:r>
        <w:rPr>
          <w:i/>
          <w:iCs/>
          <w:szCs w:val="24"/>
        </w:rPr>
        <w:t xml:space="preserve">managerial ownership </w:t>
      </w:r>
      <w:r>
        <w:rPr>
          <w:szCs w:val="24"/>
        </w:rPr>
        <w:t xml:space="preserve">sebesar </w:t>
      </w:r>
      <w:r>
        <w:rPr>
          <w:szCs w:val="24"/>
        </w:rPr>
        <w:t>0,956</w:t>
      </w:r>
      <w:r>
        <w:rPr>
          <w:szCs w:val="24"/>
        </w:rPr>
        <w:t xml:space="preserve"> dengan nilai signifikansi 0,</w:t>
      </w:r>
      <w:r>
        <w:rPr>
          <w:szCs w:val="24"/>
        </w:rPr>
        <w:t>300</w:t>
      </w:r>
      <w:r>
        <w:rPr>
          <w:szCs w:val="24"/>
        </w:rPr>
        <w:t xml:space="preserve">. Nilai signifikansi </w:t>
      </w:r>
      <w:r>
        <w:rPr>
          <w:szCs w:val="24"/>
        </w:rPr>
        <w:t>lebih</w:t>
      </w:r>
      <w:r>
        <w:rPr>
          <w:szCs w:val="24"/>
        </w:rPr>
        <w:t xml:space="preserve"> dari 0,05 (0,</w:t>
      </w:r>
      <w:r>
        <w:rPr>
          <w:szCs w:val="24"/>
        </w:rPr>
        <w:t>300</w:t>
      </w:r>
      <w:r>
        <w:rPr>
          <w:szCs w:val="24"/>
        </w:rPr>
        <w:t xml:space="preserve"> </w:t>
      </w:r>
      <w:r>
        <w:rPr>
          <w:szCs w:val="24"/>
        </w:rPr>
        <w:t>&gt;</w:t>
      </w:r>
      <w:r>
        <w:rPr>
          <w:szCs w:val="24"/>
        </w:rPr>
        <w:t xml:space="preserve"> 0</w:t>
      </w:r>
      <w:r>
        <w:rPr>
          <w:szCs w:val="24"/>
        </w:rPr>
        <w:t>,05</w:t>
      </w:r>
      <w:r>
        <w:rPr>
          <w:szCs w:val="24"/>
        </w:rPr>
        <w:t>) yang menunjukkan bahwa</w:t>
      </w:r>
      <w:r>
        <w:rPr>
          <w:i/>
          <w:iCs/>
          <w:szCs w:val="24"/>
        </w:rPr>
        <w:t xml:space="preserve"> </w:t>
      </w:r>
      <w:r>
        <w:rPr>
          <w:i/>
          <w:iCs/>
          <w:szCs w:val="24"/>
        </w:rPr>
        <w:t xml:space="preserve">managerial ownership </w:t>
      </w:r>
      <w:r>
        <w:rPr>
          <w:szCs w:val="24"/>
        </w:rPr>
        <w:t xml:space="preserve">tidak </w:t>
      </w:r>
      <w:r>
        <w:rPr>
          <w:szCs w:val="24"/>
        </w:rPr>
        <w:t>berpengaruh</w:t>
      </w:r>
      <w:r>
        <w:rPr>
          <w:szCs w:val="24"/>
        </w:rPr>
        <w:t xml:space="preserve"> </w:t>
      </w:r>
      <w:r>
        <w:rPr>
          <w:szCs w:val="24"/>
        </w:rPr>
        <w:t>signifikan</w:t>
      </w:r>
      <w:r>
        <w:rPr>
          <w:szCs w:val="24"/>
        </w:rPr>
        <w:t xml:space="preserve"> </w:t>
      </w:r>
      <w:r>
        <w:rPr>
          <w:szCs w:val="24"/>
        </w:rPr>
        <w:t xml:space="preserve">terhadap </w:t>
      </w:r>
      <w:r>
        <w:rPr>
          <w:i/>
          <w:iCs/>
          <w:szCs w:val="24"/>
        </w:rPr>
        <w:t>firm value</w:t>
      </w:r>
      <w:r>
        <w:rPr>
          <w:i/>
          <w:iCs/>
          <w:szCs w:val="24"/>
        </w:rPr>
        <w:t xml:space="preserve">. </w:t>
      </w:r>
      <w:r>
        <w:rPr>
          <w:szCs w:val="24"/>
        </w:rPr>
        <w:t xml:space="preserve">Hal ini dapat disimpulkan bahwa </w:t>
      </w:r>
      <w:r>
        <w:rPr>
          <w:b/>
          <w:bCs/>
          <w:szCs w:val="24"/>
        </w:rPr>
        <w:t>hipotesis kedua ditolak</w:t>
      </w:r>
      <w:r>
        <w:rPr>
          <w:b/>
          <w:bCs/>
          <w:szCs w:val="24"/>
        </w:rPr>
        <w:t xml:space="preserve"> </w:t>
      </w:r>
      <w:r>
        <w:rPr>
          <w:szCs w:val="24"/>
        </w:rPr>
        <w:t xml:space="preserve">yang menyatakan </w:t>
      </w:r>
      <w:r>
        <w:rPr>
          <w:i/>
          <w:iCs/>
          <w:szCs w:val="24"/>
        </w:rPr>
        <w:t xml:space="preserve">managerial ownership </w:t>
      </w:r>
      <w:r>
        <w:rPr>
          <w:szCs w:val="24"/>
        </w:rPr>
        <w:t xml:space="preserve">berpengaruh signifikan positif terhadap </w:t>
      </w:r>
      <w:r>
        <w:rPr>
          <w:i/>
          <w:iCs/>
          <w:szCs w:val="24"/>
        </w:rPr>
        <w:t>firm value</w:t>
      </w:r>
      <w:r>
        <w:rPr>
          <w:szCs w:val="24"/>
        </w:rPr>
        <w:t>.</w:t>
      </w:r>
    </w:p>
    <w:p>
      <w:pPr>
        <w:pStyle w:val="style179"/>
        <w:numPr>
          <w:ilvl w:val="0"/>
          <w:numId w:val="13"/>
        </w:numPr>
        <w:spacing w:after="0" w:lineRule="auto" w:line="480"/>
        <w:ind w:left="360"/>
        <w:jc w:val="both"/>
        <w:rPr>
          <w:i/>
          <w:iCs/>
          <w:szCs w:val="24"/>
        </w:rPr>
      </w:pPr>
      <w:r>
        <w:rPr>
          <w:szCs w:val="24"/>
        </w:rPr>
        <w:t>Hasil pengujian menunjukkan bahwa nilai koefisien</w:t>
      </w:r>
      <w:r>
        <w:rPr>
          <w:szCs w:val="24"/>
        </w:rPr>
        <w:t xml:space="preserve"> </w:t>
      </w:r>
      <w:r>
        <w:rPr>
          <w:i/>
          <w:iCs/>
          <w:szCs w:val="24"/>
        </w:rPr>
        <w:t xml:space="preserve">institutional ownership </w:t>
      </w:r>
      <w:r>
        <w:rPr>
          <w:szCs w:val="24"/>
        </w:rPr>
        <w:t xml:space="preserve">sebesar </w:t>
      </w:r>
      <w:r>
        <w:rPr>
          <w:szCs w:val="24"/>
        </w:rPr>
        <w:t>1,376</w:t>
      </w:r>
      <w:r>
        <w:rPr>
          <w:szCs w:val="24"/>
        </w:rPr>
        <w:t xml:space="preserve"> dengan nilai signifikansi 0,</w:t>
      </w:r>
      <w:r>
        <w:rPr>
          <w:szCs w:val="24"/>
        </w:rPr>
        <w:t>004</w:t>
      </w:r>
      <w:r>
        <w:rPr>
          <w:szCs w:val="24"/>
        </w:rPr>
        <w:t>.</w:t>
      </w:r>
      <w:r>
        <w:rPr>
          <w:szCs w:val="24"/>
        </w:rPr>
        <w:t xml:space="preserve"> Nilai signifikansi </w:t>
      </w:r>
      <w:r>
        <w:rPr>
          <w:szCs w:val="24"/>
        </w:rPr>
        <w:t>kurang</w:t>
      </w:r>
      <w:r>
        <w:rPr>
          <w:szCs w:val="24"/>
        </w:rPr>
        <w:t xml:space="preserve"> dari 0,05 (0,0</w:t>
      </w:r>
      <w:r>
        <w:rPr>
          <w:szCs w:val="24"/>
        </w:rPr>
        <w:t>4</w:t>
      </w:r>
      <w:r>
        <w:rPr>
          <w:szCs w:val="24"/>
        </w:rPr>
        <w:t xml:space="preserve"> </w:t>
      </w:r>
      <w:r>
        <w:rPr>
          <w:szCs w:val="24"/>
        </w:rPr>
        <w:t>&lt;</w:t>
      </w:r>
      <w:r>
        <w:rPr>
          <w:szCs w:val="24"/>
        </w:rPr>
        <w:t xml:space="preserve"> 0,</w:t>
      </w:r>
      <w:r>
        <w:rPr>
          <w:szCs w:val="24"/>
        </w:rPr>
        <w:t>05</w:t>
      </w:r>
      <w:r>
        <w:rPr>
          <w:szCs w:val="24"/>
        </w:rPr>
        <w:t>) yang menunjukkan bahwa</w:t>
      </w:r>
      <w:r>
        <w:rPr>
          <w:szCs w:val="24"/>
        </w:rPr>
        <w:t xml:space="preserve"> hipotesis ketiga yaitu </w:t>
      </w:r>
      <w:r>
        <w:rPr>
          <w:i/>
          <w:iCs/>
          <w:szCs w:val="24"/>
        </w:rPr>
        <w:t xml:space="preserve">institutional ownership </w:t>
      </w:r>
      <w:r>
        <w:rPr>
          <w:szCs w:val="24"/>
        </w:rPr>
        <w:t>berpengaruh</w:t>
      </w:r>
      <w:r>
        <w:rPr>
          <w:szCs w:val="24"/>
        </w:rPr>
        <w:t xml:space="preserve"> </w:t>
      </w:r>
      <w:r>
        <w:rPr>
          <w:szCs w:val="24"/>
        </w:rPr>
        <w:t>signifikan</w:t>
      </w:r>
      <w:r>
        <w:rPr>
          <w:szCs w:val="24"/>
        </w:rPr>
        <w:t xml:space="preserve"> </w:t>
      </w:r>
      <w:r>
        <w:rPr>
          <w:szCs w:val="24"/>
        </w:rPr>
        <w:t xml:space="preserve">positif </w:t>
      </w:r>
      <w:r>
        <w:rPr>
          <w:szCs w:val="24"/>
        </w:rPr>
        <w:t xml:space="preserve">terhadap </w:t>
      </w:r>
      <w:r>
        <w:rPr>
          <w:i/>
          <w:iCs/>
          <w:szCs w:val="24"/>
        </w:rPr>
        <w:t>firm value</w:t>
      </w:r>
      <w:r>
        <w:rPr>
          <w:i/>
          <w:iCs/>
          <w:szCs w:val="24"/>
        </w:rPr>
        <w:t xml:space="preserve">. </w:t>
      </w:r>
      <w:r>
        <w:rPr>
          <w:szCs w:val="24"/>
        </w:rPr>
        <w:t xml:space="preserve">Hal ini dapat disimpulkan bahwa </w:t>
      </w:r>
      <w:r>
        <w:rPr>
          <w:b/>
          <w:bCs/>
          <w:szCs w:val="24"/>
        </w:rPr>
        <w:t>hipotesis ketiga di</w:t>
      </w:r>
      <w:r>
        <w:rPr>
          <w:b/>
          <w:bCs/>
          <w:szCs w:val="24"/>
        </w:rPr>
        <w:t>terima</w:t>
      </w:r>
      <w:r>
        <w:rPr>
          <w:b/>
          <w:bCs/>
          <w:szCs w:val="24"/>
        </w:rPr>
        <w:t xml:space="preserve"> </w:t>
      </w:r>
      <w:r>
        <w:rPr>
          <w:szCs w:val="24"/>
        </w:rPr>
        <w:t xml:space="preserve">yang menyatakan </w:t>
      </w:r>
      <w:r>
        <w:rPr>
          <w:i/>
          <w:iCs/>
          <w:szCs w:val="24"/>
        </w:rPr>
        <w:t xml:space="preserve">institutional ownership </w:t>
      </w:r>
      <w:r>
        <w:rPr>
          <w:szCs w:val="24"/>
        </w:rPr>
        <w:t xml:space="preserve">berpengaruh signifikan positif terhadap </w:t>
      </w:r>
      <w:r>
        <w:rPr>
          <w:i/>
          <w:iCs/>
          <w:szCs w:val="24"/>
        </w:rPr>
        <w:t>firm value</w:t>
      </w:r>
      <w:r>
        <w:rPr>
          <w:szCs w:val="24"/>
        </w:rPr>
        <w:t>.</w:t>
      </w:r>
    </w:p>
    <w:bookmarkStart w:id="113" w:name="_Toc218854637"/>
    <w:p>
      <w:pPr>
        <w:pStyle w:val="style2"/>
        <w:tabs>
          <w:tab w:val="left" w:leader="none" w:pos="810"/>
        </w:tabs>
        <w:spacing w:lineRule="auto" w:line="480"/>
        <w:rPr/>
      </w:pPr>
      <w:r>
        <w:t xml:space="preserve">4.3. </w:t>
      </w:r>
      <w:r>
        <w:tab/>
      </w:r>
      <w:r>
        <w:t>Pembahasan Hasil Penelitian</w:t>
      </w:r>
      <w:bookmarkEnd w:id="113"/>
      <w:r>
        <w:t xml:space="preserve"> </w:t>
      </w:r>
    </w:p>
    <w:bookmarkStart w:id="114" w:name="_Toc218854638"/>
    <w:p>
      <w:pPr>
        <w:pStyle w:val="style3"/>
        <w:rPr/>
      </w:pPr>
      <w:r>
        <w:t xml:space="preserve">4.3.1. </w:t>
      </w:r>
      <w:r>
        <w:tab/>
      </w:r>
      <w:r>
        <w:tab/>
      </w:r>
      <w:r>
        <w:t xml:space="preserve">Pengaruh </w:t>
      </w:r>
      <w:r>
        <w:rPr>
          <w:i/>
          <w:iCs/>
        </w:rPr>
        <w:t>Enterprise Risk Management</w:t>
      </w:r>
      <w:r>
        <w:t xml:space="preserve"> terhadap </w:t>
      </w:r>
      <w:r>
        <w:rPr>
          <w:i/>
          <w:iCs/>
        </w:rPr>
        <w:t>Firm Value</w:t>
      </w:r>
      <w:bookmarkEnd w:id="114"/>
      <w:r>
        <w:t xml:space="preserve"> </w:t>
      </w:r>
    </w:p>
    <w:p>
      <w:pPr>
        <w:pStyle w:val="style0"/>
        <w:tabs>
          <w:tab w:val="left" w:leader="none" w:pos="810"/>
        </w:tabs>
        <w:spacing w:after="0" w:lineRule="auto" w:line="480"/>
        <w:jc w:val="both"/>
        <w:rPr>
          <w:szCs w:val="24"/>
        </w:rPr>
      </w:pPr>
      <w:r>
        <w:tab/>
      </w:r>
      <w:r>
        <w:t xml:space="preserve">Hasil dari pengujian hipotesis menunjukkan bahwa </w:t>
      </w:r>
      <w:r>
        <w:rPr>
          <w:i/>
          <w:iCs/>
        </w:rPr>
        <w:t xml:space="preserve">enterprise risk management </w:t>
      </w:r>
      <w:r>
        <w:t xml:space="preserve">tidak </w:t>
      </w:r>
      <w:r>
        <w:t xml:space="preserve">berpengaruh signifikan terhadap </w:t>
      </w:r>
      <w:r>
        <w:rPr>
          <w:i/>
          <w:iCs/>
        </w:rPr>
        <w:t>firm value</w:t>
      </w:r>
      <w:r>
        <w:rPr>
          <w:i/>
          <w:iCs/>
        </w:rPr>
        <w:t xml:space="preserve"> </w:t>
      </w:r>
      <w:r>
        <w:t xml:space="preserve">yang menunjukkan nilai koefisien regresi </w:t>
      </w:r>
      <w:r>
        <w:rPr>
          <w:szCs w:val="24"/>
        </w:rPr>
        <w:t xml:space="preserve">sebesar 0,984 dengan signifikansi </w:t>
      </w:r>
      <w:r>
        <w:rPr>
          <w:szCs w:val="24"/>
        </w:rPr>
        <w:t xml:space="preserve">lebih dari 0,05 </w:t>
      </w:r>
      <w:r>
        <w:rPr>
          <w:szCs w:val="24"/>
        </w:rPr>
        <w:t>(0,122 &gt; 0,05)</w:t>
      </w:r>
      <w:r>
        <w:rPr>
          <w:szCs w:val="24"/>
        </w:rPr>
        <w:t xml:space="preserve">. </w:t>
      </w:r>
      <w:r>
        <w:rPr>
          <w:szCs w:val="24"/>
        </w:rPr>
        <w:t>Temuan ini mengindikasi</w:t>
      </w:r>
      <w:r>
        <w:rPr>
          <w:szCs w:val="24"/>
        </w:rPr>
        <w:t>kan</w:t>
      </w:r>
      <w:r>
        <w:rPr>
          <w:szCs w:val="24"/>
        </w:rPr>
        <w:t xml:space="preserve"> </w:t>
      </w:r>
      <w:r>
        <w:rPr>
          <w:szCs w:val="24"/>
        </w:rPr>
        <w:t xml:space="preserve">bahwa hipotesis pertama ditolak </w:t>
      </w:r>
      <w:r>
        <w:rPr>
          <w:szCs w:val="24"/>
        </w:rPr>
        <w:t>atau tidak terbukti</w:t>
      </w:r>
      <w:r>
        <w:rPr>
          <w:szCs w:val="24"/>
        </w:rPr>
        <w:t xml:space="preserve"> </w:t>
      </w:r>
      <w:r>
        <w:rPr>
          <w:i/>
          <w:iCs/>
          <w:szCs w:val="24"/>
        </w:rPr>
        <w:t xml:space="preserve">enterprise risk management </w:t>
      </w:r>
      <w:r>
        <w:rPr>
          <w:szCs w:val="24"/>
        </w:rPr>
        <w:t>merupakan</w:t>
      </w:r>
      <w:r>
        <w:rPr>
          <w:szCs w:val="24"/>
        </w:rPr>
        <w:t xml:space="preserve"> penyebab yang signifikan untuk mempengaruhi </w:t>
      </w:r>
      <w:r>
        <w:rPr>
          <w:i/>
          <w:iCs/>
          <w:szCs w:val="24"/>
        </w:rPr>
        <w:t xml:space="preserve">firm value. </w:t>
      </w:r>
    </w:p>
    <w:p>
      <w:pPr>
        <w:pStyle w:val="style0"/>
        <w:tabs>
          <w:tab w:val="left" w:leader="none" w:pos="810"/>
        </w:tabs>
        <w:spacing w:after="0" w:lineRule="auto" w:line="480"/>
        <w:jc w:val="both"/>
        <w:rPr>
          <w:i/>
          <w:iCs/>
          <w:szCs w:val="24"/>
        </w:rPr>
      </w:pPr>
      <w:r>
        <w:rPr>
          <w:szCs w:val="24"/>
        </w:rPr>
        <w:tab/>
      </w:r>
      <w:r>
        <w:rPr>
          <w:szCs w:val="24"/>
        </w:rPr>
        <w:t>Temuan</w:t>
      </w:r>
      <w:r>
        <w:rPr>
          <w:szCs w:val="24"/>
        </w:rPr>
        <w:t xml:space="preserve"> ini</w:t>
      </w:r>
      <w:r>
        <w:rPr>
          <w:szCs w:val="24"/>
        </w:rPr>
        <w:t xml:space="preserve"> mengindikasikan bahwa </w:t>
      </w:r>
      <w:r>
        <w:rPr>
          <w:i/>
          <w:iCs/>
          <w:szCs w:val="24"/>
        </w:rPr>
        <w:t xml:space="preserve">signalling theory </w:t>
      </w:r>
      <w:r>
        <w:rPr>
          <w:szCs w:val="24"/>
        </w:rPr>
        <w:t>tidak se</w:t>
      </w:r>
      <w:r>
        <w:rPr>
          <w:szCs w:val="24"/>
        </w:rPr>
        <w:t>jal</w:t>
      </w:r>
      <w:r>
        <w:rPr>
          <w:szCs w:val="24"/>
        </w:rPr>
        <w:t xml:space="preserve">an </w:t>
      </w:r>
      <w:r>
        <w:rPr>
          <w:szCs w:val="24"/>
        </w:rPr>
        <w:t>pada</w:t>
      </w:r>
      <w:r>
        <w:rPr>
          <w:szCs w:val="24"/>
        </w:rPr>
        <w:t xml:space="preserve"> penelitian ini. </w:t>
      </w:r>
      <w:r>
        <w:rPr>
          <w:i/>
          <w:iCs/>
          <w:szCs w:val="24"/>
        </w:rPr>
        <w:t>Signalling theory</w:t>
      </w:r>
      <w:r>
        <w:rPr>
          <w:szCs w:val="24"/>
        </w:rPr>
        <w:t xml:space="preserve"> menjelaskan bahwa </w:t>
      </w:r>
      <w:r>
        <w:rPr>
          <w:rFonts w:cs="Times New Roman"/>
          <w:color w:val="000000"/>
        </w:rPr>
        <w:t xml:space="preserve">penerapan </w:t>
      </w:r>
      <w:r>
        <w:rPr>
          <w:rFonts w:cs="Times New Roman"/>
          <w:i/>
          <w:iCs/>
          <w:color w:val="000000"/>
        </w:rPr>
        <w:t>enterprise risk management</w:t>
      </w:r>
      <w:r>
        <w:rPr>
          <w:rFonts w:cs="Times New Roman"/>
          <w:color w:val="000000"/>
        </w:rPr>
        <w:t xml:space="preserve"> </w:t>
      </w:r>
      <w:r>
        <w:rPr>
          <w:rFonts w:cs="Times New Roman"/>
          <w:color w:val="000000"/>
        </w:rPr>
        <w:t>dapat</w:t>
      </w:r>
      <w:r>
        <w:rPr>
          <w:rFonts w:cs="Times New Roman"/>
          <w:color w:val="000000"/>
        </w:rPr>
        <w:t xml:space="preserve"> </w:t>
      </w:r>
      <w:r>
        <w:rPr>
          <w:rFonts w:cs="Times New Roman"/>
          <w:color w:val="000000"/>
        </w:rPr>
        <w:t>mengurangi adanya ketidakseimbangan atau asimetri informasi yang terjadi antara perusahaan dan pihak eksternal</w:t>
      </w:r>
      <w:r>
        <w:rPr>
          <w:rFonts w:cs="Times New Roman"/>
          <w:i/>
          <w:iCs/>
          <w:color w:val="000000"/>
        </w:rPr>
        <w:t>.</w:t>
      </w:r>
      <w:r>
        <w:rPr>
          <w:rFonts w:cs="Times New Roman"/>
          <w:color w:val="000000"/>
        </w:rPr>
        <w:t xml:space="preserve"> P</w:t>
      </w:r>
      <w:r>
        <w:rPr>
          <w:rFonts w:cs="Times New Roman"/>
        </w:rPr>
        <w:t>erusahaan memberikan informasi sama dengan pihak eksternal sehingga memberikan sinyal dan kepercayaan maupun loyalitas pemegang saham dan investor untuk berinvestasi</w:t>
      </w:r>
      <w:r>
        <w:rPr>
          <w:rFonts w:cs="Times New Roman"/>
        </w:rPr>
        <w:t xml:space="preserve"> sehingga</w:t>
      </w:r>
      <w:r>
        <w:rPr>
          <w:rFonts w:cs="Times New Roman"/>
        </w:rPr>
        <w:t xml:space="preserve"> terciptanya kenaikan </w:t>
      </w:r>
      <w:r>
        <w:rPr>
          <w:rFonts w:cs="Times New Roman"/>
          <w:i/>
          <w:iCs/>
        </w:rPr>
        <w:t>firm value.</w:t>
      </w:r>
      <w:r>
        <w:rPr>
          <w:rFonts w:cs="Times New Roman"/>
        </w:rPr>
        <w:t xml:space="preserve"> </w:t>
      </w:r>
      <w:r>
        <w:rPr>
          <w:rFonts w:cs="Times New Roman"/>
        </w:rPr>
        <w:t>Pada kenyataanya, i</w:t>
      </w:r>
      <w:r>
        <w:rPr>
          <w:rFonts w:cs="Times New Roman"/>
        </w:rPr>
        <w:t xml:space="preserve">nvestor tidak menjadikan </w:t>
      </w:r>
      <w:r>
        <w:rPr>
          <w:rFonts w:cs="Times New Roman"/>
        </w:rPr>
        <w:t xml:space="preserve">informasi </w:t>
      </w:r>
      <w:r>
        <w:rPr>
          <w:rFonts w:cs="Times New Roman"/>
          <w:i/>
          <w:iCs/>
        </w:rPr>
        <w:t xml:space="preserve">enterprise risk management </w:t>
      </w:r>
      <w:r>
        <w:rPr>
          <w:rFonts w:cs="Times New Roman"/>
        </w:rPr>
        <w:t xml:space="preserve">dalam laporan keuangan tahunan </w:t>
      </w:r>
      <w:r>
        <w:rPr>
          <w:rFonts w:cs="Times New Roman"/>
        </w:rPr>
        <w:t>sebagai acuan dalam mengambil keputusan untuk berinvestasi</w:t>
      </w:r>
      <w:r>
        <w:rPr>
          <w:rFonts w:cs="Times New Roman"/>
        </w:rPr>
        <w:t xml:space="preserve">, </w:t>
      </w:r>
      <w:r>
        <w:rPr>
          <w:rFonts w:cs="Times New Roman"/>
        </w:rPr>
        <w:t>wa</w:t>
      </w:r>
      <w:r>
        <w:rPr>
          <w:rFonts w:cs="Times New Roman"/>
        </w:rPr>
        <w:t xml:space="preserve">laupun perusahaan telah mengungkapkannya dengan cukup baik. Dengan kata lain, </w:t>
      </w:r>
      <w:r>
        <w:rPr>
          <w:rFonts w:cs="Times New Roman"/>
        </w:rPr>
        <w:t xml:space="preserve">informasi pengungkapan </w:t>
      </w:r>
      <w:r>
        <w:rPr>
          <w:rFonts w:cs="Times New Roman"/>
          <w:i/>
          <w:iCs/>
        </w:rPr>
        <w:t>enterprise risk management</w:t>
      </w:r>
      <w:r>
        <w:rPr>
          <w:rFonts w:cs="Times New Roman"/>
        </w:rPr>
        <w:t xml:space="preserve"> pada laporan keuangan tahunan</w:t>
      </w:r>
      <w:r>
        <w:rPr>
          <w:rFonts w:cs="Times New Roman"/>
          <w:i/>
          <w:iCs/>
        </w:rPr>
        <w:t xml:space="preserve"> </w:t>
      </w:r>
      <w:r>
        <w:rPr>
          <w:rFonts w:cs="Times New Roman"/>
        </w:rPr>
        <w:t>tidak memiliki hubungan</w:t>
      </w:r>
      <w:r>
        <w:rPr>
          <w:rFonts w:cs="Times New Roman"/>
        </w:rPr>
        <w:t xml:space="preserve"> untuk</w:t>
      </w:r>
      <w:r>
        <w:rPr>
          <w:rFonts w:cs="Times New Roman"/>
        </w:rPr>
        <w:t xml:space="preserve"> meningkatkan maupun menurunkan </w:t>
      </w:r>
      <w:r>
        <w:rPr>
          <w:rFonts w:cs="Times New Roman"/>
          <w:i/>
          <w:iCs/>
        </w:rPr>
        <w:t xml:space="preserve">firm value </w:t>
      </w:r>
      <w:r>
        <w:rPr>
          <w:rFonts w:cs="Times New Roman"/>
        </w:rPr>
        <w:t xml:space="preserve">karena tidak </w:t>
      </w:r>
      <w:r>
        <w:rPr>
          <w:rFonts w:cs="Times New Roman"/>
        </w:rPr>
        <w:t xml:space="preserve">cukup </w:t>
      </w:r>
      <w:r>
        <w:rPr>
          <w:rFonts w:cs="Times New Roman"/>
        </w:rPr>
        <w:t>memberikan kepercayaan maupun loyalitas pemegang saham</w:t>
      </w:r>
      <w:r>
        <w:rPr>
          <w:rFonts w:cs="Times New Roman"/>
        </w:rPr>
        <w:t xml:space="preserve"> dalam </w:t>
      </w:r>
      <w:r>
        <w:rPr>
          <w:rFonts w:cs="Times New Roman"/>
        </w:rPr>
        <w:t>berinvestasi</w:t>
      </w:r>
      <w:r>
        <w:rPr>
          <w:rFonts w:cs="Times New Roman"/>
          <w:i/>
          <w:iCs/>
        </w:rPr>
        <w:t>.</w:t>
      </w:r>
      <w:r>
        <w:rPr>
          <w:i/>
          <w:iCs/>
          <w:szCs w:val="24"/>
        </w:rPr>
        <w:t xml:space="preserve"> </w:t>
      </w:r>
    </w:p>
    <w:p>
      <w:pPr>
        <w:pStyle w:val="style0"/>
        <w:tabs>
          <w:tab w:val="left" w:leader="none" w:pos="810"/>
        </w:tabs>
        <w:spacing w:after="0" w:lineRule="auto" w:line="480"/>
        <w:jc w:val="both"/>
        <w:rPr>
          <w:szCs w:val="24"/>
        </w:rPr>
      </w:pPr>
      <w:r>
        <w:rPr>
          <w:szCs w:val="24"/>
        </w:rPr>
        <w:tab/>
      </w:r>
      <w:r>
        <w:rPr>
          <w:szCs w:val="24"/>
        </w:rPr>
        <w:t xml:space="preserve">Rendahnya persentase pengungkapan </w:t>
      </w:r>
      <w:r>
        <w:rPr>
          <w:i/>
          <w:iCs/>
          <w:szCs w:val="24"/>
        </w:rPr>
        <w:t xml:space="preserve">enterprise risk maagement </w:t>
      </w:r>
      <w:r>
        <w:rPr>
          <w:szCs w:val="24"/>
        </w:rPr>
        <w:t xml:space="preserve">dibuktikan pada tabel 4.1. hasil pengujian analisis statistik deskriptif, nilai minimum dan rata-rata sebesar 0,250 (25%) dan 0,594 (59,4%).  </w:t>
      </w:r>
      <w:r>
        <w:rPr>
          <w:szCs w:val="24"/>
        </w:rPr>
        <w:t xml:space="preserve">Nilai rata-rata yang hanya sebesar 59,4% tersebut menunjukkan bahwa jumlah persentase pengungkapan </w:t>
      </w:r>
      <w:r>
        <w:rPr>
          <w:i/>
          <w:iCs/>
          <w:szCs w:val="24"/>
        </w:rPr>
        <w:t xml:space="preserve">enterprise risk management </w:t>
      </w:r>
      <w:r>
        <w:rPr>
          <w:szCs w:val="24"/>
        </w:rPr>
        <w:t>proporsinya tidak signifikan karena cukup rendah</w:t>
      </w:r>
      <w:r>
        <w:rPr>
          <w:szCs w:val="24"/>
        </w:rPr>
        <w:t xml:space="preserve"> </w:t>
      </w:r>
      <w:r>
        <w:rPr>
          <w:szCs w:val="24"/>
        </w:rPr>
        <w:t>pada penelitian ini.</w:t>
      </w:r>
      <w:r>
        <w:rPr>
          <w:i/>
          <w:iCs/>
          <w:szCs w:val="24"/>
        </w:rPr>
        <w:t xml:space="preserve"> </w:t>
      </w:r>
      <w:r>
        <w:rPr>
          <w:szCs w:val="24"/>
        </w:rPr>
        <w:t>Berdasarkan hasil pengujian</w:t>
      </w:r>
      <w:r>
        <w:rPr>
          <w:szCs w:val="24"/>
        </w:rPr>
        <w:t xml:space="preserve"> statistik</w:t>
      </w:r>
      <w:r>
        <w:rPr>
          <w:szCs w:val="24"/>
        </w:rPr>
        <w:t xml:space="preserve"> dapat diketahui bahwa </w:t>
      </w:r>
      <w:r>
        <w:rPr>
          <w:i/>
          <w:iCs/>
          <w:szCs w:val="24"/>
        </w:rPr>
        <w:t>enterprise risk management</w:t>
      </w:r>
      <w:r>
        <w:rPr>
          <w:szCs w:val="24"/>
        </w:rPr>
        <w:t xml:space="preserve"> berpengaruh positif tetapi </w:t>
      </w:r>
      <w:r>
        <w:rPr>
          <w:szCs w:val="24"/>
        </w:rPr>
        <w:t xml:space="preserve">rata-rata </w:t>
      </w:r>
      <w:r>
        <w:rPr>
          <w:szCs w:val="24"/>
        </w:rPr>
        <w:t xml:space="preserve">data menunjukkan tidak signifikan terhadap </w:t>
      </w:r>
      <w:r>
        <w:rPr>
          <w:i/>
          <w:iCs/>
          <w:szCs w:val="24"/>
        </w:rPr>
        <w:t>firm value</w:t>
      </w:r>
      <w:r>
        <w:rPr>
          <w:szCs w:val="24"/>
        </w:rPr>
        <w:t xml:space="preserve"> pada objek penelitian ini yaitu perusahaan manufaktur yang terdaftar di Bursa Efek Indonesia pada tahun </w:t>
      </w:r>
      <w:r>
        <w:rPr>
          <w:szCs w:val="24"/>
        </w:rPr>
        <w:t>penelitian yaitu 2020-2023</w:t>
      </w:r>
      <w:r>
        <w:rPr>
          <w:i/>
          <w:iCs/>
          <w:szCs w:val="24"/>
        </w:rPr>
        <w:t>.</w:t>
      </w:r>
      <w:r>
        <w:rPr>
          <w:i/>
          <w:iCs/>
          <w:szCs w:val="24"/>
        </w:rPr>
        <w:t xml:space="preserve"> </w:t>
      </w:r>
      <w:r>
        <w:rPr>
          <w:szCs w:val="24"/>
        </w:rPr>
        <w:t xml:space="preserve">Hasil temuan ini berbeda dengan hipotetsis awal yang mengasumsikan bahwa </w:t>
      </w:r>
      <w:r>
        <w:rPr>
          <w:i/>
          <w:iCs/>
          <w:szCs w:val="24"/>
        </w:rPr>
        <w:t>enterprise risk management</w:t>
      </w:r>
      <w:r>
        <w:rPr>
          <w:szCs w:val="24"/>
        </w:rPr>
        <w:t xml:space="preserve"> berpengaruh positif signifikan terhadap </w:t>
      </w:r>
      <w:r>
        <w:rPr>
          <w:i/>
          <w:iCs/>
          <w:szCs w:val="24"/>
        </w:rPr>
        <w:t>firm value.</w:t>
      </w:r>
      <w:r>
        <w:rPr>
          <w:i/>
          <w:iCs/>
          <w:szCs w:val="24"/>
        </w:rPr>
        <w:t xml:space="preserve"> </w:t>
      </w:r>
      <w:r>
        <w:rPr>
          <w:szCs w:val="24"/>
        </w:rPr>
        <w:t>Berdasarkan h</w:t>
      </w:r>
      <w:r>
        <w:rPr>
          <w:szCs w:val="24"/>
        </w:rPr>
        <w:t>asil penelitian ini dapat disimpulka</w:t>
      </w:r>
      <w:r>
        <w:rPr>
          <w:szCs w:val="24"/>
        </w:rPr>
        <w:t>n</w:t>
      </w:r>
      <w:r>
        <w:rPr>
          <w:szCs w:val="24"/>
        </w:rPr>
        <w:t xml:space="preserve"> bahwa meskipun </w:t>
      </w:r>
      <w:r>
        <w:rPr>
          <w:i/>
          <w:iCs/>
          <w:szCs w:val="24"/>
        </w:rPr>
        <w:t xml:space="preserve">enterprise risk management </w:t>
      </w:r>
      <w:r>
        <w:rPr>
          <w:szCs w:val="24"/>
        </w:rPr>
        <w:t>telah diterapkan oleh perusahaan manufaktur yang terdaftar di Bursa Efek Indonesia</w:t>
      </w:r>
      <w:r>
        <w:rPr>
          <w:szCs w:val="24"/>
        </w:rPr>
        <w:t>, dampaknya belum optimal pada tahun 2020-2023 sehingga tidak terdeteksi secara statistik</w:t>
      </w:r>
      <w:r>
        <w:rPr>
          <w:szCs w:val="24"/>
        </w:rPr>
        <w:t>, walaupun berpengaruh positif</w:t>
      </w:r>
      <w:r>
        <w:rPr>
          <w:szCs w:val="24"/>
        </w:rPr>
        <w:t xml:space="preserve">. </w:t>
      </w:r>
      <w:r>
        <w:rPr>
          <w:szCs w:val="24"/>
        </w:rPr>
        <w:t>F</w:t>
      </w:r>
      <w:r>
        <w:rPr>
          <w:szCs w:val="24"/>
        </w:rPr>
        <w:t>aktor yang dapat m</w:t>
      </w:r>
      <w:r>
        <w:rPr>
          <w:szCs w:val="24"/>
        </w:rPr>
        <w:t>enjadi penyebab</w:t>
      </w:r>
      <w:r>
        <w:rPr>
          <w:szCs w:val="24"/>
        </w:rPr>
        <w:t>nya</w:t>
      </w:r>
      <w:r>
        <w:rPr>
          <w:rFonts w:cs="Times New Roman"/>
          <w:color w:val="000000"/>
          <w:szCs w:val="24"/>
        </w:rPr>
        <w:t xml:space="preserve"> </w:t>
      </w:r>
      <w:r>
        <w:rPr>
          <w:rFonts w:cs="Times New Roman"/>
          <w:color w:val="000000"/>
          <w:szCs w:val="24"/>
        </w:rPr>
        <w:t>(Alawattegama, 2022)</w:t>
      </w:r>
      <w:r>
        <w:rPr>
          <w:szCs w:val="24"/>
        </w:rPr>
        <w:t>, ya</w:t>
      </w:r>
      <w:r>
        <w:rPr>
          <w:szCs w:val="24"/>
        </w:rPr>
        <w:t>itu</w:t>
      </w:r>
      <w:r>
        <w:rPr>
          <w:szCs w:val="24"/>
        </w:rPr>
        <w:t xml:space="preserve"> </w:t>
      </w:r>
      <w:r>
        <w:rPr>
          <w:szCs w:val="24"/>
        </w:rPr>
        <w:t xml:space="preserve">pengimplementasian informasi </w:t>
      </w:r>
      <w:r>
        <w:rPr>
          <w:i/>
          <w:iCs/>
          <w:szCs w:val="24"/>
        </w:rPr>
        <w:t xml:space="preserve">enterprise risk management </w:t>
      </w:r>
      <w:r>
        <w:rPr>
          <w:szCs w:val="24"/>
        </w:rPr>
        <w:t>yang belum matang</w:t>
      </w:r>
      <w:r>
        <w:rPr>
          <w:szCs w:val="24"/>
        </w:rPr>
        <w:t xml:space="preserve"> dan</w:t>
      </w:r>
      <w:r>
        <w:rPr>
          <w:szCs w:val="24"/>
        </w:rPr>
        <w:t xml:space="preserve"> kurangnya dukungan </w:t>
      </w:r>
      <w:r>
        <w:rPr>
          <w:szCs w:val="24"/>
        </w:rPr>
        <w:t xml:space="preserve">dari </w:t>
      </w:r>
      <w:r>
        <w:rPr>
          <w:szCs w:val="24"/>
        </w:rPr>
        <w:t>manajemen puncak.</w:t>
      </w:r>
      <w:r>
        <w:rPr>
          <w:szCs w:val="24"/>
        </w:rPr>
        <w:t xml:space="preserve"> Faktor-faktor tersebut mengakibatkan</w:t>
      </w:r>
      <w:r>
        <w:rPr>
          <w:szCs w:val="24"/>
        </w:rPr>
        <w:t xml:space="preserve"> </w:t>
      </w:r>
      <w:r>
        <w:rPr>
          <w:szCs w:val="24"/>
        </w:rPr>
        <w:t>investor tidak menetapkan</w:t>
      </w:r>
      <w:r>
        <w:rPr>
          <w:szCs w:val="24"/>
        </w:rPr>
        <w:t xml:space="preserve"> informasi </w:t>
      </w:r>
      <w:r>
        <w:rPr>
          <w:i/>
          <w:iCs/>
          <w:szCs w:val="24"/>
        </w:rPr>
        <w:t>enterprise risk management</w:t>
      </w:r>
      <w:r>
        <w:rPr>
          <w:szCs w:val="24"/>
        </w:rPr>
        <w:t xml:space="preserve"> </w:t>
      </w:r>
      <w:r>
        <w:rPr>
          <w:szCs w:val="24"/>
        </w:rPr>
        <w:t>sebagai bahan untuk memutuskan berinvestasi</w:t>
      </w:r>
      <w:r>
        <w:rPr>
          <w:szCs w:val="24"/>
        </w:rPr>
        <w:t xml:space="preserve"> sehingga berpengaruh pada </w:t>
      </w:r>
      <w:r>
        <w:rPr>
          <w:i/>
          <w:iCs/>
          <w:szCs w:val="24"/>
        </w:rPr>
        <w:t>firm value</w:t>
      </w:r>
      <w:r>
        <w:rPr>
          <w:szCs w:val="24"/>
        </w:rPr>
        <w:t>.</w:t>
      </w:r>
      <w:r>
        <w:rPr>
          <w:szCs w:val="24"/>
        </w:rPr>
        <w:t xml:space="preserve"> </w:t>
      </w:r>
    </w:p>
    <w:p>
      <w:pPr>
        <w:pStyle w:val="style0"/>
        <w:tabs>
          <w:tab w:val="left" w:leader="none" w:pos="810"/>
        </w:tabs>
        <w:spacing w:after="0" w:lineRule="auto" w:line="480"/>
        <w:jc w:val="both"/>
        <w:rPr/>
      </w:pPr>
      <w:r>
        <w:rPr>
          <w:color w:val="000000"/>
        </w:rPr>
        <w:tab/>
      </w:r>
      <w:r>
        <w:rPr>
          <w:color w:val="000000"/>
        </w:rPr>
        <w:t xml:space="preserve">Hasil </w:t>
      </w:r>
      <w:r>
        <w:rPr>
          <w:color w:val="000000"/>
        </w:rPr>
        <w:t xml:space="preserve">penelitian </w:t>
      </w:r>
      <w:r>
        <w:rPr>
          <w:color w:val="000000"/>
        </w:rPr>
        <w:t xml:space="preserve">ini </w:t>
      </w:r>
      <w:r>
        <w:rPr>
          <w:color w:val="000000"/>
        </w:rPr>
        <w:t xml:space="preserve">sejalan dengan </w:t>
      </w:r>
      <w:r>
        <w:rPr>
          <w:rFonts w:cs="Times New Roman" w:eastAsia="Times New Roman"/>
          <w:color w:val="000000"/>
        </w:rPr>
        <w:t xml:space="preserve">Ismanto </w:t>
      </w:r>
      <w:r>
        <w:rPr>
          <w:rFonts w:cs="Times New Roman" w:eastAsia="Times New Roman"/>
          <w:i/>
          <w:iCs/>
          <w:color w:val="000000"/>
        </w:rPr>
        <w:t>et al</w:t>
      </w:r>
      <w:r>
        <w:rPr>
          <w:rFonts w:cs="Times New Roman" w:eastAsia="Times New Roman"/>
          <w:color w:val="000000"/>
        </w:rPr>
        <w:t xml:space="preserve">. (2023), Karina </w:t>
      </w:r>
      <w:r>
        <w:rPr>
          <w:rFonts w:cs="Times New Roman" w:eastAsia="Times New Roman"/>
          <w:i/>
          <w:iCs/>
          <w:color w:val="000000"/>
        </w:rPr>
        <w:t>et al</w:t>
      </w:r>
      <w:r>
        <w:rPr>
          <w:rFonts w:cs="Times New Roman" w:eastAsia="Times New Roman"/>
          <w:color w:val="000000"/>
        </w:rPr>
        <w:t>. (2023), dan Hardi &amp; Baskara (2024)</w:t>
      </w:r>
      <w:r>
        <w:rPr>
          <w:rFonts w:cs="Times New Roman" w:eastAsia="Times New Roman"/>
          <w:iCs/>
          <w:color w:val="000000"/>
          <w:szCs w:val="24"/>
        </w:rPr>
        <w:t xml:space="preserve"> yang menyatakan bahwa </w:t>
      </w:r>
      <w:r>
        <w:rPr>
          <w:i/>
          <w:iCs/>
          <w:color w:val="000000"/>
        </w:rPr>
        <w:t xml:space="preserve">enterprise risk management </w:t>
      </w:r>
      <w:r>
        <w:rPr>
          <w:color w:val="000000"/>
        </w:rPr>
        <w:t xml:space="preserve">tidak berpengaruh signifikan terhadap </w:t>
      </w:r>
      <w:r>
        <w:rPr>
          <w:i/>
          <w:iCs/>
          <w:color w:val="000000"/>
        </w:rPr>
        <w:t xml:space="preserve">firm value. </w:t>
      </w:r>
      <w:r>
        <w:rPr>
          <w:color w:val="000000"/>
        </w:rPr>
        <w:t xml:space="preserve">Di sisi lain, hasil penelitian ini </w:t>
      </w:r>
      <w:r>
        <w:rPr>
          <w:color w:val="000000"/>
        </w:rPr>
        <w:t>tidak sejalan dengan</w:t>
      </w:r>
      <w:r>
        <w:rPr>
          <w:color w:val="000000"/>
        </w:rPr>
        <w:t xml:space="preserve"> </w:t>
      </w:r>
      <w:r>
        <w:rPr>
          <w:rFonts w:cs="Times New Roman" w:eastAsia="Times New Roman"/>
          <w:color w:val="000000"/>
        </w:rPr>
        <w:t xml:space="preserve">Amerta &amp; Soenarno (2022), Ayem &amp; Seldis (2023), dan Wahdah </w:t>
      </w:r>
      <w:r>
        <w:rPr>
          <w:rFonts w:cs="Times New Roman" w:eastAsia="Times New Roman"/>
          <w:i/>
          <w:iCs/>
          <w:color w:val="000000"/>
        </w:rPr>
        <w:t>et al</w:t>
      </w:r>
      <w:r>
        <w:rPr>
          <w:rFonts w:cs="Times New Roman" w:eastAsia="Times New Roman"/>
          <w:color w:val="000000"/>
        </w:rPr>
        <w:t>. (2024)</w:t>
      </w:r>
      <w:r>
        <w:rPr>
          <w:color w:val="000000"/>
        </w:rPr>
        <w:t xml:space="preserve"> yang menyatakan bahwa </w:t>
      </w:r>
      <w:r>
        <w:rPr>
          <w:i/>
          <w:iCs/>
          <w:color w:val="000000"/>
        </w:rPr>
        <w:t xml:space="preserve">enterprise risk management </w:t>
      </w:r>
      <w:r>
        <w:rPr>
          <w:color w:val="000000"/>
        </w:rPr>
        <w:t xml:space="preserve">berpengaruh signifikan positif terhadap </w:t>
      </w:r>
      <w:r>
        <w:rPr>
          <w:i/>
          <w:iCs/>
          <w:color w:val="000000"/>
        </w:rPr>
        <w:t>firm value</w:t>
      </w:r>
      <w:r>
        <w:rPr>
          <w:color w:val="000000"/>
        </w:rPr>
        <w:t>.</w:t>
      </w:r>
    </w:p>
    <w:bookmarkStart w:id="115" w:name="_Toc218854639"/>
    <w:p>
      <w:pPr>
        <w:pStyle w:val="style3"/>
        <w:rPr/>
      </w:pPr>
      <w:r>
        <w:t xml:space="preserve">4.3.2. </w:t>
      </w:r>
      <w:r>
        <w:tab/>
      </w:r>
      <w:r>
        <w:tab/>
      </w:r>
      <w:r>
        <w:t xml:space="preserve">Pengaruh </w:t>
      </w:r>
      <w:r>
        <w:rPr>
          <w:i/>
          <w:iCs/>
        </w:rPr>
        <w:t xml:space="preserve">Managerial Ownership </w:t>
      </w:r>
      <w:r>
        <w:t xml:space="preserve">terhadap </w:t>
      </w:r>
      <w:r>
        <w:rPr>
          <w:i/>
          <w:iCs/>
        </w:rPr>
        <w:t>Firm Value</w:t>
      </w:r>
      <w:bookmarkEnd w:id="115"/>
    </w:p>
    <w:p>
      <w:pPr>
        <w:pStyle w:val="style0"/>
        <w:tabs>
          <w:tab w:val="left" w:leader="none" w:pos="810"/>
        </w:tabs>
        <w:spacing w:after="0" w:lineRule="auto" w:line="480"/>
        <w:jc w:val="both"/>
        <w:rPr>
          <w:i/>
          <w:iCs/>
          <w:szCs w:val="24"/>
        </w:rPr>
      </w:pPr>
      <w:r>
        <w:tab/>
      </w:r>
      <w:r>
        <w:t xml:space="preserve">Hasil dari pengujian hipotesis menunjukkan bahwa </w:t>
      </w:r>
      <w:r>
        <w:rPr>
          <w:i/>
          <w:iCs/>
        </w:rPr>
        <w:t xml:space="preserve">managerial ownership </w:t>
      </w:r>
      <w:r>
        <w:t xml:space="preserve">tidak </w:t>
      </w:r>
      <w:r>
        <w:t xml:space="preserve">berpengaruh signifikan terhadap </w:t>
      </w:r>
      <w:r>
        <w:rPr>
          <w:i/>
          <w:iCs/>
        </w:rPr>
        <w:t>firm value</w:t>
      </w:r>
      <w:r>
        <w:rPr>
          <w:i/>
          <w:iCs/>
        </w:rPr>
        <w:t xml:space="preserve"> </w:t>
      </w:r>
      <w:r>
        <w:t xml:space="preserve">yang menunjukkan nilai koefisien regresi </w:t>
      </w:r>
      <w:r>
        <w:rPr>
          <w:szCs w:val="24"/>
        </w:rPr>
        <w:t>sebesar</w:t>
      </w:r>
      <w:r>
        <w:rPr>
          <w:szCs w:val="24"/>
        </w:rPr>
        <w:t xml:space="preserve"> </w:t>
      </w:r>
      <w:r>
        <w:rPr>
          <w:szCs w:val="24"/>
        </w:rPr>
        <w:t xml:space="preserve">0,956 dengan nilai signifikansi </w:t>
      </w:r>
      <w:r>
        <w:rPr>
          <w:szCs w:val="24"/>
        </w:rPr>
        <w:t>lebih dari 0,05 (</w:t>
      </w:r>
      <w:r>
        <w:rPr>
          <w:szCs w:val="24"/>
        </w:rPr>
        <w:t>0,300</w:t>
      </w:r>
      <w:r>
        <w:rPr>
          <w:szCs w:val="24"/>
        </w:rPr>
        <w:t xml:space="preserve"> &gt; 0,05)</w:t>
      </w:r>
      <w:r>
        <w:rPr>
          <w:i/>
          <w:iCs/>
        </w:rPr>
        <w:t xml:space="preserve">. </w:t>
      </w:r>
      <w:r>
        <w:rPr>
          <w:szCs w:val="24"/>
        </w:rPr>
        <w:t xml:space="preserve">Temuan ini mengindikasi bahwa hipotesis kedua ditolak atau tidak terbukti </w:t>
      </w:r>
      <w:r>
        <w:rPr>
          <w:i/>
          <w:iCs/>
          <w:szCs w:val="24"/>
        </w:rPr>
        <w:t xml:space="preserve">managerial ownership </w:t>
      </w:r>
      <w:r>
        <w:rPr>
          <w:szCs w:val="24"/>
        </w:rPr>
        <w:t xml:space="preserve">merupakan penyebab yang signifikan untuk mempengaruhi </w:t>
      </w:r>
      <w:r>
        <w:rPr>
          <w:i/>
          <w:iCs/>
          <w:szCs w:val="24"/>
        </w:rPr>
        <w:t xml:space="preserve">firm value. </w:t>
      </w:r>
    </w:p>
    <w:p>
      <w:pPr>
        <w:pStyle w:val="style0"/>
        <w:spacing w:after="0" w:lineRule="auto" w:line="480"/>
        <w:ind w:firstLine="630"/>
        <w:jc w:val="both"/>
        <w:rPr>
          <w:rFonts w:cs="Times New Roman"/>
        </w:rPr>
      </w:pPr>
      <w:r>
        <w:rPr>
          <w:szCs w:val="24"/>
        </w:rPr>
        <w:tab/>
      </w:r>
      <w:r>
        <w:rPr>
          <w:szCs w:val="24"/>
        </w:rPr>
        <w:t xml:space="preserve">Temuan ini mengindikasikan </w:t>
      </w:r>
      <w:r>
        <w:rPr>
          <w:i/>
          <w:iCs/>
          <w:szCs w:val="24"/>
        </w:rPr>
        <w:t xml:space="preserve">agency theory </w:t>
      </w:r>
      <w:r>
        <w:rPr>
          <w:szCs w:val="24"/>
        </w:rPr>
        <w:t xml:space="preserve">tidak sejalan </w:t>
      </w:r>
      <w:r>
        <w:rPr>
          <w:szCs w:val="24"/>
        </w:rPr>
        <w:t>dengan</w:t>
      </w:r>
      <w:r>
        <w:rPr>
          <w:szCs w:val="24"/>
        </w:rPr>
        <w:t xml:space="preserve"> penelitian</w:t>
      </w:r>
      <w:r>
        <w:rPr>
          <w:szCs w:val="24"/>
        </w:rPr>
        <w:t xml:space="preserve">. </w:t>
      </w:r>
      <w:r>
        <w:rPr>
          <w:i/>
          <w:iCs/>
          <w:szCs w:val="24"/>
        </w:rPr>
        <w:t xml:space="preserve">Agency theory </w:t>
      </w:r>
      <w:r>
        <w:rPr>
          <w:szCs w:val="24"/>
        </w:rPr>
        <w:t>menjelaskan bahwa p</w:t>
      </w:r>
      <w:r>
        <w:rPr>
          <w:szCs w:val="24"/>
        </w:rPr>
        <w:t xml:space="preserve">engawasan internal yang dilakukan manajer belum berjalan secara efektif sehingga tidak dapat mempengaruhi </w:t>
      </w:r>
      <w:r>
        <w:rPr>
          <w:i/>
          <w:iCs/>
          <w:szCs w:val="24"/>
        </w:rPr>
        <w:t xml:space="preserve">firm value. </w:t>
      </w:r>
      <w:r>
        <w:rPr>
          <w:szCs w:val="24"/>
        </w:rPr>
        <w:t xml:space="preserve">Pada penelitian ini, persentase </w:t>
      </w:r>
      <w:r>
        <w:rPr>
          <w:i/>
          <w:iCs/>
          <w:szCs w:val="24"/>
        </w:rPr>
        <w:t xml:space="preserve">managerial ownership </w:t>
      </w:r>
      <w:r>
        <w:rPr>
          <w:szCs w:val="24"/>
        </w:rPr>
        <w:t>merupakan kepemilikan</w:t>
      </w:r>
      <w:r>
        <w:rPr>
          <w:szCs w:val="24"/>
        </w:rPr>
        <w:t xml:space="preserve"> yang</w:t>
      </w:r>
      <w:r>
        <w:rPr>
          <w:szCs w:val="24"/>
        </w:rPr>
        <w:t xml:space="preserve"> rendah sehingga menjadi pihak minoritas dalam mengambil keputusan.</w:t>
      </w:r>
      <w:r>
        <w:rPr>
          <w:szCs w:val="24"/>
        </w:rPr>
        <w:t xml:space="preserve"> Kepemilikan yang rendah menyebabkan </w:t>
      </w:r>
      <w:r>
        <w:rPr>
          <w:szCs w:val="24"/>
        </w:rPr>
        <w:t xml:space="preserve">pengawasan internal maupun </w:t>
      </w:r>
      <w:r>
        <w:rPr>
          <w:szCs w:val="24"/>
        </w:rPr>
        <w:t xml:space="preserve">keputusan maupun strategi yang diambil tidak sesuai dengan harapan manajer. </w:t>
      </w:r>
      <w:r>
        <w:rPr>
          <w:rFonts w:cs="Times New Roman"/>
          <w:szCs w:val="24"/>
        </w:rPr>
        <w:t>M</w:t>
      </w:r>
      <w:r>
        <w:rPr>
          <w:rFonts w:cs="Times New Roman"/>
          <w:szCs w:val="24"/>
        </w:rPr>
        <w:t>anajer</w:t>
      </w:r>
      <w:r>
        <w:rPr>
          <w:rFonts w:cs="Times New Roman"/>
          <w:szCs w:val="24"/>
        </w:rPr>
        <w:t xml:space="preserve"> juga</w:t>
      </w:r>
      <w:r>
        <w:rPr>
          <w:rFonts w:cs="Times New Roman"/>
          <w:szCs w:val="24"/>
        </w:rPr>
        <w:t xml:space="preserve"> tidak dapat mengambil keputusan dengan cepat</w:t>
      </w:r>
      <w:r>
        <w:rPr>
          <w:rFonts w:cs="Times New Roman"/>
          <w:szCs w:val="24"/>
        </w:rPr>
        <w:t xml:space="preserve"> atau cekatan</w:t>
      </w:r>
      <w:r>
        <w:rPr>
          <w:rFonts w:cs="Times New Roman"/>
          <w:szCs w:val="24"/>
        </w:rPr>
        <w:t xml:space="preserve"> </w:t>
      </w:r>
      <w:r>
        <w:rPr>
          <w:rFonts w:cs="Times New Roman"/>
          <w:szCs w:val="24"/>
        </w:rPr>
        <w:t>untuk mencegah</w:t>
      </w:r>
      <w:r>
        <w:rPr>
          <w:rFonts w:cs="Times New Roman"/>
          <w:szCs w:val="24"/>
        </w:rPr>
        <w:t xml:space="preserve"> risiko yang</w:t>
      </w:r>
      <w:r>
        <w:rPr>
          <w:rFonts w:cs="Times New Roman"/>
          <w:szCs w:val="24"/>
        </w:rPr>
        <w:t xml:space="preserve"> </w:t>
      </w:r>
      <w:r>
        <w:rPr>
          <w:rFonts w:cs="Times New Roman"/>
          <w:szCs w:val="24"/>
        </w:rPr>
        <w:t>dihadapi</w:t>
      </w:r>
      <w:r>
        <w:rPr>
          <w:rFonts w:cs="Times New Roman"/>
          <w:szCs w:val="24"/>
        </w:rPr>
        <w:t xml:space="preserve"> pada kinerja perusahaan</w:t>
      </w:r>
      <w:r>
        <w:rPr>
          <w:rFonts w:cs="Times New Roman"/>
          <w:szCs w:val="24"/>
        </w:rPr>
        <w:t xml:space="preserve"> karena perlu adanya pertimbangan dari </w:t>
      </w:r>
      <w:r>
        <w:rPr>
          <w:rFonts w:cs="Times New Roman"/>
          <w:szCs w:val="24"/>
        </w:rPr>
        <w:t>kepemilikan saham mayoritas</w:t>
      </w:r>
      <w:r>
        <w:rPr>
          <w:rFonts w:cs="Times New Roman" w:eastAsia="Times New Roman"/>
          <w:iCs/>
          <w:szCs w:val="24"/>
        </w:rPr>
        <w:t>.</w:t>
      </w:r>
      <w:r>
        <w:rPr>
          <w:rFonts w:cs="Times New Roman" w:eastAsia="Times New Roman"/>
          <w:iCs/>
          <w:szCs w:val="24"/>
        </w:rPr>
        <w:t xml:space="preserve"> Hal ini menyebabkan manajer tidak </w:t>
      </w:r>
      <w:r>
        <w:rPr>
          <w:rFonts w:cs="Times New Roman"/>
        </w:rPr>
        <w:t xml:space="preserve">dapat mempengaruhi dan meningkatkan </w:t>
      </w:r>
      <w:r>
        <w:rPr>
          <w:rFonts w:cs="Times New Roman"/>
          <w:i/>
          <w:iCs/>
        </w:rPr>
        <w:t xml:space="preserve">firm value </w:t>
      </w:r>
      <w:r>
        <w:rPr>
          <w:rFonts w:cs="Times New Roman"/>
        </w:rPr>
        <w:t>sebagai pengawasan internal dalam kinerja perusahaan.</w:t>
      </w:r>
    </w:p>
    <w:p>
      <w:pPr>
        <w:pStyle w:val="style0"/>
        <w:spacing w:after="0" w:lineRule="auto" w:line="480"/>
        <w:ind w:firstLine="630"/>
        <w:jc w:val="both"/>
        <w:rPr>
          <w:rFonts w:cs="Times New Roman"/>
          <w:color w:val="000000"/>
          <w:szCs w:val="24"/>
        </w:rPr>
      </w:pPr>
      <w:r>
        <w:rPr>
          <w:szCs w:val="24"/>
        </w:rPr>
        <w:t xml:space="preserve">Rendahnya persentase </w:t>
      </w:r>
      <w:r>
        <w:rPr>
          <w:i/>
          <w:iCs/>
          <w:szCs w:val="24"/>
        </w:rPr>
        <w:t xml:space="preserve">managerial ownership </w:t>
      </w:r>
      <w:r>
        <w:rPr>
          <w:szCs w:val="24"/>
        </w:rPr>
        <w:t xml:space="preserve">dibuktikan pada tabel 4.1. hasil pengujian analisis statistik deskriptif, nilai minimum dan rata-rata sebesar 0,000002 </w:t>
      </w:r>
      <w:r>
        <w:rPr>
          <w:szCs w:val="24"/>
        </w:rPr>
        <w:t xml:space="preserve">(0,0002%) </w:t>
      </w:r>
      <w:r>
        <w:rPr>
          <w:szCs w:val="24"/>
        </w:rPr>
        <w:t xml:space="preserve">dan 0,102 (10,2%). Nilai rata-rata yang hanya sebesar 10,2% tersebut menunjukkan bahwa jumlah persentase </w:t>
      </w:r>
      <w:r>
        <w:rPr>
          <w:i/>
          <w:iCs/>
          <w:szCs w:val="24"/>
        </w:rPr>
        <w:t xml:space="preserve">managerial ownership </w:t>
      </w:r>
      <w:r>
        <w:rPr>
          <w:szCs w:val="24"/>
        </w:rPr>
        <w:t>proporsinya tidak signifikan karena cukup rendah</w:t>
      </w:r>
      <w:r>
        <w:rPr>
          <w:szCs w:val="24"/>
        </w:rPr>
        <w:t xml:space="preserve"> </w:t>
      </w:r>
      <w:r>
        <w:rPr>
          <w:szCs w:val="24"/>
        </w:rPr>
        <w:t>pada penelitian ini</w:t>
      </w:r>
      <w:r>
        <w:rPr>
          <w:szCs w:val="24"/>
        </w:rPr>
        <w:t>.</w:t>
      </w:r>
      <w:r>
        <w:rPr>
          <w:i/>
          <w:iCs/>
          <w:szCs w:val="24"/>
        </w:rPr>
        <w:t xml:space="preserve"> </w:t>
      </w:r>
      <w:r>
        <w:rPr>
          <w:szCs w:val="24"/>
        </w:rPr>
        <w:t xml:space="preserve">Berdasarkan hasil pengujian dapat diketahui bahwa </w:t>
      </w:r>
      <w:r>
        <w:rPr>
          <w:i/>
          <w:iCs/>
          <w:szCs w:val="24"/>
        </w:rPr>
        <w:t>managerial ownership</w:t>
      </w:r>
      <w:r>
        <w:rPr>
          <w:szCs w:val="24"/>
        </w:rPr>
        <w:t xml:space="preserve"> berpengaruh positif tetapi </w:t>
      </w:r>
      <w:r>
        <w:rPr>
          <w:szCs w:val="24"/>
        </w:rPr>
        <w:t xml:space="preserve">rata-rata </w:t>
      </w:r>
      <w:r>
        <w:rPr>
          <w:szCs w:val="24"/>
        </w:rPr>
        <w:t xml:space="preserve">data menunjukkan tidak signifikan terhadap </w:t>
      </w:r>
      <w:r>
        <w:rPr>
          <w:i/>
          <w:iCs/>
          <w:szCs w:val="24"/>
        </w:rPr>
        <w:t>firm value</w:t>
      </w:r>
      <w:r>
        <w:rPr>
          <w:szCs w:val="24"/>
        </w:rPr>
        <w:t xml:space="preserve"> pada objek penelitian ini yaitu perusahaan manufaktur yang terdaftar di Bursa Efek Indonesia pada tahun 2020-2023</w:t>
      </w:r>
      <w:r>
        <w:rPr>
          <w:i/>
          <w:iCs/>
          <w:szCs w:val="24"/>
        </w:rPr>
        <w:t>.</w:t>
      </w:r>
      <w:r>
        <w:rPr>
          <w:i/>
          <w:iCs/>
          <w:szCs w:val="24"/>
        </w:rPr>
        <w:t xml:space="preserve"> </w:t>
      </w:r>
      <w:r>
        <w:rPr>
          <w:szCs w:val="24"/>
        </w:rPr>
        <w:t xml:space="preserve">Hasil temuan ini berbeda dengan hipotetsis awal yang mengasumsikan </w:t>
      </w:r>
      <w:r>
        <w:rPr>
          <w:szCs w:val="24"/>
        </w:rPr>
        <w:t xml:space="preserve">bahwa </w:t>
      </w:r>
      <w:r>
        <w:rPr>
          <w:i/>
          <w:iCs/>
          <w:szCs w:val="24"/>
        </w:rPr>
        <w:t>managerial ownership</w:t>
      </w:r>
      <w:r>
        <w:rPr>
          <w:szCs w:val="24"/>
        </w:rPr>
        <w:t xml:space="preserve"> berpengaruh positif signifikan terhadap </w:t>
      </w:r>
      <w:r>
        <w:rPr>
          <w:i/>
          <w:iCs/>
          <w:szCs w:val="24"/>
        </w:rPr>
        <w:t>firm value.</w:t>
      </w:r>
      <w:r>
        <w:rPr>
          <w:i/>
          <w:iCs/>
          <w:szCs w:val="24"/>
        </w:rPr>
        <w:t xml:space="preserve"> </w:t>
      </w:r>
      <w:r>
        <w:rPr>
          <w:szCs w:val="24"/>
        </w:rPr>
        <w:t>Berdasarkan h</w:t>
      </w:r>
      <w:r>
        <w:rPr>
          <w:szCs w:val="24"/>
        </w:rPr>
        <w:t xml:space="preserve">asil penelitian </w:t>
      </w:r>
      <w:r>
        <w:rPr>
          <w:szCs w:val="24"/>
        </w:rPr>
        <w:t xml:space="preserve">ini </w:t>
      </w:r>
      <w:r>
        <w:rPr>
          <w:szCs w:val="24"/>
        </w:rPr>
        <w:t>dapat disimpulkan bahwa</w:t>
      </w:r>
      <w:r>
        <w:rPr>
          <w:szCs w:val="24"/>
        </w:rPr>
        <w:t xml:space="preserve"> meskipun </w:t>
      </w:r>
      <w:r>
        <w:rPr>
          <w:i/>
          <w:iCs/>
          <w:szCs w:val="24"/>
        </w:rPr>
        <w:t xml:space="preserve">managerial ownership </w:t>
      </w:r>
      <w:r>
        <w:rPr>
          <w:szCs w:val="24"/>
        </w:rPr>
        <w:t>dapat mengontrol kinerja karyawan</w:t>
      </w:r>
      <w:r>
        <w:rPr>
          <w:szCs w:val="24"/>
        </w:rPr>
        <w:t xml:space="preserve"> sebagai pengawasan internal</w:t>
      </w:r>
      <w:r>
        <w:rPr>
          <w:szCs w:val="24"/>
        </w:rPr>
        <w:t xml:space="preserve"> </w:t>
      </w:r>
      <w:r>
        <w:rPr>
          <w:szCs w:val="24"/>
        </w:rPr>
        <w:t>perusahaan manufaktur yang terdaftar di Bursa Efek Indonesia, dampaknya belum optimal pada tahun 2020-2023 sehingga tidak terdeteksi secara statistik, walaupun berpengaruh positif.</w:t>
      </w:r>
      <w:r>
        <w:rPr>
          <w:szCs w:val="24"/>
        </w:rPr>
        <w:t xml:space="preserve"> </w:t>
      </w:r>
    </w:p>
    <w:p>
      <w:pPr>
        <w:pStyle w:val="style0"/>
        <w:tabs>
          <w:tab w:val="left" w:leader="none" w:pos="810"/>
        </w:tabs>
        <w:spacing w:after="0" w:lineRule="auto" w:line="480"/>
        <w:jc w:val="both"/>
        <w:rPr/>
      </w:pPr>
      <w:r>
        <w:rPr>
          <w:color w:val="000000"/>
        </w:rPr>
        <w:tab/>
      </w:r>
      <w:r>
        <w:rPr>
          <w:color w:val="000000"/>
        </w:rPr>
        <w:t xml:space="preserve">Hasil </w:t>
      </w:r>
      <w:r>
        <w:rPr>
          <w:color w:val="000000"/>
        </w:rPr>
        <w:t xml:space="preserve">penelitian </w:t>
      </w:r>
      <w:r>
        <w:rPr>
          <w:color w:val="000000"/>
        </w:rPr>
        <w:t xml:space="preserve">ini </w:t>
      </w:r>
      <w:r>
        <w:rPr>
          <w:color w:val="000000"/>
        </w:rPr>
        <w:t xml:space="preserve">sejalan dengan </w:t>
      </w:r>
      <w:r>
        <w:rPr>
          <w:rFonts w:cs="Times New Roman" w:eastAsia="Times New Roman"/>
          <w:color w:val="000000"/>
        </w:rPr>
        <w:t xml:space="preserve">Ayem &amp; Seldis (2023), Edhitya CP &amp; Suzan (2023), Gustriadhi Nugroho &amp; Muid (2024), dan Ismanto </w:t>
      </w:r>
      <w:r>
        <w:rPr>
          <w:rFonts w:cs="Times New Roman" w:eastAsia="Times New Roman"/>
          <w:i/>
          <w:iCs/>
          <w:color w:val="000000"/>
        </w:rPr>
        <w:t>et al</w:t>
      </w:r>
      <w:r>
        <w:rPr>
          <w:rFonts w:cs="Times New Roman" w:eastAsia="Times New Roman"/>
          <w:color w:val="000000"/>
        </w:rPr>
        <w:t>. (2023)</w:t>
      </w:r>
      <w:r>
        <w:rPr>
          <w:rFonts w:cs="Times New Roman" w:eastAsia="Times New Roman"/>
          <w:iCs/>
          <w:color w:val="000000"/>
          <w:szCs w:val="24"/>
        </w:rPr>
        <w:t xml:space="preserve"> yang menyatakan bahwa </w:t>
      </w:r>
      <w:r>
        <w:rPr>
          <w:i/>
          <w:iCs/>
          <w:color w:val="000000"/>
        </w:rPr>
        <w:t xml:space="preserve">managerial ownership </w:t>
      </w:r>
      <w:r>
        <w:rPr>
          <w:color w:val="000000"/>
        </w:rPr>
        <w:t xml:space="preserve">tidak berpengaruh signifikan terhadap </w:t>
      </w:r>
      <w:r>
        <w:rPr>
          <w:i/>
          <w:iCs/>
          <w:color w:val="000000"/>
        </w:rPr>
        <w:t xml:space="preserve">firm value. </w:t>
      </w:r>
      <w:r>
        <w:rPr>
          <w:color w:val="000000"/>
        </w:rPr>
        <w:t xml:space="preserve">Di sisi lain, hasil penelitian ini </w:t>
      </w:r>
      <w:r>
        <w:rPr>
          <w:color w:val="000000"/>
        </w:rPr>
        <w:t>tidak sejalan dengan</w:t>
      </w:r>
      <w:r>
        <w:rPr>
          <w:color w:val="000000"/>
        </w:rPr>
        <w:t xml:space="preserve"> </w:t>
      </w:r>
      <w:r>
        <w:rPr>
          <w:rFonts w:cs="Times New Roman" w:eastAsia="Times New Roman"/>
          <w:color w:val="000000"/>
        </w:rPr>
        <w:t xml:space="preserve">D. M. Sari &amp; Wulandari (2021 Fauziah </w:t>
      </w:r>
      <w:r>
        <w:rPr>
          <w:rFonts w:cs="Times New Roman" w:eastAsia="Times New Roman"/>
          <w:i/>
          <w:iCs/>
          <w:color w:val="000000"/>
        </w:rPr>
        <w:t>et al</w:t>
      </w:r>
      <w:r>
        <w:rPr>
          <w:rFonts w:cs="Times New Roman" w:eastAsia="Times New Roman"/>
          <w:color w:val="000000"/>
        </w:rPr>
        <w:t xml:space="preserve">. (2022), dan Malik </w:t>
      </w:r>
      <w:r>
        <w:rPr>
          <w:rFonts w:cs="Times New Roman" w:eastAsia="Times New Roman"/>
          <w:i/>
          <w:iCs/>
          <w:color w:val="000000"/>
        </w:rPr>
        <w:t>et al</w:t>
      </w:r>
      <w:r>
        <w:rPr>
          <w:rFonts w:cs="Times New Roman" w:eastAsia="Times New Roman"/>
          <w:color w:val="000000"/>
        </w:rPr>
        <w:t>. (2024)</w:t>
      </w:r>
      <w:r>
        <w:rPr>
          <w:color w:val="000000"/>
        </w:rPr>
        <w:t xml:space="preserve"> yang menyatakan bahwa</w:t>
      </w:r>
      <w:r>
        <w:rPr>
          <w:i/>
          <w:iCs/>
          <w:color w:val="000000"/>
        </w:rPr>
        <w:t xml:space="preserve"> managerial ownership </w:t>
      </w:r>
      <w:r>
        <w:rPr>
          <w:color w:val="000000"/>
        </w:rPr>
        <w:t xml:space="preserve">berpengaruh signifikan positif terhadap </w:t>
      </w:r>
      <w:r>
        <w:rPr>
          <w:i/>
          <w:iCs/>
          <w:color w:val="000000"/>
        </w:rPr>
        <w:t>firm value</w:t>
      </w:r>
      <w:r>
        <w:rPr>
          <w:color w:val="000000"/>
        </w:rPr>
        <w:t>.</w:t>
      </w:r>
    </w:p>
    <w:bookmarkStart w:id="116" w:name="_Toc218854640"/>
    <w:p>
      <w:pPr>
        <w:pStyle w:val="style3"/>
        <w:rPr>
          <w:i/>
          <w:iCs/>
        </w:rPr>
      </w:pPr>
      <w:r>
        <w:t xml:space="preserve">4.3.3. </w:t>
      </w:r>
      <w:r>
        <w:tab/>
      </w:r>
      <w:r>
        <w:tab/>
      </w:r>
      <w:r>
        <w:t xml:space="preserve">Pengaruh </w:t>
      </w:r>
      <w:r>
        <w:rPr>
          <w:i/>
          <w:iCs/>
        </w:rPr>
        <w:t xml:space="preserve">Institutional Ownership </w:t>
      </w:r>
      <w:r>
        <w:t xml:space="preserve">terhadap </w:t>
      </w:r>
      <w:r>
        <w:rPr>
          <w:i/>
          <w:iCs/>
        </w:rPr>
        <w:t>Firm Value</w:t>
      </w:r>
      <w:bookmarkEnd w:id="116"/>
    </w:p>
    <w:p>
      <w:pPr>
        <w:pStyle w:val="style0"/>
        <w:tabs>
          <w:tab w:val="left" w:leader="none" w:pos="810"/>
        </w:tabs>
        <w:spacing w:after="0" w:lineRule="auto" w:line="480"/>
        <w:jc w:val="both"/>
        <w:rPr>
          <w:i/>
          <w:iCs/>
          <w:szCs w:val="24"/>
        </w:rPr>
      </w:pPr>
      <w:r>
        <w:tab/>
      </w:r>
      <w:r>
        <w:t>Hasil dari pengujian hipotesi</w:t>
      </w:r>
      <w:r>
        <w:t>s</w:t>
      </w:r>
      <w:r>
        <w:t xml:space="preserve"> bahwa </w:t>
      </w:r>
      <w:r>
        <w:rPr>
          <w:i/>
          <w:iCs/>
        </w:rPr>
        <w:t xml:space="preserve">institutional ownership </w:t>
      </w:r>
      <w:r>
        <w:t xml:space="preserve">berpengaruh signifikan positif terhadap </w:t>
      </w:r>
      <w:r>
        <w:rPr>
          <w:i/>
          <w:iCs/>
        </w:rPr>
        <w:t>firm value</w:t>
      </w:r>
      <w:r>
        <w:t xml:space="preserve"> yang menunjukkan nilai koefisien regresi </w:t>
      </w:r>
      <w:r>
        <w:rPr>
          <w:szCs w:val="24"/>
        </w:rPr>
        <w:t>1,376 dengan signifikansi</w:t>
      </w:r>
      <w:r>
        <w:rPr>
          <w:szCs w:val="24"/>
        </w:rPr>
        <w:t xml:space="preserve"> </w:t>
      </w:r>
      <w:r>
        <w:rPr>
          <w:szCs w:val="24"/>
        </w:rPr>
        <w:t>kurang dari 0,05 (0,04 &lt; 0,05)</w:t>
      </w:r>
      <w:r>
        <w:rPr>
          <w:szCs w:val="24"/>
        </w:rPr>
        <w:t xml:space="preserve">. </w:t>
      </w:r>
      <w:r>
        <w:rPr>
          <w:szCs w:val="24"/>
        </w:rPr>
        <w:t xml:space="preserve">Temuan ini mengindikasi bahwa hipotesis ketiga diterima atau terbukti </w:t>
      </w:r>
      <w:r>
        <w:rPr>
          <w:i/>
          <w:iCs/>
          <w:szCs w:val="24"/>
        </w:rPr>
        <w:t xml:space="preserve">institutional ownership </w:t>
      </w:r>
      <w:r>
        <w:rPr>
          <w:szCs w:val="24"/>
        </w:rPr>
        <w:t xml:space="preserve">merupakan penyebab yang signifikan untuk mempengaruhi </w:t>
      </w:r>
      <w:r>
        <w:rPr>
          <w:i/>
          <w:iCs/>
          <w:szCs w:val="24"/>
        </w:rPr>
        <w:t xml:space="preserve">firm value. </w:t>
      </w:r>
    </w:p>
    <w:p>
      <w:pPr>
        <w:pStyle w:val="style0"/>
        <w:spacing w:after="0" w:lineRule="auto" w:line="480"/>
        <w:ind w:firstLine="810"/>
        <w:jc w:val="both"/>
        <w:rPr>
          <w:rFonts w:cs="Times New Roman"/>
        </w:rPr>
      </w:pPr>
      <w:r>
        <w:rPr>
          <w:szCs w:val="24"/>
        </w:rPr>
        <w:t xml:space="preserve">Temuan ini mengindikasikan bahwa </w:t>
      </w:r>
      <w:r>
        <w:rPr>
          <w:i/>
          <w:iCs/>
          <w:szCs w:val="24"/>
        </w:rPr>
        <w:t xml:space="preserve">agency theory </w:t>
      </w:r>
      <w:r>
        <w:rPr>
          <w:szCs w:val="24"/>
        </w:rPr>
        <w:t xml:space="preserve"> sejalan pada penelitian ini</w:t>
      </w:r>
      <w:r>
        <w:rPr>
          <w:szCs w:val="24"/>
        </w:rPr>
        <w:t xml:space="preserve">. </w:t>
      </w:r>
      <w:r>
        <w:rPr>
          <w:i/>
          <w:iCs/>
          <w:szCs w:val="24"/>
        </w:rPr>
        <w:t>Agency theory</w:t>
      </w:r>
      <w:r>
        <w:rPr>
          <w:szCs w:val="24"/>
        </w:rPr>
        <w:t xml:space="preserve"> menjelaskan</w:t>
      </w:r>
      <w:r>
        <w:rPr>
          <w:szCs w:val="24"/>
        </w:rPr>
        <w:t xml:space="preserve"> bahwa institusi sebagai penerapan pengawasan </w:t>
      </w:r>
      <w:r>
        <w:rPr>
          <w:rFonts w:cs="Times New Roman"/>
          <w:color w:val="000000"/>
        </w:rPr>
        <w:t>eksternal pada kinerja manajer dalam perusahaan</w:t>
      </w:r>
      <w:r>
        <w:rPr>
          <w:szCs w:val="24"/>
        </w:rPr>
        <w:t>.</w:t>
      </w:r>
      <w:r>
        <w:rPr>
          <w:szCs w:val="24"/>
        </w:rPr>
        <w:t xml:space="preserve"> Pengawasan eksternal yang dilakukan institusi </w:t>
      </w:r>
      <w:r>
        <w:rPr>
          <w:szCs w:val="24"/>
        </w:rPr>
        <w:t xml:space="preserve">pada penelitian ini </w:t>
      </w:r>
      <w:r>
        <w:rPr>
          <w:szCs w:val="24"/>
        </w:rPr>
        <w:t>telah berjalan secara efektif</w:t>
      </w:r>
      <w:r>
        <w:rPr>
          <w:szCs w:val="24"/>
        </w:rPr>
        <w:t>. Tingginya pengawasan eksternal</w:t>
      </w:r>
      <w:r>
        <w:rPr>
          <w:szCs w:val="24"/>
        </w:rPr>
        <w:t xml:space="preserve"> mampu menurunkan potensi adanya </w:t>
      </w:r>
      <w:r>
        <w:rPr>
          <w:rFonts w:cs="Times New Roman"/>
          <w:color w:val="000000"/>
        </w:rPr>
        <w:t xml:space="preserve">kecenderungan </w:t>
      </w:r>
      <w:r>
        <w:rPr>
          <w:rFonts w:cs="Times New Roman"/>
          <w:color w:val="000000"/>
        </w:rPr>
        <w:t xml:space="preserve">manajer </w:t>
      </w:r>
      <w:r>
        <w:rPr>
          <w:rFonts w:cs="Times New Roman"/>
          <w:color w:val="000000"/>
        </w:rPr>
        <w:t>berberilaku untuk mementingkan kepentingan</w:t>
      </w:r>
      <w:r>
        <w:rPr>
          <w:rFonts w:cs="Times New Roman"/>
          <w:color w:val="000000"/>
        </w:rPr>
        <w:t>nya.</w:t>
      </w:r>
      <w:r>
        <w:rPr>
          <w:rFonts w:cs="Times New Roman"/>
          <w:color w:val="000000"/>
        </w:rPr>
        <w:t xml:space="preserve"> </w:t>
      </w:r>
      <w:r>
        <w:rPr>
          <w:rFonts w:cs="Times New Roman"/>
          <w:color w:val="000000"/>
        </w:rPr>
        <w:t xml:space="preserve">Pengawasan yang dilakukan institusi </w:t>
      </w:r>
      <w:r>
        <w:rPr>
          <w:rFonts w:cs="Times New Roman"/>
          <w:color w:val="000000"/>
        </w:rPr>
        <w:t>dapat</w:t>
      </w:r>
      <w:r>
        <w:rPr>
          <w:rFonts w:cs="Times New Roman"/>
          <w:color w:val="000000"/>
        </w:rPr>
        <w:t xml:space="preserve"> mendorong </w:t>
      </w:r>
      <w:r>
        <w:rPr>
          <w:rFonts w:cs="Times New Roman"/>
          <w:color w:val="000000"/>
        </w:rPr>
        <w:t xml:space="preserve">adanya </w:t>
      </w:r>
      <w:r>
        <w:rPr>
          <w:rFonts w:cs="Times New Roman"/>
          <w:color w:val="000000"/>
        </w:rPr>
        <w:t xml:space="preserve">transparansi </w:t>
      </w:r>
      <w:r>
        <w:rPr>
          <w:rFonts w:cs="Times New Roman"/>
          <w:color w:val="000000"/>
        </w:rPr>
        <w:t xml:space="preserve">serta efisiensi </w:t>
      </w:r>
      <w:r>
        <w:rPr>
          <w:rFonts w:cs="Times New Roman"/>
          <w:color w:val="000000"/>
        </w:rPr>
        <w:t>sehingga meningkatkan efektivitas kinerja manajer dalam perusahaan</w:t>
      </w:r>
      <w:r>
        <w:rPr>
          <w:rFonts w:cs="Times New Roman"/>
          <w:i/>
          <w:iCs/>
          <w:color w:val="000000"/>
        </w:rPr>
        <w:t>.</w:t>
      </w:r>
      <w:r>
        <w:rPr>
          <w:rFonts w:cs="Times New Roman"/>
          <w:i/>
          <w:iCs/>
          <w:color w:val="000000"/>
        </w:rPr>
        <w:t xml:space="preserve"> </w:t>
      </w:r>
      <w:r>
        <w:rPr>
          <w:rFonts w:cs="Times New Roman"/>
        </w:rPr>
        <w:t xml:space="preserve">Besarnya kinerja perusahaan akan mempengaruhi </w:t>
      </w:r>
      <w:r>
        <w:rPr>
          <w:rFonts w:cs="Times New Roman"/>
          <w:i/>
          <w:iCs/>
        </w:rPr>
        <w:t xml:space="preserve">firm value </w:t>
      </w:r>
      <w:r>
        <w:rPr>
          <w:rFonts w:cs="Times New Roman"/>
        </w:rPr>
        <w:t xml:space="preserve">yang didapatkan </w:t>
      </w:r>
      <w:r>
        <w:rPr>
          <w:rFonts w:cs="Times New Roman"/>
          <w:szCs w:val="24"/>
        </w:rPr>
        <w:t xml:space="preserve">karena tetap menjaga kepercayaan investor dan </w:t>
      </w:r>
      <w:r>
        <w:rPr>
          <w:rFonts w:cs="Times New Roman"/>
          <w:color w:val="000000"/>
        </w:rPr>
        <w:t>harga saham yang sedia dibayar dapat naik</w:t>
      </w:r>
      <w:r>
        <w:rPr>
          <w:rFonts w:cs="Times New Roman"/>
        </w:rPr>
        <w:t>.</w:t>
      </w:r>
      <w:r>
        <w:rPr>
          <w:rFonts w:cs="Times New Roman"/>
        </w:rPr>
        <w:t xml:space="preserve"> Dengan kata lain, </w:t>
      </w:r>
      <w:r>
        <w:rPr>
          <w:rFonts w:cs="Times New Roman"/>
          <w:i/>
          <w:iCs/>
        </w:rPr>
        <w:t>institutional ownership</w:t>
      </w:r>
      <w:r>
        <w:rPr>
          <w:rFonts w:cs="Times New Roman"/>
        </w:rPr>
        <w:t xml:space="preserve"> dapat mempengaruhi dan meningkatkan </w:t>
      </w:r>
      <w:r>
        <w:rPr>
          <w:rFonts w:cs="Times New Roman"/>
          <w:i/>
          <w:iCs/>
        </w:rPr>
        <w:t xml:space="preserve">firm value </w:t>
      </w:r>
      <w:r>
        <w:rPr>
          <w:rFonts w:cs="Times New Roman"/>
        </w:rPr>
        <w:t xml:space="preserve">sebagai pengawasan serta monitor eksternal secara aktif dalam perusahaan. </w:t>
      </w:r>
    </w:p>
    <w:p>
      <w:pPr>
        <w:pStyle w:val="style0"/>
        <w:spacing w:after="0" w:lineRule="auto" w:line="480"/>
        <w:ind w:firstLine="810"/>
        <w:jc w:val="both"/>
        <w:rPr>
          <w:i/>
          <w:iCs/>
          <w:szCs w:val="24"/>
        </w:rPr>
      </w:pPr>
      <w:r>
        <w:rPr>
          <w:szCs w:val="24"/>
        </w:rPr>
        <w:t xml:space="preserve">Persentase </w:t>
      </w:r>
      <w:r>
        <w:rPr>
          <w:i/>
          <w:iCs/>
          <w:szCs w:val="24"/>
        </w:rPr>
        <w:t xml:space="preserve">institutional ownership </w:t>
      </w:r>
      <w:r>
        <w:rPr>
          <w:szCs w:val="24"/>
        </w:rPr>
        <w:t>dibuktikan pada tabel 4.1. hasil pengujian analisis statistik deskriptif, nilai minimum dan rata-rata sebesar 0,000</w:t>
      </w:r>
      <w:r>
        <w:rPr>
          <w:szCs w:val="24"/>
        </w:rPr>
        <w:t>5</w:t>
      </w:r>
      <w:r>
        <w:rPr>
          <w:szCs w:val="24"/>
        </w:rPr>
        <w:t xml:space="preserve"> (</w:t>
      </w:r>
      <w:r>
        <w:rPr>
          <w:szCs w:val="24"/>
        </w:rPr>
        <w:t>0,05%</w:t>
      </w:r>
      <w:r>
        <w:rPr>
          <w:szCs w:val="24"/>
        </w:rPr>
        <w:t>) dan 0,</w:t>
      </w:r>
      <w:r>
        <w:rPr>
          <w:szCs w:val="24"/>
        </w:rPr>
        <w:t>653</w:t>
      </w:r>
      <w:r>
        <w:rPr>
          <w:szCs w:val="24"/>
        </w:rPr>
        <w:t xml:space="preserve"> (</w:t>
      </w:r>
      <w:r>
        <w:rPr>
          <w:szCs w:val="24"/>
        </w:rPr>
        <w:t>65</w:t>
      </w:r>
      <w:r>
        <w:rPr>
          <w:szCs w:val="24"/>
        </w:rPr>
        <w:t>,</w:t>
      </w:r>
      <w:r>
        <w:rPr>
          <w:szCs w:val="24"/>
        </w:rPr>
        <w:t>3</w:t>
      </w:r>
      <w:r>
        <w:rPr>
          <w:szCs w:val="24"/>
        </w:rPr>
        <w:t xml:space="preserve">%). Nilai rata-rata yang hanya sebesar </w:t>
      </w:r>
      <w:r>
        <w:rPr>
          <w:szCs w:val="24"/>
        </w:rPr>
        <w:t>65,3</w:t>
      </w:r>
      <w:r>
        <w:rPr>
          <w:szCs w:val="24"/>
        </w:rPr>
        <w:t xml:space="preserve">% tersebut menunjukkan bahwa jumlah persentase </w:t>
      </w:r>
      <w:r>
        <w:rPr>
          <w:i/>
          <w:iCs/>
          <w:szCs w:val="24"/>
        </w:rPr>
        <w:t>institutuonal</w:t>
      </w:r>
      <w:r>
        <w:rPr>
          <w:i/>
          <w:iCs/>
          <w:szCs w:val="24"/>
        </w:rPr>
        <w:t xml:space="preserve"> ownership </w:t>
      </w:r>
      <w:r>
        <w:rPr>
          <w:szCs w:val="24"/>
        </w:rPr>
        <w:t xml:space="preserve">proporsinya signifikan karena cukup </w:t>
      </w:r>
      <w:r>
        <w:rPr>
          <w:szCs w:val="24"/>
        </w:rPr>
        <w:t>tinggi</w:t>
      </w:r>
      <w:r>
        <w:rPr>
          <w:szCs w:val="24"/>
        </w:rPr>
        <w:t xml:space="preserve"> </w:t>
      </w:r>
      <w:r>
        <w:rPr>
          <w:szCs w:val="24"/>
        </w:rPr>
        <w:t>pada penelitian ini.</w:t>
      </w:r>
      <w:r>
        <w:rPr>
          <w:szCs w:val="24"/>
        </w:rPr>
        <w:t xml:space="preserve"> </w:t>
      </w:r>
      <w:r>
        <w:rPr>
          <w:szCs w:val="24"/>
        </w:rPr>
        <w:t xml:space="preserve">Berdasarkan hasil pengujian </w:t>
      </w:r>
      <w:r>
        <w:rPr>
          <w:szCs w:val="24"/>
        </w:rPr>
        <w:t>tersebut</w:t>
      </w:r>
      <w:r>
        <w:rPr>
          <w:szCs w:val="24"/>
        </w:rPr>
        <w:t xml:space="preserve"> diketahui bahwa </w:t>
      </w:r>
      <w:r>
        <w:rPr>
          <w:i/>
          <w:iCs/>
          <w:szCs w:val="24"/>
        </w:rPr>
        <w:t>institusional ownership</w:t>
      </w:r>
      <w:r>
        <w:rPr>
          <w:szCs w:val="24"/>
        </w:rPr>
        <w:t xml:space="preserve"> </w:t>
      </w:r>
      <w:r>
        <w:rPr>
          <w:szCs w:val="24"/>
        </w:rPr>
        <w:t xml:space="preserve">dapat </w:t>
      </w:r>
      <w:r>
        <w:rPr>
          <w:szCs w:val="24"/>
        </w:rPr>
        <w:t xml:space="preserve">berpengaruh positif </w:t>
      </w:r>
      <w:r>
        <w:rPr>
          <w:szCs w:val="24"/>
        </w:rPr>
        <w:t>dan</w:t>
      </w:r>
      <w:r>
        <w:rPr>
          <w:szCs w:val="24"/>
        </w:rPr>
        <w:t xml:space="preserve"> rata-rata data menunjukkan signifikan terhadap </w:t>
      </w:r>
      <w:r>
        <w:rPr>
          <w:i/>
          <w:iCs/>
          <w:szCs w:val="24"/>
        </w:rPr>
        <w:t>firm value</w:t>
      </w:r>
      <w:r>
        <w:rPr>
          <w:i/>
          <w:iCs/>
          <w:szCs w:val="24"/>
        </w:rPr>
        <w:t xml:space="preserve"> </w:t>
      </w:r>
      <w:r>
        <w:rPr>
          <w:szCs w:val="24"/>
        </w:rPr>
        <w:t xml:space="preserve">pada </w:t>
      </w:r>
      <w:r>
        <w:rPr>
          <w:szCs w:val="24"/>
        </w:rPr>
        <w:t>perusahaan manufaktur yang terdaftar di Bursa Efek Indonesia pada tahun 2020-2023</w:t>
      </w:r>
      <w:r>
        <w:rPr>
          <w:i/>
          <w:iCs/>
          <w:szCs w:val="24"/>
        </w:rPr>
        <w:t>.</w:t>
      </w:r>
      <w:r>
        <w:rPr>
          <w:szCs w:val="24"/>
        </w:rPr>
        <w:t xml:space="preserve"> </w:t>
      </w:r>
      <w:r>
        <w:rPr>
          <w:szCs w:val="24"/>
        </w:rPr>
        <w:t xml:space="preserve">Hasil temuan ini sama dengan hipotetsis awal yang mengasumsikan bahwa </w:t>
      </w:r>
      <w:r>
        <w:rPr>
          <w:i/>
          <w:iCs/>
          <w:szCs w:val="24"/>
        </w:rPr>
        <w:t>institutional ownership</w:t>
      </w:r>
      <w:r>
        <w:rPr>
          <w:szCs w:val="24"/>
        </w:rPr>
        <w:t xml:space="preserve"> berpengaruh positif signifikan terhadap </w:t>
      </w:r>
      <w:r>
        <w:rPr>
          <w:i/>
          <w:iCs/>
          <w:szCs w:val="24"/>
        </w:rPr>
        <w:t>firm value.</w:t>
      </w:r>
      <w:r>
        <w:rPr>
          <w:szCs w:val="24"/>
        </w:rPr>
        <w:t xml:space="preserve"> </w:t>
      </w:r>
      <w:r>
        <w:rPr>
          <w:szCs w:val="24"/>
        </w:rPr>
        <w:t>Berdasarkan h</w:t>
      </w:r>
      <w:r>
        <w:rPr>
          <w:szCs w:val="24"/>
        </w:rPr>
        <w:t xml:space="preserve">asil </w:t>
      </w:r>
      <w:r>
        <w:rPr>
          <w:szCs w:val="24"/>
        </w:rPr>
        <w:t>penelitian ini</w:t>
      </w:r>
      <w:r>
        <w:rPr>
          <w:szCs w:val="24"/>
        </w:rPr>
        <w:t xml:space="preserve"> dapat disimpulkan bahwa</w:t>
      </w:r>
      <w:r>
        <w:rPr>
          <w:szCs w:val="24"/>
        </w:rPr>
        <w:t xml:space="preserve"> </w:t>
      </w:r>
      <w:r>
        <w:rPr>
          <w:i/>
          <w:iCs/>
          <w:szCs w:val="24"/>
        </w:rPr>
        <w:t xml:space="preserve">institutional ownership </w:t>
      </w:r>
      <w:r>
        <w:rPr>
          <w:szCs w:val="24"/>
        </w:rPr>
        <w:t xml:space="preserve">dapat mempengaruhi </w:t>
      </w:r>
      <w:r>
        <w:rPr>
          <w:rFonts w:cs="Times New Roman"/>
          <w:color w:val="000000"/>
        </w:rPr>
        <w:t xml:space="preserve">efektivitas kinerja manajer sebagai pengawasan eksternal </w:t>
      </w:r>
      <w:r>
        <w:rPr>
          <w:szCs w:val="24"/>
        </w:rPr>
        <w:t xml:space="preserve">untuk mempengaruhi </w:t>
      </w:r>
      <w:r>
        <w:rPr>
          <w:i/>
          <w:iCs/>
          <w:szCs w:val="24"/>
        </w:rPr>
        <w:t>firm value.</w:t>
      </w:r>
    </w:p>
    <w:p>
      <w:pPr>
        <w:pStyle w:val="style0"/>
        <w:spacing w:after="0" w:lineRule="auto" w:line="480"/>
        <w:ind w:firstLine="810"/>
        <w:jc w:val="both"/>
        <w:rPr/>
      </w:pPr>
      <w:r>
        <w:rPr>
          <w:color w:val="000000"/>
        </w:rPr>
        <w:t xml:space="preserve">Hasil </w:t>
      </w:r>
      <w:r>
        <w:rPr>
          <w:color w:val="000000"/>
        </w:rPr>
        <w:t xml:space="preserve">penelitian </w:t>
      </w:r>
      <w:r>
        <w:rPr>
          <w:color w:val="000000"/>
        </w:rPr>
        <w:t xml:space="preserve">ini </w:t>
      </w:r>
      <w:r>
        <w:rPr>
          <w:color w:val="000000"/>
        </w:rPr>
        <w:t xml:space="preserve">sejalan dengan </w:t>
      </w:r>
      <w:r>
        <w:rPr>
          <w:rFonts w:cs="Times New Roman" w:eastAsia="Times New Roman"/>
          <w:color w:val="000000"/>
        </w:rPr>
        <w:t xml:space="preserve">Cristofel &amp; Kurniawati (2021), Yuwono &amp; Aurelia (2021), dan Malik </w:t>
      </w:r>
      <w:r>
        <w:rPr>
          <w:rFonts w:cs="Times New Roman" w:eastAsia="Times New Roman"/>
          <w:i/>
          <w:iCs/>
          <w:color w:val="000000"/>
        </w:rPr>
        <w:t>et al</w:t>
      </w:r>
      <w:r>
        <w:rPr>
          <w:rFonts w:cs="Times New Roman" w:eastAsia="Times New Roman"/>
          <w:color w:val="000000"/>
        </w:rPr>
        <w:t>. (2024)</w:t>
      </w:r>
      <w:r>
        <w:rPr>
          <w:rFonts w:cs="Times New Roman" w:eastAsia="Times New Roman"/>
          <w:iCs/>
          <w:color w:val="000000"/>
          <w:szCs w:val="24"/>
        </w:rPr>
        <w:t xml:space="preserve"> yang menyatakan bahwa </w:t>
      </w:r>
      <w:r>
        <w:rPr>
          <w:i/>
          <w:iCs/>
          <w:color w:val="000000"/>
        </w:rPr>
        <w:t>institutional ownership</w:t>
      </w:r>
      <w:r>
        <w:rPr>
          <w:color w:val="000000"/>
        </w:rPr>
        <w:t xml:space="preserve"> berpengaruh positif signifikan terhadap </w:t>
      </w:r>
      <w:r>
        <w:rPr>
          <w:i/>
          <w:iCs/>
          <w:color w:val="000000"/>
        </w:rPr>
        <w:t xml:space="preserve">firm value. </w:t>
      </w:r>
      <w:r>
        <w:rPr>
          <w:color w:val="000000"/>
        </w:rPr>
        <w:t xml:space="preserve">Di sisi lain, hasil </w:t>
      </w:r>
      <w:r>
        <w:rPr>
          <w:color w:val="000000"/>
        </w:rPr>
        <w:t xml:space="preserve">penelitian ini </w:t>
      </w:r>
      <w:r>
        <w:rPr>
          <w:color w:val="000000"/>
        </w:rPr>
        <w:t>tidak sejalan dengan</w:t>
      </w:r>
      <w:r>
        <w:rPr>
          <w:color w:val="000000"/>
        </w:rPr>
        <w:t xml:space="preserve"> </w:t>
      </w:r>
      <w:r>
        <w:rPr>
          <w:rFonts w:cs="Times New Roman" w:eastAsia="Times New Roman"/>
          <w:color w:val="000000"/>
        </w:rPr>
        <w:t xml:space="preserve">D. M. Sari &amp; Wulandari (2021), Azzahra </w:t>
      </w:r>
      <w:r>
        <w:rPr>
          <w:rFonts w:cs="Times New Roman" w:eastAsia="Times New Roman"/>
          <w:i/>
          <w:iCs/>
          <w:color w:val="000000"/>
        </w:rPr>
        <w:t>et al</w:t>
      </w:r>
      <w:r>
        <w:rPr>
          <w:rFonts w:cs="Times New Roman" w:eastAsia="Times New Roman"/>
          <w:color w:val="000000"/>
        </w:rPr>
        <w:t>. (2022), dan Wardoyo &amp; Fauziah (2024)</w:t>
      </w:r>
      <w:r>
        <w:rPr>
          <w:color w:val="000000"/>
        </w:rPr>
        <w:t xml:space="preserve"> yang menyatakan bahwa </w:t>
      </w:r>
      <w:r>
        <w:rPr>
          <w:i/>
          <w:iCs/>
          <w:color w:val="000000"/>
        </w:rPr>
        <w:t xml:space="preserve">intitutional ownership </w:t>
      </w:r>
      <w:r>
        <w:rPr>
          <w:color w:val="000000"/>
        </w:rPr>
        <w:t xml:space="preserve">tidak berpengaruh signifikan terhadap </w:t>
      </w:r>
      <w:r>
        <w:rPr>
          <w:i/>
          <w:iCs/>
          <w:color w:val="000000"/>
        </w:rPr>
        <w:t>firm value</w:t>
      </w:r>
      <w:r>
        <w:rPr>
          <w:color w:val="000000"/>
        </w:rPr>
        <w:t>.</w:t>
      </w:r>
    </w:p>
    <w:p>
      <w:pPr>
        <w:pStyle w:val="style0"/>
        <w:tabs>
          <w:tab w:val="left" w:leader="none" w:pos="810"/>
        </w:tabs>
        <w:spacing w:after="0" w:lineRule="auto" w:line="480"/>
        <w:jc w:val="both"/>
        <w:rPr>
          <w:szCs w:val="24"/>
        </w:rPr>
      </w:pPr>
    </w:p>
    <w:p>
      <w:pPr>
        <w:pStyle w:val="style0"/>
        <w:tabs>
          <w:tab w:val="left" w:leader="none" w:pos="810"/>
        </w:tabs>
        <w:spacing w:lineRule="auto" w:line="480"/>
        <w:jc w:val="both"/>
        <w:rPr/>
      </w:pPr>
    </w:p>
    <w:p>
      <w:pPr>
        <w:pStyle w:val="style0"/>
        <w:tabs>
          <w:tab w:val="left" w:leader="none" w:pos="810"/>
        </w:tabs>
        <w:spacing w:lineRule="auto" w:line="480"/>
        <w:jc w:val="both"/>
        <w:rPr/>
      </w:pPr>
    </w:p>
    <w:p>
      <w:pPr>
        <w:pStyle w:val="style0"/>
        <w:rPr/>
        <w:sectPr>
          <w:pgSz w:w="11906" w:h="16838" w:orient="portrait" w:code="9"/>
          <w:pgMar w:top="2268" w:right="1701" w:bottom="1701" w:left="2268" w:header="720" w:footer="720" w:gutter="0"/>
          <w:cols w:space="720"/>
          <w:titlePg/>
          <w:docGrid w:linePitch="360"/>
        </w:sectPr>
      </w:pPr>
      <w:r>
        <w:br w:type="page"/>
      </w:r>
    </w:p>
    <w:bookmarkStart w:id="117" w:name="_Toc218854641"/>
    <w:p>
      <w:pPr>
        <w:pStyle w:val="style1"/>
        <w:spacing w:before="0" w:lineRule="auto" w:line="480"/>
        <w:rPr/>
      </w:pPr>
      <w:r>
        <w:t>BAB V</w:t>
      </w:r>
      <w:bookmarkEnd w:id="117"/>
      <w:r>
        <w:t xml:space="preserve"> </w:t>
      </w:r>
    </w:p>
    <w:bookmarkStart w:id="118" w:name="_Toc218854642"/>
    <w:p>
      <w:pPr>
        <w:pStyle w:val="style1"/>
        <w:spacing w:before="0" w:lineRule="auto" w:line="480"/>
        <w:rPr/>
      </w:pPr>
      <w:r>
        <w:t>PENUTUP</w:t>
      </w:r>
      <w:bookmarkEnd w:id="118"/>
    </w:p>
    <w:bookmarkStart w:id="119" w:name="_Toc218854643"/>
    <w:p>
      <w:pPr>
        <w:pStyle w:val="style2"/>
        <w:spacing w:lineRule="auto" w:line="480"/>
        <w:rPr/>
      </w:pPr>
      <w:r>
        <w:t xml:space="preserve">5.1. </w:t>
      </w:r>
      <w:r>
        <w:tab/>
      </w:r>
      <w:r>
        <w:t>Kesimpulan</w:t>
      </w:r>
      <w:bookmarkEnd w:id="119"/>
    </w:p>
    <w:p>
      <w:pPr>
        <w:pStyle w:val="style0"/>
        <w:spacing w:after="0" w:lineRule="auto" w:line="480"/>
        <w:jc w:val="both"/>
        <w:rPr/>
      </w:pPr>
      <w:r>
        <w:tab/>
      </w:r>
      <w:r>
        <w:t xml:space="preserve">Penelitian ini membahas terkait pengaruh </w:t>
      </w:r>
      <w:r>
        <w:rPr>
          <w:i/>
          <w:iCs/>
        </w:rPr>
        <w:t xml:space="preserve">enterprise risk management, managerial ownership, </w:t>
      </w:r>
      <w:r>
        <w:t xml:space="preserve">dan </w:t>
      </w:r>
      <w:r>
        <w:rPr>
          <w:i/>
          <w:iCs/>
        </w:rPr>
        <w:t xml:space="preserve">institutional ownership </w:t>
      </w:r>
      <w:r>
        <w:t xml:space="preserve">terhadap </w:t>
      </w:r>
      <w:r>
        <w:rPr>
          <w:i/>
          <w:iCs/>
        </w:rPr>
        <w:t>firm value</w:t>
      </w:r>
      <w:r>
        <w:rPr>
          <w:i/>
          <w:iCs/>
        </w:rPr>
        <w:t xml:space="preserve">. </w:t>
      </w:r>
      <w:r>
        <w:t xml:space="preserve"> </w:t>
      </w:r>
      <w:r>
        <w:t xml:space="preserve">Objek penelitian ini yaitu </w:t>
      </w:r>
      <w:r>
        <w:t xml:space="preserve">perusahaan manufaktur yang terdaftar di Bursa Efek Indonesia tahun 2020-2023. </w:t>
      </w:r>
      <w:r>
        <w:t>Berdasarkan pembahasan hasil penelitian, diperoleh beberapa kesimpulan yang dapat dijelaskan sebagai berikut:</w:t>
      </w:r>
    </w:p>
    <w:p>
      <w:pPr>
        <w:pStyle w:val="style179"/>
        <w:numPr>
          <w:ilvl w:val="0"/>
          <w:numId w:val="18"/>
        </w:numPr>
        <w:spacing w:after="0" w:lineRule="auto" w:line="480"/>
        <w:ind w:left="360"/>
        <w:jc w:val="both"/>
        <w:rPr/>
      </w:pPr>
      <w:r>
        <w:rPr>
          <w:i/>
          <w:iCs/>
        </w:rPr>
        <w:t xml:space="preserve">Enterperise risk management </w:t>
      </w:r>
      <w:r>
        <w:t>tidak berpengaruh signifikan</w:t>
      </w:r>
      <w:r>
        <w:t xml:space="preserve"> terhadap </w:t>
      </w:r>
      <w:r>
        <w:rPr>
          <w:i/>
          <w:iCs/>
        </w:rPr>
        <w:t xml:space="preserve">firm value. </w:t>
      </w:r>
      <w:r>
        <w:t xml:space="preserve"> </w:t>
      </w:r>
      <w:r>
        <w:rPr>
          <w:rFonts w:cs="Times New Roman"/>
        </w:rPr>
        <w:t>I</w:t>
      </w:r>
      <w:r>
        <w:rPr>
          <w:rFonts w:cs="Times New Roman"/>
        </w:rPr>
        <w:t xml:space="preserve">nformasi pengungkapan </w:t>
      </w:r>
      <w:r>
        <w:rPr>
          <w:rFonts w:cs="Times New Roman"/>
          <w:i/>
          <w:iCs/>
        </w:rPr>
        <w:t>enterprise risk management</w:t>
      </w:r>
      <w:r>
        <w:rPr>
          <w:rFonts w:cs="Times New Roman"/>
        </w:rPr>
        <w:t xml:space="preserve"> pada laporan keuangan tahunan</w:t>
      </w:r>
      <w:r>
        <w:rPr>
          <w:rFonts w:cs="Times New Roman"/>
          <w:i/>
          <w:iCs/>
        </w:rPr>
        <w:t xml:space="preserve"> </w:t>
      </w:r>
      <w:r>
        <w:rPr>
          <w:rFonts w:cs="Times New Roman"/>
        </w:rPr>
        <w:t>tidak cukup memberikan kepercayaan maupun loyalitas pemegang saham dalam berinvestasi</w:t>
      </w:r>
      <w:r>
        <w:rPr>
          <w:rFonts w:cs="Times New Roman"/>
        </w:rPr>
        <w:t xml:space="preserve"> walaupun perusahaan telah mengungkapkannya dengan cukup baik.</w:t>
      </w:r>
    </w:p>
    <w:p>
      <w:pPr>
        <w:pStyle w:val="style179"/>
        <w:numPr>
          <w:ilvl w:val="0"/>
          <w:numId w:val="18"/>
        </w:numPr>
        <w:spacing w:after="0" w:lineRule="auto" w:line="480"/>
        <w:ind w:left="360"/>
        <w:jc w:val="both"/>
        <w:rPr/>
      </w:pPr>
      <w:r>
        <w:rPr>
          <w:i/>
          <w:iCs/>
        </w:rPr>
        <w:t xml:space="preserve">Managerial ownership </w:t>
      </w:r>
      <w:r>
        <w:t>tidak berpengaruh signifikan</w:t>
      </w:r>
      <w:r>
        <w:t xml:space="preserve"> terhadap </w:t>
      </w:r>
      <w:r>
        <w:rPr>
          <w:i/>
          <w:iCs/>
        </w:rPr>
        <w:t>firm value.</w:t>
      </w:r>
      <w:r>
        <w:rPr>
          <w:i/>
          <w:iCs/>
        </w:rPr>
        <w:t xml:space="preserve"> </w:t>
      </w:r>
      <w:r>
        <w:rPr>
          <w:szCs w:val="24"/>
        </w:rPr>
        <w:t xml:space="preserve">Kepemilikan yang rendah </w:t>
      </w:r>
      <w:r>
        <w:rPr>
          <w:szCs w:val="24"/>
        </w:rPr>
        <w:t xml:space="preserve">dapat </w:t>
      </w:r>
      <w:r>
        <w:rPr>
          <w:szCs w:val="24"/>
        </w:rPr>
        <w:t xml:space="preserve">menyebabkan </w:t>
      </w:r>
      <w:r>
        <w:rPr>
          <w:szCs w:val="24"/>
        </w:rPr>
        <w:t xml:space="preserve">pengawasan internal serta </w:t>
      </w:r>
      <w:r>
        <w:rPr>
          <w:szCs w:val="24"/>
        </w:rPr>
        <w:t>keputusan maupun strategi yang diambil tidak sesuai dengan harapan manajer dan lambat</w:t>
      </w:r>
      <w:r>
        <w:rPr>
          <w:rFonts w:cs="Times New Roman"/>
          <w:szCs w:val="24"/>
        </w:rPr>
        <w:t xml:space="preserve"> untuk mencegah risiko pada kinerja perusahaan karena perlu adanya pertimbangan dari kepemilikan saham mayoritas</w:t>
      </w:r>
      <w:r>
        <w:rPr>
          <w:rFonts w:cs="Times New Roman" w:eastAsia="Times New Roman"/>
          <w:iCs/>
          <w:szCs w:val="24"/>
        </w:rPr>
        <w:t xml:space="preserve">. Hal ini menyebabkan manajer tidak </w:t>
      </w:r>
      <w:r>
        <w:rPr>
          <w:rFonts w:cs="Times New Roman"/>
        </w:rPr>
        <w:t xml:space="preserve">dapat mempengaruhi dan meningkatkan </w:t>
      </w:r>
      <w:r>
        <w:rPr>
          <w:rFonts w:cs="Times New Roman"/>
          <w:i/>
          <w:iCs/>
        </w:rPr>
        <w:t xml:space="preserve">firm value </w:t>
      </w:r>
      <w:r>
        <w:rPr>
          <w:rFonts w:cs="Times New Roman"/>
        </w:rPr>
        <w:t>sebagai pengawasan</w:t>
      </w:r>
      <w:r>
        <w:rPr>
          <w:rFonts w:cs="Times New Roman"/>
        </w:rPr>
        <w:t xml:space="preserve"> </w:t>
      </w:r>
      <w:r>
        <w:rPr>
          <w:rFonts w:cs="Times New Roman"/>
        </w:rPr>
        <w:t>internal dalam kinerja perusahaan.</w:t>
      </w:r>
    </w:p>
    <w:p>
      <w:pPr>
        <w:pStyle w:val="style179"/>
        <w:numPr>
          <w:ilvl w:val="0"/>
          <w:numId w:val="18"/>
        </w:numPr>
        <w:spacing w:lineRule="auto" w:line="480"/>
        <w:ind w:left="360"/>
        <w:jc w:val="both"/>
        <w:rPr/>
      </w:pPr>
      <w:r>
        <w:rPr>
          <w:i/>
          <w:iCs/>
        </w:rPr>
        <w:t xml:space="preserve">Institutional ownership </w:t>
      </w:r>
      <w:r>
        <w:t xml:space="preserve">berpengaruh signifikan </w:t>
      </w:r>
      <w:r>
        <w:t xml:space="preserve">positif </w:t>
      </w:r>
      <w:r>
        <w:t xml:space="preserve">terhadap </w:t>
      </w:r>
      <w:r>
        <w:rPr>
          <w:i/>
          <w:iCs/>
        </w:rPr>
        <w:t>firm value.</w:t>
      </w:r>
      <w:r>
        <w:rPr>
          <w:i/>
          <w:iCs/>
        </w:rPr>
        <w:t xml:space="preserve"> </w:t>
      </w:r>
      <w:r>
        <w:t>Hal ini disebabkan karena</w:t>
      </w:r>
      <w:r>
        <w:rPr>
          <w:i/>
          <w:iCs/>
        </w:rPr>
        <w:t xml:space="preserve"> </w:t>
      </w:r>
      <w:r>
        <w:rPr>
          <w:rFonts w:cs="Times New Roman"/>
          <w:color w:val="000000"/>
        </w:rPr>
        <w:t>p</w:t>
      </w:r>
      <w:r>
        <w:rPr>
          <w:rFonts w:cs="Times New Roman"/>
          <w:color w:val="000000"/>
        </w:rPr>
        <w:t xml:space="preserve">engawasan </w:t>
      </w:r>
      <w:r>
        <w:rPr>
          <w:rFonts w:cs="Times New Roman"/>
          <w:color w:val="000000"/>
        </w:rPr>
        <w:t xml:space="preserve">eksternal </w:t>
      </w:r>
      <w:r>
        <w:rPr>
          <w:rFonts w:cs="Times New Roman"/>
          <w:color w:val="000000"/>
        </w:rPr>
        <w:t xml:space="preserve">yang dilakukan institusi dapat mendorong adanya transparansi serta efisiensi sehingga meningkatkan </w:t>
      </w:r>
      <w:r>
        <w:rPr>
          <w:rFonts w:cs="Times New Roman"/>
          <w:color w:val="000000"/>
        </w:rPr>
        <w:t>efektivitas kinerja manajer dalam perusahaan</w:t>
      </w:r>
      <w:r>
        <w:rPr>
          <w:rFonts w:cs="Times New Roman"/>
          <w:i/>
          <w:iCs/>
          <w:color w:val="000000"/>
        </w:rPr>
        <w:t xml:space="preserve">. </w:t>
      </w:r>
      <w:r>
        <w:rPr>
          <w:rFonts w:cs="Times New Roman"/>
        </w:rPr>
        <w:t xml:space="preserve">Besarnya kinerja perusahaan akan mempengaruhi </w:t>
      </w:r>
      <w:r>
        <w:rPr>
          <w:rFonts w:cs="Times New Roman"/>
          <w:i/>
          <w:iCs/>
        </w:rPr>
        <w:t xml:space="preserve">firm value </w:t>
      </w:r>
      <w:r>
        <w:rPr>
          <w:rFonts w:cs="Times New Roman"/>
        </w:rPr>
        <w:t xml:space="preserve">yang didapatkan </w:t>
      </w:r>
      <w:r>
        <w:rPr>
          <w:rFonts w:cs="Times New Roman"/>
          <w:szCs w:val="24"/>
        </w:rPr>
        <w:t xml:space="preserve">karena tetap menjaga kepercayaan investor dan </w:t>
      </w:r>
      <w:r>
        <w:rPr>
          <w:rFonts w:cs="Times New Roman"/>
          <w:color w:val="000000"/>
        </w:rPr>
        <w:t>harga saham yang sedia dibayar dapat naik</w:t>
      </w:r>
      <w:r>
        <w:rPr>
          <w:rFonts w:cs="Times New Roman"/>
        </w:rPr>
        <w:t xml:space="preserve">. </w:t>
      </w:r>
      <w:r>
        <w:rPr>
          <w:rFonts w:cs="Times New Roman"/>
          <w:i/>
          <w:iCs/>
          <w:color w:val="000000"/>
        </w:rPr>
        <w:t xml:space="preserve"> </w:t>
      </w:r>
      <w:r>
        <w:rPr>
          <w:rFonts w:cs="Times New Roman" w:eastAsia="Times New Roman"/>
          <w:kern w:val="0"/>
          <w:szCs w:val="24"/>
          <w14:ligatures xmlns:w14="http://schemas.microsoft.com/office/word/2010/wordml" w14:val="none"/>
        </w:rPr>
        <w:t xml:space="preserve"> </w:t>
      </w:r>
    </w:p>
    <w:bookmarkStart w:id="120" w:name="_Toc218854644"/>
    <w:p>
      <w:pPr>
        <w:pStyle w:val="style2"/>
        <w:spacing w:before="0" w:lineRule="auto" w:line="480"/>
        <w:jc w:val="both"/>
        <w:rPr/>
      </w:pPr>
      <w:r>
        <w:t>5.</w:t>
      </w:r>
      <w:r>
        <w:t>2</w:t>
      </w:r>
      <w:r>
        <w:t xml:space="preserve">. </w:t>
      </w:r>
      <w:r>
        <w:tab/>
      </w:r>
      <w:r>
        <w:t>Saran</w:t>
      </w:r>
      <w:bookmarkEnd w:id="120"/>
    </w:p>
    <w:p>
      <w:pPr>
        <w:pStyle w:val="style0"/>
        <w:spacing w:after="0" w:lineRule="auto" w:line="480"/>
        <w:jc w:val="both"/>
        <w:rPr/>
      </w:pPr>
      <w:r>
        <w:tab/>
      </w:r>
      <w:r>
        <w:t>S</w:t>
      </w:r>
      <w:r>
        <w:t xml:space="preserve">aran atau masukan berdasarkan hasil penelitian </w:t>
      </w:r>
      <w:r>
        <w:t>yang dapat dipaparkan sebagai berikut</w:t>
      </w:r>
      <w:r>
        <w:t>:</w:t>
      </w:r>
    </w:p>
    <w:p>
      <w:pPr>
        <w:pStyle w:val="style179"/>
        <w:numPr>
          <w:ilvl w:val="0"/>
          <w:numId w:val="19"/>
        </w:numPr>
        <w:spacing w:after="0" w:lineRule="auto" w:line="480"/>
        <w:ind w:left="360"/>
        <w:jc w:val="both"/>
        <w:rPr/>
      </w:pPr>
      <w:r>
        <w:t xml:space="preserve">Penelitian ini hanya mencakup 3 variabel yang diteliti terhadap </w:t>
      </w:r>
      <w:r>
        <w:rPr>
          <w:i/>
          <w:iCs/>
        </w:rPr>
        <w:t>firm value</w:t>
      </w:r>
      <w:r>
        <w:t xml:space="preserve">, yaitu </w:t>
      </w:r>
      <w:r>
        <w:rPr>
          <w:i/>
          <w:iCs/>
        </w:rPr>
        <w:t xml:space="preserve">enterprise risk management, managerial ownership, </w:t>
      </w:r>
      <w:r>
        <w:t xml:space="preserve">dan </w:t>
      </w:r>
      <w:r>
        <w:rPr>
          <w:i/>
          <w:iCs/>
        </w:rPr>
        <w:t xml:space="preserve">institutional ownership. </w:t>
      </w:r>
      <w:r>
        <w:t>Peneliti selanjutnya dapat</w:t>
      </w:r>
      <w:r>
        <w:t xml:space="preserve"> </w:t>
      </w:r>
      <w:r>
        <w:t>menambah variabel diluar yang ditelit</w:t>
      </w:r>
      <w:r>
        <w:t>i</w:t>
      </w:r>
      <w:r>
        <w:t xml:space="preserve"> </w:t>
      </w:r>
      <w:r>
        <w:t xml:space="preserve">untuk menjadi penelitian lanjutan terkait </w:t>
      </w:r>
      <w:r>
        <w:rPr>
          <w:i/>
          <w:iCs/>
        </w:rPr>
        <w:t>firm value</w:t>
      </w:r>
      <w:r>
        <w:rPr>
          <w:i/>
          <w:iCs/>
        </w:rPr>
        <w:t xml:space="preserve">, </w:t>
      </w:r>
      <w:r>
        <w:t xml:space="preserve">seperti </w:t>
      </w:r>
      <w:r>
        <w:rPr>
          <w:i/>
          <w:iCs/>
        </w:rPr>
        <w:t xml:space="preserve">intellectual capital, good corporate governance, </w:t>
      </w:r>
      <w:r>
        <w:t>dan kebijakan dividen</w:t>
      </w:r>
      <w:r>
        <w:rPr>
          <w:i/>
          <w:iCs/>
        </w:rPr>
        <w:t>.</w:t>
      </w:r>
    </w:p>
    <w:p>
      <w:pPr>
        <w:pStyle w:val="style179"/>
        <w:numPr>
          <w:ilvl w:val="0"/>
          <w:numId w:val="19"/>
        </w:numPr>
        <w:spacing w:after="0" w:lineRule="auto" w:line="480"/>
        <w:ind w:left="360"/>
        <w:jc w:val="both"/>
        <w:rPr/>
      </w:pPr>
      <w:r>
        <w:rPr>
          <w:rFonts w:cs="Times New Roman" w:eastAsia="Times New Roman"/>
          <w:kern w:val="0"/>
          <w:szCs w:val="24"/>
          <w14:ligatures xmlns:w14="http://schemas.microsoft.com/office/word/2010/wordml" w14:val="none"/>
        </w:rPr>
        <w:t>Sampel yang digunakan adalah perusahaan manufaktur yang terdaftar di Bursa Efek Indonesia tahun 2020-2023 sehingga hasil penelitian ini tidak dapat mencerminkan kondisi terkini. Peneliti selanjutnya dapat menambah waktu penelitian maupun objek yang berbeda.</w:t>
      </w:r>
    </w:p>
    <w:p>
      <w:pPr>
        <w:pStyle w:val="style179"/>
        <w:numPr>
          <w:ilvl w:val="0"/>
          <w:numId w:val="19"/>
        </w:numPr>
        <w:spacing w:after="0" w:lineRule="auto" w:line="480"/>
        <w:ind w:left="360"/>
        <w:jc w:val="both"/>
        <w:rPr/>
      </w:pPr>
      <w:r>
        <w:t xml:space="preserve">Perusahaan dapat melakukan pengoptimalan pada implementasi informasi </w:t>
      </w:r>
      <w:r>
        <w:rPr>
          <w:i/>
          <w:iCs/>
        </w:rPr>
        <w:t>enterprise risk management</w:t>
      </w:r>
      <w:r>
        <w:t xml:space="preserve"> dan </w:t>
      </w:r>
      <w:r>
        <w:t xml:space="preserve">pertimbangan peningkatan </w:t>
      </w:r>
      <w:r>
        <w:rPr>
          <w:i/>
          <w:iCs/>
        </w:rPr>
        <w:t>managerial ownership</w:t>
      </w:r>
      <w:r>
        <w:t xml:space="preserve"> </w:t>
      </w:r>
      <w:r>
        <w:t xml:space="preserve">sebagai pengawasan internal sehingga </w:t>
      </w:r>
      <w:r>
        <w:t>memberikan prospek manfaat jangka panjang</w:t>
      </w:r>
      <w:r>
        <w:t xml:space="preserve"> yang akan </w:t>
      </w:r>
      <w:r>
        <w:t>menjadi bahan investor dalam memutuskan untuk berinvestasi</w:t>
      </w:r>
      <w:r>
        <w:t>.</w:t>
      </w:r>
    </w:p>
    <w:p>
      <w:pPr>
        <w:pStyle w:val="style0"/>
        <w:spacing w:lineRule="auto" w:line="360"/>
        <w:jc w:val="both"/>
        <w:rPr>
          <w:rFonts w:cs="Times New Roman" w:eastAsia="Times New Roman"/>
          <w:color w:val="000000"/>
          <w:kern w:val="0"/>
          <w:szCs w:val="24"/>
          <w:u w:val="single"/>
          <w14:ligatures xmlns:w14="http://schemas.microsoft.com/office/word/2010/wordml" w14:val="none"/>
        </w:rPr>
      </w:pPr>
    </w:p>
    <w:p>
      <w:pPr>
        <w:pStyle w:val="style0"/>
        <w:spacing w:lineRule="auto" w:line="360"/>
        <w:jc w:val="both"/>
        <w:rPr/>
      </w:pPr>
    </w:p>
    <w:p>
      <w:pPr>
        <w:pStyle w:val="style0"/>
        <w:spacing w:lineRule="auto" w:line="360"/>
        <w:jc w:val="both"/>
        <w:rPr/>
      </w:pPr>
    </w:p>
    <w:p>
      <w:pPr>
        <w:pStyle w:val="style0"/>
        <w:rPr/>
        <w:sectPr>
          <w:pgSz w:w="11906" w:h="16838" w:orient="portrait" w:code="9"/>
          <w:pgMar w:top="2268" w:right="1701" w:bottom="1701" w:left="2268" w:header="720" w:footer="720" w:gutter="0"/>
          <w:cols w:space="720"/>
          <w:titlePg/>
          <w:docGrid w:linePitch="360"/>
        </w:sectPr>
      </w:pPr>
    </w:p>
    <w:bookmarkStart w:id="121" w:name="_Toc218854645"/>
    <w:p>
      <w:pPr>
        <w:pStyle w:val="style1"/>
        <w:spacing w:before="0" w:lineRule="auto" w:line="480"/>
        <w:rPr/>
      </w:pPr>
      <w:r>
        <w:t>DA</w:t>
      </w:r>
      <w:r>
        <w:t>FTAR PU</w:t>
      </w:r>
      <w:r>
        <w:t>S</w:t>
      </w:r>
      <w:r>
        <w:t>TAKA</w:t>
      </w:r>
      <w:bookmarkEnd w:id="121"/>
    </w:p>
    <w:p>
      <w:pPr>
        <w:pStyle w:val="style0"/>
        <w:autoSpaceDE w:val="false"/>
        <w:autoSpaceDN w:val="false"/>
        <w:spacing w:lineRule="auto" w:line="240"/>
        <w:ind w:left="-540" w:hanging="480"/>
        <w:jc w:val="both"/>
        <w:rPr>
          <w:rFonts w:cs="Times New Roman" w:eastAsia="Times New Roman"/>
          <w:color w:val="000000"/>
          <w:kern w:val="0"/>
          <w:sz w:val="22"/>
          <w14:ligatures xmlns:w14="http://schemas.microsoft.com/office/word/2010/wordml" w14:val="none"/>
        </w:rPr>
      </w:pPr>
      <w:r>
        <w:rPr>
          <w:rFonts w:cs="Times New Roman" w:eastAsia="Times New Roman"/>
          <w:color w:val="000000"/>
          <w:sz w:val="22"/>
        </w:rPr>
        <w:t xml:space="preserve">Agrawal, A., &amp; Mandelker, G. N. (1990). Large Shareholders and the Monitoring of Managers: The Case of Antitakeover Charter Amendments. </w:t>
      </w:r>
      <w:r>
        <w:rPr>
          <w:rFonts w:cs="Times New Roman" w:eastAsia="Times New Roman"/>
          <w:i/>
          <w:iCs/>
          <w:color w:val="000000"/>
          <w:sz w:val="22"/>
        </w:rPr>
        <w:t>Journal of Financial and Quantitative Analysis</w:t>
      </w:r>
      <w:r>
        <w:rPr>
          <w:rFonts w:cs="Times New Roman" w:eastAsia="Times New Roman"/>
          <w:color w:val="000000"/>
          <w:sz w:val="22"/>
        </w:rPr>
        <w:t xml:space="preserve">, </w:t>
      </w:r>
      <w:r>
        <w:rPr>
          <w:rFonts w:cs="Times New Roman" w:eastAsia="Times New Roman"/>
          <w:i/>
          <w:iCs/>
          <w:color w:val="000000"/>
          <w:sz w:val="22"/>
        </w:rPr>
        <w:t>25</w:t>
      </w:r>
      <w:r>
        <w:rPr>
          <w:rFonts w:cs="Times New Roman" w:eastAsia="Times New Roman"/>
          <w:color w:val="000000"/>
          <w:sz w:val="22"/>
        </w:rPr>
        <w:t>(2), 143–161. https://doi.org/10.2307/2330821</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Alawattegama, K. K. (2022). Enterprise Risk Management: Challenges and The Strategies for Success. </w:t>
      </w:r>
      <w:r>
        <w:rPr>
          <w:rFonts w:cs="Times New Roman" w:eastAsia="Times New Roman"/>
          <w:i/>
          <w:iCs/>
          <w:color w:val="000000"/>
          <w:sz w:val="22"/>
        </w:rPr>
        <w:t>International Journal of Research in Business and Social Science (2147- 4478)</w:t>
      </w:r>
      <w:r>
        <w:rPr>
          <w:rFonts w:cs="Times New Roman" w:eastAsia="Times New Roman"/>
          <w:color w:val="000000"/>
          <w:sz w:val="22"/>
        </w:rPr>
        <w:t xml:space="preserve">, </w:t>
      </w:r>
      <w:r>
        <w:rPr>
          <w:rFonts w:cs="Times New Roman" w:eastAsia="Times New Roman"/>
          <w:i/>
          <w:iCs/>
          <w:color w:val="000000"/>
          <w:sz w:val="22"/>
        </w:rPr>
        <w:t>11</w:t>
      </w:r>
      <w:r>
        <w:rPr>
          <w:rFonts w:cs="Times New Roman" w:eastAsia="Times New Roman"/>
          <w:color w:val="000000"/>
          <w:sz w:val="22"/>
        </w:rPr>
        <w:t>(6), 110–115. https://doi.org/10.20525/ijrbs.v11i6.1931</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Amalia, G. Z., Warno, &amp; Prasetyoningrum, A. K. (2021). Pengungkapan  Enterprise Risk Management, Intellectual Capital dan Islamic Social Reporting terhadap Nilai Perusahaan (Studi Empiris pada Perusahaan Industri Dasar dan Kimia yang Masuk dalam Daftar Efek Syariah Periode 2016-2018). </w:t>
      </w:r>
      <w:r>
        <w:rPr>
          <w:rFonts w:cs="Times New Roman" w:eastAsia="Times New Roman"/>
          <w:i/>
          <w:iCs/>
          <w:color w:val="000000"/>
          <w:sz w:val="22"/>
        </w:rPr>
        <w:t>Jurnal Akuntansi &amp; Keuangan Daerah</w:t>
      </w:r>
      <w:r>
        <w:rPr>
          <w:rFonts w:cs="Times New Roman" w:eastAsia="Times New Roman"/>
          <w:color w:val="000000"/>
          <w:sz w:val="22"/>
        </w:rPr>
        <w:t xml:space="preserve">, </w:t>
      </w:r>
      <w:r>
        <w:rPr>
          <w:rFonts w:cs="Times New Roman" w:eastAsia="Times New Roman"/>
          <w:i/>
          <w:iCs/>
          <w:color w:val="000000"/>
          <w:sz w:val="22"/>
        </w:rPr>
        <w:t>16</w:t>
      </w:r>
      <w:r>
        <w:rPr>
          <w:rFonts w:cs="Times New Roman" w:eastAsia="Times New Roman"/>
          <w:color w:val="000000"/>
          <w:sz w:val="22"/>
        </w:rPr>
        <w:t>(1), 1–19. https://doi.org/10.52062/jakd.v16i1.1845.</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Amerta, A., &amp; Soenarno, N. Y. (2022). The Impact of Enterprise Risk Management, Corporate Social Responsibility, and Ustainability Report on Firm Value in Banking Sector of Indonesia, Malaysia, and Thailand. </w:t>
      </w:r>
      <w:r>
        <w:rPr>
          <w:rFonts w:cs="Times New Roman" w:eastAsia="Times New Roman"/>
          <w:i/>
          <w:iCs/>
          <w:color w:val="000000"/>
          <w:sz w:val="22"/>
        </w:rPr>
        <w:t>International Journal Vallis Aurea</w:t>
      </w:r>
      <w:r>
        <w:rPr>
          <w:rFonts w:cs="Times New Roman" w:eastAsia="Times New Roman"/>
          <w:color w:val="000000"/>
          <w:sz w:val="22"/>
        </w:rPr>
        <w:t xml:space="preserve">, </w:t>
      </w:r>
      <w:r>
        <w:rPr>
          <w:rFonts w:cs="Times New Roman" w:eastAsia="Times New Roman"/>
          <w:i/>
          <w:iCs/>
          <w:color w:val="000000"/>
          <w:sz w:val="22"/>
        </w:rPr>
        <w:t>8</w:t>
      </w:r>
      <w:r>
        <w:rPr>
          <w:rFonts w:cs="Times New Roman" w:eastAsia="Times New Roman"/>
          <w:color w:val="000000"/>
          <w:sz w:val="22"/>
        </w:rPr>
        <w:t>(1), 49–65. https://doi.org/10.2507/IJVA.8.1.4.89</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Ana, S., &amp; Wibowo, D. T. (2025). Nilai Perusahaan dalam Formula Tobin’s Q Ratio. </w:t>
      </w:r>
      <w:r>
        <w:rPr>
          <w:rFonts w:cs="Times New Roman" w:eastAsia="Times New Roman"/>
          <w:i/>
          <w:iCs/>
          <w:color w:val="000000"/>
          <w:sz w:val="22"/>
        </w:rPr>
        <w:t>MUQADDIMAH: Jurnal Ekonomi, Manajemen, Akuntansi Dan Bisnis</w:t>
      </w:r>
      <w:r>
        <w:rPr>
          <w:rFonts w:cs="Times New Roman" w:eastAsia="Times New Roman"/>
          <w:color w:val="000000"/>
          <w:sz w:val="22"/>
        </w:rPr>
        <w:t xml:space="preserve">, </w:t>
      </w:r>
      <w:r>
        <w:rPr>
          <w:rFonts w:cs="Times New Roman" w:eastAsia="Times New Roman"/>
          <w:i/>
          <w:iCs/>
          <w:color w:val="000000"/>
          <w:sz w:val="22"/>
        </w:rPr>
        <w:t>3</w:t>
      </w:r>
      <w:r>
        <w:rPr>
          <w:rFonts w:cs="Times New Roman" w:eastAsia="Times New Roman"/>
          <w:color w:val="000000"/>
          <w:sz w:val="22"/>
        </w:rPr>
        <w:t>(1), 126–135. https://doi.org/10.59246/muqaddimah.v3i1.1190</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Aryanti, R. M., Cahyaningtyas, S. R., &amp; Waskito, I. (2021). Pengaruh Enterprise Risk Management terhadap Kinerja Perusahaan dengan Intellectual Capital sebagai Variabel Moderasi. </w:t>
      </w:r>
      <w:r>
        <w:rPr>
          <w:rFonts w:cs="Times New Roman" w:eastAsia="Times New Roman"/>
          <w:i/>
          <w:iCs/>
          <w:color w:val="000000"/>
          <w:sz w:val="22"/>
        </w:rPr>
        <w:t>RISMA: Jurnal Riset Mahasiswa Akuntansi</w:t>
      </w:r>
      <w:r>
        <w:rPr>
          <w:rFonts w:cs="Times New Roman" w:eastAsia="Times New Roman"/>
          <w:color w:val="000000"/>
          <w:sz w:val="22"/>
        </w:rPr>
        <w:t xml:space="preserve">, </w:t>
      </w:r>
      <w:r>
        <w:rPr>
          <w:rFonts w:cs="Times New Roman" w:eastAsia="Times New Roman"/>
          <w:i/>
          <w:iCs/>
          <w:color w:val="000000"/>
          <w:sz w:val="22"/>
        </w:rPr>
        <w:t>1</w:t>
      </w:r>
      <w:r>
        <w:rPr>
          <w:rFonts w:cs="Times New Roman" w:eastAsia="Times New Roman"/>
          <w:color w:val="000000"/>
          <w:sz w:val="22"/>
        </w:rPr>
        <w:t>(3), 141–158. https://doi.org/10.29303/risma.v1i3.100</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Ayem, S., &amp; Seldis, Y. A. (2023). The Effect of Managerial Ownership, Company Size, and Profitability on Firm Value with Profit Management as Moderation Variables. </w:t>
      </w:r>
      <w:r>
        <w:rPr>
          <w:rFonts w:cs="Times New Roman" w:eastAsia="Times New Roman"/>
          <w:i/>
          <w:iCs/>
          <w:color w:val="000000"/>
          <w:sz w:val="22"/>
        </w:rPr>
        <w:t>Economos :Jurnal Ekonomi Dan Bisnis</w:t>
      </w:r>
      <w:r>
        <w:rPr>
          <w:rFonts w:cs="Times New Roman" w:eastAsia="Times New Roman"/>
          <w:color w:val="000000"/>
          <w:sz w:val="22"/>
        </w:rPr>
        <w:t xml:space="preserve">, </w:t>
      </w:r>
      <w:r>
        <w:rPr>
          <w:rFonts w:cs="Times New Roman" w:eastAsia="Times New Roman"/>
          <w:i/>
          <w:iCs/>
          <w:color w:val="000000"/>
          <w:sz w:val="22"/>
        </w:rPr>
        <w:t>6</w:t>
      </w:r>
      <w:r>
        <w:rPr>
          <w:rFonts w:cs="Times New Roman" w:eastAsia="Times New Roman"/>
          <w:color w:val="000000"/>
          <w:sz w:val="22"/>
        </w:rPr>
        <w:t>(1), 27–36. https://doi.org/10.31850/economos.v6i1.2239</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Azzahra, V. F., Saphira, J., &amp; Astuti, C. D. (2022). Pengaruh Kepemilikan Institusional, Risiko Bisnis, Kualitas Audit, Ketepatan Waktu Pelaporan Keuangan, dan Struktur Modal terhadap Nilai Perusahaan. </w:t>
      </w:r>
      <w:r>
        <w:rPr>
          <w:rFonts w:cs="Times New Roman" w:eastAsia="Times New Roman"/>
          <w:i/>
          <w:iCs/>
          <w:color w:val="000000"/>
          <w:sz w:val="22"/>
        </w:rPr>
        <w:t>Jurnal Ilmiah Akuntansi dan Keuangan</w:t>
      </w:r>
      <w:r>
        <w:rPr>
          <w:rFonts w:cs="Times New Roman" w:eastAsia="Times New Roman"/>
          <w:color w:val="000000"/>
          <w:sz w:val="22"/>
        </w:rPr>
        <w:t xml:space="preserve">, </w:t>
      </w:r>
      <w:r>
        <w:rPr>
          <w:rFonts w:cs="Times New Roman" w:eastAsia="Times New Roman"/>
          <w:i/>
          <w:iCs/>
          <w:color w:val="000000"/>
          <w:sz w:val="22"/>
        </w:rPr>
        <w:t>5</w:t>
      </w:r>
      <w:r>
        <w:rPr>
          <w:rFonts w:cs="Times New Roman" w:eastAsia="Times New Roman"/>
          <w:color w:val="000000"/>
          <w:sz w:val="22"/>
        </w:rPr>
        <w:t>(3), 1529–1541. https://doi.org/10.32670/fairvalue.v5i3.2463</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Badan Pusat Statistik. (2024a). </w:t>
      </w:r>
      <w:r>
        <w:rPr>
          <w:rFonts w:cs="Times New Roman" w:eastAsia="Times New Roman"/>
          <w:i/>
          <w:iCs/>
          <w:color w:val="000000"/>
          <w:sz w:val="22"/>
        </w:rPr>
        <w:t>Perkembangan Indeks Produksi Industri Manufaktur 2023</w:t>
      </w:r>
      <w:r>
        <w:rPr>
          <w:rFonts w:cs="Times New Roman" w:eastAsia="Times New Roman"/>
          <w:color w:val="000000"/>
          <w:sz w:val="22"/>
        </w:rPr>
        <w:t xml:space="preserve">. Diakses pada 23 Maret 2025. </w:t>
      </w:r>
      <w:r>
        <w:rPr/>
        <w:fldChar w:fldCharType="begin"/>
      </w:r>
      <w:r>
        <w:instrText xml:space="preserve"> HYPERLINK "https://www.bps.go.id/id/publication/2024/08/30/4cbfc%2030" </w:instrText>
      </w:r>
      <w:r>
        <w:rPr/>
        <w:fldChar w:fldCharType="separate"/>
      </w:r>
      <w:r>
        <w:rPr>
          <w:rStyle w:val="style85"/>
          <w:rFonts w:cs="Times New Roman" w:eastAsia="Times New Roman"/>
          <w:color w:val="auto"/>
          <w:sz w:val="22"/>
          <w:u w:val="none"/>
        </w:rPr>
        <w:t>https://www.bps.go.id/id/publication/2024/08/30/4cbfc 30</w:t>
      </w:r>
      <w:r>
        <w:rPr/>
        <w:fldChar w:fldCharType="end"/>
      </w:r>
      <w:r>
        <w:rPr>
          <w:rFonts w:cs="Times New Roman" w:eastAsia="Times New Roman"/>
          <w:sz w:val="22"/>
        </w:rPr>
        <w:t>e81404b7b48e1172b/perkemb</w:t>
      </w:r>
      <w:r>
        <w:rPr>
          <w:rFonts w:cs="Times New Roman" w:eastAsia="Times New Roman"/>
          <w:color w:val="000000"/>
          <w:sz w:val="22"/>
        </w:rPr>
        <w:t>angan-indeks-produksi-industri-manufaktur-2023.html</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Badan Pusat Statistik. (2024b). </w:t>
      </w:r>
      <w:r>
        <w:rPr>
          <w:rFonts w:cs="Times New Roman" w:eastAsia="Times New Roman"/>
          <w:i/>
          <w:iCs/>
          <w:color w:val="000000"/>
          <w:sz w:val="22"/>
        </w:rPr>
        <w:t>Pertumbuhan Ekonomi Indonesia Triwulan IV-2023</w:t>
      </w:r>
      <w:r>
        <w:rPr>
          <w:rFonts w:cs="Times New Roman" w:eastAsia="Times New Roman"/>
          <w:color w:val="000000"/>
          <w:sz w:val="22"/>
        </w:rPr>
        <w:t>. Diakses pada 3 Mei 2025. https://www.bps.go.id/id/pressrelease/2024/02/05/2379 /ekonomi-indonesia-triwulan-iv-2023-tumbuh-5-04-persen--y-on-y-.html</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Bandaso, M. S. T., Mantong, A., &amp; Rundupadang, H. (2023). Analisis Kinerja Keuangan pada Perusahaan Manufaktur yang terdaftar di Bursa Efek Indonesia. </w:t>
      </w:r>
      <w:r>
        <w:rPr>
          <w:rFonts w:cs="Times New Roman" w:eastAsia="Times New Roman"/>
          <w:i/>
          <w:iCs/>
          <w:color w:val="000000"/>
          <w:sz w:val="22"/>
        </w:rPr>
        <w:t>Prosiding Seminar Nasional Manajemen Dan Ekonomi</w:t>
      </w:r>
      <w:r>
        <w:rPr>
          <w:rFonts w:cs="Times New Roman" w:eastAsia="Times New Roman"/>
          <w:color w:val="000000"/>
          <w:sz w:val="22"/>
        </w:rPr>
        <w:t xml:space="preserve">, </w:t>
      </w:r>
      <w:r>
        <w:rPr>
          <w:rFonts w:cs="Times New Roman" w:eastAsia="Times New Roman"/>
          <w:i/>
          <w:iCs/>
          <w:color w:val="000000"/>
          <w:sz w:val="22"/>
        </w:rPr>
        <w:t>2</w:t>
      </w:r>
      <w:r>
        <w:rPr>
          <w:rFonts w:cs="Times New Roman" w:eastAsia="Times New Roman"/>
          <w:color w:val="000000"/>
          <w:sz w:val="22"/>
        </w:rPr>
        <w:t>(1), 328–341. https://doi.org/10.59024/semnas.v2i1.209</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Bathala, C. T., Moon, K. P., &amp; Rao, R. P. (1994). Managerial Ownership, Debt Policy, and the Impact of Institutional Holdings: An Agency Perspective. </w:t>
      </w:r>
      <w:r>
        <w:rPr>
          <w:rFonts w:cs="Times New Roman" w:eastAsia="Times New Roman"/>
          <w:i/>
          <w:iCs/>
          <w:color w:val="000000"/>
          <w:sz w:val="22"/>
        </w:rPr>
        <w:t>Financial Management</w:t>
      </w:r>
      <w:r>
        <w:rPr>
          <w:rFonts w:cs="Times New Roman" w:eastAsia="Times New Roman"/>
          <w:color w:val="000000"/>
          <w:sz w:val="22"/>
        </w:rPr>
        <w:t xml:space="preserve">, </w:t>
      </w:r>
      <w:r>
        <w:rPr>
          <w:rFonts w:cs="Times New Roman" w:eastAsia="Times New Roman"/>
          <w:i/>
          <w:iCs/>
          <w:color w:val="000000"/>
          <w:sz w:val="22"/>
        </w:rPr>
        <w:t>23</w:t>
      </w:r>
      <w:r>
        <w:rPr>
          <w:rFonts w:cs="Times New Roman" w:eastAsia="Times New Roman"/>
          <w:color w:val="000000"/>
          <w:sz w:val="22"/>
        </w:rPr>
        <w:t>(3), 38–50. https://doi.org/10.2307/3665620</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Budiman, M., Siregar, M. A. P., Kurniawan, L., &amp; Dewi, G. W. G. (2024). Determinan Nilai Perusahaan pada Perusahaan Manufaktur yang terdaftar di Bursa Efek Indonesia Periode 2020-2022. </w:t>
      </w:r>
      <w:r>
        <w:rPr>
          <w:rFonts w:cs="Times New Roman" w:eastAsia="Times New Roman"/>
          <w:i/>
          <w:iCs/>
          <w:color w:val="000000"/>
          <w:sz w:val="22"/>
        </w:rPr>
        <w:t>JHR 24/7: Jurnal Bisnis dan Manajemen</w:t>
      </w:r>
      <w:r>
        <w:rPr>
          <w:rFonts w:cs="Times New Roman" w:eastAsia="Times New Roman"/>
          <w:color w:val="000000"/>
          <w:sz w:val="22"/>
        </w:rPr>
        <w:t xml:space="preserve">, </w:t>
      </w:r>
      <w:r>
        <w:rPr>
          <w:rFonts w:cs="Times New Roman" w:eastAsia="Times New Roman"/>
          <w:i/>
          <w:iCs/>
          <w:color w:val="000000"/>
          <w:sz w:val="22"/>
        </w:rPr>
        <w:t>1</w:t>
      </w:r>
      <w:r>
        <w:rPr>
          <w:rFonts w:cs="Times New Roman" w:eastAsia="Times New Roman"/>
          <w:color w:val="000000"/>
          <w:sz w:val="22"/>
        </w:rPr>
        <w:t>(2), 1–19. https://jhr247.org/index.php/jurnal/issue/current</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Budiningsih, B. A. S., Kristanto, A. T., &amp; Agustinawansari, G. (2022). Analisis Pengaruh Mekanisme Corporate Governance terhadap Kemungkinan Terjadinya Financial Distress. </w:t>
      </w:r>
      <w:r>
        <w:rPr>
          <w:rFonts w:cs="Times New Roman" w:eastAsia="Times New Roman"/>
          <w:i/>
          <w:iCs/>
          <w:color w:val="000000"/>
          <w:sz w:val="22"/>
        </w:rPr>
        <w:t>EXERO : Journal of Research in Business and Economics</w:t>
      </w:r>
      <w:r>
        <w:rPr>
          <w:rFonts w:cs="Times New Roman" w:eastAsia="Times New Roman"/>
          <w:color w:val="000000"/>
          <w:sz w:val="22"/>
        </w:rPr>
        <w:t xml:space="preserve">, </w:t>
      </w:r>
      <w:r>
        <w:rPr>
          <w:rFonts w:cs="Times New Roman" w:eastAsia="Times New Roman"/>
          <w:i/>
          <w:iCs/>
          <w:color w:val="000000"/>
          <w:sz w:val="22"/>
        </w:rPr>
        <w:t>4</w:t>
      </w:r>
      <w:r>
        <w:rPr>
          <w:rFonts w:cs="Times New Roman" w:eastAsia="Times New Roman"/>
          <w:color w:val="000000"/>
          <w:sz w:val="22"/>
        </w:rPr>
        <w:t>(1), 84–126. https://doi.org/10.24071/exero.v4i1.5027</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Bursa Efek Indonesia. (2023). </w:t>
      </w:r>
      <w:r>
        <w:rPr>
          <w:rFonts w:cs="Times New Roman" w:eastAsia="Times New Roman"/>
          <w:i/>
          <w:iCs/>
          <w:color w:val="000000"/>
          <w:sz w:val="22"/>
        </w:rPr>
        <w:t>Melalui Berbagai Pencapaian Tahun 2023, Pasar Modal Indonesia Tunjukkan Optimisme Hadapi Tahun 2024</w:t>
      </w:r>
      <w:r>
        <w:rPr>
          <w:rFonts w:cs="Times New Roman" w:eastAsia="Times New Roman"/>
          <w:color w:val="000000"/>
          <w:sz w:val="22"/>
        </w:rPr>
        <w:t>. Diakses pada 8 Desember 2025. https://www.idx.co.id/en/news/press-release/2080</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COSO. (2017). </w:t>
      </w:r>
      <w:r>
        <w:rPr>
          <w:rFonts w:cs="Times New Roman" w:eastAsia="Times New Roman"/>
          <w:i/>
          <w:iCs/>
          <w:color w:val="000000"/>
          <w:sz w:val="22"/>
        </w:rPr>
        <w:t>Enterprise Risk Management Integrating with Strategy and Performance</w:t>
      </w:r>
      <w:r>
        <w:rPr>
          <w:rFonts w:cs="Times New Roman" w:eastAsia="Times New Roman"/>
          <w:color w:val="000000"/>
          <w:sz w:val="22"/>
        </w:rPr>
        <w:t xml:space="preserve"> (Vol. 2, pp. 1–28). Committee of Sponsoring Organizations of the Treadway Commission (COSO). Diakses pada 23 April 2025. https://static.poder360.com.br/ 2023/09/Diretriz-Enterprise-Risk-Management-Coso-2017.pdf</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Cristofel, &amp; Kurniawati. (2021). Pengaruh Enterprise Risk Management, Corporate Social Responsibility dan Kepemilikan Institusional terhadap Nilai Perusahaan. </w:t>
      </w:r>
      <w:r>
        <w:rPr>
          <w:rFonts w:cs="Times New Roman" w:eastAsia="Times New Roman"/>
          <w:i/>
          <w:iCs/>
          <w:color w:val="000000"/>
          <w:sz w:val="22"/>
        </w:rPr>
        <w:t>Jurnal Akuntansi Bisnis</w:t>
      </w:r>
      <w:r>
        <w:rPr>
          <w:rFonts w:cs="Times New Roman" w:eastAsia="Times New Roman"/>
          <w:color w:val="000000"/>
          <w:sz w:val="22"/>
        </w:rPr>
        <w:t xml:space="preserve">, </w:t>
      </w:r>
      <w:r>
        <w:rPr>
          <w:rFonts w:cs="Times New Roman" w:eastAsia="Times New Roman"/>
          <w:i/>
          <w:iCs/>
          <w:color w:val="000000"/>
          <w:sz w:val="22"/>
        </w:rPr>
        <w:t>14</w:t>
      </w:r>
      <w:r>
        <w:rPr>
          <w:rFonts w:cs="Times New Roman" w:eastAsia="Times New Roman"/>
          <w:color w:val="000000"/>
          <w:sz w:val="22"/>
        </w:rPr>
        <w:t>(1), 1–12. https://doi.org/10.30813/jab.v14i1.2468</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Demsetz, H., &amp; Villalonga, B. (2001). Ownership Structure and Corporate Performance. </w:t>
      </w:r>
      <w:r>
        <w:rPr>
          <w:rFonts w:cs="Times New Roman" w:eastAsia="Times New Roman"/>
          <w:i/>
          <w:iCs/>
          <w:color w:val="000000"/>
          <w:sz w:val="22"/>
        </w:rPr>
        <w:t>Journal of Corporate Finance</w:t>
      </w:r>
      <w:r>
        <w:rPr>
          <w:rFonts w:cs="Times New Roman" w:eastAsia="Times New Roman"/>
          <w:color w:val="000000"/>
          <w:sz w:val="22"/>
        </w:rPr>
        <w:t xml:space="preserve">, </w:t>
      </w:r>
      <w:r>
        <w:rPr>
          <w:rFonts w:cs="Times New Roman" w:eastAsia="Times New Roman"/>
          <w:i/>
          <w:iCs/>
          <w:color w:val="000000"/>
          <w:sz w:val="22"/>
        </w:rPr>
        <w:t>7</w:t>
      </w:r>
      <w:r>
        <w:rPr>
          <w:rFonts w:cs="Times New Roman" w:eastAsia="Times New Roman"/>
          <w:color w:val="000000"/>
          <w:sz w:val="22"/>
        </w:rPr>
        <w:t>, 209–233. https://doi.org/10.1016/S0929-1199(01)00020-7</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Edhitya CP, P., &amp; Suzan, L. (2023). Impact of Growth Opportunity, Cash Holding, Managerial Ownership, and Company Size on the LQ45 Index Company Value. </w:t>
      </w:r>
      <w:r>
        <w:rPr>
          <w:rFonts w:cs="Times New Roman" w:eastAsia="Times New Roman"/>
          <w:i/>
          <w:iCs/>
          <w:color w:val="000000"/>
          <w:sz w:val="22"/>
        </w:rPr>
        <w:t>Management Studies and Entrepreneurship Journal</w:t>
      </w:r>
      <w:r>
        <w:rPr>
          <w:rFonts w:cs="Times New Roman" w:eastAsia="Times New Roman"/>
          <w:color w:val="000000"/>
          <w:sz w:val="22"/>
        </w:rPr>
        <w:t xml:space="preserve">, </w:t>
      </w:r>
      <w:r>
        <w:rPr>
          <w:rFonts w:cs="Times New Roman" w:eastAsia="Times New Roman"/>
          <w:i/>
          <w:iCs/>
          <w:color w:val="000000"/>
          <w:sz w:val="22"/>
        </w:rPr>
        <w:t>4</w:t>
      </w:r>
      <w:r>
        <w:rPr>
          <w:rFonts w:cs="Times New Roman" w:eastAsia="Times New Roman"/>
          <w:color w:val="000000"/>
          <w:sz w:val="22"/>
        </w:rPr>
        <w:t>(5), 5056–5069. https://doi.org/10.37385/msej.v4i5.2740</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Eisenhardt, K. M. (1989). Building Theories from Case Study Research. </w:t>
      </w:r>
      <w:r>
        <w:rPr>
          <w:rFonts w:cs="Times New Roman" w:eastAsia="Times New Roman"/>
          <w:i/>
          <w:iCs/>
          <w:color w:val="000000"/>
          <w:sz w:val="22"/>
        </w:rPr>
        <w:t>The Academy of Management Review</w:t>
      </w:r>
      <w:r>
        <w:rPr>
          <w:rFonts w:cs="Times New Roman" w:eastAsia="Times New Roman"/>
          <w:color w:val="000000"/>
          <w:sz w:val="22"/>
        </w:rPr>
        <w:t xml:space="preserve">, </w:t>
      </w:r>
      <w:r>
        <w:rPr>
          <w:rFonts w:cs="Times New Roman" w:eastAsia="Times New Roman"/>
          <w:i/>
          <w:iCs/>
          <w:color w:val="000000"/>
          <w:sz w:val="22"/>
        </w:rPr>
        <w:t>14</w:t>
      </w:r>
      <w:r>
        <w:rPr>
          <w:rFonts w:cs="Times New Roman" w:eastAsia="Times New Roman"/>
          <w:color w:val="000000"/>
          <w:sz w:val="22"/>
        </w:rPr>
        <w:t>(4), 532–550. https://doi.org/10.2307/258557</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Endri, E., &amp; Fathony, M. (2020). Determinants of Firm’s Value: Evidence from Financial Industry. </w:t>
      </w:r>
      <w:r>
        <w:rPr>
          <w:rFonts w:cs="Times New Roman" w:eastAsia="Times New Roman"/>
          <w:i/>
          <w:iCs/>
          <w:color w:val="000000"/>
          <w:sz w:val="22"/>
        </w:rPr>
        <w:t>Management Science Letters</w:t>
      </w:r>
      <w:r>
        <w:rPr>
          <w:rFonts w:cs="Times New Roman" w:eastAsia="Times New Roman"/>
          <w:color w:val="000000"/>
          <w:sz w:val="22"/>
        </w:rPr>
        <w:t xml:space="preserve">, </w:t>
      </w:r>
      <w:r>
        <w:rPr>
          <w:rFonts w:cs="Times New Roman" w:eastAsia="Times New Roman"/>
          <w:i/>
          <w:iCs/>
          <w:color w:val="000000"/>
          <w:sz w:val="22"/>
        </w:rPr>
        <w:t>10</w:t>
      </w:r>
      <w:r>
        <w:rPr>
          <w:rFonts w:cs="Times New Roman" w:eastAsia="Times New Roman"/>
          <w:color w:val="000000"/>
          <w:sz w:val="22"/>
        </w:rPr>
        <w:t>(1), 111–120. https://doi.org/10.5267/j.msl.2019.8.011</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Fama, E. F. (1980). Agency Problems and the Theory of the Firm. </w:t>
      </w:r>
      <w:r>
        <w:rPr>
          <w:rFonts w:cs="Times New Roman" w:eastAsia="Times New Roman"/>
          <w:i/>
          <w:iCs/>
          <w:color w:val="000000"/>
          <w:sz w:val="22"/>
        </w:rPr>
        <w:t>The Journal of Political Economy</w:t>
      </w:r>
      <w:r>
        <w:rPr>
          <w:rFonts w:cs="Times New Roman" w:eastAsia="Times New Roman"/>
          <w:color w:val="000000"/>
          <w:sz w:val="22"/>
        </w:rPr>
        <w:t xml:space="preserve">, </w:t>
      </w:r>
      <w:r>
        <w:rPr>
          <w:rFonts w:cs="Times New Roman" w:eastAsia="Times New Roman"/>
          <w:i/>
          <w:iCs/>
          <w:color w:val="000000"/>
          <w:sz w:val="22"/>
        </w:rPr>
        <w:t>88</w:t>
      </w:r>
      <w:r>
        <w:rPr>
          <w:rFonts w:cs="Times New Roman" w:eastAsia="Times New Roman"/>
          <w:color w:val="000000"/>
          <w:sz w:val="22"/>
        </w:rPr>
        <w:t>(2), 288–307. https://doi.org/10.1086/260866</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Fama, E. F., &amp; Jensen, M. C. (1983). Separation of Ownership and Control. </w:t>
      </w:r>
      <w:r>
        <w:rPr>
          <w:rFonts w:cs="Times New Roman" w:eastAsia="Times New Roman"/>
          <w:i/>
          <w:iCs/>
          <w:color w:val="000000"/>
          <w:sz w:val="22"/>
        </w:rPr>
        <w:t>Journal of Law and Economics</w:t>
      </w:r>
      <w:r>
        <w:rPr>
          <w:rFonts w:cs="Times New Roman" w:eastAsia="Times New Roman"/>
          <w:color w:val="000000"/>
          <w:sz w:val="22"/>
        </w:rPr>
        <w:t xml:space="preserve">, </w:t>
      </w:r>
      <w:r>
        <w:rPr>
          <w:rFonts w:cs="Times New Roman" w:eastAsia="Times New Roman"/>
          <w:i/>
          <w:iCs/>
          <w:color w:val="000000"/>
          <w:sz w:val="22"/>
        </w:rPr>
        <w:t>26</w:t>
      </w:r>
      <w:r>
        <w:rPr>
          <w:rFonts w:cs="Times New Roman" w:eastAsia="Times New Roman"/>
          <w:color w:val="000000"/>
          <w:sz w:val="22"/>
        </w:rPr>
        <w:t>(2), 301–325. https://doi.org/10.1086/467037</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Fauziah, F., Sabtohadi, J., Al Manar, S., &amp; Ady Surya, E. (2022). Pengaruh Enterprise Risk Management, Return on Asset, Managerial Ownership, dan Firm Size terhadap Firm Value. </w:t>
      </w:r>
      <w:r>
        <w:rPr>
          <w:rFonts w:cs="Times New Roman" w:eastAsia="Times New Roman"/>
          <w:i/>
          <w:iCs/>
          <w:color w:val="000000"/>
          <w:sz w:val="22"/>
        </w:rPr>
        <w:t>Media Bina Ilmiah</w:t>
      </w:r>
      <w:r>
        <w:rPr>
          <w:rFonts w:cs="Times New Roman" w:eastAsia="Times New Roman"/>
          <w:color w:val="000000"/>
          <w:sz w:val="22"/>
        </w:rPr>
        <w:t xml:space="preserve">, </w:t>
      </w:r>
      <w:r>
        <w:rPr>
          <w:rFonts w:cs="Times New Roman" w:eastAsia="Times New Roman"/>
          <w:i/>
          <w:iCs/>
          <w:color w:val="000000"/>
          <w:sz w:val="22"/>
        </w:rPr>
        <w:t>17</w:t>
      </w:r>
      <w:r>
        <w:rPr>
          <w:rFonts w:cs="Times New Roman" w:eastAsia="Times New Roman"/>
          <w:color w:val="000000"/>
          <w:sz w:val="22"/>
        </w:rPr>
        <w:t>(3), 419–432. https://doi.org/10.33578/mbi.v17i3.149</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Firdaus, D., Anshari, R., &amp; Jamal, S. W. (2024). Pengaruh Kepemilikan Manajerial terhadap Kesulitan Keuangan Perusahaan Sektor Industri Dasar dan Kimia. </w:t>
      </w:r>
      <w:r>
        <w:rPr>
          <w:rFonts w:cs="Times New Roman" w:eastAsia="Times New Roman"/>
          <w:i/>
          <w:iCs/>
          <w:color w:val="000000"/>
          <w:sz w:val="22"/>
        </w:rPr>
        <w:t xml:space="preserve">Value: Jurnal </w:t>
      </w:r>
      <w:r>
        <w:rPr>
          <w:rFonts w:cs="Times New Roman" w:eastAsia="Times New Roman"/>
          <w:i/>
          <w:iCs/>
          <w:color w:val="000000"/>
          <w:sz w:val="22"/>
        </w:rPr>
        <w:t>Manajemen dan Akuntansi</w:t>
      </w:r>
      <w:r>
        <w:rPr>
          <w:rFonts w:cs="Times New Roman" w:eastAsia="Times New Roman"/>
          <w:color w:val="000000"/>
          <w:sz w:val="22"/>
        </w:rPr>
        <w:t xml:space="preserve">, </w:t>
      </w:r>
      <w:r>
        <w:rPr>
          <w:rFonts w:cs="Times New Roman" w:eastAsia="Times New Roman"/>
          <w:i/>
          <w:iCs/>
          <w:color w:val="000000"/>
          <w:sz w:val="22"/>
        </w:rPr>
        <w:t>19</w:t>
      </w:r>
      <w:r>
        <w:rPr>
          <w:rFonts w:cs="Times New Roman" w:eastAsia="Times New Roman"/>
          <w:color w:val="000000"/>
          <w:sz w:val="22"/>
        </w:rPr>
        <w:t>(3), 758–771. https://doi.org/https://doi.org/10.32534/jv.v19i3.6159</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Ghani, R. A., Samah, A. R. A., Baharuddin, N. S., &amp; Ahmad, Z. (2023). Determinants of Firm Value as Measured by the Tobin’s Q: A Case of Malaysian Plantation Sector. </w:t>
      </w:r>
      <w:r>
        <w:rPr>
          <w:rFonts w:cs="Times New Roman" w:eastAsia="Times New Roman"/>
          <w:i/>
          <w:iCs/>
          <w:color w:val="000000"/>
          <w:sz w:val="22"/>
        </w:rPr>
        <w:t>International Journal of Academic Research in Accounting, Finance and Management Sciences</w:t>
      </w:r>
      <w:r>
        <w:rPr>
          <w:rFonts w:cs="Times New Roman" w:eastAsia="Times New Roman"/>
          <w:color w:val="000000"/>
          <w:sz w:val="22"/>
        </w:rPr>
        <w:t xml:space="preserve">, </w:t>
      </w:r>
      <w:r>
        <w:rPr>
          <w:rFonts w:cs="Times New Roman" w:eastAsia="Times New Roman"/>
          <w:i/>
          <w:iCs/>
          <w:color w:val="000000"/>
          <w:sz w:val="22"/>
        </w:rPr>
        <w:t>13</w:t>
      </w:r>
      <w:r>
        <w:rPr>
          <w:rFonts w:cs="Times New Roman" w:eastAsia="Times New Roman"/>
          <w:color w:val="000000"/>
          <w:sz w:val="22"/>
        </w:rPr>
        <w:t>(2), 420–432. https://doi.org/10.6007/ijarafms/v13-i2/17268</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Gustriadhi Nugroho, R., &amp; Muid, D. (2024). The Influence of Managerial Ownership, Return on Assets, Company Size, and Debt to Equity on Company Value (Case Study on Financials Sector Companies for The 2021-2022 Period). </w:t>
      </w:r>
      <w:r>
        <w:rPr>
          <w:rFonts w:cs="Times New Roman" w:eastAsia="Times New Roman"/>
          <w:i/>
          <w:iCs/>
          <w:color w:val="000000"/>
          <w:sz w:val="22"/>
        </w:rPr>
        <w:t>JURNAL MANEKSI</w:t>
      </w:r>
      <w:r>
        <w:rPr>
          <w:rFonts w:cs="Times New Roman" w:eastAsia="Times New Roman"/>
          <w:color w:val="000000"/>
          <w:sz w:val="22"/>
        </w:rPr>
        <w:t xml:space="preserve">, </w:t>
      </w:r>
      <w:r>
        <w:rPr>
          <w:rFonts w:cs="Times New Roman" w:eastAsia="Times New Roman"/>
          <w:i/>
          <w:iCs/>
          <w:color w:val="000000"/>
          <w:sz w:val="22"/>
        </w:rPr>
        <w:t>13</w:t>
      </w:r>
      <w:r>
        <w:rPr>
          <w:rFonts w:cs="Times New Roman" w:eastAsia="Times New Roman"/>
          <w:color w:val="000000"/>
          <w:sz w:val="22"/>
        </w:rPr>
        <w:t>(2), 391–397. https://doi.org/10.31959/jm.v13i2.2259</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Hakim, L., Khotimah, H., &amp; Sunanto, G. B. A. (2025). The Influence of Managerial Ownership and Firm Size on Firm Value in Manufacturing Companies Listed on The Indonesia Stock Exchange for The Period 2019-2023. </w:t>
      </w:r>
      <w:r>
        <w:rPr>
          <w:rFonts w:cs="Times New Roman" w:eastAsia="Times New Roman"/>
          <w:i/>
          <w:iCs/>
          <w:color w:val="000000"/>
          <w:sz w:val="22"/>
        </w:rPr>
        <w:t>JUKIM: Jurnal Ilmiah Multidisiplin</w:t>
      </w:r>
      <w:r>
        <w:rPr>
          <w:rFonts w:cs="Times New Roman" w:eastAsia="Times New Roman"/>
          <w:color w:val="000000"/>
          <w:sz w:val="22"/>
        </w:rPr>
        <w:t xml:space="preserve">, </w:t>
      </w:r>
      <w:r>
        <w:rPr>
          <w:rFonts w:cs="Times New Roman" w:eastAsia="Times New Roman"/>
          <w:i/>
          <w:iCs/>
          <w:color w:val="000000"/>
          <w:sz w:val="22"/>
        </w:rPr>
        <w:t>4</w:t>
      </w:r>
      <w:r>
        <w:rPr>
          <w:rFonts w:cs="Times New Roman" w:eastAsia="Times New Roman"/>
          <w:color w:val="000000"/>
          <w:sz w:val="22"/>
        </w:rPr>
        <w:t>(4), 129–141. https://doi.org/10.56127/jukim.v4i04</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Hardi, F., &amp; Baskara, I. G. K. B. (2024). The Influence of Enterprise Risk Management and Corporate Social Responsibility on Firm Value with Profitability as a Moderation Variable. </w:t>
      </w:r>
      <w:r>
        <w:rPr>
          <w:rFonts w:cs="Times New Roman" w:eastAsia="Times New Roman"/>
          <w:i/>
          <w:iCs/>
          <w:color w:val="000000"/>
          <w:sz w:val="22"/>
        </w:rPr>
        <w:t>International Journal of Economics and Management Sciences</w:t>
      </w:r>
      <w:r>
        <w:rPr>
          <w:rFonts w:cs="Times New Roman" w:eastAsia="Times New Roman"/>
          <w:color w:val="000000"/>
          <w:sz w:val="22"/>
        </w:rPr>
        <w:t xml:space="preserve">, </w:t>
      </w:r>
      <w:r>
        <w:rPr>
          <w:rFonts w:cs="Times New Roman" w:eastAsia="Times New Roman"/>
          <w:i/>
          <w:iCs/>
          <w:color w:val="000000"/>
          <w:sz w:val="22"/>
        </w:rPr>
        <w:t>1</w:t>
      </w:r>
      <w:r>
        <w:rPr>
          <w:rFonts w:cs="Times New Roman" w:eastAsia="Times New Roman"/>
          <w:color w:val="000000"/>
          <w:sz w:val="22"/>
        </w:rPr>
        <w:t>(3), 365–381. https://doi.org/10.61132/ijems.v1i3.193</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Heng, V. V., &amp; Nugroho, V. (2023). Faktor-Faktor yang memengaruhi Nilai Perusahaan pada Perusahaan Manufaktur. </w:t>
      </w:r>
      <w:r>
        <w:rPr>
          <w:rFonts w:cs="Times New Roman" w:eastAsia="Times New Roman"/>
          <w:i/>
          <w:iCs/>
          <w:color w:val="000000"/>
          <w:sz w:val="22"/>
        </w:rPr>
        <w:t>Jurnal Multiparadigma Akuntans</w:t>
      </w:r>
      <w:r>
        <w:rPr>
          <w:rFonts w:cs="Times New Roman" w:eastAsia="Times New Roman"/>
          <w:color w:val="000000"/>
          <w:sz w:val="22"/>
        </w:rPr>
        <w:t xml:space="preserve">, </w:t>
      </w:r>
      <w:r>
        <w:rPr>
          <w:rFonts w:cs="Times New Roman" w:eastAsia="Times New Roman"/>
          <w:i/>
          <w:iCs/>
          <w:color w:val="000000"/>
          <w:sz w:val="22"/>
        </w:rPr>
        <w:t>5</w:t>
      </w:r>
      <w:r>
        <w:rPr>
          <w:rFonts w:cs="Times New Roman" w:eastAsia="Times New Roman"/>
          <w:color w:val="000000"/>
          <w:sz w:val="22"/>
        </w:rPr>
        <w:t>(2), 614–625. https://doi.org/10.24912/jpa.v5i2.23507</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Hidayah, N. S., Pradesa, H. A., Taufik, N. I., Purba, C. O., &amp; Agustina, I. (2025). Penerapan Enterprise Risk Management (ERM) berdasarkan COSO-Framework pada Perusahaan Manufaktur di Indonesia. </w:t>
      </w:r>
      <w:r>
        <w:rPr>
          <w:rFonts w:cs="Times New Roman" w:eastAsia="Times New Roman"/>
          <w:i/>
          <w:iCs/>
          <w:color w:val="000000"/>
          <w:sz w:val="22"/>
        </w:rPr>
        <w:t>Ekonomi, Keuangan, Investasi dan Syariah (EKUITAS)</w:t>
      </w:r>
      <w:r>
        <w:rPr>
          <w:rFonts w:cs="Times New Roman" w:eastAsia="Times New Roman"/>
          <w:color w:val="000000"/>
          <w:sz w:val="22"/>
        </w:rPr>
        <w:t xml:space="preserve">, </w:t>
      </w:r>
      <w:r>
        <w:rPr>
          <w:rFonts w:cs="Times New Roman" w:eastAsia="Times New Roman"/>
          <w:i/>
          <w:iCs/>
          <w:color w:val="000000"/>
          <w:sz w:val="22"/>
        </w:rPr>
        <w:t>6</w:t>
      </w:r>
      <w:r>
        <w:rPr>
          <w:rFonts w:cs="Times New Roman" w:eastAsia="Times New Roman"/>
          <w:color w:val="000000"/>
          <w:sz w:val="22"/>
        </w:rPr>
        <w:t>(3), 463–476. https://doi.org/10.47065/ekuitas.v6i3.6876</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Ifada, L. M., Fuad, K., &amp; Kartikasari, L. (2021). Managerial Ownership and Firm Value: The Role of Corporate Social Responsibility. </w:t>
      </w:r>
      <w:r>
        <w:rPr>
          <w:rFonts w:cs="Times New Roman" w:eastAsia="Times New Roman"/>
          <w:i/>
          <w:iCs/>
          <w:color w:val="000000"/>
          <w:sz w:val="22"/>
        </w:rPr>
        <w:t>Jurnal Akuntansi Dan Auditing Indonesia</w:t>
      </w:r>
      <w:r>
        <w:rPr>
          <w:rFonts w:cs="Times New Roman" w:eastAsia="Times New Roman"/>
          <w:color w:val="000000"/>
          <w:sz w:val="22"/>
        </w:rPr>
        <w:t xml:space="preserve">, </w:t>
      </w:r>
      <w:r>
        <w:rPr>
          <w:rFonts w:cs="Times New Roman" w:eastAsia="Times New Roman"/>
          <w:i/>
          <w:iCs/>
          <w:color w:val="000000"/>
          <w:sz w:val="22"/>
        </w:rPr>
        <w:t>25</w:t>
      </w:r>
      <w:r>
        <w:rPr>
          <w:rFonts w:cs="Times New Roman" w:eastAsia="Times New Roman"/>
          <w:color w:val="000000"/>
          <w:sz w:val="22"/>
        </w:rPr>
        <w:t>(2), 161–169. https://doi.org/10.20885/jaai.vol25.i</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Ismanto, J., Rosini, I., &amp; Nofryanti. (2023). Pengaruh Enterprise Risk Management, Profitabilitas, dan Kepemilikan Managerial terhadap Nilai Perusahaan Asuransi di Bursa Efek Indonesia. </w:t>
      </w:r>
      <w:r>
        <w:rPr>
          <w:rFonts w:cs="Times New Roman" w:eastAsia="Times New Roman"/>
          <w:i/>
          <w:iCs/>
          <w:color w:val="000000"/>
          <w:sz w:val="22"/>
        </w:rPr>
        <w:t>Jurnal Informasi, Perpajakan, Akuntansi, dan Keuangan Publik</w:t>
      </w:r>
      <w:r>
        <w:rPr>
          <w:rFonts w:cs="Times New Roman" w:eastAsia="Times New Roman"/>
          <w:color w:val="000000"/>
          <w:sz w:val="22"/>
        </w:rPr>
        <w:t xml:space="preserve">, </w:t>
      </w:r>
      <w:r>
        <w:rPr>
          <w:rFonts w:cs="Times New Roman" w:eastAsia="Times New Roman"/>
          <w:i/>
          <w:iCs/>
          <w:color w:val="000000"/>
          <w:sz w:val="22"/>
        </w:rPr>
        <w:t>18</w:t>
      </w:r>
      <w:r>
        <w:rPr>
          <w:rFonts w:cs="Times New Roman" w:eastAsia="Times New Roman"/>
          <w:color w:val="000000"/>
          <w:sz w:val="22"/>
        </w:rPr>
        <w:t>(2), 199–218. https://doi.org/10.25105/jipak.v18i2.16357</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Jensen, M. C., &amp; Meckling, W. H. (1976). Theory of the Firm: Managerial Behavior, Agency Costs and Ownership Structure. </w:t>
      </w:r>
      <w:r>
        <w:rPr>
          <w:rFonts w:cs="Times New Roman" w:eastAsia="Times New Roman"/>
          <w:i/>
          <w:iCs/>
          <w:color w:val="000000"/>
          <w:sz w:val="22"/>
        </w:rPr>
        <w:t>Journal of Financial Economics</w:t>
      </w:r>
      <w:r>
        <w:rPr>
          <w:rFonts w:cs="Times New Roman" w:eastAsia="Times New Roman"/>
          <w:color w:val="000000"/>
          <w:sz w:val="22"/>
        </w:rPr>
        <w:t xml:space="preserve">, </w:t>
      </w:r>
      <w:r>
        <w:rPr>
          <w:rFonts w:cs="Times New Roman" w:eastAsia="Times New Roman"/>
          <w:i/>
          <w:iCs/>
          <w:color w:val="000000"/>
          <w:sz w:val="22"/>
        </w:rPr>
        <w:t>3</w:t>
      </w:r>
      <w:r>
        <w:rPr>
          <w:rFonts w:cs="Times New Roman" w:eastAsia="Times New Roman"/>
          <w:color w:val="000000"/>
          <w:sz w:val="22"/>
        </w:rPr>
        <w:t>(4), 305–360. https://doi.org/10.1016/0304-405X(76)90026-X</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Karina, R., Lestari, F., &amp; Ivone, I. (2023). The Effect of Enterprise Risk Management on Financial Performance and Firm Value: The Role of Environmental, Social and Governance Performance. </w:t>
      </w:r>
      <w:r>
        <w:rPr>
          <w:rFonts w:cs="Times New Roman" w:eastAsia="Times New Roman"/>
          <w:i/>
          <w:iCs/>
          <w:color w:val="000000"/>
          <w:sz w:val="22"/>
        </w:rPr>
        <w:t>Global Financial Accounting Journal</w:t>
      </w:r>
      <w:r>
        <w:rPr>
          <w:rFonts w:cs="Times New Roman" w:eastAsia="Times New Roman"/>
          <w:color w:val="000000"/>
          <w:sz w:val="22"/>
        </w:rPr>
        <w:t xml:space="preserve">, </w:t>
      </w:r>
      <w:r>
        <w:rPr>
          <w:rFonts w:cs="Times New Roman" w:eastAsia="Times New Roman"/>
          <w:i/>
          <w:iCs/>
          <w:color w:val="000000"/>
          <w:sz w:val="22"/>
        </w:rPr>
        <w:t>7</w:t>
      </w:r>
      <w:r>
        <w:rPr>
          <w:rFonts w:cs="Times New Roman" w:eastAsia="Times New Roman"/>
          <w:color w:val="000000"/>
          <w:sz w:val="22"/>
        </w:rPr>
        <w:t>(2), 213. https://doi.org/10.37253/gfa.v7i2.8706</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Karinda, D. N., Suranto, F., &amp; Farhana, S. (2022). Karakteristik Dewan dan Kinerja Keuangan Perusahaan di Indonesia. </w:t>
      </w:r>
      <w:r>
        <w:rPr>
          <w:rFonts w:cs="Times New Roman" w:eastAsia="Times New Roman"/>
          <w:i/>
          <w:iCs/>
          <w:color w:val="000000"/>
          <w:sz w:val="22"/>
        </w:rPr>
        <w:t>Journal of Accounting and Management Innovation</w:t>
      </w:r>
      <w:r>
        <w:rPr>
          <w:rFonts w:cs="Times New Roman" w:eastAsia="Times New Roman"/>
          <w:color w:val="000000"/>
          <w:sz w:val="22"/>
        </w:rPr>
        <w:t xml:space="preserve">, </w:t>
      </w:r>
      <w:r>
        <w:rPr>
          <w:rFonts w:cs="Times New Roman" w:eastAsia="Times New Roman"/>
          <w:i/>
          <w:iCs/>
          <w:color w:val="000000"/>
          <w:sz w:val="22"/>
        </w:rPr>
        <w:t>6</w:t>
      </w:r>
      <w:r>
        <w:rPr>
          <w:rFonts w:cs="Times New Roman" w:eastAsia="Times New Roman"/>
          <w:color w:val="000000"/>
          <w:sz w:val="22"/>
        </w:rPr>
        <w:t>(1), 96–121. https://ejournal-medan.uph.edu/jam/article/view/523</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Kiswara, D. E. (2022, November 3). </w:t>
      </w:r>
      <w:r>
        <w:rPr>
          <w:rFonts w:cs="Times New Roman" w:eastAsia="Times New Roman"/>
          <w:i/>
          <w:iCs/>
          <w:color w:val="000000"/>
          <w:sz w:val="22"/>
        </w:rPr>
        <w:t>Enterprise Risk Management</w:t>
      </w:r>
      <w:r>
        <w:rPr>
          <w:rFonts w:cs="Times New Roman" w:eastAsia="Times New Roman"/>
          <w:color w:val="000000"/>
          <w:sz w:val="22"/>
        </w:rPr>
        <w:t>. BPI UNAIR. Diakses pada 23 April 2025. https://bpi.unair.ac.id/enterprise-risk-management/</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Kurniawan, Y. P., Widiyanti, M., &amp; Adam, M. (2024). The Effect of Enterprise Risk Management (ERM) on Company Value in Mining Companies Listed on The Indonesia Stock Exchange. </w:t>
      </w:r>
      <w:r>
        <w:rPr>
          <w:rFonts w:cs="Times New Roman" w:eastAsia="Times New Roman"/>
          <w:i/>
          <w:iCs/>
          <w:color w:val="000000"/>
          <w:sz w:val="22"/>
        </w:rPr>
        <w:t>Syntax Transformation</w:t>
      </w:r>
      <w:r>
        <w:rPr>
          <w:rFonts w:cs="Times New Roman" w:eastAsia="Times New Roman"/>
          <w:color w:val="000000"/>
          <w:sz w:val="22"/>
        </w:rPr>
        <w:t xml:space="preserve">, </w:t>
      </w:r>
      <w:r>
        <w:rPr>
          <w:rFonts w:cs="Times New Roman" w:eastAsia="Times New Roman"/>
          <w:i/>
          <w:iCs/>
          <w:color w:val="000000"/>
          <w:sz w:val="22"/>
        </w:rPr>
        <w:t>5</w:t>
      </w:r>
      <w:r>
        <w:rPr>
          <w:rFonts w:cs="Times New Roman" w:eastAsia="Times New Roman"/>
          <w:color w:val="000000"/>
          <w:sz w:val="22"/>
        </w:rPr>
        <w:t>(1), 61–71. https://doi.org/10.46799/jst.v5i1.891</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Malik, A. I. M. W., Fala, D. Y. A. S., &amp; Darwis, H. (2024). Pengungkapan Manajemen Risiko, Kepemilikan Manajerial dan Kepemilikan Institusional terhadap Nilai Perusahaan melalui Kinerja Keuangan. </w:t>
      </w:r>
      <w:r>
        <w:rPr>
          <w:rFonts w:cs="Times New Roman" w:eastAsia="Times New Roman"/>
          <w:i/>
          <w:iCs/>
          <w:color w:val="000000"/>
          <w:sz w:val="22"/>
        </w:rPr>
        <w:t>Bongaya Journal of Research in Management</w:t>
      </w:r>
      <w:r>
        <w:rPr>
          <w:rFonts w:cs="Times New Roman" w:eastAsia="Times New Roman"/>
          <w:color w:val="000000"/>
          <w:sz w:val="22"/>
        </w:rPr>
        <w:t xml:space="preserve">, </w:t>
      </w:r>
      <w:r>
        <w:rPr>
          <w:rFonts w:cs="Times New Roman" w:eastAsia="Times New Roman"/>
          <w:i/>
          <w:iCs/>
          <w:color w:val="000000"/>
          <w:sz w:val="22"/>
        </w:rPr>
        <w:t>7</w:t>
      </w:r>
      <w:r>
        <w:rPr>
          <w:rFonts w:cs="Times New Roman" w:eastAsia="Times New Roman"/>
          <w:color w:val="000000"/>
          <w:sz w:val="22"/>
        </w:rPr>
        <w:t>(2), 9–20. https://doi.org/10.37888/bjrm.v7i2.617</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Maulana, A., &amp; Widyawati, D. (2024). Pengaruh Kepemilikan Manajerial, Kepemilikan Institusional, dan Profitabilitas terhadap Nilai Perusahaan Food and Beverage yang terdaftar di Bursa Efek Indonesia Tahun 2020-2023. </w:t>
      </w:r>
      <w:r>
        <w:rPr>
          <w:rFonts w:cs="Times New Roman" w:eastAsia="Times New Roman"/>
          <w:i/>
          <w:iCs/>
          <w:color w:val="000000"/>
          <w:sz w:val="22"/>
        </w:rPr>
        <w:t>Jurnal Ilmu dan Riset Akuntansi</w:t>
      </w:r>
      <w:r>
        <w:rPr>
          <w:rFonts w:cs="Times New Roman" w:eastAsia="Times New Roman"/>
          <w:color w:val="000000"/>
          <w:sz w:val="22"/>
        </w:rPr>
        <w:t xml:space="preserve">, </w:t>
      </w:r>
      <w:r>
        <w:rPr>
          <w:rFonts w:cs="Times New Roman" w:eastAsia="Times New Roman"/>
          <w:i/>
          <w:iCs/>
          <w:color w:val="000000"/>
          <w:sz w:val="22"/>
        </w:rPr>
        <w:t>13</w:t>
      </w:r>
      <w:r>
        <w:rPr>
          <w:rFonts w:cs="Times New Roman" w:eastAsia="Times New Roman"/>
          <w:color w:val="000000"/>
          <w:sz w:val="22"/>
        </w:rPr>
        <w:t>(7), 1–19. https://jurnalmahasiswa.stiesia.ac.id/index.php/jira/article/view/6040</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Mediyanti, S., Kadriyani, E., Sartika, F., Astuti, I. N., Eliana, E., &amp; Wardayani, W. (2021). Tobin’s Q Ratio sebagai Alat Ukur Nilai Perusahan Bank Syariah. </w:t>
      </w:r>
      <w:r>
        <w:rPr>
          <w:rFonts w:cs="Times New Roman" w:eastAsia="Times New Roman"/>
          <w:i/>
          <w:iCs/>
          <w:color w:val="000000"/>
          <w:sz w:val="22"/>
        </w:rPr>
        <w:t>JUPIIS: Jurnal Pendidikan Ilmu Ilmu Sosial</w:t>
      </w:r>
      <w:r>
        <w:rPr>
          <w:rFonts w:cs="Times New Roman" w:eastAsia="Times New Roman"/>
          <w:color w:val="000000"/>
          <w:sz w:val="22"/>
        </w:rPr>
        <w:t xml:space="preserve">, </w:t>
      </w:r>
      <w:r>
        <w:rPr>
          <w:rFonts w:cs="Times New Roman" w:eastAsia="Times New Roman"/>
          <w:i/>
          <w:iCs/>
          <w:color w:val="000000"/>
          <w:sz w:val="22"/>
        </w:rPr>
        <w:t>13</w:t>
      </w:r>
      <w:r>
        <w:rPr>
          <w:rFonts w:cs="Times New Roman" w:eastAsia="Times New Roman"/>
          <w:color w:val="000000"/>
          <w:sz w:val="22"/>
        </w:rPr>
        <w:t>(1), 242. https://doi.org/10.24114/jupiis.v13i1.24193</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Michelle, &amp; Zubaidi, U. I. (2024). Pengaruh Profitabilitas, Solvabilitas, Likuiditas dan Faktor lainnya terhadap Nilai Perusahaan. </w:t>
      </w:r>
      <w:r>
        <w:rPr>
          <w:rFonts w:cs="Times New Roman" w:eastAsia="Times New Roman"/>
          <w:i/>
          <w:iCs/>
          <w:color w:val="000000"/>
          <w:sz w:val="22"/>
        </w:rPr>
        <w:t>E-Jurnal Akuntansi TSM</w:t>
      </w:r>
      <w:r>
        <w:rPr>
          <w:rFonts w:cs="Times New Roman" w:eastAsia="Times New Roman"/>
          <w:color w:val="000000"/>
          <w:sz w:val="22"/>
        </w:rPr>
        <w:t xml:space="preserve">, </w:t>
      </w:r>
      <w:r>
        <w:rPr>
          <w:rFonts w:cs="Times New Roman" w:eastAsia="Times New Roman"/>
          <w:i/>
          <w:iCs/>
          <w:color w:val="000000"/>
          <w:sz w:val="22"/>
        </w:rPr>
        <w:t>4</w:t>
      </w:r>
      <w:r>
        <w:rPr>
          <w:rFonts w:cs="Times New Roman" w:eastAsia="Times New Roman"/>
          <w:color w:val="000000"/>
          <w:sz w:val="22"/>
        </w:rPr>
        <w:t>(1), 199–210. https://doi.org/10.34208/ejatsm.v4i1.2457</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Otoritas Jasa Keuangan. (2021). </w:t>
      </w:r>
      <w:r>
        <w:rPr>
          <w:rFonts w:cs="Times New Roman" w:eastAsia="Times New Roman"/>
          <w:i/>
          <w:iCs/>
          <w:color w:val="000000"/>
          <w:sz w:val="22"/>
        </w:rPr>
        <w:t>Salinan Surat Edaran Otoritas Jasa Keuangan Republik Indonesia Nomor 16/SEOJK.04/2021 tentang Bentuk dan Isi Laporan Tahunan Emiten atau Perusahaan Publik</w:t>
      </w:r>
      <w:r>
        <w:rPr>
          <w:rFonts w:cs="Times New Roman" w:eastAsia="Times New Roman"/>
          <w:color w:val="000000"/>
          <w:sz w:val="22"/>
        </w:rPr>
        <w:t>. Diakses pada 30 Mei 2025. https://peraturan.info asn.id/surat-edaran-otoritas-jasa-keuangan-nomor-16-seojk-04-2021/</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Putra, I. G. C., Manuari, I. A. R., &amp; Puspayanti, N. K. D. (2022). Pengaruh Corporate Governance Terhadap Profitabilitas dan Nilai Perusahaan Manufaktur yang Terdaftar di Bursa Efek Indonesia (BEI). </w:t>
      </w:r>
      <w:r>
        <w:rPr>
          <w:rFonts w:cs="Times New Roman" w:eastAsia="Times New Roman"/>
          <w:i/>
          <w:iCs/>
          <w:color w:val="000000"/>
          <w:sz w:val="22"/>
        </w:rPr>
        <w:t>WACANA EKONOMI (Jurnal Ekonomi, Bisnis Dan Akuntansi)</w:t>
      </w:r>
      <w:r>
        <w:rPr>
          <w:rFonts w:cs="Times New Roman" w:eastAsia="Times New Roman"/>
          <w:color w:val="000000"/>
          <w:sz w:val="22"/>
        </w:rPr>
        <w:t xml:space="preserve">, </w:t>
      </w:r>
      <w:r>
        <w:rPr>
          <w:rFonts w:cs="Times New Roman" w:eastAsia="Times New Roman"/>
          <w:i/>
          <w:iCs/>
          <w:color w:val="000000"/>
          <w:sz w:val="22"/>
        </w:rPr>
        <w:t>21</w:t>
      </w:r>
      <w:r>
        <w:rPr>
          <w:rFonts w:cs="Times New Roman" w:eastAsia="Times New Roman"/>
          <w:color w:val="000000"/>
          <w:sz w:val="22"/>
        </w:rPr>
        <w:t>(1), 105–118. https://doi.org/10.22225/we.21.1.2022.105-118</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Qalby, Z. H., Komalasari, P. T., &amp; Pradnyaswari, N. L. A. M. (2023). Enterprise Risk Management dan Nilai Perusahaan: Kepemilikan Keluarga sebagai Variabel Moderasi. </w:t>
      </w:r>
      <w:r>
        <w:rPr>
          <w:rFonts w:cs="Times New Roman" w:eastAsia="Times New Roman"/>
          <w:i/>
          <w:iCs/>
          <w:color w:val="000000"/>
          <w:sz w:val="22"/>
        </w:rPr>
        <w:t>INOBIS: Jurnal Inovasi Bisnis dan Manajemen Indonesia</w:t>
      </w:r>
      <w:r>
        <w:rPr>
          <w:rFonts w:cs="Times New Roman" w:eastAsia="Times New Roman"/>
          <w:color w:val="000000"/>
          <w:sz w:val="22"/>
        </w:rPr>
        <w:t xml:space="preserve">, </w:t>
      </w:r>
      <w:r>
        <w:rPr>
          <w:rFonts w:cs="Times New Roman" w:eastAsia="Times New Roman"/>
          <w:i/>
          <w:iCs/>
          <w:color w:val="000000"/>
          <w:sz w:val="22"/>
        </w:rPr>
        <w:t>7</w:t>
      </w:r>
      <w:r>
        <w:rPr>
          <w:rFonts w:cs="Times New Roman" w:eastAsia="Times New Roman"/>
          <w:color w:val="000000"/>
          <w:sz w:val="22"/>
        </w:rPr>
        <w:t>(1), 106–120. https://doi.org/10.31842/jurnalinobis.v7i1.307</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Rahayu, N., &amp; Wahyudi, A. (2024). Analisis Pengaruh Kepemilikan Institusional Terhadap Kinerja Keuangan Perusahaan. </w:t>
      </w:r>
      <w:r>
        <w:rPr>
          <w:rFonts w:cs="Times New Roman" w:eastAsia="Times New Roman"/>
          <w:i/>
          <w:iCs/>
          <w:color w:val="000000"/>
          <w:sz w:val="22"/>
        </w:rPr>
        <w:t>Jurnal Rimba : Riset Ilmu manajemen Bisnis dan Akuntansi</w:t>
      </w:r>
      <w:r>
        <w:rPr>
          <w:rFonts w:cs="Times New Roman" w:eastAsia="Times New Roman"/>
          <w:color w:val="000000"/>
          <w:sz w:val="22"/>
        </w:rPr>
        <w:t xml:space="preserve">, </w:t>
      </w:r>
      <w:r>
        <w:rPr>
          <w:rFonts w:cs="Times New Roman" w:eastAsia="Times New Roman"/>
          <w:i/>
          <w:iCs/>
          <w:color w:val="000000"/>
          <w:sz w:val="22"/>
        </w:rPr>
        <w:t>2</w:t>
      </w:r>
      <w:r>
        <w:rPr>
          <w:rFonts w:cs="Times New Roman" w:eastAsia="Times New Roman"/>
          <w:color w:val="000000"/>
          <w:sz w:val="22"/>
        </w:rPr>
        <w:t>(3), 94–108. https://doi.org/10.61132/rimba.v2i3.1078</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Rosya, I. Y., &amp; Novita, N. (2023). Pengaruh Pengungkapan Enterprise Risk Management dan Kualitas Laporan Keuangan dengan UkuranPerusahaan sebagai Variabel Moderasi. </w:t>
      </w:r>
      <w:r>
        <w:rPr>
          <w:rFonts w:cs="Times New Roman" w:eastAsia="Times New Roman"/>
          <w:i/>
          <w:iCs/>
          <w:color w:val="000000"/>
          <w:sz w:val="22"/>
        </w:rPr>
        <w:t>Journal of Accounting, Management and Islamic Economics</w:t>
      </w:r>
      <w:r>
        <w:rPr>
          <w:rFonts w:cs="Times New Roman" w:eastAsia="Times New Roman"/>
          <w:color w:val="000000"/>
          <w:sz w:val="22"/>
        </w:rPr>
        <w:t>, (2), 441–456. https://doi.org/10.35384/jamie.v1i2.462</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S</w:t>
      </w:r>
      <w:r>
        <w:rPr>
          <w:rFonts w:cs="Times New Roman" w:eastAsia="Times New Roman"/>
          <w:color w:val="000000"/>
          <w:sz w:val="22"/>
        </w:rPr>
        <w:t xml:space="preserve">ahir, S. H. (2021). </w:t>
      </w:r>
      <w:r>
        <w:rPr>
          <w:rFonts w:cs="Times New Roman" w:eastAsia="Times New Roman"/>
          <w:i/>
          <w:iCs/>
          <w:color w:val="000000"/>
          <w:sz w:val="22"/>
        </w:rPr>
        <w:t>Metodologi Penelitian</w:t>
      </w:r>
      <w:r>
        <w:rPr>
          <w:rFonts w:cs="Times New Roman" w:eastAsia="Times New Roman"/>
          <w:color w:val="000000"/>
          <w:sz w:val="22"/>
        </w:rPr>
        <w:t xml:space="preserve"> (T. Koryati, Ed.). KBM Indonesia. Diakses pada 1 Juni 2025. www.penerbitbukumurah.com</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Sari, D. M., &amp; Wulandari, P. P. (2021). Pengaruh Kepemilikan Institusional, Kepemilikan Manajerial, dan Kebijakan Dividen terhadap Nilai Perusahaan. </w:t>
      </w:r>
      <w:r>
        <w:rPr>
          <w:rFonts w:cs="Times New Roman" w:eastAsia="Times New Roman"/>
          <w:i/>
          <w:iCs/>
          <w:color w:val="000000"/>
          <w:sz w:val="22"/>
        </w:rPr>
        <w:t>Tera Ilmu Akuntansi</w:t>
      </w:r>
      <w:r>
        <w:rPr>
          <w:rFonts w:cs="Times New Roman" w:eastAsia="Times New Roman"/>
          <w:color w:val="000000"/>
          <w:sz w:val="22"/>
        </w:rPr>
        <w:t xml:space="preserve">, </w:t>
      </w:r>
      <w:r>
        <w:rPr>
          <w:rFonts w:cs="Times New Roman" w:eastAsia="Times New Roman"/>
          <w:i/>
          <w:iCs/>
          <w:color w:val="000000"/>
          <w:sz w:val="22"/>
        </w:rPr>
        <w:t>22</w:t>
      </w:r>
      <w:r>
        <w:rPr>
          <w:rFonts w:cs="Times New Roman" w:eastAsia="Times New Roman"/>
          <w:color w:val="000000"/>
          <w:sz w:val="22"/>
        </w:rPr>
        <w:t>(1), 1–18. https://doi.org/10.21776/tema.22.1.1-18</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Sari, P. A. (2023). Nilai Perusahaan beserta Faktor yang Mempengaruhinya pada Perusahaan Industri Dasar dan Kimia. </w:t>
      </w:r>
      <w:r>
        <w:rPr>
          <w:rFonts w:cs="Times New Roman" w:eastAsia="Times New Roman"/>
          <w:i/>
          <w:iCs/>
          <w:color w:val="000000"/>
          <w:sz w:val="22"/>
        </w:rPr>
        <w:t>KRISNA: Kumpulan Riset Akuntansi</w:t>
      </w:r>
      <w:r>
        <w:rPr>
          <w:rFonts w:cs="Times New Roman" w:eastAsia="Times New Roman"/>
          <w:color w:val="000000"/>
          <w:sz w:val="22"/>
        </w:rPr>
        <w:t xml:space="preserve">, </w:t>
      </w:r>
      <w:r>
        <w:rPr>
          <w:rFonts w:cs="Times New Roman" w:eastAsia="Times New Roman"/>
          <w:i/>
          <w:iCs/>
          <w:color w:val="000000"/>
          <w:sz w:val="22"/>
        </w:rPr>
        <w:t>15</w:t>
      </w:r>
      <w:r>
        <w:rPr>
          <w:rFonts w:cs="Times New Roman" w:eastAsia="Times New Roman"/>
          <w:color w:val="000000"/>
          <w:sz w:val="22"/>
        </w:rPr>
        <w:t>(1), 51–58. https://doi.org/10.22225/kr.15.1.2023.51-58</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Septyanto, D., &amp; Nugraha, I. M. (2021). The Influence of Enterprise Risk Management, Leverage, Firm Size and Profitability on Firm Value in Property and Real Estate Companies Listed on the Indonesian Stock Exchange in 2016-2018. </w:t>
      </w:r>
      <w:r>
        <w:rPr>
          <w:rFonts w:cs="Times New Roman" w:eastAsia="Times New Roman"/>
          <w:i/>
          <w:iCs/>
          <w:color w:val="000000"/>
          <w:sz w:val="22"/>
        </w:rPr>
        <w:t>KnE Social Sciences</w:t>
      </w:r>
      <w:r>
        <w:rPr>
          <w:rFonts w:cs="Times New Roman" w:eastAsia="Times New Roman"/>
          <w:color w:val="000000"/>
          <w:sz w:val="22"/>
        </w:rPr>
        <w:t>, (7th International Conference on Entrepreneurship (7th ICOEN)), 663–680. https://doi.org/10.18502/kss.v5i5.8850</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Setiawati, L., Suyoto Kurniawan, I., &amp; Abni Lahaya, I. (2022). The Influence of Enterprise Risk Management Disclosure and Intellectual Capital Disclosure on the Value of Companies with an Independent Board of Commissioners as Moderation Variables. </w:t>
      </w:r>
      <w:r>
        <w:rPr>
          <w:rFonts w:cs="Times New Roman" w:eastAsia="Times New Roman"/>
          <w:i/>
          <w:iCs/>
          <w:color w:val="000000"/>
          <w:sz w:val="22"/>
        </w:rPr>
        <w:t>Jurnal Ekonomi, Keuangan Dan Manajemen</w:t>
      </w:r>
      <w:r>
        <w:rPr>
          <w:rFonts w:cs="Times New Roman" w:eastAsia="Times New Roman"/>
          <w:color w:val="000000"/>
          <w:sz w:val="22"/>
        </w:rPr>
        <w:t xml:space="preserve">, </w:t>
      </w:r>
      <w:r>
        <w:rPr>
          <w:rFonts w:cs="Times New Roman" w:eastAsia="Times New Roman"/>
          <w:i/>
          <w:iCs/>
          <w:color w:val="000000"/>
          <w:sz w:val="22"/>
        </w:rPr>
        <w:t>18</w:t>
      </w:r>
      <w:r>
        <w:rPr>
          <w:rFonts w:cs="Times New Roman" w:eastAsia="Times New Roman"/>
          <w:color w:val="000000"/>
          <w:sz w:val="22"/>
        </w:rPr>
        <w:t>, 38–48. https://doi.org/10.29264/jinv.v18i0.11236</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Shan, Y. G. (2019). Managerial Ownership, Board Independence and Firm Performance. </w:t>
      </w:r>
      <w:r>
        <w:rPr>
          <w:rFonts w:cs="Times New Roman" w:eastAsia="Times New Roman"/>
          <w:i/>
          <w:iCs/>
          <w:color w:val="000000"/>
          <w:sz w:val="22"/>
        </w:rPr>
        <w:t>Accounting Research Journal</w:t>
      </w:r>
      <w:r>
        <w:rPr>
          <w:rFonts w:cs="Times New Roman" w:eastAsia="Times New Roman"/>
          <w:color w:val="000000"/>
          <w:sz w:val="22"/>
        </w:rPr>
        <w:t xml:space="preserve">, </w:t>
      </w:r>
      <w:r>
        <w:rPr>
          <w:rFonts w:cs="Times New Roman" w:eastAsia="Times New Roman"/>
          <w:i/>
          <w:iCs/>
          <w:color w:val="000000"/>
          <w:sz w:val="22"/>
        </w:rPr>
        <w:t>32</w:t>
      </w:r>
      <w:r>
        <w:rPr>
          <w:rFonts w:cs="Times New Roman" w:eastAsia="Times New Roman"/>
          <w:color w:val="000000"/>
          <w:sz w:val="22"/>
        </w:rPr>
        <w:t>(2), 203–220. https://doi.org/10.1108/ARJ-09-2017-0149</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S</w:t>
      </w:r>
      <w:r>
        <w:rPr>
          <w:rFonts w:cs="Times New Roman" w:eastAsia="Times New Roman"/>
          <w:color w:val="000000"/>
          <w:sz w:val="22"/>
        </w:rPr>
        <w:t xml:space="preserve">ISI. (2023). </w:t>
      </w:r>
      <w:r>
        <w:rPr>
          <w:rFonts w:cs="Times New Roman" w:eastAsia="Times New Roman"/>
          <w:i/>
          <w:iCs/>
          <w:color w:val="000000"/>
          <w:sz w:val="22"/>
        </w:rPr>
        <w:t>Solusi dari 3 Tantangan yang Biasa Dihadapi saat Penerapan ERM di Bisnis Anda</w:t>
      </w:r>
      <w:r>
        <w:rPr>
          <w:rFonts w:cs="Times New Roman" w:eastAsia="Times New Roman"/>
          <w:color w:val="000000"/>
          <w:sz w:val="22"/>
        </w:rPr>
        <w:t>. Sisi.Id. Diakses pada 16 April 2025. https://sisi.id/stories/insight/solusi-dari-3-tantangan-yang-biasa-dihadapi-saat-penerapan-erm-di-bisnis-anda/</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Sitanggang, T. N., &amp; Doloksaribu, Y. A. S. (2021). Faktor-Faktor yang Mempengaruhi Nilai Perusahaan pada Perusahaan Manufaktur Sektor Industri Barang Konsumsi yang Terdaftar di Bursa Efek Indonesia Tahun 2016-2019. </w:t>
      </w:r>
      <w:r>
        <w:rPr>
          <w:rFonts w:cs="Times New Roman" w:eastAsia="Times New Roman"/>
          <w:i/>
          <w:iCs/>
          <w:color w:val="000000"/>
          <w:sz w:val="22"/>
        </w:rPr>
        <w:t>Jurnal Paradigma Ekonomika</w:t>
      </w:r>
      <w:r>
        <w:rPr>
          <w:rFonts w:cs="Times New Roman" w:eastAsia="Times New Roman"/>
          <w:color w:val="000000"/>
          <w:sz w:val="22"/>
        </w:rPr>
        <w:t xml:space="preserve">, </w:t>
      </w:r>
      <w:r>
        <w:rPr>
          <w:rFonts w:cs="Times New Roman" w:eastAsia="Times New Roman"/>
          <w:i/>
          <w:iCs/>
          <w:color w:val="000000"/>
          <w:sz w:val="22"/>
        </w:rPr>
        <w:t>16</w:t>
      </w:r>
      <w:r>
        <w:rPr>
          <w:rFonts w:cs="Times New Roman" w:eastAsia="Times New Roman"/>
          <w:color w:val="000000"/>
          <w:sz w:val="22"/>
        </w:rPr>
        <w:t>(4), 717–728. https://doi.org/10.22437/jpe.v16i4.13329</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Sitinjak, J., &amp; Khabibah, N. A. (2022). Studi Literatur: Manfaat Enterprise Risk Management di Indonesia. </w:t>
      </w:r>
      <w:r>
        <w:rPr>
          <w:rFonts w:cs="Times New Roman" w:eastAsia="Times New Roman"/>
          <w:i/>
          <w:iCs/>
          <w:color w:val="000000"/>
          <w:sz w:val="22"/>
        </w:rPr>
        <w:t>Jurnal Ekonomi STIEP</w:t>
      </w:r>
      <w:r>
        <w:rPr>
          <w:rFonts w:cs="Times New Roman" w:eastAsia="Times New Roman"/>
          <w:color w:val="000000"/>
          <w:sz w:val="22"/>
        </w:rPr>
        <w:t xml:space="preserve">, </w:t>
      </w:r>
      <w:r>
        <w:rPr>
          <w:rFonts w:cs="Times New Roman" w:eastAsia="Times New Roman"/>
          <w:i/>
          <w:iCs/>
          <w:color w:val="000000"/>
          <w:sz w:val="22"/>
        </w:rPr>
        <w:t>7</w:t>
      </w:r>
      <w:r>
        <w:rPr>
          <w:rFonts w:cs="Times New Roman" w:eastAsia="Times New Roman"/>
          <w:color w:val="000000"/>
          <w:sz w:val="22"/>
        </w:rPr>
        <w:t>(1), 92–100. https://doi.org/10.54526/jes.v8i1.137</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Talmor, E. (1981). Asymmetric Information, Signaling, and Optimal Corporate Financial Decisions. </w:t>
      </w:r>
      <w:r>
        <w:rPr>
          <w:rFonts w:cs="Times New Roman" w:eastAsia="Times New Roman"/>
          <w:i/>
          <w:iCs/>
          <w:color w:val="000000"/>
          <w:sz w:val="22"/>
        </w:rPr>
        <w:t>Journal of Financial and Quantitative Analysis</w:t>
      </w:r>
      <w:r>
        <w:rPr>
          <w:rFonts w:cs="Times New Roman" w:eastAsia="Times New Roman"/>
          <w:color w:val="000000"/>
          <w:sz w:val="22"/>
        </w:rPr>
        <w:t xml:space="preserve">, </w:t>
      </w:r>
      <w:r>
        <w:rPr>
          <w:rFonts w:cs="Times New Roman" w:eastAsia="Times New Roman"/>
          <w:i/>
          <w:iCs/>
          <w:color w:val="000000"/>
          <w:sz w:val="22"/>
        </w:rPr>
        <w:t>16</w:t>
      </w:r>
      <w:r>
        <w:rPr>
          <w:rFonts w:cs="Times New Roman" w:eastAsia="Times New Roman"/>
          <w:color w:val="000000"/>
          <w:sz w:val="22"/>
        </w:rPr>
        <w:t>(4), 413–435. https://doi.org/10.2307/2330363</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Tarigan, R. Y., Firmansyah, A., Rmadhani, D. D. S., &amp; Ikhsan, W. M. (2022). Hubungan Kinerja Keuangan Perusahaan dan Nilai Perusahaan. </w:t>
      </w:r>
      <w:r>
        <w:rPr>
          <w:rFonts w:cs="Times New Roman" w:eastAsia="Times New Roman"/>
          <w:i/>
          <w:iCs/>
          <w:color w:val="000000"/>
          <w:sz w:val="22"/>
        </w:rPr>
        <w:t>Studi Akuntansi dan Keuangan Indonesia</w:t>
      </w:r>
      <w:r>
        <w:rPr>
          <w:rFonts w:cs="Times New Roman" w:eastAsia="Times New Roman"/>
          <w:color w:val="000000"/>
          <w:sz w:val="22"/>
        </w:rPr>
        <w:t xml:space="preserve">, </w:t>
      </w:r>
      <w:r>
        <w:rPr>
          <w:rFonts w:cs="Times New Roman" w:eastAsia="Times New Roman"/>
          <w:i/>
          <w:iCs/>
          <w:color w:val="000000"/>
          <w:sz w:val="22"/>
        </w:rPr>
        <w:t>5</w:t>
      </w:r>
      <w:r>
        <w:rPr>
          <w:rFonts w:cs="Times New Roman" w:eastAsia="Times New Roman"/>
          <w:color w:val="000000"/>
          <w:sz w:val="22"/>
        </w:rPr>
        <w:t>(1), 38–60. https://doi.org/10.21632/saki.5.1.38-60</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Utami, E. S., &amp; Wulandari, I. (2021). Pengaruh Penerapan Good Corporate Governance terhadap Nilai Perusahaan. </w:t>
      </w:r>
      <w:r>
        <w:rPr>
          <w:rFonts w:cs="Times New Roman" w:eastAsia="Times New Roman"/>
          <w:i/>
          <w:iCs/>
          <w:color w:val="000000"/>
          <w:sz w:val="22"/>
        </w:rPr>
        <w:t>JRAMB: Jurnal Riset Akuntansi Mercu Buana</w:t>
      </w:r>
      <w:r>
        <w:rPr>
          <w:rFonts w:cs="Times New Roman" w:eastAsia="Times New Roman"/>
          <w:color w:val="000000"/>
          <w:sz w:val="22"/>
        </w:rPr>
        <w:t xml:space="preserve">, </w:t>
      </w:r>
      <w:r>
        <w:rPr>
          <w:rFonts w:cs="Times New Roman" w:eastAsia="Times New Roman"/>
          <w:i/>
          <w:iCs/>
          <w:color w:val="000000"/>
          <w:sz w:val="22"/>
        </w:rPr>
        <w:t>7</w:t>
      </w:r>
      <w:r>
        <w:rPr>
          <w:rFonts w:cs="Times New Roman" w:eastAsia="Times New Roman"/>
          <w:color w:val="000000"/>
          <w:sz w:val="22"/>
        </w:rPr>
        <w:t>(2), 206–211. https://doi.org/10.26486/jramb.v7i2.2194</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Wahdah, R., Sanusi, A., &amp; Assih, P. (2024). The Influence of Enterprise Risk Management, Corporate Social Responsibility, Cost of Capital, and Firm Size on Firm Value. </w:t>
      </w:r>
      <w:r>
        <w:rPr>
          <w:rFonts w:cs="Times New Roman" w:eastAsia="Times New Roman"/>
          <w:i/>
          <w:iCs/>
          <w:color w:val="000000"/>
          <w:sz w:val="22"/>
        </w:rPr>
        <w:t>KnE Social Sciences</w:t>
      </w:r>
      <w:r>
        <w:rPr>
          <w:rFonts w:cs="Times New Roman" w:eastAsia="Times New Roman"/>
          <w:color w:val="000000"/>
          <w:sz w:val="22"/>
        </w:rPr>
        <w:t>, 141–163. https://doi.org/10.18502/kss.v9i29.17248</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Wahyuni, E. D. (2022). Adakah Korelasi Enterprise Risk Management (ERM), Profitabilitas dan Leverage Keuangan terhadap Return Saham? </w:t>
      </w:r>
      <w:r>
        <w:rPr>
          <w:rFonts w:cs="Times New Roman" w:eastAsia="Times New Roman"/>
          <w:i/>
          <w:iCs/>
          <w:color w:val="000000"/>
          <w:sz w:val="22"/>
        </w:rPr>
        <w:t>Jurnal Akademi Akuntansi</w:t>
      </w:r>
      <w:r>
        <w:rPr>
          <w:rFonts w:cs="Times New Roman" w:eastAsia="Times New Roman"/>
          <w:color w:val="000000"/>
          <w:sz w:val="22"/>
        </w:rPr>
        <w:t xml:space="preserve">, </w:t>
      </w:r>
      <w:r>
        <w:rPr>
          <w:rFonts w:cs="Times New Roman" w:eastAsia="Times New Roman"/>
          <w:i/>
          <w:iCs/>
          <w:color w:val="000000"/>
          <w:sz w:val="22"/>
        </w:rPr>
        <w:t>5</w:t>
      </w:r>
      <w:r>
        <w:rPr>
          <w:rFonts w:cs="Times New Roman" w:eastAsia="Times New Roman"/>
          <w:color w:val="000000"/>
          <w:sz w:val="22"/>
        </w:rPr>
        <w:t>(2), 166–175. https://doi.org/10.22219/jaa.v5i2.18885</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Wardoyo, D. U., &amp; Fauziah, H. D. (2024). Pengaruh Kepemilikan Institusional, Profitabilitas, dan Struktur Modal Terhadap Nilai Perusahaan. </w:t>
      </w:r>
      <w:r>
        <w:rPr>
          <w:rFonts w:cs="Times New Roman" w:eastAsia="Times New Roman"/>
          <w:i/>
          <w:iCs/>
          <w:color w:val="000000"/>
          <w:sz w:val="22"/>
        </w:rPr>
        <w:t>Owner: Riset &amp; Jurnal Akuntansi</w:t>
      </w:r>
      <w:r>
        <w:rPr>
          <w:rFonts w:cs="Times New Roman" w:eastAsia="Times New Roman"/>
          <w:color w:val="000000"/>
          <w:sz w:val="22"/>
        </w:rPr>
        <w:t xml:space="preserve">, </w:t>
      </w:r>
      <w:r>
        <w:rPr>
          <w:rFonts w:cs="Times New Roman" w:eastAsia="Times New Roman"/>
          <w:i/>
          <w:iCs/>
          <w:color w:val="000000"/>
          <w:sz w:val="22"/>
        </w:rPr>
        <w:t>8</w:t>
      </w:r>
      <w:r>
        <w:rPr>
          <w:rFonts w:cs="Times New Roman" w:eastAsia="Times New Roman"/>
          <w:color w:val="000000"/>
          <w:sz w:val="22"/>
        </w:rPr>
        <w:t>(1), 585–594. https://doi.org/10.33395/owner.v8i1.1840</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Widyatama, J. C., &amp; Radianto, W. E. D. (2024). Analisis Kepemilikan Manajerial, Dewan Komisaris Independen, Kepemilikan Institusional terhadap Efisiensi Investasi pada Saham Sri Kehati. </w:t>
      </w:r>
      <w:r>
        <w:rPr>
          <w:rFonts w:cs="Times New Roman" w:eastAsia="Times New Roman"/>
          <w:i/>
          <w:iCs/>
          <w:color w:val="000000"/>
          <w:sz w:val="22"/>
        </w:rPr>
        <w:t>Media Akuntansi dan Perpajakan Indonesia</w:t>
      </w:r>
      <w:r>
        <w:rPr>
          <w:rFonts w:cs="Times New Roman" w:eastAsia="Times New Roman"/>
          <w:color w:val="000000"/>
          <w:sz w:val="22"/>
        </w:rPr>
        <w:t xml:space="preserve">, </w:t>
      </w:r>
      <w:r>
        <w:rPr>
          <w:rFonts w:cs="Times New Roman" w:eastAsia="Times New Roman"/>
          <w:i/>
          <w:iCs/>
          <w:color w:val="000000"/>
          <w:sz w:val="22"/>
        </w:rPr>
        <w:t>6</w:t>
      </w:r>
      <w:r>
        <w:rPr>
          <w:rFonts w:cs="Times New Roman" w:eastAsia="Times New Roman"/>
          <w:color w:val="000000"/>
          <w:sz w:val="22"/>
        </w:rPr>
        <w:t>(1), 21–52. https://doi.org/10.37715/mapi.v6i1.4751</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Wijaya, H., Maulita, D., &amp; Framita, D. S. (2023). Kepemilikan Manajerial dan Komisaris Independen sebagai Faktor Penentu Cost of Equity Capital pada Perusahaan Manufaktur Aneka Industri di Indonesia. </w:t>
      </w:r>
      <w:r>
        <w:rPr>
          <w:rFonts w:cs="Times New Roman" w:eastAsia="Times New Roman"/>
          <w:i/>
          <w:iCs/>
          <w:color w:val="000000"/>
          <w:sz w:val="22"/>
        </w:rPr>
        <w:t>Jurnal Akuntansi Manajemen (JAKMEN)</w:t>
      </w:r>
      <w:r>
        <w:rPr>
          <w:rFonts w:cs="Times New Roman" w:eastAsia="Times New Roman"/>
          <w:color w:val="000000"/>
          <w:sz w:val="22"/>
        </w:rPr>
        <w:t xml:space="preserve">, </w:t>
      </w:r>
      <w:r>
        <w:rPr>
          <w:rFonts w:cs="Times New Roman" w:eastAsia="Times New Roman"/>
          <w:i/>
          <w:iCs/>
          <w:color w:val="000000"/>
          <w:sz w:val="22"/>
        </w:rPr>
        <w:t>2</w:t>
      </w:r>
      <w:r>
        <w:rPr>
          <w:rFonts w:cs="Times New Roman" w:eastAsia="Times New Roman"/>
          <w:color w:val="000000"/>
          <w:sz w:val="22"/>
        </w:rPr>
        <w:t>(1), 9–18. https://doi.org/10.30656/jakmen.v2i1.6889</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Yusmir, P. R., &amp; Mulyani, E. (2024). Pengaruh Kepemilikan Manajerial, Kepemilikan Institusional, dan Ukuran Perusahaan terhadap Kinerja Perusahaan. </w:t>
      </w:r>
      <w:r>
        <w:rPr>
          <w:rFonts w:cs="Times New Roman" w:eastAsia="Times New Roman"/>
          <w:i/>
          <w:iCs/>
          <w:color w:val="000000"/>
          <w:sz w:val="22"/>
        </w:rPr>
        <w:t>Jurnal Eksplorasi Akuntansi</w:t>
      </w:r>
      <w:r>
        <w:rPr>
          <w:rFonts w:cs="Times New Roman" w:eastAsia="Times New Roman"/>
          <w:color w:val="000000"/>
          <w:sz w:val="22"/>
        </w:rPr>
        <w:t xml:space="preserve">, </w:t>
      </w:r>
      <w:r>
        <w:rPr>
          <w:rFonts w:cs="Times New Roman" w:eastAsia="Times New Roman"/>
          <w:i/>
          <w:iCs/>
          <w:color w:val="000000"/>
          <w:sz w:val="22"/>
        </w:rPr>
        <w:t>6</w:t>
      </w:r>
      <w:r>
        <w:rPr>
          <w:rFonts w:cs="Times New Roman" w:eastAsia="Times New Roman"/>
          <w:color w:val="000000"/>
          <w:sz w:val="22"/>
        </w:rPr>
        <w:t>(2), 842–860. https://doi.org/10.24036/jea.v6i2.1514</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Yuwono, W., &amp; Aurelia, D. (2021). The Effect of Profitability, Leverage, Institutional Ownership, and Dividend Policy on Firm Value. </w:t>
      </w:r>
      <w:r>
        <w:rPr>
          <w:rFonts w:cs="Times New Roman" w:eastAsia="Times New Roman"/>
          <w:i/>
          <w:iCs/>
          <w:color w:val="000000"/>
          <w:sz w:val="22"/>
        </w:rPr>
        <w:t>Journal of Global Business and Management Review</w:t>
      </w:r>
      <w:r>
        <w:rPr>
          <w:rFonts w:cs="Times New Roman" w:eastAsia="Times New Roman"/>
          <w:color w:val="000000"/>
          <w:sz w:val="22"/>
        </w:rPr>
        <w:t xml:space="preserve">, </w:t>
      </w:r>
      <w:r>
        <w:rPr>
          <w:rFonts w:cs="Times New Roman" w:eastAsia="Times New Roman"/>
          <w:i/>
          <w:iCs/>
          <w:color w:val="000000"/>
          <w:sz w:val="22"/>
        </w:rPr>
        <w:t>3</w:t>
      </w:r>
      <w:r>
        <w:rPr>
          <w:rFonts w:cs="Times New Roman" w:eastAsia="Times New Roman"/>
          <w:color w:val="000000"/>
          <w:sz w:val="22"/>
        </w:rPr>
        <w:t>(1), 15–29. https://doi.org/10.37253/jgbmr.v3i1.4992</w:t>
      </w:r>
    </w:p>
    <w:p>
      <w:pPr>
        <w:pStyle w:val="style0"/>
        <w:autoSpaceDE w:val="false"/>
        <w:autoSpaceDN w:val="false"/>
        <w:spacing w:lineRule="auto" w:line="240"/>
        <w:ind w:left="-540" w:hanging="480"/>
        <w:jc w:val="both"/>
        <w:rPr>
          <w:rFonts w:cs="Times New Roman" w:eastAsia="Times New Roman"/>
          <w:color w:val="000000"/>
          <w:sz w:val="22"/>
        </w:rPr>
      </w:pPr>
      <w:r>
        <w:rPr>
          <w:rFonts w:cs="Times New Roman" w:eastAsia="Times New Roman"/>
          <w:color w:val="000000"/>
          <w:sz w:val="22"/>
        </w:rPr>
        <w:t xml:space="preserve">Zogning, F. (2017). Agency Theory: A Critical Review. </w:t>
      </w:r>
      <w:r>
        <w:rPr>
          <w:rFonts w:cs="Times New Roman" w:eastAsia="Times New Roman"/>
          <w:i/>
          <w:iCs/>
          <w:color w:val="000000"/>
          <w:sz w:val="22"/>
        </w:rPr>
        <w:t>European Journal of Business and Management Www.Iiste.Org ISSN</w:t>
      </w:r>
      <w:r>
        <w:rPr>
          <w:rFonts w:cs="Times New Roman" w:eastAsia="Times New Roman"/>
          <w:color w:val="000000"/>
          <w:sz w:val="22"/>
        </w:rPr>
        <w:t xml:space="preserve">, </w:t>
      </w:r>
      <w:r>
        <w:rPr>
          <w:rFonts w:cs="Times New Roman" w:eastAsia="Times New Roman"/>
          <w:i/>
          <w:iCs/>
          <w:color w:val="000000"/>
          <w:sz w:val="22"/>
        </w:rPr>
        <w:t>9</w:t>
      </w:r>
      <w:r>
        <w:rPr>
          <w:rFonts w:cs="Times New Roman" w:eastAsia="Times New Roman"/>
          <w:color w:val="000000"/>
          <w:sz w:val="22"/>
        </w:rPr>
        <w:t>(2), 1–8. www.iiste.org</w:t>
      </w:r>
    </w:p>
    <w:p>
      <w:pPr>
        <w:pStyle w:val="style0"/>
        <w:autoSpaceDE w:val="false"/>
        <w:autoSpaceDN w:val="false"/>
        <w:spacing w:lineRule="auto" w:line="240"/>
        <w:ind w:left="-540" w:hanging="480"/>
        <w:jc w:val="both"/>
        <w:rPr>
          <w:rFonts w:cs="Times New Roman"/>
          <w:sz w:val="22"/>
        </w:rPr>
      </w:pPr>
      <w:r>
        <w:rPr>
          <w:rFonts w:cs="Times New Roman" w:eastAsia="Times New Roman"/>
          <w:color w:val="000000"/>
          <w:sz w:val="22"/>
        </w:rPr>
        <w:t> </w:t>
      </w:r>
    </w:p>
    <w:p>
      <w:pPr>
        <w:pStyle w:val="style0"/>
        <w:autoSpaceDE w:val="false"/>
        <w:autoSpaceDN w:val="false"/>
        <w:spacing w:lineRule="auto" w:line="240"/>
        <w:ind w:left="360" w:hanging="480"/>
        <w:jc w:val="both"/>
        <w:rPr>
          <w:rFonts w:cs="Times New Roman" w:eastAsia="Times New Roman"/>
          <w:sz w:val="22"/>
        </w:rPr>
        <w:sectPr>
          <w:pgSz w:w="11906" w:h="16838" w:orient="portrait" w:code="9"/>
          <w:pgMar w:top="2268" w:right="1701" w:bottom="1701" w:left="2268" w:header="720" w:footer="720" w:gutter="0"/>
          <w:cols w:space="720"/>
          <w:titlePg/>
          <w:docGrid w:linePitch="360"/>
        </w:sectPr>
      </w:pPr>
    </w:p>
    <w:p>
      <w:pPr>
        <w:pStyle w:val="style0"/>
        <w:autoSpaceDE w:val="false"/>
        <w:autoSpaceDN w:val="false"/>
        <w:spacing w:lineRule="auto" w:line="240"/>
        <w:ind w:left="360" w:hanging="480"/>
        <w:jc w:val="center"/>
        <w:rPr>
          <w:rFonts w:cs="Times New Roman" w:eastAsia="Times New Roman"/>
          <w:b/>
          <w:bCs/>
          <w:sz w:val="40"/>
          <w:szCs w:val="40"/>
        </w:rPr>
      </w:pPr>
    </w:p>
    <w:p>
      <w:pPr>
        <w:pStyle w:val="style0"/>
        <w:autoSpaceDE w:val="false"/>
        <w:autoSpaceDN w:val="false"/>
        <w:spacing w:lineRule="auto" w:line="240"/>
        <w:ind w:left="360" w:hanging="480"/>
        <w:jc w:val="center"/>
        <w:rPr>
          <w:rFonts w:cs="Times New Roman" w:eastAsia="Times New Roman"/>
          <w:b/>
          <w:bCs/>
          <w:sz w:val="40"/>
          <w:szCs w:val="40"/>
        </w:rPr>
      </w:pPr>
    </w:p>
    <w:p>
      <w:pPr>
        <w:pStyle w:val="style0"/>
        <w:autoSpaceDE w:val="false"/>
        <w:autoSpaceDN w:val="false"/>
        <w:spacing w:lineRule="auto" w:line="240"/>
        <w:ind w:left="360" w:hanging="480"/>
        <w:jc w:val="center"/>
        <w:rPr>
          <w:rFonts w:cs="Times New Roman" w:eastAsia="Times New Roman"/>
          <w:b/>
          <w:bCs/>
          <w:sz w:val="40"/>
          <w:szCs w:val="40"/>
        </w:rPr>
      </w:pPr>
    </w:p>
    <w:p>
      <w:pPr>
        <w:pStyle w:val="style0"/>
        <w:autoSpaceDE w:val="false"/>
        <w:autoSpaceDN w:val="false"/>
        <w:spacing w:lineRule="auto" w:line="240"/>
        <w:ind w:left="360" w:hanging="480"/>
        <w:jc w:val="center"/>
        <w:rPr>
          <w:rFonts w:cs="Times New Roman" w:eastAsia="Times New Roman"/>
          <w:b/>
          <w:bCs/>
          <w:sz w:val="40"/>
          <w:szCs w:val="40"/>
        </w:rPr>
      </w:pPr>
    </w:p>
    <w:p>
      <w:pPr>
        <w:pStyle w:val="style0"/>
        <w:autoSpaceDE w:val="false"/>
        <w:autoSpaceDN w:val="false"/>
        <w:spacing w:lineRule="auto" w:line="240"/>
        <w:ind w:left="360" w:hanging="480"/>
        <w:jc w:val="center"/>
        <w:rPr>
          <w:rFonts w:cs="Times New Roman" w:eastAsia="Times New Roman"/>
          <w:b/>
          <w:bCs/>
          <w:sz w:val="40"/>
          <w:szCs w:val="40"/>
        </w:rPr>
      </w:pPr>
    </w:p>
    <w:p>
      <w:pPr>
        <w:pStyle w:val="style0"/>
        <w:autoSpaceDE w:val="false"/>
        <w:autoSpaceDN w:val="false"/>
        <w:spacing w:lineRule="auto" w:line="240"/>
        <w:ind w:left="360" w:hanging="480"/>
        <w:jc w:val="center"/>
        <w:rPr>
          <w:rFonts w:cs="Times New Roman" w:eastAsia="Times New Roman"/>
          <w:b/>
          <w:bCs/>
          <w:sz w:val="40"/>
          <w:szCs w:val="40"/>
        </w:rPr>
      </w:pPr>
    </w:p>
    <w:p>
      <w:pPr>
        <w:pStyle w:val="style0"/>
        <w:autoSpaceDE w:val="false"/>
        <w:autoSpaceDN w:val="false"/>
        <w:spacing w:lineRule="auto" w:line="240"/>
        <w:ind w:left="360" w:hanging="480"/>
        <w:jc w:val="center"/>
        <w:rPr>
          <w:rFonts w:cs="Times New Roman" w:eastAsia="Times New Roman"/>
          <w:b/>
          <w:bCs/>
          <w:sz w:val="40"/>
          <w:szCs w:val="40"/>
        </w:rPr>
      </w:pPr>
    </w:p>
    <w:bookmarkStart w:id="122" w:name="_Toc218854646"/>
    <w:p>
      <w:pPr>
        <w:pStyle w:val="style1"/>
        <w:rPr>
          <w:rFonts w:eastAsia="Times New Roman"/>
        </w:rPr>
      </w:pPr>
      <w:r>
        <w:rPr>
          <w:rFonts w:eastAsia="Times New Roman"/>
        </w:rPr>
        <w:t>LAMPIRAN</w:t>
      </w:r>
      <w:bookmarkEnd w:id="122"/>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0"/>
        <w:autoSpaceDE w:val="false"/>
        <w:autoSpaceDN w:val="false"/>
        <w:spacing w:lineRule="auto" w:line="240"/>
        <w:ind w:left="360" w:hanging="480"/>
        <w:jc w:val="center"/>
        <w:rPr>
          <w:rFonts w:cs="Times New Roman" w:eastAsia="Times New Roman"/>
          <w:b/>
          <w:bCs/>
          <w:sz w:val="28"/>
          <w:szCs w:val="28"/>
        </w:rPr>
      </w:pPr>
    </w:p>
    <w:p>
      <w:pPr>
        <w:pStyle w:val="style34"/>
        <w:keepNext/>
        <w:spacing w:after="0"/>
        <w:rPr>
          <w:b w:val="false"/>
          <w:bCs/>
          <w:i/>
          <w:iCs w:val="false"/>
          <w:color w:val="auto"/>
          <w:sz w:val="2"/>
          <w:szCs w:val="2"/>
        </w:rPr>
      </w:pPr>
    </w:p>
    <w:bookmarkStart w:id="123" w:name="_Toc216242926"/>
    <w:p>
      <w:pPr>
        <w:pStyle w:val="style34"/>
        <w:rPr/>
      </w:pPr>
    </w:p>
    <w:p>
      <w:pPr>
        <w:pStyle w:val="style34"/>
        <w:rPr/>
      </w:pPr>
    </w:p>
    <w:bookmarkStart w:id="124" w:name="_Toc224085868"/>
    <w:p>
      <w:pPr>
        <w:pStyle w:val="style34"/>
        <w:rPr/>
      </w:pPr>
      <w:r>
        <w:t xml:space="preserve">Lampiran </w:t>
      </w:r>
      <w:r>
        <w:rPr/>
        <w:fldChar w:fldCharType="begin"/>
      </w:r>
      <w:r>
        <w:instrText xml:space="preserve"> SEQ Lampiran \* ARABIC </w:instrText>
      </w:r>
      <w:r>
        <w:rPr/>
        <w:fldChar w:fldCharType="separate"/>
      </w:r>
      <w:r>
        <w:rPr>
          <w:noProof/>
        </w:rPr>
        <w:t>1</w:t>
      </w:r>
      <w:r>
        <w:rPr/>
        <w:fldChar w:fldCharType="end"/>
      </w:r>
      <w:r>
        <w:t xml:space="preserve">: Pengukuran </w:t>
      </w:r>
      <w:r>
        <w:rPr>
          <w:i/>
        </w:rPr>
        <w:t>Enterprise Risk Management</w:t>
      </w:r>
      <w:bookmarkEnd w:id="123"/>
      <w:bookmarkEnd w:id="124"/>
    </w:p>
    <w:tbl>
      <w:tblPr>
        <w:tblStyle w:val="style154"/>
        <w:tblW w:w="7927" w:type="dxa"/>
        <w:tblLook w:val="04A0" w:firstRow="1" w:lastRow="0" w:firstColumn="1" w:lastColumn="0" w:noHBand="0" w:noVBand="1"/>
      </w:tblPr>
      <w:tblGrid>
        <w:gridCol w:w="530"/>
        <w:gridCol w:w="7397"/>
      </w:tblGrid>
      <w:tr>
        <w:trPr>
          <w:trHeight w:val="278" w:hRule="atLeast"/>
        </w:trPr>
        <w:tc>
          <w:tcPr>
            <w:tcW w:w="511" w:type="dxa"/>
            <w:tcBorders/>
            <w:vAlign w:val="center"/>
          </w:tcPr>
          <w:p>
            <w:pPr>
              <w:pStyle w:val="style0"/>
              <w:jc w:val="center"/>
              <w:rPr>
                <w:rFonts w:cs="Times New Roman"/>
                <w:b/>
                <w:bCs/>
                <w:sz w:val="20"/>
                <w:szCs w:val="20"/>
              </w:rPr>
            </w:pPr>
            <w:r>
              <w:rPr>
                <w:rFonts w:cs="Times New Roman"/>
                <w:b/>
                <w:bCs/>
                <w:sz w:val="20"/>
                <w:szCs w:val="20"/>
              </w:rPr>
              <w:t>No.</w:t>
            </w:r>
          </w:p>
        </w:tc>
        <w:tc>
          <w:tcPr>
            <w:tcW w:w="7416" w:type="dxa"/>
            <w:tcBorders/>
            <w:vAlign w:val="center"/>
          </w:tcPr>
          <w:p>
            <w:pPr>
              <w:pStyle w:val="style0"/>
              <w:jc w:val="center"/>
              <w:rPr>
                <w:rFonts w:cs="Times New Roman"/>
                <w:b/>
                <w:bCs/>
                <w:sz w:val="20"/>
                <w:szCs w:val="20"/>
              </w:rPr>
            </w:pPr>
            <w:r>
              <w:rPr>
                <w:rFonts w:cs="Times New Roman"/>
                <w:b/>
                <w:bCs/>
                <w:sz w:val="20"/>
                <w:szCs w:val="20"/>
              </w:rPr>
              <w:t>Item Pengungkapan</w:t>
            </w:r>
          </w:p>
        </w:tc>
      </w:tr>
      <w:tr>
        <w:tblPrEx/>
        <w:trPr>
          <w:trHeight w:val="449" w:hRule="atLeast"/>
        </w:trPr>
        <w:tc>
          <w:tcPr>
            <w:tcW w:w="7927" w:type="dxa"/>
            <w:gridSpan w:val="2"/>
            <w:tcBorders/>
            <w:vAlign w:val="center"/>
          </w:tcPr>
          <w:p>
            <w:pPr>
              <w:pStyle w:val="style0"/>
              <w:jc w:val="center"/>
              <w:rPr>
                <w:rFonts w:cs="Times New Roman"/>
                <w:sz w:val="20"/>
                <w:szCs w:val="20"/>
              </w:rPr>
            </w:pPr>
            <w:r>
              <w:rPr>
                <w:rFonts w:cs="Times New Roman"/>
                <w:i/>
                <w:iCs/>
                <w:sz w:val="20"/>
                <w:szCs w:val="20"/>
              </w:rPr>
              <w:t>Governance and Culture</w:t>
            </w:r>
          </w:p>
        </w:tc>
      </w:tr>
      <w:tr>
        <w:tblPrEx/>
        <w:trPr/>
        <w:tc>
          <w:tcPr>
            <w:tcW w:w="511" w:type="dxa"/>
            <w:tcBorders/>
          </w:tcPr>
          <w:p>
            <w:pPr>
              <w:pStyle w:val="style0"/>
              <w:rPr>
                <w:rFonts w:cs="Times New Roman"/>
                <w:sz w:val="20"/>
                <w:szCs w:val="20"/>
              </w:rPr>
            </w:pPr>
            <w:r>
              <w:rPr>
                <w:rFonts w:cs="Times New Roman"/>
                <w:sz w:val="20"/>
                <w:szCs w:val="20"/>
              </w:rPr>
              <w:t>1.</w:t>
            </w:r>
          </w:p>
        </w:tc>
        <w:tc>
          <w:tcPr>
            <w:tcW w:w="7416" w:type="dxa"/>
            <w:tcBorders/>
          </w:tcPr>
          <w:p>
            <w:pPr>
              <w:pStyle w:val="style0"/>
              <w:rPr>
                <w:rFonts w:cs="Times New Roman"/>
                <w:sz w:val="20"/>
                <w:szCs w:val="20"/>
              </w:rPr>
            </w:pPr>
            <w:r>
              <w:rPr>
                <w:rFonts w:cs="Times New Roman"/>
                <w:sz w:val="20"/>
                <w:szCs w:val="20"/>
              </w:rPr>
              <w:t>Pengawasan oleh dewan terhadap strategi dan melaksanakan tanggung jawab tata kelola.</w:t>
            </w:r>
          </w:p>
        </w:tc>
      </w:tr>
      <w:tr>
        <w:tblPrEx/>
        <w:trPr/>
        <w:tc>
          <w:tcPr>
            <w:tcW w:w="511" w:type="dxa"/>
            <w:tcBorders/>
          </w:tcPr>
          <w:p>
            <w:pPr>
              <w:pStyle w:val="style0"/>
              <w:rPr>
                <w:rFonts w:cs="Times New Roman"/>
                <w:sz w:val="20"/>
                <w:szCs w:val="20"/>
              </w:rPr>
            </w:pPr>
            <w:r>
              <w:rPr>
                <w:rFonts w:cs="Times New Roman"/>
                <w:sz w:val="20"/>
                <w:szCs w:val="20"/>
              </w:rPr>
              <w:t>2.</w:t>
            </w:r>
          </w:p>
        </w:tc>
        <w:tc>
          <w:tcPr>
            <w:tcW w:w="7416" w:type="dxa"/>
            <w:tcBorders/>
          </w:tcPr>
          <w:p>
            <w:pPr>
              <w:pStyle w:val="style0"/>
              <w:rPr>
                <w:rFonts w:cs="Times New Roman"/>
                <w:sz w:val="20"/>
                <w:szCs w:val="20"/>
              </w:rPr>
            </w:pPr>
            <w:r>
              <w:rPr>
                <w:rFonts w:cs="Times New Roman"/>
                <w:sz w:val="20"/>
                <w:szCs w:val="20"/>
              </w:rPr>
              <w:t>Struktur perusahaan beserta uraian kerja yang memadai dan tanggung jawab dengan jelas</w:t>
            </w:r>
          </w:p>
        </w:tc>
      </w:tr>
      <w:tr>
        <w:tblPrEx/>
        <w:trPr/>
        <w:tc>
          <w:tcPr>
            <w:tcW w:w="511" w:type="dxa"/>
            <w:tcBorders/>
          </w:tcPr>
          <w:p>
            <w:pPr>
              <w:pStyle w:val="style0"/>
              <w:rPr>
                <w:rFonts w:cs="Times New Roman"/>
                <w:sz w:val="20"/>
                <w:szCs w:val="20"/>
              </w:rPr>
            </w:pPr>
            <w:r>
              <w:rPr>
                <w:rFonts w:cs="Times New Roman"/>
                <w:sz w:val="20"/>
                <w:szCs w:val="20"/>
              </w:rPr>
              <w:t>3.</w:t>
            </w:r>
          </w:p>
        </w:tc>
        <w:tc>
          <w:tcPr>
            <w:tcW w:w="7416" w:type="dxa"/>
            <w:tcBorders/>
          </w:tcPr>
          <w:p>
            <w:pPr>
              <w:pStyle w:val="style0"/>
              <w:rPr>
                <w:rFonts w:cs="Times New Roman"/>
                <w:sz w:val="20"/>
                <w:szCs w:val="20"/>
              </w:rPr>
            </w:pPr>
            <w:r>
              <w:rPr>
                <w:rFonts w:cs="Times New Roman"/>
                <w:sz w:val="20"/>
                <w:szCs w:val="20"/>
              </w:rPr>
              <w:t>Perusahaan menentukan perilaku yang diinginkan dalam budaya, nilai-nilai inti, dan sikap terhadap risiko</w:t>
            </w:r>
          </w:p>
        </w:tc>
      </w:tr>
      <w:tr>
        <w:tblPrEx/>
        <w:trPr/>
        <w:tc>
          <w:tcPr>
            <w:tcW w:w="511" w:type="dxa"/>
            <w:tcBorders/>
          </w:tcPr>
          <w:p>
            <w:pPr>
              <w:pStyle w:val="style0"/>
              <w:rPr>
                <w:rFonts w:cs="Times New Roman"/>
                <w:sz w:val="20"/>
                <w:szCs w:val="20"/>
              </w:rPr>
            </w:pPr>
            <w:r>
              <w:rPr>
                <w:rFonts w:cs="Times New Roman"/>
                <w:sz w:val="20"/>
                <w:szCs w:val="20"/>
              </w:rPr>
              <w:t>4.</w:t>
            </w:r>
          </w:p>
        </w:tc>
        <w:tc>
          <w:tcPr>
            <w:tcW w:w="7416" w:type="dxa"/>
            <w:tcBorders/>
          </w:tcPr>
          <w:p>
            <w:pPr>
              <w:pStyle w:val="style0"/>
              <w:rPr>
                <w:rFonts w:cs="Times New Roman"/>
                <w:sz w:val="20"/>
                <w:szCs w:val="20"/>
              </w:rPr>
            </w:pPr>
            <w:r>
              <w:rPr>
                <w:rFonts w:cs="Times New Roman"/>
                <w:sz w:val="20"/>
                <w:szCs w:val="20"/>
              </w:rPr>
              <w:t>Perusahaan menunjukkan komitmen terhadap nilai-nilai inti entitas (budaya pada gaya kepeminpinan dan perilaku manajemen yang kemudian ditanamkan ke seluruh bagian perusahaan)</w:t>
            </w:r>
          </w:p>
        </w:tc>
      </w:tr>
      <w:tr>
        <w:tblPrEx/>
        <w:trPr/>
        <w:tc>
          <w:tcPr>
            <w:tcW w:w="511" w:type="dxa"/>
            <w:tcBorders/>
          </w:tcPr>
          <w:p>
            <w:pPr>
              <w:pStyle w:val="style0"/>
              <w:rPr>
                <w:rFonts w:cs="Times New Roman"/>
                <w:sz w:val="20"/>
                <w:szCs w:val="20"/>
              </w:rPr>
            </w:pPr>
            <w:r>
              <w:rPr>
                <w:rFonts w:cs="Times New Roman"/>
                <w:sz w:val="20"/>
                <w:szCs w:val="20"/>
              </w:rPr>
              <w:t>5.</w:t>
            </w:r>
          </w:p>
        </w:tc>
        <w:tc>
          <w:tcPr>
            <w:tcW w:w="7416" w:type="dxa"/>
            <w:tcBorders/>
          </w:tcPr>
          <w:p>
            <w:pPr>
              <w:pStyle w:val="style0"/>
              <w:rPr>
                <w:rFonts w:cs="Times New Roman"/>
                <w:sz w:val="20"/>
                <w:szCs w:val="20"/>
              </w:rPr>
            </w:pPr>
            <w:r>
              <w:rPr>
                <w:rFonts w:cs="Times New Roman"/>
                <w:sz w:val="20"/>
                <w:szCs w:val="20"/>
              </w:rPr>
              <w:t>Perusahaan berkomitmen untuk membangun sumber daya manusia (menetapkan pengetahuan, keterampilan, dan pengalaman; menetapkan target kinerja; mempertahankan personel; merencanakan suksesi kepemimpinan)</w:t>
            </w:r>
          </w:p>
        </w:tc>
      </w:tr>
      <w:tr>
        <w:tblPrEx/>
        <w:trPr>
          <w:trHeight w:val="431" w:hRule="atLeast"/>
        </w:trPr>
        <w:tc>
          <w:tcPr>
            <w:tcW w:w="7927" w:type="dxa"/>
            <w:gridSpan w:val="2"/>
            <w:tcBorders/>
            <w:vAlign w:val="center"/>
          </w:tcPr>
          <w:p>
            <w:pPr>
              <w:pStyle w:val="style0"/>
              <w:jc w:val="center"/>
              <w:rPr>
                <w:rFonts w:cs="Times New Roman"/>
                <w:sz w:val="20"/>
                <w:szCs w:val="20"/>
              </w:rPr>
            </w:pPr>
            <w:r>
              <w:rPr>
                <w:rFonts w:cs="Times New Roman"/>
                <w:i/>
                <w:iCs/>
                <w:sz w:val="20"/>
                <w:szCs w:val="20"/>
              </w:rPr>
              <w:t>Strategy and objective-setting</w:t>
            </w:r>
          </w:p>
        </w:tc>
      </w:tr>
      <w:tr>
        <w:tblPrEx/>
        <w:trPr/>
        <w:tc>
          <w:tcPr>
            <w:tcW w:w="511" w:type="dxa"/>
            <w:tcBorders/>
          </w:tcPr>
          <w:p>
            <w:pPr>
              <w:pStyle w:val="style0"/>
              <w:rPr>
                <w:rFonts w:cs="Times New Roman"/>
                <w:sz w:val="20"/>
                <w:szCs w:val="20"/>
              </w:rPr>
            </w:pPr>
            <w:r>
              <w:rPr>
                <w:rFonts w:cs="Times New Roman"/>
                <w:sz w:val="20"/>
                <w:szCs w:val="20"/>
              </w:rPr>
              <w:t>6.</w:t>
            </w:r>
          </w:p>
        </w:tc>
        <w:tc>
          <w:tcPr>
            <w:tcW w:w="7416" w:type="dxa"/>
            <w:tcBorders/>
          </w:tcPr>
          <w:p>
            <w:pPr>
              <w:pStyle w:val="style0"/>
              <w:rPr>
                <w:rFonts w:cs="Times New Roman"/>
                <w:sz w:val="20"/>
                <w:szCs w:val="20"/>
              </w:rPr>
            </w:pPr>
            <w:r>
              <w:rPr>
                <w:rFonts w:cs="Times New Roman"/>
                <w:sz w:val="20"/>
                <w:szCs w:val="20"/>
              </w:rPr>
              <w:t xml:space="preserve">Perusahaan mempertimbangkan risiko dalam konteks bisnis </w:t>
            </w:r>
          </w:p>
        </w:tc>
      </w:tr>
      <w:tr>
        <w:tblPrEx/>
        <w:trPr/>
        <w:tc>
          <w:tcPr>
            <w:tcW w:w="511" w:type="dxa"/>
            <w:tcBorders/>
          </w:tcPr>
          <w:p>
            <w:pPr>
              <w:pStyle w:val="style0"/>
              <w:rPr>
                <w:rFonts w:cs="Times New Roman"/>
                <w:sz w:val="20"/>
                <w:szCs w:val="20"/>
              </w:rPr>
            </w:pPr>
            <w:r>
              <w:rPr>
                <w:rFonts w:cs="Times New Roman"/>
                <w:sz w:val="20"/>
                <w:szCs w:val="20"/>
              </w:rPr>
              <w:t xml:space="preserve">7. </w:t>
            </w:r>
          </w:p>
        </w:tc>
        <w:tc>
          <w:tcPr>
            <w:tcW w:w="7416" w:type="dxa"/>
            <w:tcBorders/>
          </w:tcPr>
          <w:p>
            <w:pPr>
              <w:pStyle w:val="style0"/>
              <w:rPr>
                <w:rFonts w:cs="Times New Roman"/>
                <w:sz w:val="20"/>
                <w:szCs w:val="20"/>
              </w:rPr>
            </w:pPr>
            <w:r>
              <w:rPr>
                <w:rFonts w:cs="Times New Roman"/>
                <w:sz w:val="20"/>
                <w:szCs w:val="20"/>
              </w:rPr>
              <w:t xml:space="preserve">Perusahaan menetapkan </w:t>
            </w:r>
            <w:r>
              <w:rPr>
                <w:rFonts w:cs="Times New Roman"/>
                <w:i/>
                <w:iCs/>
                <w:sz w:val="20"/>
                <w:szCs w:val="20"/>
              </w:rPr>
              <w:t>risk appetite</w:t>
            </w:r>
            <w:r>
              <w:rPr>
                <w:rFonts w:cs="Times New Roman"/>
                <w:sz w:val="20"/>
                <w:szCs w:val="20"/>
              </w:rPr>
              <w:t xml:space="preserve"> atau selera risiko (tingkat risiko yang bersedia diambil)</w:t>
            </w:r>
          </w:p>
        </w:tc>
      </w:tr>
      <w:tr>
        <w:tblPrEx/>
        <w:trPr/>
        <w:tc>
          <w:tcPr>
            <w:tcW w:w="511" w:type="dxa"/>
            <w:tcBorders/>
          </w:tcPr>
          <w:p>
            <w:pPr>
              <w:pStyle w:val="style0"/>
              <w:rPr>
                <w:rFonts w:cs="Times New Roman"/>
                <w:sz w:val="20"/>
                <w:szCs w:val="20"/>
              </w:rPr>
            </w:pPr>
            <w:r>
              <w:rPr>
                <w:rFonts w:cs="Times New Roman"/>
                <w:sz w:val="20"/>
                <w:szCs w:val="20"/>
              </w:rPr>
              <w:t>8.</w:t>
            </w:r>
          </w:p>
        </w:tc>
        <w:tc>
          <w:tcPr>
            <w:tcW w:w="7416" w:type="dxa"/>
            <w:tcBorders/>
          </w:tcPr>
          <w:p>
            <w:pPr>
              <w:pStyle w:val="style0"/>
              <w:rPr>
                <w:rFonts w:cs="Times New Roman"/>
                <w:sz w:val="20"/>
                <w:szCs w:val="20"/>
              </w:rPr>
            </w:pPr>
            <w:r>
              <w:rPr>
                <w:rFonts w:cs="Times New Roman"/>
                <w:sz w:val="20"/>
                <w:szCs w:val="20"/>
              </w:rPr>
              <w:t>Perusahaan mengevaluasi strategi atau dampak potensial (risiko yang muncul)</w:t>
            </w:r>
          </w:p>
        </w:tc>
      </w:tr>
      <w:tr>
        <w:tblPrEx/>
        <w:trPr/>
        <w:tc>
          <w:tcPr>
            <w:tcW w:w="511" w:type="dxa"/>
            <w:tcBorders/>
          </w:tcPr>
          <w:p>
            <w:pPr>
              <w:pStyle w:val="style0"/>
              <w:rPr>
                <w:rFonts w:cs="Times New Roman"/>
                <w:sz w:val="20"/>
                <w:szCs w:val="20"/>
              </w:rPr>
            </w:pPr>
            <w:r>
              <w:rPr>
                <w:rFonts w:cs="Times New Roman"/>
                <w:sz w:val="20"/>
                <w:szCs w:val="20"/>
              </w:rPr>
              <w:t>9.</w:t>
            </w:r>
          </w:p>
        </w:tc>
        <w:tc>
          <w:tcPr>
            <w:tcW w:w="7416" w:type="dxa"/>
            <w:tcBorders/>
          </w:tcPr>
          <w:p>
            <w:pPr>
              <w:pStyle w:val="style0"/>
              <w:rPr>
                <w:rFonts w:cs="Times New Roman"/>
                <w:sz w:val="20"/>
                <w:szCs w:val="20"/>
              </w:rPr>
            </w:pPr>
            <w:r>
              <w:rPr>
                <w:rFonts w:cs="Times New Roman"/>
                <w:sz w:val="20"/>
                <w:szCs w:val="20"/>
              </w:rPr>
              <w:t>Perusahaan menetapkan dan merumuskan tujuan atau sasaran bisnis pada tingkatan perusahaan</w:t>
            </w:r>
          </w:p>
        </w:tc>
      </w:tr>
      <w:tr>
        <w:tblPrEx/>
        <w:trPr>
          <w:trHeight w:val="458" w:hRule="atLeast"/>
        </w:trPr>
        <w:tc>
          <w:tcPr>
            <w:tcW w:w="7927" w:type="dxa"/>
            <w:gridSpan w:val="2"/>
            <w:tcBorders/>
            <w:vAlign w:val="center"/>
          </w:tcPr>
          <w:p>
            <w:pPr>
              <w:pStyle w:val="style0"/>
              <w:jc w:val="center"/>
              <w:rPr>
                <w:rFonts w:cs="Times New Roman"/>
                <w:sz w:val="20"/>
                <w:szCs w:val="20"/>
              </w:rPr>
            </w:pPr>
            <w:r>
              <w:rPr>
                <w:rFonts w:cs="Times New Roman"/>
                <w:i/>
                <w:iCs/>
                <w:sz w:val="20"/>
                <w:szCs w:val="20"/>
              </w:rPr>
              <w:t>Performance</w:t>
            </w:r>
          </w:p>
        </w:tc>
      </w:tr>
      <w:tr>
        <w:tblPrEx/>
        <w:trPr/>
        <w:tc>
          <w:tcPr>
            <w:tcW w:w="511" w:type="dxa"/>
            <w:tcBorders/>
          </w:tcPr>
          <w:p>
            <w:pPr>
              <w:pStyle w:val="style0"/>
              <w:rPr>
                <w:rFonts w:cs="Times New Roman"/>
                <w:sz w:val="20"/>
                <w:szCs w:val="20"/>
              </w:rPr>
            </w:pPr>
            <w:r>
              <w:rPr>
                <w:rFonts w:cs="Times New Roman"/>
                <w:sz w:val="20"/>
                <w:szCs w:val="20"/>
              </w:rPr>
              <w:t>10</w:t>
            </w:r>
            <w:r>
              <w:rPr>
                <w:rFonts w:cs="Times New Roman"/>
                <w:sz w:val="20"/>
                <w:szCs w:val="20"/>
              </w:rPr>
              <w:t>.</w:t>
            </w:r>
          </w:p>
        </w:tc>
        <w:tc>
          <w:tcPr>
            <w:tcW w:w="7416" w:type="dxa"/>
            <w:tcBorders/>
          </w:tcPr>
          <w:p>
            <w:pPr>
              <w:pStyle w:val="style0"/>
              <w:rPr>
                <w:rFonts w:cs="Times New Roman"/>
                <w:sz w:val="20"/>
                <w:szCs w:val="20"/>
              </w:rPr>
            </w:pPr>
            <w:r>
              <w:rPr>
                <w:rFonts w:cs="Times New Roman"/>
                <w:sz w:val="20"/>
                <w:szCs w:val="20"/>
              </w:rPr>
              <w:t>Perusahaan mengidentifikasi dan mempertimbangkan risiko yang akan muncul dan berkembang maupun perubahannya</w:t>
            </w:r>
          </w:p>
        </w:tc>
      </w:tr>
      <w:tr>
        <w:tblPrEx/>
        <w:trPr/>
        <w:tc>
          <w:tcPr>
            <w:tcW w:w="511" w:type="dxa"/>
            <w:tcBorders/>
          </w:tcPr>
          <w:p>
            <w:pPr>
              <w:pStyle w:val="style0"/>
              <w:rPr>
                <w:rFonts w:cs="Times New Roman"/>
                <w:sz w:val="20"/>
                <w:szCs w:val="20"/>
              </w:rPr>
            </w:pPr>
            <w:r>
              <w:rPr>
                <w:rFonts w:cs="Times New Roman"/>
                <w:sz w:val="20"/>
                <w:szCs w:val="20"/>
              </w:rPr>
              <w:t>11.</w:t>
            </w:r>
          </w:p>
        </w:tc>
        <w:tc>
          <w:tcPr>
            <w:tcW w:w="7416" w:type="dxa"/>
            <w:tcBorders/>
          </w:tcPr>
          <w:p>
            <w:pPr>
              <w:pStyle w:val="style0"/>
              <w:rPr>
                <w:rFonts w:cs="Times New Roman"/>
                <w:sz w:val="20"/>
                <w:szCs w:val="20"/>
              </w:rPr>
            </w:pPr>
            <w:r>
              <w:rPr>
                <w:rFonts w:cs="Times New Roman"/>
                <w:sz w:val="20"/>
                <w:szCs w:val="20"/>
              </w:rPr>
              <w:t>Perusahaan menilai atau memperkirakan tingkat keparahan risiko yang berdampak besar (bobot risiko)</w:t>
            </w:r>
          </w:p>
        </w:tc>
      </w:tr>
      <w:tr>
        <w:tblPrEx/>
        <w:trPr/>
        <w:tc>
          <w:tcPr>
            <w:tcW w:w="511" w:type="dxa"/>
            <w:tcBorders/>
          </w:tcPr>
          <w:p>
            <w:pPr>
              <w:pStyle w:val="style0"/>
              <w:rPr>
                <w:rFonts w:cs="Times New Roman"/>
                <w:sz w:val="20"/>
                <w:szCs w:val="20"/>
              </w:rPr>
            </w:pPr>
            <w:r>
              <w:rPr>
                <w:rFonts w:cs="Times New Roman"/>
                <w:sz w:val="20"/>
                <w:szCs w:val="20"/>
              </w:rPr>
              <w:t>12.</w:t>
            </w:r>
          </w:p>
        </w:tc>
        <w:tc>
          <w:tcPr>
            <w:tcW w:w="7416" w:type="dxa"/>
            <w:tcBorders/>
          </w:tcPr>
          <w:p>
            <w:pPr>
              <w:pStyle w:val="style0"/>
              <w:rPr>
                <w:rFonts w:cs="Times New Roman"/>
                <w:sz w:val="20"/>
                <w:szCs w:val="20"/>
              </w:rPr>
            </w:pPr>
            <w:r>
              <w:rPr>
                <w:rFonts w:cs="Times New Roman"/>
                <w:sz w:val="20"/>
                <w:szCs w:val="20"/>
              </w:rPr>
              <w:t>Perusahaan menentukan prioritas risiko dengan menggunakan kriteria (seberapa fleksibel; tingkat kesulitan mengelola; seberapa cepat risiko berdampak; lama risiko dapat berdampak; kemampuan untuk pulih; batasan toleransi)</w:t>
            </w:r>
          </w:p>
        </w:tc>
      </w:tr>
      <w:tr>
        <w:tblPrEx/>
        <w:trPr/>
        <w:tc>
          <w:tcPr>
            <w:tcW w:w="511" w:type="dxa"/>
            <w:tcBorders/>
          </w:tcPr>
          <w:p>
            <w:pPr>
              <w:pStyle w:val="style0"/>
              <w:rPr>
                <w:rFonts w:cs="Times New Roman"/>
                <w:sz w:val="20"/>
                <w:szCs w:val="20"/>
              </w:rPr>
            </w:pPr>
            <w:r>
              <w:rPr>
                <w:rFonts w:cs="Times New Roman"/>
                <w:sz w:val="20"/>
                <w:szCs w:val="20"/>
              </w:rPr>
              <w:t>13.</w:t>
            </w:r>
          </w:p>
        </w:tc>
        <w:tc>
          <w:tcPr>
            <w:tcW w:w="7416" w:type="dxa"/>
            <w:tcBorders/>
          </w:tcPr>
          <w:p>
            <w:pPr>
              <w:pStyle w:val="style0"/>
              <w:rPr>
                <w:rFonts w:cs="Times New Roman"/>
                <w:sz w:val="20"/>
                <w:szCs w:val="20"/>
              </w:rPr>
            </w:pPr>
            <w:r>
              <w:rPr>
                <w:rFonts w:cs="Times New Roman"/>
                <w:sz w:val="20"/>
                <w:szCs w:val="20"/>
              </w:rPr>
              <w:t>Perusahaan mengimplementasikan tanggapan risiko (berupa menerima, menghindari, memanfaatkan, mengurangi, dan membagi risiko)</w:t>
            </w:r>
          </w:p>
        </w:tc>
      </w:tr>
      <w:tr>
        <w:tblPrEx/>
        <w:trPr/>
        <w:tc>
          <w:tcPr>
            <w:tcW w:w="511" w:type="dxa"/>
            <w:tcBorders/>
          </w:tcPr>
          <w:p>
            <w:pPr>
              <w:pStyle w:val="style0"/>
              <w:rPr>
                <w:rFonts w:cs="Times New Roman"/>
                <w:sz w:val="20"/>
                <w:szCs w:val="20"/>
              </w:rPr>
            </w:pPr>
            <w:r>
              <w:rPr>
                <w:rFonts w:cs="Times New Roman"/>
                <w:sz w:val="20"/>
                <w:szCs w:val="20"/>
              </w:rPr>
              <w:t>14.</w:t>
            </w:r>
          </w:p>
        </w:tc>
        <w:tc>
          <w:tcPr>
            <w:tcW w:w="7416" w:type="dxa"/>
            <w:tcBorders/>
          </w:tcPr>
          <w:p>
            <w:pPr>
              <w:pStyle w:val="style0"/>
              <w:rPr>
                <w:rFonts w:cs="Times New Roman"/>
                <w:sz w:val="20"/>
                <w:szCs w:val="20"/>
              </w:rPr>
            </w:pPr>
            <w:r>
              <w:rPr>
                <w:rFonts w:cs="Times New Roman"/>
                <w:sz w:val="20"/>
                <w:szCs w:val="20"/>
              </w:rPr>
              <w:t>Perusahaan mengembangkan risiko secara portofolio maupun gambaran komposit</w:t>
            </w:r>
          </w:p>
        </w:tc>
      </w:tr>
      <w:tr>
        <w:tblPrEx/>
        <w:trPr>
          <w:trHeight w:val="449" w:hRule="atLeast"/>
        </w:trPr>
        <w:tc>
          <w:tcPr>
            <w:tcW w:w="7927" w:type="dxa"/>
            <w:gridSpan w:val="2"/>
            <w:tcBorders/>
            <w:vAlign w:val="center"/>
          </w:tcPr>
          <w:p>
            <w:pPr>
              <w:pStyle w:val="style0"/>
              <w:jc w:val="center"/>
              <w:rPr>
                <w:rFonts w:cs="Times New Roman"/>
                <w:sz w:val="20"/>
                <w:szCs w:val="20"/>
              </w:rPr>
            </w:pPr>
            <w:r>
              <w:rPr>
                <w:rFonts w:cs="Times New Roman"/>
                <w:i/>
                <w:iCs/>
                <w:sz w:val="20"/>
                <w:szCs w:val="20"/>
              </w:rPr>
              <w:t>Review and revision</w:t>
            </w:r>
          </w:p>
        </w:tc>
      </w:tr>
      <w:tr>
        <w:tblPrEx/>
        <w:trPr/>
        <w:tc>
          <w:tcPr>
            <w:tcW w:w="511" w:type="dxa"/>
            <w:tcBorders/>
          </w:tcPr>
          <w:p>
            <w:pPr>
              <w:pStyle w:val="style0"/>
              <w:rPr>
                <w:rFonts w:cs="Times New Roman"/>
                <w:sz w:val="20"/>
                <w:szCs w:val="20"/>
              </w:rPr>
            </w:pPr>
            <w:r>
              <w:rPr>
                <w:rFonts w:cs="Times New Roman"/>
                <w:sz w:val="20"/>
                <w:szCs w:val="20"/>
              </w:rPr>
              <w:t>15.</w:t>
            </w:r>
          </w:p>
        </w:tc>
        <w:tc>
          <w:tcPr>
            <w:tcW w:w="7416" w:type="dxa"/>
            <w:tcBorders/>
          </w:tcPr>
          <w:p>
            <w:pPr>
              <w:pStyle w:val="style0"/>
              <w:rPr>
                <w:rFonts w:cs="Times New Roman"/>
                <w:sz w:val="20"/>
                <w:szCs w:val="20"/>
              </w:rPr>
            </w:pPr>
            <w:r>
              <w:rPr>
                <w:rFonts w:cs="Times New Roman"/>
                <w:sz w:val="20"/>
                <w:szCs w:val="20"/>
              </w:rPr>
              <w:t>Perusahaan selalu memantau dan mengukur perubahan signifikan pada risiko</w:t>
            </w:r>
          </w:p>
        </w:tc>
      </w:tr>
      <w:tr>
        <w:tblPrEx/>
        <w:trPr/>
        <w:tc>
          <w:tcPr>
            <w:tcW w:w="511" w:type="dxa"/>
            <w:tcBorders/>
          </w:tcPr>
          <w:p>
            <w:pPr>
              <w:pStyle w:val="style0"/>
              <w:rPr>
                <w:rFonts w:cs="Times New Roman"/>
                <w:sz w:val="20"/>
                <w:szCs w:val="20"/>
              </w:rPr>
            </w:pPr>
            <w:r>
              <w:rPr>
                <w:rFonts w:cs="Times New Roman"/>
                <w:sz w:val="20"/>
                <w:szCs w:val="20"/>
              </w:rPr>
              <w:t>16.</w:t>
            </w:r>
          </w:p>
        </w:tc>
        <w:tc>
          <w:tcPr>
            <w:tcW w:w="7416" w:type="dxa"/>
            <w:tcBorders/>
          </w:tcPr>
          <w:p>
            <w:pPr>
              <w:pStyle w:val="style0"/>
              <w:rPr>
                <w:rFonts w:cs="Times New Roman"/>
                <w:sz w:val="20"/>
                <w:szCs w:val="20"/>
              </w:rPr>
            </w:pPr>
            <w:r>
              <w:rPr>
                <w:rFonts w:cs="Times New Roman"/>
                <w:sz w:val="20"/>
                <w:szCs w:val="20"/>
              </w:rPr>
              <w:t>Perusahaan meninjau atau mengevaluasi efektivitas kinerja atau tanggapan risiko (mengendalikan)</w:t>
            </w:r>
          </w:p>
        </w:tc>
      </w:tr>
      <w:tr>
        <w:tblPrEx/>
        <w:trPr/>
        <w:tc>
          <w:tcPr>
            <w:tcW w:w="511" w:type="dxa"/>
            <w:tcBorders/>
          </w:tcPr>
          <w:p>
            <w:pPr>
              <w:pStyle w:val="style0"/>
              <w:rPr>
                <w:rFonts w:cs="Times New Roman"/>
                <w:sz w:val="20"/>
                <w:szCs w:val="20"/>
              </w:rPr>
            </w:pPr>
            <w:r>
              <w:rPr>
                <w:rFonts w:cs="Times New Roman"/>
                <w:sz w:val="20"/>
                <w:szCs w:val="20"/>
              </w:rPr>
              <w:t>17.</w:t>
            </w:r>
          </w:p>
        </w:tc>
        <w:tc>
          <w:tcPr>
            <w:tcW w:w="7416" w:type="dxa"/>
            <w:tcBorders/>
          </w:tcPr>
          <w:p>
            <w:pPr>
              <w:pStyle w:val="style0"/>
              <w:rPr>
                <w:rFonts w:cs="Times New Roman"/>
                <w:sz w:val="20"/>
                <w:szCs w:val="20"/>
              </w:rPr>
            </w:pPr>
            <w:r>
              <w:rPr>
                <w:rFonts w:cs="Times New Roman"/>
                <w:sz w:val="20"/>
                <w:szCs w:val="20"/>
              </w:rPr>
              <w:t xml:space="preserve">Perusahaan melakukan perbaikan atau penyempurnaan pada </w:t>
            </w:r>
            <w:r>
              <w:rPr>
                <w:rFonts w:cs="Times New Roman"/>
                <w:i/>
                <w:iCs/>
                <w:sz w:val="20"/>
                <w:szCs w:val="20"/>
              </w:rPr>
              <w:t xml:space="preserve">enterprise risk management </w:t>
            </w:r>
            <w:r>
              <w:rPr>
                <w:rFonts w:cs="Times New Roman"/>
                <w:sz w:val="20"/>
                <w:szCs w:val="20"/>
              </w:rPr>
              <w:t xml:space="preserve">(evaluasi berkelanjutan atau peningkatan pada ERM) </w:t>
            </w:r>
          </w:p>
        </w:tc>
      </w:tr>
      <w:tr>
        <w:tblPrEx/>
        <w:trPr>
          <w:trHeight w:val="485" w:hRule="atLeast"/>
        </w:trPr>
        <w:tc>
          <w:tcPr>
            <w:tcW w:w="7927" w:type="dxa"/>
            <w:gridSpan w:val="2"/>
            <w:tcBorders/>
            <w:vAlign w:val="center"/>
          </w:tcPr>
          <w:p>
            <w:pPr>
              <w:pStyle w:val="style0"/>
              <w:jc w:val="center"/>
              <w:rPr>
                <w:rFonts w:cs="Times New Roman"/>
                <w:sz w:val="20"/>
                <w:szCs w:val="20"/>
              </w:rPr>
            </w:pPr>
            <w:r>
              <w:rPr>
                <w:rFonts w:cs="Times New Roman"/>
                <w:i/>
                <w:iCs/>
                <w:sz w:val="20"/>
                <w:szCs w:val="20"/>
              </w:rPr>
              <w:t>Information, communication, and reporting</w:t>
            </w:r>
          </w:p>
        </w:tc>
      </w:tr>
      <w:tr>
        <w:tblPrEx/>
        <w:trPr/>
        <w:tc>
          <w:tcPr>
            <w:tcW w:w="511" w:type="dxa"/>
            <w:tcBorders/>
          </w:tcPr>
          <w:p>
            <w:pPr>
              <w:pStyle w:val="style0"/>
              <w:rPr>
                <w:rFonts w:cs="Times New Roman"/>
                <w:sz w:val="20"/>
                <w:szCs w:val="20"/>
              </w:rPr>
            </w:pPr>
            <w:r>
              <w:rPr>
                <w:rFonts w:cs="Times New Roman"/>
                <w:sz w:val="20"/>
                <w:szCs w:val="20"/>
              </w:rPr>
              <w:t>18.</w:t>
            </w:r>
          </w:p>
        </w:tc>
        <w:tc>
          <w:tcPr>
            <w:tcW w:w="7416" w:type="dxa"/>
            <w:tcBorders/>
          </w:tcPr>
          <w:p>
            <w:pPr>
              <w:pStyle w:val="style0"/>
              <w:rPr>
                <w:rFonts w:cs="Times New Roman"/>
                <w:i/>
                <w:iCs/>
                <w:sz w:val="20"/>
                <w:szCs w:val="20"/>
              </w:rPr>
            </w:pPr>
            <w:r>
              <w:rPr>
                <w:rFonts w:cs="Times New Roman"/>
                <w:sz w:val="20"/>
                <w:szCs w:val="20"/>
              </w:rPr>
              <w:t xml:space="preserve">Perusahaan memanfaatkan teknologi dan sistem informasi untuk mendukung </w:t>
            </w:r>
            <w:r>
              <w:rPr>
                <w:rFonts w:cs="Times New Roman"/>
                <w:i/>
                <w:iCs/>
                <w:sz w:val="20"/>
                <w:szCs w:val="20"/>
              </w:rPr>
              <w:t>enterprise risk management</w:t>
            </w:r>
          </w:p>
        </w:tc>
      </w:tr>
      <w:tr>
        <w:tblPrEx/>
        <w:trPr/>
        <w:tc>
          <w:tcPr>
            <w:tcW w:w="511" w:type="dxa"/>
            <w:tcBorders/>
          </w:tcPr>
          <w:p>
            <w:pPr>
              <w:pStyle w:val="style0"/>
              <w:rPr>
                <w:rFonts w:cs="Times New Roman"/>
                <w:sz w:val="20"/>
                <w:szCs w:val="20"/>
              </w:rPr>
            </w:pPr>
            <w:r>
              <w:rPr>
                <w:rFonts w:cs="Times New Roman"/>
                <w:sz w:val="20"/>
                <w:szCs w:val="20"/>
              </w:rPr>
              <w:t>19.</w:t>
            </w:r>
          </w:p>
        </w:tc>
        <w:tc>
          <w:tcPr>
            <w:tcW w:w="7416" w:type="dxa"/>
            <w:tcBorders/>
          </w:tcPr>
          <w:p>
            <w:pPr>
              <w:pStyle w:val="style0"/>
              <w:rPr>
                <w:rFonts w:cs="Times New Roman"/>
                <w:sz w:val="20"/>
                <w:szCs w:val="20"/>
              </w:rPr>
            </w:pPr>
            <w:r>
              <w:rPr>
                <w:rFonts w:cs="Times New Roman"/>
                <w:sz w:val="20"/>
                <w:szCs w:val="20"/>
              </w:rPr>
              <w:t>Mengomunikasikan atau melaporkan informasi risiko</w:t>
            </w:r>
            <w:r>
              <w:rPr>
                <w:rFonts w:cs="Times New Roman"/>
                <w:i/>
                <w:iCs/>
                <w:sz w:val="20"/>
                <w:szCs w:val="20"/>
              </w:rPr>
              <w:t xml:space="preserve"> </w:t>
            </w:r>
            <w:r>
              <w:rPr>
                <w:rFonts w:cs="Times New Roman"/>
                <w:sz w:val="20"/>
                <w:szCs w:val="20"/>
              </w:rPr>
              <w:t>ke seluruh tingkatan pada internal maupun eksternal perusahaan</w:t>
            </w:r>
          </w:p>
        </w:tc>
      </w:tr>
      <w:tr>
        <w:tblPrEx/>
        <w:trPr>
          <w:trHeight w:val="395" w:hRule="atLeast"/>
        </w:trPr>
        <w:tc>
          <w:tcPr>
            <w:tcW w:w="511" w:type="dxa"/>
            <w:tcBorders/>
          </w:tcPr>
          <w:p>
            <w:pPr>
              <w:pStyle w:val="style0"/>
              <w:rPr>
                <w:rFonts w:cs="Times New Roman"/>
                <w:sz w:val="20"/>
                <w:szCs w:val="20"/>
              </w:rPr>
            </w:pPr>
            <w:r>
              <w:rPr>
                <w:rFonts w:cs="Times New Roman"/>
                <w:sz w:val="20"/>
                <w:szCs w:val="20"/>
              </w:rPr>
              <w:t>20.</w:t>
            </w:r>
          </w:p>
        </w:tc>
        <w:tc>
          <w:tcPr>
            <w:tcW w:w="7416" w:type="dxa"/>
            <w:tcBorders/>
          </w:tcPr>
          <w:p>
            <w:pPr>
              <w:pStyle w:val="style0"/>
              <w:rPr>
                <w:rFonts w:cs="Times New Roman"/>
                <w:sz w:val="20"/>
                <w:szCs w:val="20"/>
              </w:rPr>
            </w:pPr>
            <w:r>
              <w:rPr>
                <w:rFonts w:cs="Times New Roman"/>
                <w:sz w:val="20"/>
                <w:szCs w:val="20"/>
              </w:rPr>
              <w:t xml:space="preserve">Pelaporan terkait risiko, budaya, dan kinerja kepada bagian internal maupun eksternal perusahaan dalam mendukung pengawasan dan pengambilan keputusan </w:t>
            </w:r>
          </w:p>
        </w:tc>
      </w:tr>
    </w:tbl>
    <w:p>
      <w:pPr>
        <w:pStyle w:val="style34"/>
        <w:keepNext/>
        <w:rPr>
          <w:b w:val="false"/>
          <w:bCs/>
          <w:i/>
          <w:iCs w:val="false"/>
        </w:rPr>
      </w:pPr>
      <w:r>
        <w:rPr>
          <w:b w:val="false"/>
          <w:bCs/>
          <w:i/>
          <w:iCs w:val="false"/>
        </w:rPr>
        <w:t xml:space="preserve">Sumber: </w:t>
      </w:r>
      <w:r>
        <w:rPr>
          <w:rFonts w:cs="Times New Roman"/>
          <w:b w:val="false"/>
          <w:bCs/>
          <w:i/>
          <w:iCs w:val="false"/>
          <w:color w:val="000000"/>
        </w:rPr>
        <w:t>COSO, 2017</w:t>
      </w:r>
    </w:p>
    <w:p>
      <w:pPr>
        <w:pStyle w:val="style0"/>
        <w:rPr/>
      </w:pPr>
    </w:p>
    <w:bookmarkStart w:id="125" w:name="_Toc224085869"/>
    <w:p>
      <w:pPr>
        <w:pStyle w:val="style34"/>
        <w:rPr/>
      </w:pPr>
      <w:r>
        <w:t xml:space="preserve">Lampiran </w:t>
      </w:r>
      <w:r>
        <w:rPr/>
        <w:fldChar w:fldCharType="begin"/>
      </w:r>
      <w:r>
        <w:instrText xml:space="preserve"> SEQ Lampiran \* ARABIC </w:instrText>
      </w:r>
      <w:r>
        <w:rPr/>
        <w:fldChar w:fldCharType="separate"/>
      </w:r>
      <w:r>
        <w:rPr>
          <w:noProof/>
        </w:rPr>
        <w:t>2</w:t>
      </w:r>
      <w:r>
        <w:rPr/>
        <w:fldChar w:fldCharType="end"/>
      </w:r>
      <w:r>
        <w:t>:</w:t>
      </w:r>
      <w:r>
        <w:t xml:space="preserve"> Perusahaan</w:t>
      </w:r>
      <w:r>
        <w:t xml:space="preserve"> Sampel</w:t>
      </w:r>
      <w:bookmarkEnd w:id="125"/>
    </w:p>
    <w:tbl>
      <w:tblPr>
        <w:tblStyle w:val="style154"/>
        <w:tblW w:w="7645" w:type="dxa"/>
        <w:tblLook w:val="04A0" w:firstRow="1" w:lastRow="0" w:firstColumn="1" w:lastColumn="0" w:noHBand="0" w:noVBand="1"/>
      </w:tblPr>
      <w:tblGrid>
        <w:gridCol w:w="2245"/>
        <w:gridCol w:w="5400"/>
      </w:tblGrid>
      <w:tr>
        <w:trPr>
          <w:trHeight w:val="290" w:hRule="atLeast"/>
        </w:trPr>
        <w:tc>
          <w:tcPr>
            <w:tcW w:w="2245" w:type="dxa"/>
            <w:tcBorders/>
            <w:noWrap/>
          </w:tcPr>
          <w:p>
            <w:pPr>
              <w:pStyle w:val="style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Kode Perusahaan</w:t>
            </w:r>
          </w:p>
        </w:tc>
        <w:tc>
          <w:tcPr>
            <w:tcW w:w="5400" w:type="dxa"/>
            <w:tcBorders/>
            <w:noWrap/>
          </w:tcPr>
          <w:p>
            <w:pPr>
              <w:pStyle w:val="style0"/>
              <w:ind w:left="159"/>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Nama Peusahaan</w:t>
            </w:r>
          </w:p>
        </w:tc>
      </w:tr>
      <w:tr>
        <w:tblPrEx/>
        <w:trPr>
          <w:trHeight w:val="290" w:hRule="atLeast"/>
        </w:trPr>
        <w:tc>
          <w:tcPr>
            <w:tcW w:w="2245" w:type="dxa"/>
            <w:tcBorders/>
            <w:noWrap/>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AGII</w:t>
            </w:r>
          </w:p>
        </w:tc>
        <w:tc>
          <w:tcPr>
            <w:tcW w:w="5400" w:type="dxa"/>
            <w:tcBorders/>
            <w:noWrap/>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Samator Indo Gas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AKPI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Argha Karya Prima Industry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ALDO</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Alkindo Naratama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APLI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Asiaplast Industries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DPNS</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Duta Pertiwi Nusantara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GDST</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Gunawan Dianjaya Steel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INAI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Indal Aluminium Industry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INCI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Intanwijaya Internasional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KDSI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Kedawung Setia Industrial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KRAS</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Krakatau Steel (Persero)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LMSH</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Lionmesh Prima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LTLS</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Lautan Luas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SMBR</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Semen Baturaja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SRSN</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Indo Acidatama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SULI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SLJ Global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UNIC</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Unggul Indah Cahaya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WTON</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Wijaya Karya Beton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WSBP</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Waskita Beton Precast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KMTR</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Kirana Megatara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MDKI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Emdeki Utama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PBID</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Panca Budi Idaman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MOLI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Madusari Murni Indah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SMKL</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Satyamitra Kemas Lestari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ESIP</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Sinergi Inti Plastindo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SAMF</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Saraswanti Anugerah Makmur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EPAC</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Megalestari Epack Sentosaraya</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CPRO</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Central Proteina Prima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GGRM</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Gudang Garam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JPFA</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Japfa Comfeed Indonesia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MAIN</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Malindo Feedmill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MYOR</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Mayora Indah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SKBM</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Sekar Bumi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TBLA</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Tunas Baru Lampung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ULTJ</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Ultrajaya Milk Industry &amp; Trad</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UNVR</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Unilever Indonesia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KINO</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Kino Indonesia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ZINC</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Campina Ice Cream Industry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GOOD</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Garudafood Putra Putri Jaya Tb</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FOOD</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Sentra Food Indonesia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ITIC</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Indonesian Tobacco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DMND</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Diamond Food Indonesia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IKAN</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Era Mandiri Cemerlang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VICI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Victoria Care Indonesia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KLBF</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Kalbe Farma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PEHA</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Phapros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AMIN</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Ateliers Mecaniques D Indonesi</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ARNA</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Arwana Citramulia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ASII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Astra International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BNBR</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Bakrie &amp; Brothers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CTTH</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Citatah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IKBI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Sumi Indo Kabel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IMPC</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Impack Pratama Industri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JTPE</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Jasuindo Tiga Perkasa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LION</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Lion Metal Works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SCCO</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Supreme Cable Manufacturing &amp;</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MARK</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Mark Dynamics Indonesia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CAKK</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Cahayaputra Asa Keramik Tbk.</w:t>
            </w:r>
          </w:p>
        </w:tc>
      </w:tr>
      <w:tr>
        <w:tblPrEx/>
        <w:trPr>
          <w:trHeight w:val="290" w:hRule="atLeast"/>
        </w:trPr>
        <w:tc>
          <w:tcPr>
            <w:tcW w:w="2245" w:type="dxa"/>
            <w:tcBorders/>
            <w:noWrap/>
            <w:hideMark/>
          </w:tcPr>
          <w:p>
            <w:pPr>
              <w:pStyle w:val="style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CCSI</w:t>
            </w:r>
          </w:p>
        </w:tc>
        <w:tc>
          <w:tcPr>
            <w:tcW w:w="5400" w:type="dxa"/>
            <w:tcBorders/>
            <w:noWrap/>
            <w:hideMark/>
          </w:tcPr>
          <w:p>
            <w:pPr>
              <w:pStyle w:val="style0"/>
              <w:ind w:left="159"/>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Communication Cable Systems In</w:t>
            </w:r>
          </w:p>
        </w:tc>
      </w:tr>
      <w:bookmarkStart w:id="126" w:name="_Toc224085870"/>
    </w:tbl>
    <w:p>
      <w:pPr>
        <w:pStyle w:val="style34"/>
        <w:spacing w:before="240"/>
        <w:rPr/>
      </w:pPr>
      <w:r>
        <w:t xml:space="preserve">Lampiran </w:t>
      </w:r>
      <w:r>
        <w:rPr/>
        <w:fldChar w:fldCharType="begin"/>
      </w:r>
      <w:r>
        <w:instrText xml:space="preserve"> SEQ Lampiran \* ARABIC </w:instrText>
      </w:r>
      <w:r>
        <w:rPr/>
        <w:fldChar w:fldCharType="separate"/>
      </w:r>
      <w:r>
        <w:rPr>
          <w:noProof/>
        </w:rPr>
        <w:t>3</w:t>
      </w:r>
      <w:r>
        <w:rPr/>
        <w:fldChar w:fldCharType="end"/>
      </w:r>
      <w:r>
        <w:t>: Data Penelitia</w:t>
      </w:r>
      <w:r>
        <w:t>n</w:t>
      </w:r>
      <w:bookmarkEnd w:id="126"/>
    </w:p>
    <w:tbl>
      <w:tblPr>
        <w:tblStyle w:val="style154"/>
        <w:tblW w:w="0" w:type="auto"/>
        <w:tblLook w:val="04A0" w:firstRow="1" w:lastRow="0" w:firstColumn="1" w:lastColumn="0" w:noHBand="0" w:noVBand="1"/>
      </w:tblPr>
      <w:tblGrid>
        <w:gridCol w:w="510"/>
        <w:gridCol w:w="1461"/>
        <w:gridCol w:w="814"/>
        <w:gridCol w:w="1750"/>
        <w:gridCol w:w="1205"/>
        <w:gridCol w:w="1239"/>
        <w:gridCol w:w="948"/>
      </w:tblGrid>
      <w:tr>
        <w:trPr>
          <w:trHeight w:val="290" w:hRule="atLeast"/>
        </w:trPr>
        <w:tc>
          <w:tcPr>
            <w:tcW w:w="510" w:type="dxa"/>
            <w:tcBorders/>
          </w:tcPr>
          <w:p>
            <w:pPr>
              <w:pStyle w:val="style0"/>
              <w:jc w:val="center"/>
              <w:rPr>
                <w:b/>
                <w:bCs/>
                <w:sz w:val="20"/>
                <w:szCs w:val="20"/>
              </w:rPr>
            </w:pPr>
            <w:r>
              <w:rPr>
                <w:b/>
                <w:bCs/>
                <w:sz w:val="20"/>
                <w:szCs w:val="20"/>
              </w:rPr>
              <w:t>No</w:t>
            </w:r>
          </w:p>
        </w:tc>
        <w:tc>
          <w:tcPr>
            <w:tcW w:w="1461" w:type="dxa"/>
            <w:tcBorders/>
            <w:noWrap/>
            <w:hideMark/>
          </w:tcPr>
          <w:p>
            <w:pPr>
              <w:pStyle w:val="style0"/>
              <w:jc w:val="center"/>
              <w:rPr>
                <w:b/>
                <w:bCs/>
                <w:sz w:val="20"/>
                <w:szCs w:val="20"/>
              </w:rPr>
            </w:pPr>
            <w:r>
              <w:rPr>
                <w:b/>
                <w:bCs/>
                <w:sz w:val="20"/>
                <w:szCs w:val="20"/>
              </w:rPr>
              <w:t>Perusahaan</w:t>
            </w:r>
          </w:p>
        </w:tc>
        <w:tc>
          <w:tcPr>
            <w:tcW w:w="814" w:type="dxa"/>
            <w:tcBorders/>
            <w:noWrap/>
            <w:hideMark/>
          </w:tcPr>
          <w:p>
            <w:pPr>
              <w:pStyle w:val="style0"/>
              <w:jc w:val="center"/>
              <w:rPr>
                <w:b/>
                <w:bCs/>
                <w:sz w:val="20"/>
                <w:szCs w:val="20"/>
              </w:rPr>
            </w:pPr>
            <w:r>
              <w:rPr>
                <w:b/>
                <w:bCs/>
                <w:sz w:val="20"/>
                <w:szCs w:val="20"/>
              </w:rPr>
              <w:t>T</w:t>
            </w:r>
            <w:r>
              <w:rPr>
                <w:b/>
                <w:bCs/>
                <w:sz w:val="20"/>
                <w:szCs w:val="20"/>
              </w:rPr>
              <w:t>ahun</w:t>
            </w:r>
          </w:p>
        </w:tc>
        <w:tc>
          <w:tcPr>
            <w:tcW w:w="1750" w:type="dxa"/>
            <w:tcBorders/>
            <w:noWrap/>
            <w:hideMark/>
          </w:tcPr>
          <w:p>
            <w:pPr>
              <w:pStyle w:val="style0"/>
              <w:jc w:val="center"/>
              <w:rPr>
                <w:b/>
                <w:bCs/>
                <w:i/>
                <w:iCs/>
                <w:sz w:val="20"/>
                <w:szCs w:val="20"/>
              </w:rPr>
            </w:pPr>
            <w:r>
              <w:rPr>
                <w:b/>
                <w:bCs/>
                <w:i/>
                <w:iCs/>
                <w:sz w:val="20"/>
                <w:szCs w:val="20"/>
              </w:rPr>
              <w:t>Enterprise Risk Management</w:t>
            </w:r>
          </w:p>
        </w:tc>
        <w:tc>
          <w:tcPr>
            <w:tcW w:w="1205" w:type="dxa"/>
            <w:tcBorders/>
            <w:noWrap/>
            <w:hideMark/>
          </w:tcPr>
          <w:p>
            <w:pPr>
              <w:pStyle w:val="style0"/>
              <w:jc w:val="center"/>
              <w:rPr>
                <w:b/>
                <w:bCs/>
                <w:i/>
                <w:iCs/>
                <w:sz w:val="20"/>
                <w:szCs w:val="20"/>
              </w:rPr>
            </w:pPr>
            <w:r>
              <w:rPr>
                <w:b/>
                <w:bCs/>
                <w:i/>
                <w:iCs/>
                <w:sz w:val="20"/>
                <w:szCs w:val="20"/>
              </w:rPr>
              <w:t>Managerial Ownership</w:t>
            </w:r>
          </w:p>
        </w:tc>
        <w:tc>
          <w:tcPr>
            <w:tcW w:w="1239" w:type="dxa"/>
            <w:tcBorders/>
            <w:noWrap/>
            <w:hideMark/>
          </w:tcPr>
          <w:p>
            <w:pPr>
              <w:pStyle w:val="style0"/>
              <w:jc w:val="center"/>
              <w:rPr>
                <w:b/>
                <w:bCs/>
                <w:i/>
                <w:iCs/>
                <w:sz w:val="20"/>
                <w:szCs w:val="20"/>
              </w:rPr>
            </w:pPr>
            <w:r>
              <w:rPr>
                <w:b/>
                <w:bCs/>
                <w:i/>
                <w:iCs/>
                <w:sz w:val="20"/>
                <w:szCs w:val="20"/>
              </w:rPr>
              <w:t>Institutional Ownership</w:t>
            </w:r>
          </w:p>
        </w:tc>
        <w:tc>
          <w:tcPr>
            <w:tcW w:w="948" w:type="dxa"/>
            <w:tcBorders/>
            <w:noWrap/>
            <w:hideMark/>
          </w:tcPr>
          <w:p>
            <w:pPr>
              <w:pStyle w:val="style0"/>
              <w:jc w:val="center"/>
              <w:rPr>
                <w:b/>
                <w:bCs/>
                <w:i/>
                <w:iCs/>
                <w:sz w:val="20"/>
                <w:szCs w:val="20"/>
              </w:rPr>
            </w:pPr>
            <w:r>
              <w:rPr>
                <w:b/>
                <w:bCs/>
                <w:i/>
                <w:iCs/>
                <w:sz w:val="20"/>
                <w:szCs w:val="20"/>
              </w:rPr>
              <w:t>Firm Value</w:t>
            </w:r>
          </w:p>
        </w:tc>
      </w:tr>
      <w:tr>
        <w:tblPrEx/>
        <w:trPr>
          <w:trHeight w:val="290" w:hRule="atLeast"/>
        </w:trPr>
        <w:tc>
          <w:tcPr>
            <w:tcW w:w="510" w:type="dxa"/>
            <w:tcBorders/>
          </w:tcPr>
          <w:p>
            <w:pPr>
              <w:pStyle w:val="style0"/>
              <w:jc w:val="center"/>
              <w:rPr>
                <w:sz w:val="20"/>
                <w:szCs w:val="20"/>
              </w:rPr>
            </w:pPr>
            <w:r>
              <w:rPr>
                <w:sz w:val="20"/>
                <w:szCs w:val="20"/>
              </w:rPr>
              <w:t>1</w:t>
            </w:r>
          </w:p>
        </w:tc>
        <w:tc>
          <w:tcPr>
            <w:tcW w:w="1461" w:type="dxa"/>
            <w:tcBorders/>
            <w:noWrap/>
            <w:hideMark/>
          </w:tcPr>
          <w:p>
            <w:pPr>
              <w:pStyle w:val="style0"/>
              <w:jc w:val="center"/>
              <w:rPr>
                <w:sz w:val="20"/>
                <w:szCs w:val="20"/>
              </w:rPr>
            </w:pPr>
            <w:r>
              <w:rPr>
                <w:sz w:val="20"/>
                <w:szCs w:val="20"/>
              </w:rPr>
              <w:t>AGII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0.062</w:t>
            </w:r>
          </w:p>
        </w:tc>
        <w:tc>
          <w:tcPr>
            <w:tcW w:w="1239" w:type="dxa"/>
            <w:tcBorders/>
            <w:noWrap/>
            <w:hideMark/>
          </w:tcPr>
          <w:p>
            <w:pPr>
              <w:pStyle w:val="style0"/>
              <w:jc w:val="center"/>
              <w:rPr>
                <w:sz w:val="20"/>
                <w:szCs w:val="20"/>
              </w:rPr>
            </w:pPr>
            <w:r>
              <w:rPr>
                <w:sz w:val="20"/>
                <w:szCs w:val="20"/>
              </w:rPr>
              <w:t>0.893</w:t>
            </w:r>
          </w:p>
        </w:tc>
        <w:tc>
          <w:tcPr>
            <w:tcW w:w="948" w:type="dxa"/>
            <w:tcBorders/>
            <w:noWrap/>
            <w:hideMark/>
          </w:tcPr>
          <w:p>
            <w:pPr>
              <w:pStyle w:val="style0"/>
              <w:jc w:val="center"/>
              <w:rPr>
                <w:sz w:val="20"/>
                <w:szCs w:val="20"/>
              </w:rPr>
            </w:pPr>
            <w:r>
              <w:rPr>
                <w:sz w:val="20"/>
                <w:szCs w:val="20"/>
              </w:rPr>
              <w:t>0.910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0.062</w:t>
            </w:r>
          </w:p>
        </w:tc>
        <w:tc>
          <w:tcPr>
            <w:tcW w:w="1239" w:type="dxa"/>
            <w:tcBorders/>
            <w:noWrap/>
            <w:hideMark/>
          </w:tcPr>
          <w:p>
            <w:pPr>
              <w:pStyle w:val="style0"/>
              <w:jc w:val="center"/>
              <w:rPr>
                <w:sz w:val="20"/>
                <w:szCs w:val="20"/>
              </w:rPr>
            </w:pPr>
            <w:r>
              <w:rPr>
                <w:sz w:val="20"/>
                <w:szCs w:val="20"/>
              </w:rPr>
              <w:t>0.874</w:t>
            </w:r>
          </w:p>
        </w:tc>
        <w:tc>
          <w:tcPr>
            <w:tcW w:w="948" w:type="dxa"/>
            <w:tcBorders/>
            <w:noWrap/>
            <w:hideMark/>
          </w:tcPr>
          <w:p>
            <w:pPr>
              <w:pStyle w:val="style0"/>
              <w:jc w:val="center"/>
              <w:rPr>
                <w:sz w:val="20"/>
                <w:szCs w:val="20"/>
              </w:rPr>
            </w:pPr>
            <w:r>
              <w:rPr>
                <w:sz w:val="20"/>
                <w:szCs w:val="20"/>
              </w:rPr>
              <w:t>1.144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0.040</w:t>
            </w:r>
          </w:p>
        </w:tc>
        <w:tc>
          <w:tcPr>
            <w:tcW w:w="1239" w:type="dxa"/>
            <w:tcBorders/>
            <w:noWrap/>
            <w:hideMark/>
          </w:tcPr>
          <w:p>
            <w:pPr>
              <w:pStyle w:val="style0"/>
              <w:jc w:val="center"/>
              <w:rPr>
                <w:sz w:val="20"/>
                <w:szCs w:val="20"/>
              </w:rPr>
            </w:pPr>
            <w:r>
              <w:rPr>
                <w:sz w:val="20"/>
                <w:szCs w:val="20"/>
              </w:rPr>
              <w:t>0.907</w:t>
            </w:r>
          </w:p>
        </w:tc>
        <w:tc>
          <w:tcPr>
            <w:tcW w:w="948" w:type="dxa"/>
            <w:tcBorders/>
            <w:noWrap/>
            <w:hideMark/>
          </w:tcPr>
          <w:p>
            <w:pPr>
              <w:pStyle w:val="style0"/>
              <w:jc w:val="center"/>
              <w:rPr>
                <w:sz w:val="20"/>
                <w:szCs w:val="20"/>
              </w:rPr>
            </w:pPr>
            <w:r>
              <w:rPr>
                <w:sz w:val="20"/>
                <w:szCs w:val="20"/>
              </w:rPr>
              <w:t>1.296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0.956</w:t>
            </w:r>
          </w:p>
        </w:tc>
        <w:tc>
          <w:tcPr>
            <w:tcW w:w="948" w:type="dxa"/>
            <w:tcBorders/>
            <w:noWrap/>
            <w:hideMark/>
          </w:tcPr>
          <w:p>
            <w:pPr>
              <w:pStyle w:val="style0"/>
              <w:jc w:val="center"/>
              <w:rPr>
                <w:sz w:val="20"/>
                <w:szCs w:val="20"/>
              </w:rPr>
            </w:pPr>
            <w:r>
              <w:rPr>
                <w:sz w:val="20"/>
                <w:szCs w:val="20"/>
              </w:rPr>
              <w:t>1.120</w:t>
            </w:r>
          </w:p>
        </w:tc>
      </w:tr>
      <w:tr>
        <w:tblPrEx/>
        <w:trPr>
          <w:trHeight w:val="290" w:hRule="atLeast"/>
        </w:trPr>
        <w:tc>
          <w:tcPr>
            <w:tcW w:w="510" w:type="dxa"/>
            <w:tcBorders/>
          </w:tcPr>
          <w:p>
            <w:pPr>
              <w:pStyle w:val="style0"/>
              <w:jc w:val="center"/>
              <w:rPr>
                <w:sz w:val="20"/>
                <w:szCs w:val="20"/>
              </w:rPr>
            </w:pPr>
            <w:r>
              <w:rPr>
                <w:sz w:val="20"/>
                <w:szCs w:val="20"/>
              </w:rPr>
              <w:t>2</w:t>
            </w:r>
          </w:p>
        </w:tc>
        <w:tc>
          <w:tcPr>
            <w:tcW w:w="1461" w:type="dxa"/>
            <w:tcBorders/>
            <w:noWrap/>
            <w:hideMark/>
          </w:tcPr>
          <w:p>
            <w:pPr>
              <w:pStyle w:val="style0"/>
              <w:jc w:val="center"/>
              <w:rPr>
                <w:sz w:val="20"/>
                <w:szCs w:val="20"/>
              </w:rPr>
            </w:pPr>
            <w:r>
              <w:rPr>
                <w:sz w:val="20"/>
                <w:szCs w:val="20"/>
              </w:rPr>
              <w:t>AKPI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0.051</w:t>
            </w:r>
          </w:p>
        </w:tc>
        <w:tc>
          <w:tcPr>
            <w:tcW w:w="1239" w:type="dxa"/>
            <w:tcBorders/>
            <w:noWrap/>
            <w:hideMark/>
          </w:tcPr>
          <w:p>
            <w:pPr>
              <w:pStyle w:val="style0"/>
              <w:jc w:val="center"/>
              <w:rPr>
                <w:sz w:val="20"/>
                <w:szCs w:val="20"/>
              </w:rPr>
            </w:pPr>
            <w:r>
              <w:rPr>
                <w:sz w:val="20"/>
                <w:szCs w:val="20"/>
              </w:rPr>
              <w:t>0.780</w:t>
            </w:r>
          </w:p>
        </w:tc>
        <w:tc>
          <w:tcPr>
            <w:tcW w:w="948" w:type="dxa"/>
            <w:tcBorders/>
            <w:noWrap/>
            <w:hideMark/>
          </w:tcPr>
          <w:p>
            <w:pPr>
              <w:pStyle w:val="style0"/>
              <w:jc w:val="center"/>
              <w:rPr>
                <w:sz w:val="20"/>
                <w:szCs w:val="20"/>
              </w:rPr>
            </w:pPr>
            <w:r>
              <w:rPr>
                <w:sz w:val="20"/>
                <w:szCs w:val="20"/>
              </w:rPr>
              <w:t>0.632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0.051</w:t>
            </w:r>
          </w:p>
        </w:tc>
        <w:tc>
          <w:tcPr>
            <w:tcW w:w="1239" w:type="dxa"/>
            <w:tcBorders/>
            <w:noWrap/>
            <w:hideMark/>
          </w:tcPr>
          <w:p>
            <w:pPr>
              <w:pStyle w:val="style0"/>
              <w:jc w:val="center"/>
              <w:rPr>
                <w:sz w:val="20"/>
                <w:szCs w:val="20"/>
              </w:rPr>
            </w:pPr>
            <w:r>
              <w:rPr>
                <w:sz w:val="20"/>
                <w:szCs w:val="20"/>
              </w:rPr>
              <w:t>0.780</w:t>
            </w:r>
          </w:p>
        </w:tc>
        <w:tc>
          <w:tcPr>
            <w:tcW w:w="948" w:type="dxa"/>
            <w:tcBorders/>
            <w:noWrap/>
            <w:hideMark/>
          </w:tcPr>
          <w:p>
            <w:pPr>
              <w:pStyle w:val="style0"/>
              <w:jc w:val="center"/>
              <w:rPr>
                <w:sz w:val="20"/>
                <w:szCs w:val="20"/>
              </w:rPr>
            </w:pPr>
            <w:r>
              <w:rPr>
                <w:sz w:val="20"/>
                <w:szCs w:val="20"/>
              </w:rPr>
              <w:t>0.930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0.051</w:t>
            </w:r>
          </w:p>
        </w:tc>
        <w:tc>
          <w:tcPr>
            <w:tcW w:w="1239" w:type="dxa"/>
            <w:tcBorders/>
            <w:noWrap/>
            <w:hideMark/>
          </w:tcPr>
          <w:p>
            <w:pPr>
              <w:pStyle w:val="style0"/>
              <w:jc w:val="center"/>
              <w:rPr>
                <w:sz w:val="20"/>
                <w:szCs w:val="20"/>
              </w:rPr>
            </w:pPr>
            <w:r>
              <w:rPr>
                <w:sz w:val="20"/>
                <w:szCs w:val="20"/>
              </w:rPr>
              <w:t>0.780</w:t>
            </w:r>
          </w:p>
        </w:tc>
        <w:tc>
          <w:tcPr>
            <w:tcW w:w="948" w:type="dxa"/>
            <w:tcBorders/>
            <w:noWrap/>
            <w:hideMark/>
          </w:tcPr>
          <w:p>
            <w:pPr>
              <w:pStyle w:val="style0"/>
              <w:jc w:val="center"/>
              <w:rPr>
                <w:sz w:val="20"/>
                <w:szCs w:val="20"/>
              </w:rPr>
            </w:pPr>
            <w:r>
              <w:rPr>
                <w:sz w:val="20"/>
                <w:szCs w:val="20"/>
              </w:rPr>
              <w:t>0.701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0.051</w:t>
            </w:r>
          </w:p>
        </w:tc>
        <w:tc>
          <w:tcPr>
            <w:tcW w:w="1239" w:type="dxa"/>
            <w:tcBorders/>
            <w:noWrap/>
            <w:hideMark/>
          </w:tcPr>
          <w:p>
            <w:pPr>
              <w:pStyle w:val="style0"/>
              <w:jc w:val="center"/>
              <w:rPr>
                <w:sz w:val="20"/>
                <w:szCs w:val="20"/>
              </w:rPr>
            </w:pPr>
            <w:r>
              <w:rPr>
                <w:sz w:val="20"/>
                <w:szCs w:val="20"/>
              </w:rPr>
              <w:t>0.783</w:t>
            </w:r>
          </w:p>
        </w:tc>
        <w:tc>
          <w:tcPr>
            <w:tcW w:w="948" w:type="dxa"/>
            <w:tcBorders/>
            <w:noWrap/>
            <w:hideMark/>
          </w:tcPr>
          <w:p>
            <w:pPr>
              <w:pStyle w:val="style0"/>
              <w:jc w:val="center"/>
              <w:rPr>
                <w:sz w:val="20"/>
                <w:szCs w:val="20"/>
              </w:rPr>
            </w:pPr>
            <w:r>
              <w:rPr>
                <w:sz w:val="20"/>
                <w:szCs w:val="20"/>
              </w:rPr>
              <w:t>0.609</w:t>
            </w:r>
          </w:p>
        </w:tc>
      </w:tr>
      <w:tr>
        <w:tblPrEx/>
        <w:trPr>
          <w:trHeight w:val="290" w:hRule="atLeast"/>
        </w:trPr>
        <w:tc>
          <w:tcPr>
            <w:tcW w:w="510" w:type="dxa"/>
            <w:tcBorders/>
          </w:tcPr>
          <w:p>
            <w:pPr>
              <w:pStyle w:val="style0"/>
              <w:jc w:val="center"/>
              <w:rPr>
                <w:sz w:val="20"/>
                <w:szCs w:val="20"/>
              </w:rPr>
            </w:pPr>
            <w:r>
              <w:rPr>
                <w:sz w:val="20"/>
                <w:szCs w:val="20"/>
              </w:rPr>
              <w:t>3</w:t>
            </w:r>
          </w:p>
        </w:tc>
        <w:tc>
          <w:tcPr>
            <w:tcW w:w="1461" w:type="dxa"/>
            <w:tcBorders/>
            <w:noWrap/>
            <w:hideMark/>
          </w:tcPr>
          <w:p>
            <w:pPr>
              <w:pStyle w:val="style0"/>
              <w:jc w:val="center"/>
              <w:rPr>
                <w:sz w:val="20"/>
                <w:szCs w:val="20"/>
              </w:rPr>
            </w:pPr>
            <w:r>
              <w:rPr>
                <w:sz w:val="20"/>
                <w:szCs w:val="20"/>
              </w:rPr>
              <w:t>ALDO</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0.097</w:t>
            </w:r>
          </w:p>
        </w:tc>
        <w:tc>
          <w:tcPr>
            <w:tcW w:w="1239" w:type="dxa"/>
            <w:tcBorders/>
            <w:noWrap/>
            <w:hideMark/>
          </w:tcPr>
          <w:p>
            <w:pPr>
              <w:pStyle w:val="style0"/>
              <w:jc w:val="center"/>
              <w:rPr>
                <w:sz w:val="20"/>
                <w:szCs w:val="20"/>
              </w:rPr>
            </w:pPr>
            <w:r>
              <w:rPr>
                <w:sz w:val="20"/>
                <w:szCs w:val="20"/>
              </w:rPr>
              <w:t>0.778</w:t>
            </w:r>
          </w:p>
        </w:tc>
        <w:tc>
          <w:tcPr>
            <w:tcW w:w="948" w:type="dxa"/>
            <w:tcBorders/>
            <w:noWrap/>
            <w:hideMark/>
          </w:tcPr>
          <w:p>
            <w:pPr>
              <w:pStyle w:val="style0"/>
              <w:jc w:val="center"/>
              <w:rPr>
                <w:sz w:val="20"/>
                <w:szCs w:val="20"/>
              </w:rPr>
            </w:pPr>
            <w:r>
              <w:rPr>
                <w:sz w:val="20"/>
                <w:szCs w:val="20"/>
              </w:rPr>
              <w:t>0.852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0.081</w:t>
            </w:r>
          </w:p>
        </w:tc>
        <w:tc>
          <w:tcPr>
            <w:tcW w:w="1239" w:type="dxa"/>
            <w:tcBorders/>
            <w:noWrap/>
            <w:hideMark/>
          </w:tcPr>
          <w:p>
            <w:pPr>
              <w:pStyle w:val="style0"/>
              <w:jc w:val="center"/>
              <w:rPr>
                <w:sz w:val="20"/>
                <w:szCs w:val="20"/>
              </w:rPr>
            </w:pPr>
            <w:r>
              <w:rPr>
                <w:sz w:val="20"/>
                <w:szCs w:val="20"/>
              </w:rPr>
              <w:t>0.299</w:t>
            </w:r>
          </w:p>
        </w:tc>
        <w:tc>
          <w:tcPr>
            <w:tcW w:w="948" w:type="dxa"/>
            <w:tcBorders/>
            <w:noWrap/>
            <w:hideMark/>
          </w:tcPr>
          <w:p>
            <w:pPr>
              <w:pStyle w:val="style0"/>
              <w:jc w:val="center"/>
              <w:rPr>
                <w:sz w:val="20"/>
                <w:szCs w:val="20"/>
              </w:rPr>
            </w:pPr>
            <w:r>
              <w:rPr>
                <w:sz w:val="20"/>
                <w:szCs w:val="20"/>
              </w:rPr>
              <w:t>1.507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0.077</w:t>
            </w:r>
          </w:p>
        </w:tc>
        <w:tc>
          <w:tcPr>
            <w:tcW w:w="1239" w:type="dxa"/>
            <w:tcBorders/>
            <w:noWrap/>
            <w:hideMark/>
          </w:tcPr>
          <w:p>
            <w:pPr>
              <w:pStyle w:val="style0"/>
              <w:jc w:val="center"/>
              <w:rPr>
                <w:sz w:val="20"/>
                <w:szCs w:val="20"/>
              </w:rPr>
            </w:pPr>
            <w:r>
              <w:rPr>
                <w:sz w:val="20"/>
                <w:szCs w:val="20"/>
              </w:rPr>
              <w:t>0.704</w:t>
            </w:r>
          </w:p>
        </w:tc>
        <w:tc>
          <w:tcPr>
            <w:tcW w:w="948" w:type="dxa"/>
            <w:tcBorders/>
            <w:noWrap/>
            <w:hideMark/>
          </w:tcPr>
          <w:p>
            <w:pPr>
              <w:pStyle w:val="style0"/>
              <w:jc w:val="center"/>
              <w:rPr>
                <w:sz w:val="20"/>
                <w:szCs w:val="20"/>
              </w:rPr>
            </w:pPr>
            <w:r>
              <w:rPr>
                <w:sz w:val="20"/>
                <w:szCs w:val="20"/>
              </w:rPr>
              <w:t>1.188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0.075</w:t>
            </w:r>
          </w:p>
        </w:tc>
        <w:tc>
          <w:tcPr>
            <w:tcW w:w="1239" w:type="dxa"/>
            <w:tcBorders/>
            <w:noWrap/>
            <w:hideMark/>
          </w:tcPr>
          <w:p>
            <w:pPr>
              <w:pStyle w:val="style0"/>
              <w:jc w:val="center"/>
              <w:rPr>
                <w:sz w:val="20"/>
                <w:szCs w:val="20"/>
              </w:rPr>
            </w:pPr>
            <w:r>
              <w:rPr>
                <w:sz w:val="20"/>
                <w:szCs w:val="20"/>
              </w:rPr>
              <w:t>0.732</w:t>
            </w:r>
          </w:p>
        </w:tc>
        <w:tc>
          <w:tcPr>
            <w:tcW w:w="948" w:type="dxa"/>
            <w:tcBorders/>
            <w:noWrap/>
            <w:hideMark/>
          </w:tcPr>
          <w:p>
            <w:pPr>
              <w:pStyle w:val="style0"/>
              <w:jc w:val="center"/>
              <w:rPr>
                <w:sz w:val="20"/>
                <w:szCs w:val="20"/>
              </w:rPr>
            </w:pPr>
            <w:r>
              <w:rPr>
                <w:sz w:val="20"/>
                <w:szCs w:val="20"/>
              </w:rPr>
              <w:t>1.255</w:t>
            </w:r>
          </w:p>
        </w:tc>
      </w:tr>
      <w:tr>
        <w:tblPrEx/>
        <w:trPr>
          <w:trHeight w:val="290" w:hRule="atLeast"/>
        </w:trPr>
        <w:tc>
          <w:tcPr>
            <w:tcW w:w="510" w:type="dxa"/>
            <w:tcBorders/>
          </w:tcPr>
          <w:p>
            <w:pPr>
              <w:pStyle w:val="style0"/>
              <w:jc w:val="center"/>
              <w:rPr>
                <w:sz w:val="20"/>
                <w:szCs w:val="20"/>
              </w:rPr>
            </w:pPr>
            <w:r>
              <w:rPr>
                <w:sz w:val="20"/>
                <w:szCs w:val="20"/>
              </w:rPr>
              <w:t>4</w:t>
            </w:r>
          </w:p>
        </w:tc>
        <w:tc>
          <w:tcPr>
            <w:tcW w:w="1461" w:type="dxa"/>
            <w:tcBorders/>
            <w:noWrap/>
            <w:hideMark/>
          </w:tcPr>
          <w:p>
            <w:pPr>
              <w:pStyle w:val="style0"/>
              <w:jc w:val="center"/>
              <w:rPr>
                <w:sz w:val="20"/>
                <w:szCs w:val="20"/>
              </w:rPr>
            </w:pPr>
            <w:r>
              <w:rPr>
                <w:sz w:val="20"/>
                <w:szCs w:val="20"/>
              </w:rPr>
              <w:t>APLI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0.285</w:t>
            </w:r>
          </w:p>
        </w:tc>
        <w:tc>
          <w:tcPr>
            <w:tcW w:w="1239" w:type="dxa"/>
            <w:tcBorders/>
            <w:noWrap/>
            <w:hideMark/>
          </w:tcPr>
          <w:p>
            <w:pPr>
              <w:pStyle w:val="style0"/>
              <w:jc w:val="center"/>
              <w:rPr>
                <w:sz w:val="20"/>
                <w:szCs w:val="20"/>
              </w:rPr>
            </w:pPr>
            <w:r>
              <w:rPr>
                <w:sz w:val="20"/>
                <w:szCs w:val="20"/>
              </w:rPr>
              <w:t>0.590</w:t>
            </w:r>
          </w:p>
        </w:tc>
        <w:tc>
          <w:tcPr>
            <w:tcW w:w="948" w:type="dxa"/>
            <w:tcBorders/>
            <w:noWrap/>
            <w:hideMark/>
          </w:tcPr>
          <w:p>
            <w:pPr>
              <w:pStyle w:val="style0"/>
              <w:jc w:val="center"/>
              <w:rPr>
                <w:sz w:val="20"/>
                <w:szCs w:val="20"/>
              </w:rPr>
            </w:pPr>
            <w:r>
              <w:rPr>
                <w:sz w:val="20"/>
                <w:szCs w:val="20"/>
              </w:rPr>
              <w:t>1.157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0.285</w:t>
            </w:r>
          </w:p>
        </w:tc>
        <w:tc>
          <w:tcPr>
            <w:tcW w:w="1239" w:type="dxa"/>
            <w:tcBorders/>
            <w:noWrap/>
            <w:hideMark/>
          </w:tcPr>
          <w:p>
            <w:pPr>
              <w:pStyle w:val="style0"/>
              <w:jc w:val="center"/>
              <w:rPr>
                <w:sz w:val="20"/>
                <w:szCs w:val="20"/>
              </w:rPr>
            </w:pPr>
            <w:r>
              <w:rPr>
                <w:sz w:val="20"/>
                <w:szCs w:val="20"/>
              </w:rPr>
              <w:t>0.589</w:t>
            </w:r>
          </w:p>
        </w:tc>
        <w:tc>
          <w:tcPr>
            <w:tcW w:w="948" w:type="dxa"/>
            <w:tcBorders/>
            <w:noWrap/>
            <w:hideMark/>
          </w:tcPr>
          <w:p>
            <w:pPr>
              <w:pStyle w:val="style0"/>
              <w:jc w:val="center"/>
              <w:rPr>
                <w:sz w:val="20"/>
                <w:szCs w:val="20"/>
              </w:rPr>
            </w:pPr>
            <w:r>
              <w:rPr>
                <w:sz w:val="20"/>
                <w:szCs w:val="20"/>
              </w:rPr>
              <w:t>1.115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0.285</w:t>
            </w:r>
          </w:p>
        </w:tc>
        <w:tc>
          <w:tcPr>
            <w:tcW w:w="1239" w:type="dxa"/>
            <w:tcBorders/>
            <w:noWrap/>
            <w:hideMark/>
          </w:tcPr>
          <w:p>
            <w:pPr>
              <w:pStyle w:val="style0"/>
              <w:jc w:val="center"/>
              <w:rPr>
                <w:sz w:val="20"/>
                <w:szCs w:val="20"/>
              </w:rPr>
            </w:pPr>
            <w:r>
              <w:rPr>
                <w:sz w:val="20"/>
                <w:szCs w:val="20"/>
              </w:rPr>
              <w:t>0.589</w:t>
            </w:r>
          </w:p>
        </w:tc>
        <w:tc>
          <w:tcPr>
            <w:tcW w:w="948" w:type="dxa"/>
            <w:tcBorders/>
            <w:noWrap/>
            <w:hideMark/>
          </w:tcPr>
          <w:p>
            <w:pPr>
              <w:pStyle w:val="style0"/>
              <w:jc w:val="center"/>
              <w:rPr>
                <w:sz w:val="20"/>
                <w:szCs w:val="20"/>
              </w:rPr>
            </w:pPr>
            <w:r>
              <w:rPr>
                <w:sz w:val="20"/>
                <w:szCs w:val="20"/>
              </w:rPr>
              <w:t>1.219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0.285</w:t>
            </w:r>
          </w:p>
        </w:tc>
        <w:tc>
          <w:tcPr>
            <w:tcW w:w="1239" w:type="dxa"/>
            <w:tcBorders/>
            <w:noWrap/>
            <w:hideMark/>
          </w:tcPr>
          <w:p>
            <w:pPr>
              <w:pStyle w:val="style0"/>
              <w:jc w:val="center"/>
              <w:rPr>
                <w:sz w:val="20"/>
                <w:szCs w:val="20"/>
              </w:rPr>
            </w:pPr>
            <w:r>
              <w:rPr>
                <w:sz w:val="20"/>
                <w:szCs w:val="20"/>
              </w:rPr>
              <w:t>0.589</w:t>
            </w:r>
          </w:p>
        </w:tc>
        <w:tc>
          <w:tcPr>
            <w:tcW w:w="948" w:type="dxa"/>
            <w:tcBorders/>
            <w:noWrap/>
            <w:hideMark/>
          </w:tcPr>
          <w:p>
            <w:pPr>
              <w:pStyle w:val="style0"/>
              <w:jc w:val="center"/>
              <w:rPr>
                <w:sz w:val="20"/>
                <w:szCs w:val="20"/>
              </w:rPr>
            </w:pPr>
            <w:r>
              <w:rPr>
                <w:sz w:val="20"/>
                <w:szCs w:val="20"/>
              </w:rPr>
              <w:t>1.986</w:t>
            </w:r>
          </w:p>
        </w:tc>
      </w:tr>
      <w:tr>
        <w:tblPrEx/>
        <w:trPr>
          <w:trHeight w:val="290" w:hRule="atLeast"/>
        </w:trPr>
        <w:tc>
          <w:tcPr>
            <w:tcW w:w="510" w:type="dxa"/>
            <w:tcBorders/>
          </w:tcPr>
          <w:p>
            <w:pPr>
              <w:pStyle w:val="style0"/>
              <w:jc w:val="center"/>
              <w:rPr>
                <w:sz w:val="20"/>
                <w:szCs w:val="20"/>
              </w:rPr>
            </w:pPr>
            <w:r>
              <w:rPr>
                <w:sz w:val="20"/>
                <w:szCs w:val="20"/>
              </w:rPr>
              <w:t>5</w:t>
            </w:r>
          </w:p>
        </w:tc>
        <w:tc>
          <w:tcPr>
            <w:tcW w:w="1461" w:type="dxa"/>
            <w:tcBorders/>
            <w:noWrap/>
            <w:hideMark/>
          </w:tcPr>
          <w:p>
            <w:pPr>
              <w:pStyle w:val="style0"/>
              <w:jc w:val="center"/>
              <w:rPr>
                <w:sz w:val="20"/>
                <w:szCs w:val="20"/>
              </w:rPr>
            </w:pPr>
            <w:r>
              <w:rPr>
                <w:sz w:val="20"/>
                <w:szCs w:val="20"/>
              </w:rPr>
              <w:t>DPNS</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0.002</w:t>
            </w:r>
          </w:p>
        </w:tc>
        <w:tc>
          <w:tcPr>
            <w:tcW w:w="1239" w:type="dxa"/>
            <w:tcBorders/>
            <w:noWrap/>
            <w:hideMark/>
          </w:tcPr>
          <w:p>
            <w:pPr>
              <w:pStyle w:val="style0"/>
              <w:jc w:val="center"/>
              <w:rPr>
                <w:sz w:val="20"/>
                <w:szCs w:val="20"/>
              </w:rPr>
            </w:pPr>
            <w:r>
              <w:rPr>
                <w:sz w:val="20"/>
                <w:szCs w:val="20"/>
              </w:rPr>
              <w:t>0.760</w:t>
            </w:r>
          </w:p>
        </w:tc>
        <w:tc>
          <w:tcPr>
            <w:tcW w:w="948" w:type="dxa"/>
            <w:tcBorders/>
            <w:noWrap/>
            <w:hideMark/>
          </w:tcPr>
          <w:p>
            <w:pPr>
              <w:pStyle w:val="style0"/>
              <w:jc w:val="center"/>
              <w:rPr>
                <w:sz w:val="20"/>
                <w:szCs w:val="20"/>
              </w:rPr>
            </w:pPr>
            <w:r>
              <w:rPr>
                <w:sz w:val="20"/>
                <w:szCs w:val="20"/>
              </w:rPr>
              <w:t>0.388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0.002</w:t>
            </w:r>
          </w:p>
        </w:tc>
        <w:tc>
          <w:tcPr>
            <w:tcW w:w="1239" w:type="dxa"/>
            <w:tcBorders/>
            <w:noWrap/>
            <w:hideMark/>
          </w:tcPr>
          <w:p>
            <w:pPr>
              <w:pStyle w:val="style0"/>
              <w:jc w:val="center"/>
              <w:rPr>
                <w:sz w:val="20"/>
                <w:szCs w:val="20"/>
              </w:rPr>
            </w:pPr>
            <w:r>
              <w:rPr>
                <w:sz w:val="20"/>
                <w:szCs w:val="20"/>
              </w:rPr>
              <w:t>0.737</w:t>
            </w:r>
          </w:p>
        </w:tc>
        <w:tc>
          <w:tcPr>
            <w:tcW w:w="948" w:type="dxa"/>
            <w:tcBorders/>
            <w:noWrap/>
            <w:hideMark/>
          </w:tcPr>
          <w:p>
            <w:pPr>
              <w:pStyle w:val="style0"/>
              <w:jc w:val="center"/>
              <w:rPr>
                <w:sz w:val="20"/>
                <w:szCs w:val="20"/>
              </w:rPr>
            </w:pPr>
            <w:r>
              <w:rPr>
                <w:sz w:val="20"/>
                <w:szCs w:val="20"/>
              </w:rPr>
              <w:t>0.510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0.002</w:t>
            </w:r>
          </w:p>
        </w:tc>
        <w:tc>
          <w:tcPr>
            <w:tcW w:w="1239" w:type="dxa"/>
            <w:tcBorders/>
            <w:noWrap/>
            <w:hideMark/>
          </w:tcPr>
          <w:p>
            <w:pPr>
              <w:pStyle w:val="style0"/>
              <w:jc w:val="center"/>
              <w:rPr>
                <w:sz w:val="20"/>
                <w:szCs w:val="20"/>
              </w:rPr>
            </w:pPr>
            <w:r>
              <w:rPr>
                <w:sz w:val="20"/>
                <w:szCs w:val="20"/>
              </w:rPr>
              <w:t>0.725</w:t>
            </w:r>
          </w:p>
        </w:tc>
        <w:tc>
          <w:tcPr>
            <w:tcW w:w="948" w:type="dxa"/>
            <w:tcBorders/>
            <w:noWrap/>
            <w:hideMark/>
          </w:tcPr>
          <w:p>
            <w:pPr>
              <w:pStyle w:val="style0"/>
              <w:jc w:val="center"/>
              <w:rPr>
                <w:sz w:val="20"/>
                <w:szCs w:val="20"/>
              </w:rPr>
            </w:pPr>
            <w:r>
              <w:rPr>
                <w:sz w:val="20"/>
                <w:szCs w:val="20"/>
              </w:rPr>
              <w:t>0.513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0.002</w:t>
            </w:r>
          </w:p>
        </w:tc>
        <w:tc>
          <w:tcPr>
            <w:tcW w:w="1239" w:type="dxa"/>
            <w:tcBorders/>
            <w:noWrap/>
            <w:hideMark/>
          </w:tcPr>
          <w:p>
            <w:pPr>
              <w:pStyle w:val="style0"/>
              <w:jc w:val="center"/>
              <w:rPr>
                <w:sz w:val="20"/>
                <w:szCs w:val="20"/>
              </w:rPr>
            </w:pPr>
            <w:r>
              <w:rPr>
                <w:sz w:val="20"/>
                <w:szCs w:val="20"/>
              </w:rPr>
              <w:t>0.686</w:t>
            </w:r>
          </w:p>
        </w:tc>
        <w:tc>
          <w:tcPr>
            <w:tcW w:w="948" w:type="dxa"/>
            <w:tcBorders/>
            <w:noWrap/>
            <w:hideMark/>
          </w:tcPr>
          <w:p>
            <w:pPr>
              <w:pStyle w:val="style0"/>
              <w:jc w:val="center"/>
              <w:rPr>
                <w:sz w:val="20"/>
                <w:szCs w:val="20"/>
              </w:rPr>
            </w:pPr>
            <w:r>
              <w:rPr>
                <w:sz w:val="20"/>
                <w:szCs w:val="20"/>
              </w:rPr>
              <w:t>0.445</w:t>
            </w:r>
          </w:p>
        </w:tc>
      </w:tr>
      <w:tr>
        <w:tblPrEx/>
        <w:trPr>
          <w:trHeight w:val="290" w:hRule="atLeast"/>
        </w:trPr>
        <w:tc>
          <w:tcPr>
            <w:tcW w:w="510" w:type="dxa"/>
            <w:tcBorders/>
          </w:tcPr>
          <w:p>
            <w:pPr>
              <w:pStyle w:val="style0"/>
              <w:jc w:val="center"/>
              <w:rPr>
                <w:sz w:val="20"/>
                <w:szCs w:val="20"/>
              </w:rPr>
            </w:pPr>
            <w:r>
              <w:rPr>
                <w:sz w:val="20"/>
                <w:szCs w:val="20"/>
              </w:rPr>
              <w:t>6</w:t>
            </w:r>
          </w:p>
        </w:tc>
        <w:tc>
          <w:tcPr>
            <w:tcW w:w="1461" w:type="dxa"/>
            <w:tcBorders/>
            <w:noWrap/>
            <w:hideMark/>
          </w:tcPr>
          <w:p>
            <w:pPr>
              <w:pStyle w:val="style0"/>
              <w:jc w:val="center"/>
              <w:rPr>
                <w:sz w:val="20"/>
                <w:szCs w:val="20"/>
              </w:rPr>
            </w:pPr>
            <w:r>
              <w:rPr>
                <w:sz w:val="20"/>
                <w:szCs w:val="20"/>
              </w:rPr>
              <w:t>GDST</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0.020</w:t>
            </w:r>
          </w:p>
        </w:tc>
        <w:tc>
          <w:tcPr>
            <w:tcW w:w="948" w:type="dxa"/>
            <w:tcBorders/>
            <w:noWrap/>
            <w:hideMark/>
          </w:tcPr>
          <w:p>
            <w:pPr>
              <w:pStyle w:val="style0"/>
              <w:jc w:val="center"/>
              <w:rPr>
                <w:sz w:val="20"/>
                <w:szCs w:val="20"/>
              </w:rPr>
            </w:pPr>
            <w:r>
              <w:rPr>
                <w:sz w:val="20"/>
                <w:szCs w:val="20"/>
              </w:rPr>
              <w:t>1.107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0.101</w:t>
            </w:r>
          </w:p>
        </w:tc>
        <w:tc>
          <w:tcPr>
            <w:tcW w:w="948" w:type="dxa"/>
            <w:tcBorders/>
            <w:noWrap/>
            <w:hideMark/>
          </w:tcPr>
          <w:p>
            <w:pPr>
              <w:pStyle w:val="style0"/>
              <w:jc w:val="center"/>
              <w:rPr>
                <w:sz w:val="20"/>
                <w:szCs w:val="20"/>
              </w:rPr>
            </w:pPr>
            <w:r>
              <w:rPr>
                <w:sz w:val="20"/>
                <w:szCs w:val="20"/>
              </w:rPr>
              <w:t>1.086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0.024</w:t>
            </w:r>
          </w:p>
        </w:tc>
        <w:tc>
          <w:tcPr>
            <w:tcW w:w="948" w:type="dxa"/>
            <w:tcBorders/>
            <w:noWrap/>
            <w:hideMark/>
          </w:tcPr>
          <w:p>
            <w:pPr>
              <w:pStyle w:val="style0"/>
              <w:jc w:val="center"/>
              <w:rPr>
                <w:sz w:val="20"/>
                <w:szCs w:val="20"/>
              </w:rPr>
            </w:pPr>
            <w:r>
              <w:rPr>
                <w:sz w:val="20"/>
                <w:szCs w:val="20"/>
              </w:rPr>
              <w:t>1.159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0.020</w:t>
            </w:r>
          </w:p>
        </w:tc>
        <w:tc>
          <w:tcPr>
            <w:tcW w:w="948" w:type="dxa"/>
            <w:tcBorders/>
            <w:noWrap/>
            <w:hideMark/>
          </w:tcPr>
          <w:p>
            <w:pPr>
              <w:pStyle w:val="style0"/>
              <w:jc w:val="center"/>
              <w:rPr>
                <w:sz w:val="20"/>
                <w:szCs w:val="20"/>
              </w:rPr>
            </w:pPr>
            <w:r>
              <w:rPr>
                <w:sz w:val="20"/>
                <w:szCs w:val="20"/>
              </w:rPr>
              <w:t>0.976</w:t>
            </w:r>
          </w:p>
        </w:tc>
      </w:tr>
      <w:tr>
        <w:tblPrEx/>
        <w:trPr>
          <w:trHeight w:val="290" w:hRule="atLeast"/>
        </w:trPr>
        <w:tc>
          <w:tcPr>
            <w:tcW w:w="510" w:type="dxa"/>
            <w:tcBorders/>
          </w:tcPr>
          <w:p>
            <w:pPr>
              <w:pStyle w:val="style0"/>
              <w:jc w:val="center"/>
              <w:rPr>
                <w:sz w:val="20"/>
                <w:szCs w:val="20"/>
              </w:rPr>
            </w:pPr>
            <w:r>
              <w:rPr>
                <w:sz w:val="20"/>
                <w:szCs w:val="20"/>
              </w:rPr>
              <w:t>7</w:t>
            </w:r>
          </w:p>
        </w:tc>
        <w:tc>
          <w:tcPr>
            <w:tcW w:w="1461" w:type="dxa"/>
            <w:tcBorders/>
            <w:noWrap/>
            <w:hideMark/>
          </w:tcPr>
          <w:p>
            <w:pPr>
              <w:pStyle w:val="style0"/>
              <w:jc w:val="center"/>
              <w:rPr>
                <w:sz w:val="20"/>
                <w:szCs w:val="20"/>
              </w:rPr>
            </w:pPr>
            <w:r>
              <w:rPr>
                <w:sz w:val="20"/>
                <w:szCs w:val="20"/>
              </w:rPr>
              <w:t>INAI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0.010</w:t>
            </w:r>
          </w:p>
        </w:tc>
        <w:tc>
          <w:tcPr>
            <w:tcW w:w="1239" w:type="dxa"/>
            <w:tcBorders/>
            <w:noWrap/>
            <w:hideMark/>
          </w:tcPr>
          <w:p>
            <w:pPr>
              <w:pStyle w:val="style0"/>
              <w:jc w:val="center"/>
              <w:rPr>
                <w:sz w:val="20"/>
                <w:szCs w:val="20"/>
              </w:rPr>
            </w:pPr>
            <w:r>
              <w:rPr>
                <w:sz w:val="20"/>
                <w:szCs w:val="20"/>
              </w:rPr>
              <w:t>0.750</w:t>
            </w:r>
          </w:p>
        </w:tc>
        <w:tc>
          <w:tcPr>
            <w:tcW w:w="948" w:type="dxa"/>
            <w:tcBorders/>
            <w:noWrap/>
            <w:hideMark/>
          </w:tcPr>
          <w:p>
            <w:pPr>
              <w:pStyle w:val="style0"/>
              <w:jc w:val="center"/>
              <w:rPr>
                <w:sz w:val="20"/>
                <w:szCs w:val="20"/>
              </w:rPr>
            </w:pPr>
            <w:r>
              <w:rPr>
                <w:sz w:val="20"/>
                <w:szCs w:val="20"/>
              </w:rPr>
              <w:t>0.921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0.011</w:t>
            </w:r>
          </w:p>
        </w:tc>
        <w:tc>
          <w:tcPr>
            <w:tcW w:w="1239" w:type="dxa"/>
            <w:tcBorders/>
            <w:noWrap/>
            <w:hideMark/>
          </w:tcPr>
          <w:p>
            <w:pPr>
              <w:pStyle w:val="style0"/>
              <w:jc w:val="center"/>
              <w:rPr>
                <w:sz w:val="20"/>
                <w:szCs w:val="20"/>
              </w:rPr>
            </w:pPr>
            <w:r>
              <w:rPr>
                <w:sz w:val="20"/>
                <w:szCs w:val="20"/>
              </w:rPr>
              <w:t>0.721</w:t>
            </w:r>
          </w:p>
        </w:tc>
        <w:tc>
          <w:tcPr>
            <w:tcW w:w="948" w:type="dxa"/>
            <w:tcBorders/>
            <w:noWrap/>
            <w:hideMark/>
          </w:tcPr>
          <w:p>
            <w:pPr>
              <w:pStyle w:val="style0"/>
              <w:jc w:val="center"/>
              <w:rPr>
                <w:sz w:val="20"/>
                <w:szCs w:val="20"/>
              </w:rPr>
            </w:pPr>
            <w:r>
              <w:rPr>
                <w:sz w:val="20"/>
                <w:szCs w:val="20"/>
              </w:rPr>
              <w:t>0.870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0.700</w:t>
            </w:r>
          </w:p>
        </w:tc>
        <w:tc>
          <w:tcPr>
            <w:tcW w:w="1205" w:type="dxa"/>
            <w:tcBorders/>
            <w:noWrap/>
            <w:hideMark/>
          </w:tcPr>
          <w:p>
            <w:pPr>
              <w:pStyle w:val="style0"/>
              <w:jc w:val="center"/>
              <w:rPr>
                <w:sz w:val="20"/>
                <w:szCs w:val="20"/>
              </w:rPr>
            </w:pPr>
            <w:r>
              <w:rPr>
                <w:sz w:val="20"/>
                <w:szCs w:val="20"/>
              </w:rPr>
              <w:t>0.011</w:t>
            </w:r>
          </w:p>
        </w:tc>
        <w:tc>
          <w:tcPr>
            <w:tcW w:w="1239" w:type="dxa"/>
            <w:tcBorders/>
            <w:noWrap/>
            <w:hideMark/>
          </w:tcPr>
          <w:p>
            <w:pPr>
              <w:pStyle w:val="style0"/>
              <w:jc w:val="center"/>
              <w:rPr>
                <w:sz w:val="20"/>
                <w:szCs w:val="20"/>
              </w:rPr>
            </w:pPr>
            <w:r>
              <w:rPr>
                <w:sz w:val="20"/>
                <w:szCs w:val="20"/>
              </w:rPr>
              <w:t>0.747</w:t>
            </w:r>
          </w:p>
        </w:tc>
        <w:tc>
          <w:tcPr>
            <w:tcW w:w="948" w:type="dxa"/>
            <w:tcBorders/>
            <w:noWrap/>
            <w:hideMark/>
          </w:tcPr>
          <w:p>
            <w:pPr>
              <w:pStyle w:val="style0"/>
              <w:jc w:val="center"/>
              <w:rPr>
                <w:sz w:val="20"/>
                <w:szCs w:val="20"/>
              </w:rPr>
            </w:pPr>
            <w:r>
              <w:rPr>
                <w:sz w:val="20"/>
                <w:szCs w:val="20"/>
              </w:rPr>
              <w:t>0.916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0.700</w:t>
            </w:r>
          </w:p>
        </w:tc>
        <w:tc>
          <w:tcPr>
            <w:tcW w:w="1205" w:type="dxa"/>
            <w:tcBorders/>
            <w:noWrap/>
            <w:hideMark/>
          </w:tcPr>
          <w:p>
            <w:pPr>
              <w:pStyle w:val="style0"/>
              <w:jc w:val="center"/>
              <w:rPr>
                <w:sz w:val="20"/>
                <w:szCs w:val="20"/>
              </w:rPr>
            </w:pPr>
            <w:r>
              <w:rPr>
                <w:sz w:val="20"/>
                <w:szCs w:val="20"/>
              </w:rPr>
              <w:t>0.011</w:t>
            </w:r>
          </w:p>
        </w:tc>
        <w:tc>
          <w:tcPr>
            <w:tcW w:w="1239" w:type="dxa"/>
            <w:tcBorders/>
            <w:noWrap/>
            <w:hideMark/>
          </w:tcPr>
          <w:p>
            <w:pPr>
              <w:pStyle w:val="style0"/>
              <w:jc w:val="center"/>
              <w:rPr>
                <w:sz w:val="20"/>
                <w:szCs w:val="20"/>
              </w:rPr>
            </w:pPr>
            <w:r>
              <w:rPr>
                <w:sz w:val="20"/>
                <w:szCs w:val="20"/>
              </w:rPr>
              <w:t>0.746</w:t>
            </w:r>
          </w:p>
        </w:tc>
        <w:tc>
          <w:tcPr>
            <w:tcW w:w="948" w:type="dxa"/>
            <w:tcBorders/>
            <w:noWrap/>
            <w:hideMark/>
          </w:tcPr>
          <w:p>
            <w:pPr>
              <w:pStyle w:val="style0"/>
              <w:jc w:val="center"/>
              <w:rPr>
                <w:sz w:val="20"/>
                <w:szCs w:val="20"/>
              </w:rPr>
            </w:pPr>
            <w:r>
              <w:rPr>
                <w:sz w:val="20"/>
                <w:szCs w:val="20"/>
              </w:rPr>
              <w:t>0.902</w:t>
            </w:r>
          </w:p>
        </w:tc>
      </w:tr>
      <w:tr>
        <w:tblPrEx/>
        <w:trPr>
          <w:trHeight w:val="290" w:hRule="atLeast"/>
        </w:trPr>
        <w:tc>
          <w:tcPr>
            <w:tcW w:w="510" w:type="dxa"/>
            <w:tcBorders/>
          </w:tcPr>
          <w:p>
            <w:pPr>
              <w:pStyle w:val="style0"/>
              <w:jc w:val="center"/>
              <w:rPr>
                <w:sz w:val="20"/>
                <w:szCs w:val="20"/>
              </w:rPr>
            </w:pPr>
            <w:r>
              <w:rPr>
                <w:sz w:val="20"/>
                <w:szCs w:val="20"/>
              </w:rPr>
              <w:t>8</w:t>
            </w:r>
          </w:p>
        </w:tc>
        <w:tc>
          <w:tcPr>
            <w:tcW w:w="1461" w:type="dxa"/>
            <w:tcBorders/>
            <w:noWrap/>
            <w:hideMark/>
          </w:tcPr>
          <w:p>
            <w:pPr>
              <w:pStyle w:val="style0"/>
              <w:jc w:val="center"/>
              <w:rPr>
                <w:sz w:val="20"/>
                <w:szCs w:val="20"/>
              </w:rPr>
            </w:pPr>
            <w:r>
              <w:rPr>
                <w:sz w:val="20"/>
                <w:szCs w:val="20"/>
              </w:rPr>
              <w:t>INCI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0.361</w:t>
            </w:r>
          </w:p>
        </w:tc>
        <w:tc>
          <w:tcPr>
            <w:tcW w:w="1239" w:type="dxa"/>
            <w:tcBorders/>
            <w:noWrap/>
            <w:hideMark/>
          </w:tcPr>
          <w:p>
            <w:pPr>
              <w:pStyle w:val="style0"/>
              <w:jc w:val="center"/>
              <w:rPr>
                <w:sz w:val="20"/>
                <w:szCs w:val="20"/>
              </w:rPr>
            </w:pPr>
            <w:r>
              <w:rPr>
                <w:sz w:val="20"/>
                <w:szCs w:val="20"/>
              </w:rPr>
              <w:t>0.013</w:t>
            </w:r>
          </w:p>
        </w:tc>
        <w:tc>
          <w:tcPr>
            <w:tcW w:w="948" w:type="dxa"/>
            <w:tcBorders/>
            <w:noWrap/>
            <w:hideMark/>
          </w:tcPr>
          <w:p>
            <w:pPr>
              <w:pStyle w:val="style0"/>
              <w:jc w:val="center"/>
              <w:rPr>
                <w:sz w:val="20"/>
                <w:szCs w:val="20"/>
              </w:rPr>
            </w:pPr>
            <w:r>
              <w:rPr>
                <w:sz w:val="20"/>
                <w:szCs w:val="20"/>
              </w:rPr>
              <w:t>0.570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0.360</w:t>
            </w:r>
          </w:p>
        </w:tc>
        <w:tc>
          <w:tcPr>
            <w:tcW w:w="1239" w:type="dxa"/>
            <w:tcBorders/>
            <w:noWrap/>
            <w:hideMark/>
          </w:tcPr>
          <w:p>
            <w:pPr>
              <w:pStyle w:val="style0"/>
              <w:jc w:val="center"/>
              <w:rPr>
                <w:sz w:val="20"/>
                <w:szCs w:val="20"/>
              </w:rPr>
            </w:pPr>
            <w:r>
              <w:rPr>
                <w:sz w:val="20"/>
                <w:szCs w:val="20"/>
              </w:rPr>
              <w:t>0.013</w:t>
            </w:r>
          </w:p>
        </w:tc>
        <w:tc>
          <w:tcPr>
            <w:tcW w:w="948" w:type="dxa"/>
            <w:tcBorders/>
            <w:noWrap/>
            <w:hideMark/>
          </w:tcPr>
          <w:p>
            <w:pPr>
              <w:pStyle w:val="style0"/>
              <w:jc w:val="center"/>
              <w:rPr>
                <w:sz w:val="20"/>
                <w:szCs w:val="20"/>
              </w:rPr>
            </w:pPr>
            <w:r>
              <w:rPr>
                <w:sz w:val="20"/>
                <w:szCs w:val="20"/>
              </w:rPr>
              <w:t>0.472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0.364</w:t>
            </w:r>
          </w:p>
        </w:tc>
        <w:tc>
          <w:tcPr>
            <w:tcW w:w="1239" w:type="dxa"/>
            <w:tcBorders/>
            <w:noWrap/>
            <w:hideMark/>
          </w:tcPr>
          <w:p>
            <w:pPr>
              <w:pStyle w:val="style0"/>
              <w:jc w:val="center"/>
              <w:rPr>
                <w:sz w:val="20"/>
                <w:szCs w:val="20"/>
              </w:rPr>
            </w:pPr>
            <w:r>
              <w:rPr>
                <w:sz w:val="20"/>
                <w:szCs w:val="20"/>
              </w:rPr>
              <w:t>0.012</w:t>
            </w:r>
          </w:p>
        </w:tc>
        <w:tc>
          <w:tcPr>
            <w:tcW w:w="948" w:type="dxa"/>
            <w:tcBorders/>
            <w:noWrap/>
            <w:hideMark/>
          </w:tcPr>
          <w:p>
            <w:pPr>
              <w:pStyle w:val="style0"/>
              <w:jc w:val="center"/>
              <w:rPr>
                <w:sz w:val="20"/>
                <w:szCs w:val="20"/>
              </w:rPr>
            </w:pPr>
            <w:r>
              <w:rPr>
                <w:sz w:val="20"/>
                <w:szCs w:val="20"/>
              </w:rPr>
              <w:t>0.428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0.750</w:t>
            </w:r>
          </w:p>
        </w:tc>
        <w:tc>
          <w:tcPr>
            <w:tcW w:w="1205" w:type="dxa"/>
            <w:tcBorders/>
            <w:noWrap/>
            <w:hideMark/>
          </w:tcPr>
          <w:p>
            <w:pPr>
              <w:pStyle w:val="style0"/>
              <w:jc w:val="center"/>
              <w:rPr>
                <w:sz w:val="20"/>
                <w:szCs w:val="20"/>
              </w:rPr>
            </w:pPr>
            <w:r>
              <w:rPr>
                <w:sz w:val="20"/>
                <w:szCs w:val="20"/>
              </w:rPr>
              <w:t>0.364</w:t>
            </w:r>
          </w:p>
        </w:tc>
        <w:tc>
          <w:tcPr>
            <w:tcW w:w="1239" w:type="dxa"/>
            <w:tcBorders/>
            <w:noWrap/>
            <w:hideMark/>
          </w:tcPr>
          <w:p>
            <w:pPr>
              <w:pStyle w:val="style0"/>
              <w:jc w:val="center"/>
              <w:rPr>
                <w:sz w:val="20"/>
                <w:szCs w:val="20"/>
              </w:rPr>
            </w:pPr>
            <w:r>
              <w:rPr>
                <w:sz w:val="20"/>
                <w:szCs w:val="20"/>
              </w:rPr>
              <w:t>0.012</w:t>
            </w:r>
          </w:p>
        </w:tc>
        <w:tc>
          <w:tcPr>
            <w:tcW w:w="948" w:type="dxa"/>
            <w:tcBorders/>
            <w:noWrap/>
            <w:hideMark/>
          </w:tcPr>
          <w:p>
            <w:pPr>
              <w:pStyle w:val="style0"/>
              <w:jc w:val="center"/>
              <w:rPr>
                <w:sz w:val="20"/>
                <w:szCs w:val="20"/>
              </w:rPr>
            </w:pPr>
            <w:r>
              <w:rPr>
                <w:sz w:val="20"/>
                <w:szCs w:val="20"/>
              </w:rPr>
              <w:t>0.341</w:t>
            </w:r>
          </w:p>
        </w:tc>
      </w:tr>
      <w:tr>
        <w:tblPrEx/>
        <w:trPr>
          <w:trHeight w:val="290" w:hRule="atLeast"/>
        </w:trPr>
        <w:tc>
          <w:tcPr>
            <w:tcW w:w="510" w:type="dxa"/>
            <w:tcBorders/>
          </w:tcPr>
          <w:p>
            <w:pPr>
              <w:pStyle w:val="style0"/>
              <w:jc w:val="center"/>
              <w:rPr>
                <w:sz w:val="20"/>
                <w:szCs w:val="20"/>
              </w:rPr>
            </w:pPr>
            <w:r>
              <w:rPr>
                <w:sz w:val="20"/>
                <w:szCs w:val="20"/>
              </w:rPr>
              <w:t>9</w:t>
            </w:r>
          </w:p>
        </w:tc>
        <w:tc>
          <w:tcPr>
            <w:tcW w:w="1461" w:type="dxa"/>
            <w:tcBorders/>
            <w:noWrap/>
            <w:hideMark/>
          </w:tcPr>
          <w:p>
            <w:pPr>
              <w:pStyle w:val="style0"/>
              <w:jc w:val="center"/>
              <w:rPr>
                <w:sz w:val="20"/>
                <w:szCs w:val="20"/>
              </w:rPr>
            </w:pPr>
            <w:r>
              <w:rPr>
                <w:sz w:val="20"/>
                <w:szCs w:val="20"/>
              </w:rPr>
              <w:t>KDSI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0.055</w:t>
            </w:r>
          </w:p>
        </w:tc>
        <w:tc>
          <w:tcPr>
            <w:tcW w:w="1239" w:type="dxa"/>
            <w:tcBorders/>
            <w:noWrap/>
            <w:hideMark/>
          </w:tcPr>
          <w:p>
            <w:pPr>
              <w:pStyle w:val="style0"/>
              <w:jc w:val="center"/>
              <w:rPr>
                <w:sz w:val="20"/>
                <w:szCs w:val="20"/>
              </w:rPr>
            </w:pPr>
            <w:r>
              <w:rPr>
                <w:sz w:val="20"/>
                <w:szCs w:val="20"/>
              </w:rPr>
              <w:t>0.799</w:t>
            </w:r>
          </w:p>
        </w:tc>
        <w:tc>
          <w:tcPr>
            <w:tcW w:w="948" w:type="dxa"/>
            <w:tcBorders/>
            <w:noWrap/>
            <w:hideMark/>
          </w:tcPr>
          <w:p>
            <w:pPr>
              <w:pStyle w:val="style0"/>
              <w:jc w:val="center"/>
              <w:rPr>
                <w:sz w:val="20"/>
                <w:szCs w:val="20"/>
              </w:rPr>
            </w:pPr>
            <w:r>
              <w:rPr>
                <w:sz w:val="20"/>
                <w:szCs w:val="20"/>
              </w:rPr>
              <w:t>0.754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0.056</w:t>
            </w:r>
          </w:p>
        </w:tc>
        <w:tc>
          <w:tcPr>
            <w:tcW w:w="1239" w:type="dxa"/>
            <w:tcBorders/>
            <w:noWrap/>
            <w:hideMark/>
          </w:tcPr>
          <w:p>
            <w:pPr>
              <w:pStyle w:val="style0"/>
              <w:jc w:val="center"/>
              <w:rPr>
                <w:sz w:val="20"/>
                <w:szCs w:val="20"/>
              </w:rPr>
            </w:pPr>
            <w:r>
              <w:rPr>
                <w:sz w:val="20"/>
                <w:szCs w:val="20"/>
              </w:rPr>
              <w:t>0.804</w:t>
            </w:r>
          </w:p>
        </w:tc>
        <w:tc>
          <w:tcPr>
            <w:tcW w:w="948" w:type="dxa"/>
            <w:tcBorders/>
            <w:noWrap/>
            <w:hideMark/>
          </w:tcPr>
          <w:p>
            <w:pPr>
              <w:pStyle w:val="style0"/>
              <w:jc w:val="center"/>
              <w:rPr>
                <w:sz w:val="20"/>
                <w:szCs w:val="20"/>
              </w:rPr>
            </w:pPr>
            <w:r>
              <w:rPr>
                <w:sz w:val="20"/>
                <w:szCs w:val="20"/>
              </w:rPr>
              <w:t>0.809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0.056</w:t>
            </w:r>
          </w:p>
        </w:tc>
        <w:tc>
          <w:tcPr>
            <w:tcW w:w="1239" w:type="dxa"/>
            <w:tcBorders/>
            <w:noWrap/>
            <w:hideMark/>
          </w:tcPr>
          <w:p>
            <w:pPr>
              <w:pStyle w:val="style0"/>
              <w:jc w:val="center"/>
              <w:rPr>
                <w:sz w:val="20"/>
                <w:szCs w:val="20"/>
              </w:rPr>
            </w:pPr>
            <w:r>
              <w:rPr>
                <w:sz w:val="20"/>
                <w:szCs w:val="20"/>
              </w:rPr>
              <w:t>0.858</w:t>
            </w:r>
          </w:p>
        </w:tc>
        <w:tc>
          <w:tcPr>
            <w:tcW w:w="948" w:type="dxa"/>
            <w:tcBorders/>
            <w:noWrap/>
            <w:hideMark/>
          </w:tcPr>
          <w:p>
            <w:pPr>
              <w:pStyle w:val="style0"/>
              <w:jc w:val="center"/>
              <w:rPr>
                <w:sz w:val="20"/>
                <w:szCs w:val="20"/>
              </w:rPr>
            </w:pPr>
            <w:r>
              <w:rPr>
                <w:sz w:val="20"/>
                <w:szCs w:val="20"/>
              </w:rPr>
              <w:t>0.789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0.056</w:t>
            </w:r>
          </w:p>
        </w:tc>
        <w:tc>
          <w:tcPr>
            <w:tcW w:w="1239" w:type="dxa"/>
            <w:tcBorders/>
            <w:noWrap/>
            <w:hideMark/>
          </w:tcPr>
          <w:p>
            <w:pPr>
              <w:pStyle w:val="style0"/>
              <w:jc w:val="center"/>
              <w:rPr>
                <w:sz w:val="20"/>
                <w:szCs w:val="20"/>
              </w:rPr>
            </w:pPr>
            <w:r>
              <w:rPr>
                <w:sz w:val="20"/>
                <w:szCs w:val="20"/>
              </w:rPr>
              <w:t>0.866</w:t>
            </w:r>
          </w:p>
        </w:tc>
        <w:tc>
          <w:tcPr>
            <w:tcW w:w="948" w:type="dxa"/>
            <w:tcBorders/>
            <w:noWrap/>
            <w:hideMark/>
          </w:tcPr>
          <w:p>
            <w:pPr>
              <w:pStyle w:val="style0"/>
              <w:jc w:val="center"/>
              <w:rPr>
                <w:sz w:val="20"/>
                <w:szCs w:val="20"/>
              </w:rPr>
            </w:pPr>
            <w:r>
              <w:rPr>
                <w:sz w:val="20"/>
                <w:szCs w:val="20"/>
              </w:rPr>
              <w:t>0.929</w:t>
            </w:r>
          </w:p>
        </w:tc>
      </w:tr>
      <w:tr>
        <w:tblPrEx/>
        <w:trPr>
          <w:trHeight w:val="290" w:hRule="atLeast"/>
        </w:trPr>
        <w:tc>
          <w:tcPr>
            <w:tcW w:w="510" w:type="dxa"/>
            <w:tcBorders/>
          </w:tcPr>
          <w:p>
            <w:pPr>
              <w:pStyle w:val="style0"/>
              <w:jc w:val="center"/>
              <w:rPr>
                <w:sz w:val="20"/>
                <w:szCs w:val="20"/>
              </w:rPr>
            </w:pPr>
            <w:r>
              <w:rPr>
                <w:sz w:val="20"/>
                <w:szCs w:val="20"/>
              </w:rPr>
              <w:t>10</w:t>
            </w:r>
          </w:p>
        </w:tc>
        <w:tc>
          <w:tcPr>
            <w:tcW w:w="1461" w:type="dxa"/>
            <w:tcBorders/>
            <w:noWrap/>
            <w:hideMark/>
          </w:tcPr>
          <w:p>
            <w:pPr>
              <w:pStyle w:val="style0"/>
              <w:jc w:val="center"/>
              <w:rPr>
                <w:sz w:val="20"/>
                <w:szCs w:val="20"/>
              </w:rPr>
            </w:pPr>
            <w:r>
              <w:rPr>
                <w:sz w:val="20"/>
                <w:szCs w:val="20"/>
              </w:rPr>
              <w:t>KRAS</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0.391</w:t>
            </w:r>
          </w:p>
        </w:tc>
        <w:tc>
          <w:tcPr>
            <w:tcW w:w="948" w:type="dxa"/>
            <w:tcBorders/>
            <w:noWrap/>
            <w:hideMark/>
          </w:tcPr>
          <w:p>
            <w:pPr>
              <w:pStyle w:val="style0"/>
              <w:jc w:val="center"/>
              <w:rPr>
                <w:sz w:val="20"/>
                <w:szCs w:val="20"/>
              </w:rPr>
            </w:pPr>
            <w:r>
              <w:rPr>
                <w:sz w:val="20"/>
                <w:szCs w:val="20"/>
              </w:rPr>
              <w:t>1.010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0.336</w:t>
            </w:r>
          </w:p>
        </w:tc>
        <w:tc>
          <w:tcPr>
            <w:tcW w:w="948" w:type="dxa"/>
            <w:tcBorders/>
            <w:noWrap/>
            <w:hideMark/>
          </w:tcPr>
          <w:p>
            <w:pPr>
              <w:pStyle w:val="style0"/>
              <w:jc w:val="center"/>
              <w:rPr>
                <w:sz w:val="20"/>
                <w:szCs w:val="20"/>
              </w:rPr>
            </w:pPr>
            <w:r>
              <w:rPr>
                <w:sz w:val="20"/>
                <w:szCs w:val="20"/>
              </w:rPr>
              <w:t>0.992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0.355</w:t>
            </w:r>
          </w:p>
        </w:tc>
        <w:tc>
          <w:tcPr>
            <w:tcW w:w="948" w:type="dxa"/>
            <w:tcBorders/>
            <w:noWrap/>
            <w:hideMark/>
          </w:tcPr>
          <w:p>
            <w:pPr>
              <w:pStyle w:val="style0"/>
              <w:jc w:val="center"/>
              <w:rPr>
                <w:sz w:val="20"/>
                <w:szCs w:val="20"/>
              </w:rPr>
            </w:pPr>
            <w:r>
              <w:rPr>
                <w:sz w:val="20"/>
                <w:szCs w:val="20"/>
              </w:rPr>
              <w:t>0.959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0.314</w:t>
            </w:r>
          </w:p>
        </w:tc>
        <w:tc>
          <w:tcPr>
            <w:tcW w:w="948" w:type="dxa"/>
            <w:tcBorders/>
            <w:noWrap/>
            <w:hideMark/>
          </w:tcPr>
          <w:p>
            <w:pPr>
              <w:pStyle w:val="style0"/>
              <w:jc w:val="center"/>
              <w:rPr>
                <w:sz w:val="20"/>
                <w:szCs w:val="20"/>
              </w:rPr>
            </w:pPr>
            <w:r>
              <w:rPr>
                <w:sz w:val="20"/>
                <w:szCs w:val="20"/>
              </w:rPr>
              <w:t>0.889</w:t>
            </w:r>
          </w:p>
        </w:tc>
      </w:tr>
      <w:tr>
        <w:tblPrEx/>
        <w:trPr>
          <w:trHeight w:val="290" w:hRule="atLeast"/>
        </w:trPr>
        <w:tc>
          <w:tcPr>
            <w:tcW w:w="510" w:type="dxa"/>
            <w:tcBorders/>
          </w:tcPr>
          <w:p>
            <w:pPr>
              <w:pStyle w:val="style0"/>
              <w:jc w:val="center"/>
              <w:rPr>
                <w:sz w:val="20"/>
                <w:szCs w:val="20"/>
              </w:rPr>
            </w:pPr>
            <w:r>
              <w:rPr>
                <w:sz w:val="20"/>
                <w:szCs w:val="20"/>
              </w:rPr>
              <w:t>11</w:t>
            </w:r>
          </w:p>
        </w:tc>
        <w:tc>
          <w:tcPr>
            <w:tcW w:w="1461" w:type="dxa"/>
            <w:tcBorders/>
            <w:noWrap/>
            <w:hideMark/>
          </w:tcPr>
          <w:p>
            <w:pPr>
              <w:pStyle w:val="style0"/>
              <w:jc w:val="center"/>
              <w:rPr>
                <w:sz w:val="20"/>
                <w:szCs w:val="20"/>
              </w:rPr>
            </w:pPr>
            <w:r>
              <w:rPr>
                <w:sz w:val="20"/>
                <w:szCs w:val="20"/>
              </w:rPr>
              <w:t>LMSH</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0.206</w:t>
            </w:r>
          </w:p>
        </w:tc>
        <w:tc>
          <w:tcPr>
            <w:tcW w:w="1239" w:type="dxa"/>
            <w:tcBorders/>
            <w:noWrap/>
            <w:hideMark/>
          </w:tcPr>
          <w:p>
            <w:pPr>
              <w:pStyle w:val="style0"/>
              <w:jc w:val="center"/>
              <w:rPr>
                <w:sz w:val="20"/>
                <w:szCs w:val="20"/>
              </w:rPr>
            </w:pPr>
            <w:r>
              <w:rPr>
                <w:sz w:val="20"/>
                <w:szCs w:val="20"/>
              </w:rPr>
              <w:t>0.407</w:t>
            </w:r>
          </w:p>
        </w:tc>
        <w:tc>
          <w:tcPr>
            <w:tcW w:w="948" w:type="dxa"/>
            <w:tcBorders/>
            <w:noWrap/>
            <w:hideMark/>
          </w:tcPr>
          <w:p>
            <w:pPr>
              <w:pStyle w:val="style0"/>
              <w:jc w:val="center"/>
              <w:rPr>
                <w:sz w:val="20"/>
                <w:szCs w:val="20"/>
              </w:rPr>
            </w:pPr>
            <w:r>
              <w:rPr>
                <w:sz w:val="20"/>
                <w:szCs w:val="20"/>
              </w:rPr>
              <w:t>0.526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0.206</w:t>
            </w:r>
          </w:p>
        </w:tc>
        <w:tc>
          <w:tcPr>
            <w:tcW w:w="1239" w:type="dxa"/>
            <w:tcBorders/>
            <w:noWrap/>
            <w:hideMark/>
          </w:tcPr>
          <w:p>
            <w:pPr>
              <w:pStyle w:val="style0"/>
              <w:jc w:val="center"/>
              <w:rPr>
                <w:sz w:val="20"/>
                <w:szCs w:val="20"/>
              </w:rPr>
            </w:pPr>
            <w:r>
              <w:rPr>
                <w:sz w:val="20"/>
                <w:szCs w:val="20"/>
              </w:rPr>
              <w:t>0.429</w:t>
            </w:r>
          </w:p>
        </w:tc>
        <w:tc>
          <w:tcPr>
            <w:tcW w:w="948" w:type="dxa"/>
            <w:tcBorders/>
            <w:noWrap/>
            <w:hideMark/>
          </w:tcPr>
          <w:p>
            <w:pPr>
              <w:pStyle w:val="style0"/>
              <w:jc w:val="center"/>
              <w:rPr>
                <w:sz w:val="20"/>
                <w:szCs w:val="20"/>
              </w:rPr>
            </w:pPr>
            <w:r>
              <w:rPr>
                <w:sz w:val="20"/>
                <w:szCs w:val="20"/>
              </w:rPr>
              <w:t>0.700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0.206</w:t>
            </w:r>
          </w:p>
        </w:tc>
        <w:tc>
          <w:tcPr>
            <w:tcW w:w="1239" w:type="dxa"/>
            <w:tcBorders/>
            <w:noWrap/>
            <w:hideMark/>
          </w:tcPr>
          <w:p>
            <w:pPr>
              <w:pStyle w:val="style0"/>
              <w:jc w:val="center"/>
              <w:rPr>
                <w:sz w:val="20"/>
                <w:szCs w:val="20"/>
              </w:rPr>
            </w:pPr>
            <w:r>
              <w:rPr>
                <w:sz w:val="20"/>
                <w:szCs w:val="20"/>
              </w:rPr>
              <w:t>0.429</w:t>
            </w:r>
          </w:p>
        </w:tc>
        <w:tc>
          <w:tcPr>
            <w:tcW w:w="948" w:type="dxa"/>
            <w:tcBorders/>
            <w:noWrap/>
            <w:hideMark/>
          </w:tcPr>
          <w:p>
            <w:pPr>
              <w:pStyle w:val="style0"/>
              <w:jc w:val="center"/>
              <w:rPr>
                <w:sz w:val="20"/>
                <w:szCs w:val="20"/>
              </w:rPr>
            </w:pPr>
            <w:r>
              <w:rPr>
                <w:sz w:val="20"/>
                <w:szCs w:val="20"/>
              </w:rPr>
              <w:t>0.603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0.206</w:t>
            </w:r>
          </w:p>
        </w:tc>
        <w:tc>
          <w:tcPr>
            <w:tcW w:w="1239" w:type="dxa"/>
            <w:tcBorders/>
            <w:noWrap/>
            <w:hideMark/>
          </w:tcPr>
          <w:p>
            <w:pPr>
              <w:pStyle w:val="style0"/>
              <w:jc w:val="center"/>
              <w:rPr>
                <w:sz w:val="20"/>
                <w:szCs w:val="20"/>
              </w:rPr>
            </w:pPr>
            <w:r>
              <w:rPr>
                <w:sz w:val="20"/>
                <w:szCs w:val="20"/>
              </w:rPr>
              <w:t>0.406</w:t>
            </w:r>
          </w:p>
        </w:tc>
        <w:tc>
          <w:tcPr>
            <w:tcW w:w="948" w:type="dxa"/>
            <w:tcBorders/>
            <w:noWrap/>
            <w:hideMark/>
          </w:tcPr>
          <w:p>
            <w:pPr>
              <w:pStyle w:val="style0"/>
              <w:jc w:val="center"/>
              <w:rPr>
                <w:sz w:val="20"/>
                <w:szCs w:val="20"/>
              </w:rPr>
            </w:pPr>
            <w:r>
              <w:rPr>
                <w:sz w:val="20"/>
                <w:szCs w:val="20"/>
              </w:rPr>
              <w:t>0.501</w:t>
            </w:r>
          </w:p>
        </w:tc>
      </w:tr>
      <w:tr>
        <w:tblPrEx/>
        <w:trPr>
          <w:trHeight w:val="290" w:hRule="atLeast"/>
        </w:trPr>
        <w:tc>
          <w:tcPr>
            <w:tcW w:w="510" w:type="dxa"/>
            <w:tcBorders/>
          </w:tcPr>
          <w:p>
            <w:pPr>
              <w:pStyle w:val="style0"/>
              <w:jc w:val="center"/>
              <w:rPr>
                <w:sz w:val="20"/>
                <w:szCs w:val="20"/>
              </w:rPr>
            </w:pPr>
            <w:r>
              <w:rPr>
                <w:sz w:val="20"/>
                <w:szCs w:val="20"/>
              </w:rPr>
              <w:t>12</w:t>
            </w:r>
          </w:p>
        </w:tc>
        <w:tc>
          <w:tcPr>
            <w:tcW w:w="1461" w:type="dxa"/>
            <w:tcBorders/>
            <w:noWrap/>
            <w:hideMark/>
          </w:tcPr>
          <w:p>
            <w:pPr>
              <w:pStyle w:val="style0"/>
              <w:jc w:val="center"/>
              <w:rPr>
                <w:sz w:val="20"/>
                <w:szCs w:val="20"/>
              </w:rPr>
            </w:pPr>
            <w:r>
              <w:rPr>
                <w:sz w:val="20"/>
                <w:szCs w:val="20"/>
              </w:rPr>
              <w:t>LTLS</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0.033</w:t>
            </w:r>
          </w:p>
        </w:tc>
        <w:tc>
          <w:tcPr>
            <w:tcW w:w="1239" w:type="dxa"/>
            <w:tcBorders/>
            <w:noWrap/>
            <w:hideMark/>
          </w:tcPr>
          <w:p>
            <w:pPr>
              <w:pStyle w:val="style0"/>
              <w:jc w:val="center"/>
              <w:rPr>
                <w:sz w:val="20"/>
                <w:szCs w:val="20"/>
              </w:rPr>
            </w:pPr>
            <w:r>
              <w:rPr>
                <w:sz w:val="20"/>
                <w:szCs w:val="20"/>
              </w:rPr>
              <w:t>0.772</w:t>
            </w:r>
          </w:p>
        </w:tc>
        <w:tc>
          <w:tcPr>
            <w:tcW w:w="948" w:type="dxa"/>
            <w:tcBorders/>
            <w:noWrap/>
            <w:hideMark/>
          </w:tcPr>
          <w:p>
            <w:pPr>
              <w:pStyle w:val="style0"/>
              <w:jc w:val="center"/>
              <w:rPr>
                <w:sz w:val="20"/>
                <w:szCs w:val="20"/>
              </w:rPr>
            </w:pPr>
            <w:r>
              <w:rPr>
                <w:sz w:val="20"/>
                <w:szCs w:val="20"/>
              </w:rPr>
              <w:t>0.724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0.014</w:t>
            </w:r>
          </w:p>
        </w:tc>
        <w:tc>
          <w:tcPr>
            <w:tcW w:w="1239" w:type="dxa"/>
            <w:tcBorders/>
            <w:noWrap/>
            <w:hideMark/>
          </w:tcPr>
          <w:p>
            <w:pPr>
              <w:pStyle w:val="style0"/>
              <w:jc w:val="center"/>
              <w:rPr>
                <w:sz w:val="20"/>
                <w:szCs w:val="20"/>
              </w:rPr>
            </w:pPr>
            <w:r>
              <w:rPr>
                <w:sz w:val="20"/>
                <w:szCs w:val="20"/>
              </w:rPr>
              <w:t>0.778</w:t>
            </w:r>
          </w:p>
        </w:tc>
        <w:tc>
          <w:tcPr>
            <w:tcW w:w="948" w:type="dxa"/>
            <w:tcBorders/>
            <w:noWrap/>
            <w:hideMark/>
          </w:tcPr>
          <w:p>
            <w:pPr>
              <w:pStyle w:val="style0"/>
              <w:jc w:val="center"/>
              <w:rPr>
                <w:sz w:val="20"/>
                <w:szCs w:val="20"/>
              </w:rPr>
            </w:pPr>
            <w:r>
              <w:rPr>
                <w:sz w:val="20"/>
                <w:szCs w:val="20"/>
              </w:rPr>
              <w:t>0.739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0.014</w:t>
            </w:r>
          </w:p>
        </w:tc>
        <w:tc>
          <w:tcPr>
            <w:tcW w:w="1239" w:type="dxa"/>
            <w:tcBorders/>
            <w:noWrap/>
            <w:hideMark/>
          </w:tcPr>
          <w:p>
            <w:pPr>
              <w:pStyle w:val="style0"/>
              <w:jc w:val="center"/>
              <w:rPr>
                <w:sz w:val="20"/>
                <w:szCs w:val="20"/>
              </w:rPr>
            </w:pPr>
            <w:r>
              <w:rPr>
                <w:sz w:val="20"/>
                <w:szCs w:val="20"/>
              </w:rPr>
              <w:t>0.798</w:t>
            </w:r>
          </w:p>
        </w:tc>
        <w:tc>
          <w:tcPr>
            <w:tcW w:w="948" w:type="dxa"/>
            <w:tcBorders/>
            <w:noWrap/>
            <w:hideMark/>
          </w:tcPr>
          <w:p>
            <w:pPr>
              <w:pStyle w:val="style0"/>
              <w:jc w:val="center"/>
              <w:rPr>
                <w:sz w:val="20"/>
                <w:szCs w:val="20"/>
              </w:rPr>
            </w:pPr>
            <w:r>
              <w:rPr>
                <w:sz w:val="20"/>
                <w:szCs w:val="20"/>
              </w:rPr>
              <w:t>0.866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0.014</w:t>
            </w:r>
          </w:p>
        </w:tc>
        <w:tc>
          <w:tcPr>
            <w:tcW w:w="1239" w:type="dxa"/>
            <w:tcBorders/>
            <w:noWrap/>
            <w:hideMark/>
          </w:tcPr>
          <w:p>
            <w:pPr>
              <w:pStyle w:val="style0"/>
              <w:jc w:val="center"/>
              <w:rPr>
                <w:sz w:val="20"/>
                <w:szCs w:val="20"/>
              </w:rPr>
            </w:pPr>
            <w:r>
              <w:rPr>
                <w:sz w:val="20"/>
                <w:szCs w:val="20"/>
              </w:rPr>
              <w:t>0.817</w:t>
            </w:r>
          </w:p>
        </w:tc>
        <w:tc>
          <w:tcPr>
            <w:tcW w:w="948" w:type="dxa"/>
            <w:tcBorders/>
            <w:noWrap/>
            <w:hideMark/>
          </w:tcPr>
          <w:p>
            <w:pPr>
              <w:pStyle w:val="style0"/>
              <w:jc w:val="center"/>
              <w:rPr>
                <w:sz w:val="20"/>
                <w:szCs w:val="20"/>
              </w:rPr>
            </w:pPr>
            <w:r>
              <w:rPr>
                <w:sz w:val="20"/>
                <w:szCs w:val="20"/>
              </w:rPr>
              <w:t>0.833</w:t>
            </w:r>
          </w:p>
        </w:tc>
      </w:tr>
      <w:tr>
        <w:tblPrEx/>
        <w:trPr>
          <w:trHeight w:val="290" w:hRule="atLeast"/>
        </w:trPr>
        <w:tc>
          <w:tcPr>
            <w:tcW w:w="510" w:type="dxa"/>
            <w:tcBorders/>
          </w:tcPr>
          <w:p>
            <w:pPr>
              <w:pStyle w:val="style0"/>
              <w:jc w:val="center"/>
              <w:rPr>
                <w:sz w:val="20"/>
                <w:szCs w:val="20"/>
              </w:rPr>
            </w:pPr>
            <w:r>
              <w:rPr>
                <w:sz w:val="20"/>
                <w:szCs w:val="20"/>
              </w:rPr>
              <w:t>13</w:t>
            </w:r>
          </w:p>
        </w:tc>
        <w:tc>
          <w:tcPr>
            <w:tcW w:w="1461" w:type="dxa"/>
            <w:tcBorders/>
            <w:noWrap/>
            <w:hideMark/>
          </w:tcPr>
          <w:p>
            <w:pPr>
              <w:pStyle w:val="style0"/>
              <w:jc w:val="center"/>
              <w:rPr>
                <w:sz w:val="20"/>
                <w:szCs w:val="20"/>
              </w:rPr>
            </w:pPr>
            <w:r>
              <w:rPr>
                <w:sz w:val="20"/>
                <w:szCs w:val="20"/>
              </w:rPr>
              <w:t>SMBR</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0.950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0.946</w:t>
            </w:r>
          </w:p>
        </w:tc>
        <w:tc>
          <w:tcPr>
            <w:tcW w:w="948" w:type="dxa"/>
            <w:tcBorders/>
            <w:noWrap/>
            <w:hideMark/>
          </w:tcPr>
          <w:p>
            <w:pPr>
              <w:pStyle w:val="style0"/>
              <w:jc w:val="center"/>
              <w:rPr>
                <w:sz w:val="20"/>
                <w:szCs w:val="20"/>
              </w:rPr>
            </w:pPr>
            <w:r>
              <w:rPr>
                <w:sz w:val="20"/>
                <w:szCs w:val="20"/>
              </w:rPr>
              <w:t>2.467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0.950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0.942</w:t>
            </w:r>
          </w:p>
        </w:tc>
        <w:tc>
          <w:tcPr>
            <w:tcW w:w="948" w:type="dxa"/>
            <w:tcBorders/>
            <w:noWrap/>
            <w:hideMark/>
          </w:tcPr>
          <w:p>
            <w:pPr>
              <w:pStyle w:val="style0"/>
              <w:jc w:val="center"/>
              <w:rPr>
                <w:sz w:val="20"/>
                <w:szCs w:val="20"/>
              </w:rPr>
            </w:pPr>
            <w:r>
              <w:rPr>
                <w:sz w:val="20"/>
                <w:szCs w:val="20"/>
              </w:rPr>
              <w:t>1.592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0.950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0.924</w:t>
            </w:r>
          </w:p>
        </w:tc>
        <w:tc>
          <w:tcPr>
            <w:tcW w:w="948" w:type="dxa"/>
            <w:tcBorders/>
            <w:noWrap/>
            <w:hideMark/>
          </w:tcPr>
          <w:p>
            <w:pPr>
              <w:pStyle w:val="style0"/>
              <w:jc w:val="center"/>
              <w:rPr>
                <w:sz w:val="20"/>
                <w:szCs w:val="20"/>
              </w:rPr>
            </w:pPr>
            <w:r>
              <w:rPr>
                <w:sz w:val="20"/>
                <w:szCs w:val="20"/>
              </w:rPr>
              <w:t>1.145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0.950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0.924</w:t>
            </w:r>
          </w:p>
        </w:tc>
        <w:tc>
          <w:tcPr>
            <w:tcW w:w="948" w:type="dxa"/>
            <w:tcBorders/>
            <w:noWrap/>
            <w:hideMark/>
          </w:tcPr>
          <w:p>
            <w:pPr>
              <w:pStyle w:val="style0"/>
              <w:jc w:val="center"/>
              <w:rPr>
                <w:sz w:val="20"/>
                <w:szCs w:val="20"/>
              </w:rPr>
            </w:pPr>
            <w:r>
              <w:rPr>
                <w:sz w:val="20"/>
                <w:szCs w:val="20"/>
              </w:rPr>
              <w:t>0.917</w:t>
            </w:r>
          </w:p>
        </w:tc>
      </w:tr>
      <w:tr>
        <w:tblPrEx/>
        <w:trPr>
          <w:trHeight w:val="290" w:hRule="atLeast"/>
        </w:trPr>
        <w:tc>
          <w:tcPr>
            <w:tcW w:w="510" w:type="dxa"/>
            <w:tcBorders/>
          </w:tcPr>
          <w:p>
            <w:pPr>
              <w:pStyle w:val="style0"/>
              <w:jc w:val="center"/>
              <w:rPr>
                <w:sz w:val="20"/>
                <w:szCs w:val="20"/>
              </w:rPr>
            </w:pPr>
            <w:r>
              <w:rPr>
                <w:sz w:val="20"/>
                <w:szCs w:val="20"/>
              </w:rPr>
              <w:t>14</w:t>
            </w:r>
          </w:p>
        </w:tc>
        <w:tc>
          <w:tcPr>
            <w:tcW w:w="1461" w:type="dxa"/>
            <w:tcBorders/>
            <w:noWrap/>
            <w:hideMark/>
          </w:tcPr>
          <w:p>
            <w:pPr>
              <w:pStyle w:val="style0"/>
              <w:jc w:val="center"/>
              <w:rPr>
                <w:sz w:val="20"/>
                <w:szCs w:val="20"/>
              </w:rPr>
            </w:pPr>
            <w:r>
              <w:rPr>
                <w:sz w:val="20"/>
                <w:szCs w:val="20"/>
              </w:rPr>
              <w:t>SRSN</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0.284</w:t>
            </w:r>
          </w:p>
        </w:tc>
        <w:tc>
          <w:tcPr>
            <w:tcW w:w="1239" w:type="dxa"/>
            <w:tcBorders/>
            <w:noWrap/>
            <w:hideMark/>
          </w:tcPr>
          <w:p>
            <w:pPr>
              <w:pStyle w:val="style0"/>
              <w:jc w:val="center"/>
              <w:rPr>
                <w:sz w:val="20"/>
                <w:szCs w:val="20"/>
              </w:rPr>
            </w:pPr>
            <w:r>
              <w:rPr>
                <w:sz w:val="20"/>
                <w:szCs w:val="20"/>
              </w:rPr>
              <w:t>0.399</w:t>
            </w:r>
          </w:p>
        </w:tc>
        <w:tc>
          <w:tcPr>
            <w:tcW w:w="948" w:type="dxa"/>
            <w:tcBorders/>
            <w:noWrap/>
            <w:hideMark/>
          </w:tcPr>
          <w:p>
            <w:pPr>
              <w:pStyle w:val="style0"/>
              <w:jc w:val="center"/>
              <w:rPr>
                <w:sz w:val="20"/>
                <w:szCs w:val="20"/>
              </w:rPr>
            </w:pPr>
            <w:r>
              <w:rPr>
                <w:sz w:val="20"/>
                <w:szCs w:val="20"/>
              </w:rPr>
              <w:t>0.737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0.284</w:t>
            </w:r>
          </w:p>
        </w:tc>
        <w:tc>
          <w:tcPr>
            <w:tcW w:w="1239" w:type="dxa"/>
            <w:tcBorders/>
            <w:noWrap/>
            <w:hideMark/>
          </w:tcPr>
          <w:p>
            <w:pPr>
              <w:pStyle w:val="style0"/>
              <w:jc w:val="center"/>
              <w:rPr>
                <w:sz w:val="20"/>
                <w:szCs w:val="20"/>
              </w:rPr>
            </w:pPr>
            <w:r>
              <w:rPr>
                <w:sz w:val="20"/>
                <w:szCs w:val="20"/>
              </w:rPr>
              <w:t>0.382</w:t>
            </w:r>
          </w:p>
        </w:tc>
        <w:tc>
          <w:tcPr>
            <w:tcW w:w="948" w:type="dxa"/>
            <w:tcBorders/>
            <w:noWrap/>
            <w:hideMark/>
          </w:tcPr>
          <w:p>
            <w:pPr>
              <w:pStyle w:val="style0"/>
              <w:jc w:val="center"/>
              <w:rPr>
                <w:sz w:val="20"/>
                <w:szCs w:val="20"/>
              </w:rPr>
            </w:pPr>
            <w:r>
              <w:rPr>
                <w:sz w:val="20"/>
                <w:szCs w:val="20"/>
              </w:rPr>
              <w:t>0.678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0.392</w:t>
            </w:r>
          </w:p>
        </w:tc>
        <w:tc>
          <w:tcPr>
            <w:tcW w:w="1239" w:type="dxa"/>
            <w:tcBorders/>
            <w:noWrap/>
            <w:hideMark/>
          </w:tcPr>
          <w:p>
            <w:pPr>
              <w:pStyle w:val="style0"/>
              <w:jc w:val="center"/>
              <w:rPr>
                <w:sz w:val="20"/>
                <w:szCs w:val="20"/>
              </w:rPr>
            </w:pPr>
            <w:r>
              <w:rPr>
                <w:sz w:val="20"/>
                <w:szCs w:val="20"/>
              </w:rPr>
              <w:t>0.382</w:t>
            </w:r>
          </w:p>
        </w:tc>
        <w:tc>
          <w:tcPr>
            <w:tcW w:w="948" w:type="dxa"/>
            <w:tcBorders/>
            <w:noWrap/>
            <w:hideMark/>
          </w:tcPr>
          <w:p>
            <w:pPr>
              <w:pStyle w:val="style0"/>
              <w:jc w:val="center"/>
              <w:rPr>
                <w:sz w:val="20"/>
                <w:szCs w:val="20"/>
              </w:rPr>
            </w:pPr>
            <w:r>
              <w:rPr>
                <w:sz w:val="20"/>
                <w:szCs w:val="20"/>
              </w:rPr>
              <w:t>0.606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0.405</w:t>
            </w:r>
          </w:p>
        </w:tc>
        <w:tc>
          <w:tcPr>
            <w:tcW w:w="1239" w:type="dxa"/>
            <w:tcBorders/>
            <w:noWrap/>
            <w:hideMark/>
          </w:tcPr>
          <w:p>
            <w:pPr>
              <w:pStyle w:val="style0"/>
              <w:jc w:val="center"/>
              <w:rPr>
                <w:sz w:val="20"/>
                <w:szCs w:val="20"/>
              </w:rPr>
            </w:pPr>
            <w:r>
              <w:rPr>
                <w:sz w:val="20"/>
                <w:szCs w:val="20"/>
              </w:rPr>
              <w:t>0.397</w:t>
            </w:r>
          </w:p>
        </w:tc>
        <w:tc>
          <w:tcPr>
            <w:tcW w:w="948" w:type="dxa"/>
            <w:tcBorders/>
            <w:noWrap/>
            <w:hideMark/>
          </w:tcPr>
          <w:p>
            <w:pPr>
              <w:pStyle w:val="style0"/>
              <w:jc w:val="center"/>
              <w:rPr>
                <w:sz w:val="20"/>
                <w:szCs w:val="20"/>
              </w:rPr>
            </w:pPr>
            <w:r>
              <w:rPr>
                <w:sz w:val="20"/>
                <w:szCs w:val="20"/>
              </w:rPr>
              <w:t>0.672</w:t>
            </w:r>
          </w:p>
        </w:tc>
      </w:tr>
      <w:tr>
        <w:tblPrEx/>
        <w:trPr>
          <w:trHeight w:val="290" w:hRule="atLeast"/>
        </w:trPr>
        <w:tc>
          <w:tcPr>
            <w:tcW w:w="510" w:type="dxa"/>
            <w:tcBorders/>
          </w:tcPr>
          <w:p>
            <w:pPr>
              <w:pStyle w:val="style0"/>
              <w:jc w:val="center"/>
              <w:rPr>
                <w:sz w:val="20"/>
                <w:szCs w:val="20"/>
              </w:rPr>
            </w:pPr>
            <w:r>
              <w:rPr>
                <w:sz w:val="20"/>
                <w:szCs w:val="20"/>
              </w:rPr>
              <w:t>15</w:t>
            </w:r>
          </w:p>
        </w:tc>
        <w:tc>
          <w:tcPr>
            <w:tcW w:w="1461" w:type="dxa"/>
            <w:tcBorders/>
            <w:noWrap/>
            <w:hideMark/>
          </w:tcPr>
          <w:p>
            <w:pPr>
              <w:pStyle w:val="style0"/>
              <w:jc w:val="center"/>
              <w:rPr>
                <w:sz w:val="20"/>
                <w:szCs w:val="20"/>
              </w:rPr>
            </w:pPr>
            <w:r>
              <w:rPr>
                <w:sz w:val="20"/>
                <w:szCs w:val="20"/>
              </w:rPr>
              <w:t>SULI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0.257</w:t>
            </w:r>
          </w:p>
        </w:tc>
        <w:tc>
          <w:tcPr>
            <w:tcW w:w="1239" w:type="dxa"/>
            <w:tcBorders/>
            <w:noWrap/>
            <w:hideMark/>
          </w:tcPr>
          <w:p>
            <w:pPr>
              <w:pStyle w:val="style0"/>
              <w:jc w:val="center"/>
              <w:rPr>
                <w:sz w:val="20"/>
                <w:szCs w:val="20"/>
              </w:rPr>
            </w:pPr>
            <w:r>
              <w:rPr>
                <w:sz w:val="20"/>
                <w:szCs w:val="20"/>
              </w:rPr>
              <w:t>0.400</w:t>
            </w:r>
          </w:p>
        </w:tc>
        <w:tc>
          <w:tcPr>
            <w:tcW w:w="948" w:type="dxa"/>
            <w:tcBorders/>
            <w:noWrap/>
            <w:hideMark/>
          </w:tcPr>
          <w:p>
            <w:pPr>
              <w:pStyle w:val="style0"/>
              <w:jc w:val="center"/>
              <w:rPr>
                <w:sz w:val="20"/>
                <w:szCs w:val="20"/>
              </w:rPr>
            </w:pPr>
            <w:r>
              <w:rPr>
                <w:sz w:val="20"/>
                <w:szCs w:val="20"/>
              </w:rPr>
              <w:t>1.373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0.257</w:t>
            </w:r>
          </w:p>
        </w:tc>
        <w:tc>
          <w:tcPr>
            <w:tcW w:w="1239" w:type="dxa"/>
            <w:tcBorders/>
            <w:noWrap/>
            <w:hideMark/>
          </w:tcPr>
          <w:p>
            <w:pPr>
              <w:pStyle w:val="style0"/>
              <w:jc w:val="center"/>
              <w:rPr>
                <w:sz w:val="20"/>
                <w:szCs w:val="20"/>
              </w:rPr>
            </w:pPr>
            <w:r>
              <w:rPr>
                <w:sz w:val="20"/>
                <w:szCs w:val="20"/>
              </w:rPr>
              <w:t>0.411</w:t>
            </w:r>
          </w:p>
        </w:tc>
        <w:tc>
          <w:tcPr>
            <w:tcW w:w="948" w:type="dxa"/>
            <w:tcBorders/>
            <w:noWrap/>
            <w:hideMark/>
          </w:tcPr>
          <w:p>
            <w:pPr>
              <w:pStyle w:val="style0"/>
              <w:jc w:val="center"/>
              <w:rPr>
                <w:sz w:val="20"/>
                <w:szCs w:val="20"/>
              </w:rPr>
            </w:pPr>
            <w:r>
              <w:rPr>
                <w:sz w:val="20"/>
                <w:szCs w:val="20"/>
              </w:rPr>
              <w:t>1.317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0.251</w:t>
            </w:r>
          </w:p>
        </w:tc>
        <w:tc>
          <w:tcPr>
            <w:tcW w:w="1239" w:type="dxa"/>
            <w:tcBorders/>
            <w:noWrap/>
            <w:hideMark/>
          </w:tcPr>
          <w:p>
            <w:pPr>
              <w:pStyle w:val="style0"/>
              <w:jc w:val="center"/>
              <w:rPr>
                <w:sz w:val="20"/>
                <w:szCs w:val="20"/>
              </w:rPr>
            </w:pPr>
            <w:r>
              <w:rPr>
                <w:sz w:val="20"/>
                <w:szCs w:val="20"/>
              </w:rPr>
              <w:t>0.500</w:t>
            </w:r>
          </w:p>
        </w:tc>
        <w:tc>
          <w:tcPr>
            <w:tcW w:w="948" w:type="dxa"/>
            <w:tcBorders/>
            <w:noWrap/>
            <w:hideMark/>
          </w:tcPr>
          <w:p>
            <w:pPr>
              <w:pStyle w:val="style0"/>
              <w:jc w:val="center"/>
              <w:rPr>
                <w:sz w:val="20"/>
                <w:szCs w:val="20"/>
              </w:rPr>
            </w:pPr>
            <w:r>
              <w:rPr>
                <w:sz w:val="20"/>
                <w:szCs w:val="20"/>
              </w:rPr>
              <w:t>1.346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0.066</w:t>
            </w:r>
          </w:p>
        </w:tc>
        <w:tc>
          <w:tcPr>
            <w:tcW w:w="1239" w:type="dxa"/>
            <w:tcBorders/>
            <w:noWrap/>
            <w:hideMark/>
          </w:tcPr>
          <w:p>
            <w:pPr>
              <w:pStyle w:val="style0"/>
              <w:jc w:val="center"/>
              <w:rPr>
                <w:sz w:val="20"/>
                <w:szCs w:val="20"/>
              </w:rPr>
            </w:pPr>
            <w:r>
              <w:rPr>
                <w:sz w:val="20"/>
                <w:szCs w:val="20"/>
              </w:rPr>
              <w:t>0.663</w:t>
            </w:r>
          </w:p>
        </w:tc>
        <w:tc>
          <w:tcPr>
            <w:tcW w:w="948" w:type="dxa"/>
            <w:tcBorders/>
            <w:noWrap/>
            <w:hideMark/>
          </w:tcPr>
          <w:p>
            <w:pPr>
              <w:pStyle w:val="style0"/>
              <w:jc w:val="center"/>
              <w:rPr>
                <w:sz w:val="20"/>
                <w:szCs w:val="20"/>
              </w:rPr>
            </w:pPr>
            <w:r>
              <w:rPr>
                <w:sz w:val="20"/>
                <w:szCs w:val="20"/>
              </w:rPr>
              <w:t>1.537</w:t>
            </w:r>
          </w:p>
        </w:tc>
      </w:tr>
      <w:tr>
        <w:tblPrEx/>
        <w:trPr>
          <w:trHeight w:val="290" w:hRule="atLeast"/>
        </w:trPr>
        <w:tc>
          <w:tcPr>
            <w:tcW w:w="510" w:type="dxa"/>
            <w:tcBorders/>
          </w:tcPr>
          <w:p>
            <w:pPr>
              <w:pStyle w:val="style0"/>
              <w:jc w:val="center"/>
              <w:rPr>
                <w:sz w:val="20"/>
                <w:szCs w:val="20"/>
              </w:rPr>
            </w:pPr>
            <w:r>
              <w:rPr>
                <w:sz w:val="20"/>
                <w:szCs w:val="20"/>
              </w:rPr>
              <w:t>16</w:t>
            </w:r>
          </w:p>
        </w:tc>
        <w:tc>
          <w:tcPr>
            <w:tcW w:w="1461" w:type="dxa"/>
            <w:tcBorders/>
            <w:noWrap/>
            <w:hideMark/>
          </w:tcPr>
          <w:p>
            <w:pPr>
              <w:pStyle w:val="style0"/>
              <w:jc w:val="center"/>
              <w:rPr>
                <w:sz w:val="20"/>
                <w:szCs w:val="20"/>
              </w:rPr>
            </w:pPr>
            <w:r>
              <w:rPr>
                <w:sz w:val="20"/>
                <w:szCs w:val="20"/>
              </w:rPr>
              <w:t>UNIC</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0.690</w:t>
            </w:r>
          </w:p>
        </w:tc>
        <w:tc>
          <w:tcPr>
            <w:tcW w:w="948" w:type="dxa"/>
            <w:tcBorders/>
            <w:noWrap/>
            <w:hideMark/>
          </w:tcPr>
          <w:p>
            <w:pPr>
              <w:pStyle w:val="style0"/>
              <w:jc w:val="center"/>
              <w:rPr>
                <w:sz w:val="20"/>
                <w:szCs w:val="20"/>
              </w:rPr>
            </w:pPr>
            <w:r>
              <w:rPr>
                <w:sz w:val="20"/>
                <w:szCs w:val="20"/>
              </w:rPr>
              <w:t>0.691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0.691</w:t>
            </w:r>
          </w:p>
        </w:tc>
        <w:tc>
          <w:tcPr>
            <w:tcW w:w="948" w:type="dxa"/>
            <w:tcBorders/>
            <w:noWrap/>
            <w:hideMark/>
          </w:tcPr>
          <w:p>
            <w:pPr>
              <w:pStyle w:val="style0"/>
              <w:jc w:val="center"/>
              <w:rPr>
                <w:sz w:val="20"/>
                <w:szCs w:val="20"/>
              </w:rPr>
            </w:pPr>
            <w:r>
              <w:rPr>
                <w:sz w:val="20"/>
                <w:szCs w:val="20"/>
              </w:rPr>
              <w:t>1.331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0.690</w:t>
            </w:r>
          </w:p>
        </w:tc>
        <w:tc>
          <w:tcPr>
            <w:tcW w:w="948" w:type="dxa"/>
            <w:tcBorders/>
            <w:noWrap/>
            <w:hideMark/>
          </w:tcPr>
          <w:p>
            <w:pPr>
              <w:pStyle w:val="style0"/>
              <w:jc w:val="center"/>
              <w:rPr>
                <w:sz w:val="20"/>
                <w:szCs w:val="20"/>
              </w:rPr>
            </w:pPr>
            <w:r>
              <w:rPr>
                <w:sz w:val="20"/>
                <w:szCs w:val="20"/>
              </w:rPr>
              <w:t>0.944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0.690</w:t>
            </w:r>
          </w:p>
        </w:tc>
        <w:tc>
          <w:tcPr>
            <w:tcW w:w="948" w:type="dxa"/>
            <w:tcBorders/>
            <w:noWrap/>
            <w:hideMark/>
          </w:tcPr>
          <w:p>
            <w:pPr>
              <w:pStyle w:val="style0"/>
              <w:jc w:val="center"/>
              <w:rPr>
                <w:sz w:val="20"/>
                <w:szCs w:val="20"/>
              </w:rPr>
            </w:pPr>
            <w:r>
              <w:rPr>
                <w:sz w:val="20"/>
                <w:szCs w:val="20"/>
              </w:rPr>
              <w:t>0.749</w:t>
            </w:r>
          </w:p>
        </w:tc>
      </w:tr>
      <w:tr>
        <w:tblPrEx/>
        <w:trPr>
          <w:trHeight w:val="290" w:hRule="atLeast"/>
        </w:trPr>
        <w:tc>
          <w:tcPr>
            <w:tcW w:w="510" w:type="dxa"/>
            <w:tcBorders/>
          </w:tcPr>
          <w:p>
            <w:pPr>
              <w:pStyle w:val="style0"/>
              <w:jc w:val="center"/>
              <w:rPr>
                <w:sz w:val="20"/>
                <w:szCs w:val="20"/>
              </w:rPr>
            </w:pPr>
            <w:r>
              <w:rPr>
                <w:sz w:val="20"/>
                <w:szCs w:val="20"/>
              </w:rPr>
              <w:t>17</w:t>
            </w:r>
          </w:p>
        </w:tc>
        <w:tc>
          <w:tcPr>
            <w:tcW w:w="1461" w:type="dxa"/>
            <w:tcBorders/>
            <w:noWrap/>
            <w:hideMark/>
          </w:tcPr>
          <w:p>
            <w:pPr>
              <w:pStyle w:val="style0"/>
              <w:jc w:val="center"/>
              <w:rPr>
                <w:sz w:val="20"/>
                <w:szCs w:val="20"/>
              </w:rPr>
            </w:pPr>
            <w:r>
              <w:rPr>
                <w:sz w:val="20"/>
                <w:szCs w:val="20"/>
              </w:rPr>
              <w:t>WTON</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0.009</w:t>
            </w:r>
          </w:p>
        </w:tc>
        <w:tc>
          <w:tcPr>
            <w:tcW w:w="1239" w:type="dxa"/>
            <w:tcBorders/>
            <w:noWrap/>
            <w:hideMark/>
          </w:tcPr>
          <w:p>
            <w:pPr>
              <w:pStyle w:val="style0"/>
              <w:jc w:val="center"/>
              <w:rPr>
                <w:sz w:val="20"/>
                <w:szCs w:val="20"/>
              </w:rPr>
            </w:pPr>
            <w:r>
              <w:rPr>
                <w:sz w:val="20"/>
                <w:szCs w:val="20"/>
              </w:rPr>
              <w:t>0.784</w:t>
            </w:r>
          </w:p>
        </w:tc>
        <w:tc>
          <w:tcPr>
            <w:tcW w:w="948" w:type="dxa"/>
            <w:tcBorders/>
            <w:noWrap/>
            <w:hideMark/>
          </w:tcPr>
          <w:p>
            <w:pPr>
              <w:pStyle w:val="style0"/>
              <w:jc w:val="center"/>
              <w:rPr>
                <w:sz w:val="20"/>
                <w:szCs w:val="20"/>
              </w:rPr>
            </w:pPr>
            <w:r>
              <w:rPr>
                <w:sz w:val="20"/>
                <w:szCs w:val="20"/>
              </w:rPr>
              <w:t>0.993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0.007</w:t>
            </w:r>
          </w:p>
        </w:tc>
        <w:tc>
          <w:tcPr>
            <w:tcW w:w="1239" w:type="dxa"/>
            <w:tcBorders/>
            <w:noWrap/>
            <w:hideMark/>
          </w:tcPr>
          <w:p>
            <w:pPr>
              <w:pStyle w:val="style0"/>
              <w:jc w:val="center"/>
              <w:rPr>
                <w:sz w:val="20"/>
                <w:szCs w:val="20"/>
              </w:rPr>
            </w:pPr>
            <w:r>
              <w:rPr>
                <w:sz w:val="20"/>
                <w:szCs w:val="20"/>
              </w:rPr>
              <w:t>0.756</w:t>
            </w:r>
          </w:p>
        </w:tc>
        <w:tc>
          <w:tcPr>
            <w:tcW w:w="948" w:type="dxa"/>
            <w:tcBorders/>
            <w:noWrap/>
            <w:hideMark/>
          </w:tcPr>
          <w:p>
            <w:pPr>
              <w:pStyle w:val="style0"/>
              <w:jc w:val="center"/>
              <w:rPr>
                <w:sz w:val="20"/>
                <w:szCs w:val="20"/>
              </w:rPr>
            </w:pPr>
            <w:r>
              <w:rPr>
                <w:sz w:val="20"/>
                <w:szCs w:val="20"/>
              </w:rPr>
              <w:t>0.852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0.004</w:t>
            </w:r>
          </w:p>
        </w:tc>
        <w:tc>
          <w:tcPr>
            <w:tcW w:w="1239" w:type="dxa"/>
            <w:tcBorders/>
            <w:noWrap/>
            <w:hideMark/>
          </w:tcPr>
          <w:p>
            <w:pPr>
              <w:pStyle w:val="style0"/>
              <w:jc w:val="center"/>
              <w:rPr>
                <w:sz w:val="20"/>
                <w:szCs w:val="20"/>
              </w:rPr>
            </w:pPr>
            <w:r>
              <w:rPr>
                <w:sz w:val="20"/>
                <w:szCs w:val="20"/>
              </w:rPr>
              <w:t>0.150</w:t>
            </w:r>
          </w:p>
        </w:tc>
        <w:tc>
          <w:tcPr>
            <w:tcW w:w="948" w:type="dxa"/>
            <w:tcBorders/>
            <w:noWrap/>
            <w:hideMark/>
          </w:tcPr>
          <w:p>
            <w:pPr>
              <w:pStyle w:val="style0"/>
              <w:jc w:val="center"/>
              <w:rPr>
                <w:sz w:val="20"/>
                <w:szCs w:val="20"/>
              </w:rPr>
            </w:pPr>
            <w:r>
              <w:rPr>
                <w:sz w:val="20"/>
                <w:szCs w:val="20"/>
              </w:rPr>
              <w:t>0.791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0.002</w:t>
            </w:r>
          </w:p>
        </w:tc>
        <w:tc>
          <w:tcPr>
            <w:tcW w:w="1239" w:type="dxa"/>
            <w:tcBorders/>
            <w:noWrap/>
            <w:hideMark/>
          </w:tcPr>
          <w:p>
            <w:pPr>
              <w:pStyle w:val="style0"/>
              <w:jc w:val="center"/>
              <w:rPr>
                <w:sz w:val="20"/>
                <w:szCs w:val="20"/>
              </w:rPr>
            </w:pPr>
            <w:r>
              <w:rPr>
                <w:sz w:val="20"/>
                <w:szCs w:val="20"/>
              </w:rPr>
              <w:t>0.741</w:t>
            </w:r>
          </w:p>
        </w:tc>
        <w:tc>
          <w:tcPr>
            <w:tcW w:w="948" w:type="dxa"/>
            <w:tcBorders/>
            <w:noWrap/>
            <w:hideMark/>
          </w:tcPr>
          <w:p>
            <w:pPr>
              <w:pStyle w:val="style0"/>
              <w:jc w:val="center"/>
              <w:rPr>
                <w:sz w:val="20"/>
                <w:szCs w:val="20"/>
              </w:rPr>
            </w:pPr>
            <w:r>
              <w:rPr>
                <w:sz w:val="20"/>
                <w:szCs w:val="20"/>
              </w:rPr>
              <w:t>0.648</w:t>
            </w:r>
          </w:p>
        </w:tc>
      </w:tr>
      <w:tr>
        <w:tblPrEx/>
        <w:trPr>
          <w:trHeight w:val="290" w:hRule="atLeast"/>
        </w:trPr>
        <w:tc>
          <w:tcPr>
            <w:tcW w:w="510" w:type="dxa"/>
            <w:tcBorders/>
          </w:tcPr>
          <w:p>
            <w:pPr>
              <w:pStyle w:val="style0"/>
              <w:jc w:val="center"/>
              <w:rPr>
                <w:sz w:val="20"/>
                <w:szCs w:val="20"/>
              </w:rPr>
            </w:pPr>
            <w:r>
              <w:rPr>
                <w:sz w:val="20"/>
                <w:szCs w:val="20"/>
              </w:rPr>
              <w:t>18</w:t>
            </w:r>
          </w:p>
        </w:tc>
        <w:tc>
          <w:tcPr>
            <w:tcW w:w="1461" w:type="dxa"/>
            <w:tcBorders/>
            <w:noWrap/>
            <w:hideMark/>
          </w:tcPr>
          <w:p>
            <w:pPr>
              <w:pStyle w:val="style0"/>
              <w:jc w:val="center"/>
              <w:rPr>
                <w:sz w:val="20"/>
                <w:szCs w:val="20"/>
              </w:rPr>
            </w:pPr>
            <w:r>
              <w:rPr>
                <w:sz w:val="20"/>
                <w:szCs w:val="20"/>
              </w:rPr>
              <w:t>WSBP</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0.100</w:t>
            </w:r>
          </w:p>
        </w:tc>
        <w:tc>
          <w:tcPr>
            <w:tcW w:w="948" w:type="dxa"/>
            <w:tcBorders/>
            <w:noWrap/>
            <w:hideMark/>
          </w:tcPr>
          <w:p>
            <w:pPr>
              <w:pStyle w:val="style0"/>
              <w:jc w:val="center"/>
              <w:rPr>
                <w:sz w:val="20"/>
                <w:szCs w:val="20"/>
              </w:rPr>
            </w:pPr>
            <w:r>
              <w:rPr>
                <w:sz w:val="20"/>
                <w:szCs w:val="20"/>
              </w:rPr>
              <w:t>1.918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0.762</w:t>
            </w:r>
          </w:p>
        </w:tc>
        <w:tc>
          <w:tcPr>
            <w:tcW w:w="948" w:type="dxa"/>
            <w:tcBorders/>
            <w:noWrap/>
            <w:hideMark/>
          </w:tcPr>
          <w:p>
            <w:pPr>
              <w:pStyle w:val="style0"/>
              <w:jc w:val="center"/>
              <w:rPr>
                <w:sz w:val="20"/>
                <w:szCs w:val="20"/>
              </w:rPr>
            </w:pPr>
            <w:r>
              <w:rPr>
                <w:sz w:val="20"/>
                <w:szCs w:val="20"/>
              </w:rPr>
              <w:t>1.840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0.762</w:t>
            </w:r>
          </w:p>
        </w:tc>
        <w:tc>
          <w:tcPr>
            <w:tcW w:w="948" w:type="dxa"/>
            <w:tcBorders/>
            <w:noWrap/>
            <w:hideMark/>
          </w:tcPr>
          <w:p>
            <w:pPr>
              <w:pStyle w:val="style0"/>
              <w:jc w:val="center"/>
              <w:rPr>
                <w:sz w:val="20"/>
                <w:szCs w:val="20"/>
              </w:rPr>
            </w:pPr>
            <w:r>
              <w:rPr>
                <w:sz w:val="20"/>
                <w:szCs w:val="20"/>
              </w:rPr>
              <w:t>1.773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0.880</w:t>
            </w:r>
          </w:p>
        </w:tc>
        <w:tc>
          <w:tcPr>
            <w:tcW w:w="948" w:type="dxa"/>
            <w:tcBorders/>
            <w:noWrap/>
            <w:hideMark/>
          </w:tcPr>
          <w:p>
            <w:pPr>
              <w:pStyle w:val="style0"/>
              <w:jc w:val="center"/>
              <w:rPr>
                <w:sz w:val="20"/>
                <w:szCs w:val="20"/>
              </w:rPr>
            </w:pPr>
            <w:r>
              <w:rPr>
                <w:sz w:val="20"/>
                <w:szCs w:val="20"/>
              </w:rPr>
              <w:t>1.758</w:t>
            </w:r>
          </w:p>
        </w:tc>
      </w:tr>
      <w:tr>
        <w:tblPrEx/>
        <w:trPr>
          <w:trHeight w:val="290" w:hRule="atLeast"/>
        </w:trPr>
        <w:tc>
          <w:tcPr>
            <w:tcW w:w="510" w:type="dxa"/>
            <w:tcBorders/>
          </w:tcPr>
          <w:p>
            <w:pPr>
              <w:pStyle w:val="style0"/>
              <w:jc w:val="center"/>
              <w:rPr>
                <w:sz w:val="20"/>
                <w:szCs w:val="20"/>
              </w:rPr>
            </w:pPr>
            <w:r>
              <w:rPr>
                <w:sz w:val="20"/>
                <w:szCs w:val="20"/>
              </w:rPr>
              <w:t>19</w:t>
            </w:r>
          </w:p>
        </w:tc>
        <w:tc>
          <w:tcPr>
            <w:tcW w:w="1461" w:type="dxa"/>
            <w:tcBorders/>
            <w:noWrap/>
            <w:hideMark/>
          </w:tcPr>
          <w:p>
            <w:pPr>
              <w:pStyle w:val="style0"/>
              <w:jc w:val="center"/>
              <w:rPr>
                <w:sz w:val="20"/>
                <w:szCs w:val="20"/>
              </w:rPr>
            </w:pPr>
            <w:r>
              <w:rPr>
                <w:sz w:val="20"/>
                <w:szCs w:val="20"/>
              </w:rPr>
              <w:t>KMTR</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0.996</w:t>
            </w:r>
          </w:p>
        </w:tc>
        <w:tc>
          <w:tcPr>
            <w:tcW w:w="948" w:type="dxa"/>
            <w:tcBorders/>
            <w:noWrap/>
            <w:hideMark/>
          </w:tcPr>
          <w:p>
            <w:pPr>
              <w:pStyle w:val="style0"/>
              <w:jc w:val="center"/>
              <w:rPr>
                <w:sz w:val="20"/>
                <w:szCs w:val="20"/>
              </w:rPr>
            </w:pPr>
            <w:r>
              <w:rPr>
                <w:sz w:val="20"/>
                <w:szCs w:val="20"/>
              </w:rPr>
              <w:t>1.131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0.004</w:t>
            </w:r>
          </w:p>
        </w:tc>
        <w:tc>
          <w:tcPr>
            <w:tcW w:w="1239" w:type="dxa"/>
            <w:tcBorders/>
            <w:noWrap/>
            <w:hideMark/>
          </w:tcPr>
          <w:p>
            <w:pPr>
              <w:pStyle w:val="style0"/>
              <w:jc w:val="center"/>
              <w:rPr>
                <w:sz w:val="20"/>
                <w:szCs w:val="20"/>
              </w:rPr>
            </w:pPr>
            <w:r>
              <w:rPr>
                <w:sz w:val="20"/>
                <w:szCs w:val="20"/>
              </w:rPr>
              <w:t>0.990</w:t>
            </w:r>
          </w:p>
        </w:tc>
        <w:tc>
          <w:tcPr>
            <w:tcW w:w="948" w:type="dxa"/>
            <w:tcBorders/>
            <w:noWrap/>
            <w:hideMark/>
          </w:tcPr>
          <w:p>
            <w:pPr>
              <w:pStyle w:val="style0"/>
              <w:jc w:val="center"/>
              <w:rPr>
                <w:sz w:val="20"/>
                <w:szCs w:val="20"/>
              </w:rPr>
            </w:pPr>
            <w:r>
              <w:rPr>
                <w:sz w:val="20"/>
                <w:szCs w:val="20"/>
              </w:rPr>
              <w:t>1.127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0.004</w:t>
            </w:r>
          </w:p>
        </w:tc>
        <w:tc>
          <w:tcPr>
            <w:tcW w:w="1239" w:type="dxa"/>
            <w:tcBorders/>
            <w:noWrap/>
            <w:hideMark/>
          </w:tcPr>
          <w:p>
            <w:pPr>
              <w:pStyle w:val="style0"/>
              <w:jc w:val="center"/>
              <w:rPr>
                <w:sz w:val="20"/>
                <w:szCs w:val="20"/>
              </w:rPr>
            </w:pPr>
            <w:r>
              <w:rPr>
                <w:sz w:val="20"/>
                <w:szCs w:val="20"/>
              </w:rPr>
              <w:t>0.990</w:t>
            </w:r>
          </w:p>
        </w:tc>
        <w:tc>
          <w:tcPr>
            <w:tcW w:w="948" w:type="dxa"/>
            <w:tcBorders/>
            <w:noWrap/>
            <w:hideMark/>
          </w:tcPr>
          <w:p>
            <w:pPr>
              <w:pStyle w:val="style0"/>
              <w:jc w:val="center"/>
              <w:rPr>
                <w:sz w:val="20"/>
                <w:szCs w:val="20"/>
              </w:rPr>
            </w:pPr>
            <w:r>
              <w:rPr>
                <w:sz w:val="20"/>
                <w:szCs w:val="20"/>
              </w:rPr>
              <w:t>1.034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0.004</w:t>
            </w:r>
          </w:p>
        </w:tc>
        <w:tc>
          <w:tcPr>
            <w:tcW w:w="1239" w:type="dxa"/>
            <w:tcBorders/>
            <w:noWrap/>
            <w:hideMark/>
          </w:tcPr>
          <w:p>
            <w:pPr>
              <w:pStyle w:val="style0"/>
              <w:jc w:val="center"/>
              <w:rPr>
                <w:sz w:val="20"/>
                <w:szCs w:val="20"/>
              </w:rPr>
            </w:pPr>
            <w:r>
              <w:rPr>
                <w:sz w:val="20"/>
                <w:szCs w:val="20"/>
              </w:rPr>
              <w:t>0.990</w:t>
            </w:r>
          </w:p>
        </w:tc>
        <w:tc>
          <w:tcPr>
            <w:tcW w:w="948" w:type="dxa"/>
            <w:tcBorders/>
            <w:noWrap/>
            <w:hideMark/>
          </w:tcPr>
          <w:p>
            <w:pPr>
              <w:pStyle w:val="style0"/>
              <w:jc w:val="center"/>
              <w:rPr>
                <w:sz w:val="20"/>
                <w:szCs w:val="20"/>
              </w:rPr>
            </w:pPr>
            <w:r>
              <w:rPr>
                <w:sz w:val="20"/>
                <w:szCs w:val="20"/>
              </w:rPr>
              <w:t>1.084</w:t>
            </w:r>
          </w:p>
        </w:tc>
      </w:tr>
      <w:tr>
        <w:tblPrEx/>
        <w:trPr>
          <w:trHeight w:val="290" w:hRule="atLeast"/>
        </w:trPr>
        <w:tc>
          <w:tcPr>
            <w:tcW w:w="510" w:type="dxa"/>
            <w:tcBorders/>
          </w:tcPr>
          <w:p>
            <w:pPr>
              <w:pStyle w:val="style0"/>
              <w:jc w:val="center"/>
              <w:rPr>
                <w:sz w:val="20"/>
                <w:szCs w:val="20"/>
              </w:rPr>
            </w:pPr>
            <w:r>
              <w:rPr>
                <w:sz w:val="20"/>
                <w:szCs w:val="20"/>
              </w:rPr>
              <w:t>20</w:t>
            </w:r>
          </w:p>
        </w:tc>
        <w:tc>
          <w:tcPr>
            <w:tcW w:w="1461" w:type="dxa"/>
            <w:tcBorders/>
            <w:noWrap/>
            <w:hideMark/>
          </w:tcPr>
          <w:p>
            <w:pPr>
              <w:pStyle w:val="style0"/>
              <w:jc w:val="center"/>
              <w:rPr>
                <w:sz w:val="20"/>
                <w:szCs w:val="20"/>
              </w:rPr>
            </w:pPr>
            <w:r>
              <w:rPr>
                <w:sz w:val="20"/>
                <w:szCs w:val="20"/>
              </w:rPr>
              <w:t>MDKI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0.101</w:t>
            </w:r>
          </w:p>
        </w:tc>
        <w:tc>
          <w:tcPr>
            <w:tcW w:w="1239" w:type="dxa"/>
            <w:tcBorders/>
            <w:noWrap/>
            <w:hideMark/>
          </w:tcPr>
          <w:p>
            <w:pPr>
              <w:pStyle w:val="style0"/>
              <w:jc w:val="center"/>
              <w:rPr>
                <w:sz w:val="20"/>
                <w:szCs w:val="20"/>
              </w:rPr>
            </w:pPr>
            <w:r>
              <w:rPr>
                <w:sz w:val="20"/>
                <w:szCs w:val="20"/>
              </w:rPr>
              <w:t>0.824</w:t>
            </w:r>
          </w:p>
        </w:tc>
        <w:tc>
          <w:tcPr>
            <w:tcW w:w="948" w:type="dxa"/>
            <w:tcBorders/>
            <w:noWrap/>
            <w:hideMark/>
          </w:tcPr>
          <w:p>
            <w:pPr>
              <w:pStyle w:val="style0"/>
              <w:jc w:val="center"/>
              <w:rPr>
                <w:sz w:val="20"/>
                <w:szCs w:val="20"/>
              </w:rPr>
            </w:pPr>
            <w:r>
              <w:rPr>
                <w:sz w:val="20"/>
                <w:szCs w:val="20"/>
              </w:rPr>
              <w:t>0.689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0.059</w:t>
            </w:r>
          </w:p>
        </w:tc>
        <w:tc>
          <w:tcPr>
            <w:tcW w:w="1239" w:type="dxa"/>
            <w:tcBorders/>
            <w:noWrap/>
            <w:hideMark/>
          </w:tcPr>
          <w:p>
            <w:pPr>
              <w:pStyle w:val="style0"/>
              <w:jc w:val="center"/>
              <w:rPr>
                <w:sz w:val="20"/>
                <w:szCs w:val="20"/>
              </w:rPr>
            </w:pPr>
            <w:r>
              <w:rPr>
                <w:sz w:val="20"/>
                <w:szCs w:val="20"/>
              </w:rPr>
              <w:t>0.810</w:t>
            </w:r>
          </w:p>
        </w:tc>
        <w:tc>
          <w:tcPr>
            <w:tcW w:w="948" w:type="dxa"/>
            <w:tcBorders/>
            <w:noWrap/>
            <w:hideMark/>
          </w:tcPr>
          <w:p>
            <w:pPr>
              <w:pStyle w:val="style0"/>
              <w:jc w:val="center"/>
              <w:rPr>
                <w:sz w:val="20"/>
                <w:szCs w:val="20"/>
              </w:rPr>
            </w:pPr>
            <w:r>
              <w:rPr>
                <w:sz w:val="20"/>
                <w:szCs w:val="20"/>
              </w:rPr>
              <w:t>0.605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0.059</w:t>
            </w:r>
          </w:p>
        </w:tc>
        <w:tc>
          <w:tcPr>
            <w:tcW w:w="1239" w:type="dxa"/>
            <w:tcBorders/>
            <w:noWrap/>
            <w:hideMark/>
          </w:tcPr>
          <w:p>
            <w:pPr>
              <w:pStyle w:val="style0"/>
              <w:jc w:val="center"/>
              <w:rPr>
                <w:sz w:val="20"/>
                <w:szCs w:val="20"/>
              </w:rPr>
            </w:pPr>
            <w:r>
              <w:rPr>
                <w:sz w:val="20"/>
                <w:szCs w:val="20"/>
              </w:rPr>
              <w:t>0.798</w:t>
            </w:r>
          </w:p>
        </w:tc>
        <w:tc>
          <w:tcPr>
            <w:tcW w:w="948" w:type="dxa"/>
            <w:tcBorders/>
            <w:noWrap/>
            <w:hideMark/>
          </w:tcPr>
          <w:p>
            <w:pPr>
              <w:pStyle w:val="style0"/>
              <w:jc w:val="center"/>
              <w:rPr>
                <w:sz w:val="20"/>
                <w:szCs w:val="20"/>
              </w:rPr>
            </w:pPr>
            <w:r>
              <w:rPr>
                <w:sz w:val="20"/>
                <w:szCs w:val="20"/>
              </w:rPr>
              <w:t>0.549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0.059</w:t>
            </w:r>
          </w:p>
        </w:tc>
        <w:tc>
          <w:tcPr>
            <w:tcW w:w="1239" w:type="dxa"/>
            <w:tcBorders/>
            <w:noWrap/>
            <w:hideMark/>
          </w:tcPr>
          <w:p>
            <w:pPr>
              <w:pStyle w:val="style0"/>
              <w:jc w:val="center"/>
              <w:rPr>
                <w:sz w:val="20"/>
                <w:szCs w:val="20"/>
              </w:rPr>
            </w:pPr>
            <w:r>
              <w:rPr>
                <w:sz w:val="20"/>
                <w:szCs w:val="20"/>
              </w:rPr>
              <w:t>0.792</w:t>
            </w:r>
          </w:p>
        </w:tc>
        <w:tc>
          <w:tcPr>
            <w:tcW w:w="948" w:type="dxa"/>
            <w:tcBorders/>
            <w:noWrap/>
            <w:hideMark/>
          </w:tcPr>
          <w:p>
            <w:pPr>
              <w:pStyle w:val="style0"/>
              <w:jc w:val="center"/>
              <w:rPr>
                <w:sz w:val="20"/>
                <w:szCs w:val="20"/>
              </w:rPr>
            </w:pPr>
            <w:r>
              <w:rPr>
                <w:sz w:val="20"/>
                <w:szCs w:val="20"/>
              </w:rPr>
              <w:t>0.569</w:t>
            </w:r>
          </w:p>
        </w:tc>
      </w:tr>
      <w:tr>
        <w:tblPrEx/>
        <w:trPr>
          <w:trHeight w:val="290" w:hRule="atLeast"/>
        </w:trPr>
        <w:tc>
          <w:tcPr>
            <w:tcW w:w="510" w:type="dxa"/>
            <w:tcBorders/>
          </w:tcPr>
          <w:p>
            <w:pPr>
              <w:pStyle w:val="style0"/>
              <w:jc w:val="center"/>
              <w:rPr>
                <w:sz w:val="20"/>
                <w:szCs w:val="20"/>
              </w:rPr>
            </w:pPr>
            <w:r>
              <w:rPr>
                <w:sz w:val="20"/>
                <w:szCs w:val="20"/>
              </w:rPr>
              <w:t>21</w:t>
            </w:r>
          </w:p>
        </w:tc>
        <w:tc>
          <w:tcPr>
            <w:tcW w:w="1461" w:type="dxa"/>
            <w:tcBorders/>
            <w:noWrap/>
            <w:hideMark/>
          </w:tcPr>
          <w:p>
            <w:pPr>
              <w:pStyle w:val="style0"/>
              <w:jc w:val="center"/>
              <w:rPr>
                <w:sz w:val="20"/>
                <w:szCs w:val="20"/>
              </w:rPr>
            </w:pPr>
            <w:r>
              <w:rPr>
                <w:sz w:val="20"/>
                <w:szCs w:val="20"/>
              </w:rPr>
              <w:t>PBID</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0.300</w:t>
            </w:r>
          </w:p>
        </w:tc>
        <w:tc>
          <w:tcPr>
            <w:tcW w:w="1205" w:type="dxa"/>
            <w:tcBorders/>
            <w:noWrap/>
            <w:hideMark/>
          </w:tcPr>
          <w:p>
            <w:pPr>
              <w:pStyle w:val="style0"/>
              <w:jc w:val="center"/>
              <w:rPr>
                <w:sz w:val="20"/>
                <w:szCs w:val="20"/>
              </w:rPr>
            </w:pPr>
            <w:r>
              <w:rPr>
                <w:sz w:val="20"/>
                <w:szCs w:val="20"/>
              </w:rPr>
              <w:t>0.115</w:t>
            </w:r>
          </w:p>
        </w:tc>
        <w:tc>
          <w:tcPr>
            <w:tcW w:w="1239" w:type="dxa"/>
            <w:tcBorders/>
            <w:noWrap/>
            <w:hideMark/>
          </w:tcPr>
          <w:p>
            <w:pPr>
              <w:pStyle w:val="style0"/>
              <w:jc w:val="center"/>
              <w:rPr>
                <w:sz w:val="20"/>
                <w:szCs w:val="20"/>
              </w:rPr>
            </w:pPr>
            <w:r>
              <w:rPr>
                <w:sz w:val="20"/>
                <w:szCs w:val="20"/>
              </w:rPr>
              <w:t>0.754</w:t>
            </w:r>
          </w:p>
        </w:tc>
        <w:tc>
          <w:tcPr>
            <w:tcW w:w="948" w:type="dxa"/>
            <w:tcBorders/>
            <w:noWrap/>
            <w:hideMark/>
          </w:tcPr>
          <w:p>
            <w:pPr>
              <w:pStyle w:val="style0"/>
              <w:jc w:val="center"/>
              <w:rPr>
                <w:sz w:val="20"/>
                <w:szCs w:val="20"/>
              </w:rPr>
            </w:pPr>
            <w:r>
              <w:rPr>
                <w:sz w:val="20"/>
                <w:szCs w:val="20"/>
              </w:rPr>
              <w:t>1.308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0.300</w:t>
            </w:r>
          </w:p>
        </w:tc>
        <w:tc>
          <w:tcPr>
            <w:tcW w:w="1205" w:type="dxa"/>
            <w:tcBorders/>
            <w:noWrap/>
            <w:hideMark/>
          </w:tcPr>
          <w:p>
            <w:pPr>
              <w:pStyle w:val="style0"/>
              <w:jc w:val="center"/>
              <w:rPr>
                <w:sz w:val="20"/>
                <w:szCs w:val="20"/>
              </w:rPr>
            </w:pPr>
            <w:r>
              <w:rPr>
                <w:sz w:val="20"/>
                <w:szCs w:val="20"/>
              </w:rPr>
              <w:t>0.115</w:t>
            </w:r>
          </w:p>
        </w:tc>
        <w:tc>
          <w:tcPr>
            <w:tcW w:w="1239" w:type="dxa"/>
            <w:tcBorders/>
            <w:noWrap/>
            <w:hideMark/>
          </w:tcPr>
          <w:p>
            <w:pPr>
              <w:pStyle w:val="style0"/>
              <w:jc w:val="center"/>
              <w:rPr>
                <w:sz w:val="20"/>
                <w:szCs w:val="20"/>
              </w:rPr>
            </w:pPr>
            <w:r>
              <w:rPr>
                <w:sz w:val="20"/>
                <w:szCs w:val="20"/>
              </w:rPr>
              <w:t>0.749</w:t>
            </w:r>
          </w:p>
        </w:tc>
        <w:tc>
          <w:tcPr>
            <w:tcW w:w="948" w:type="dxa"/>
            <w:tcBorders/>
            <w:noWrap/>
            <w:hideMark/>
          </w:tcPr>
          <w:p>
            <w:pPr>
              <w:pStyle w:val="style0"/>
              <w:jc w:val="center"/>
              <w:rPr>
                <w:sz w:val="20"/>
                <w:szCs w:val="20"/>
              </w:rPr>
            </w:pPr>
            <w:r>
              <w:rPr>
                <w:sz w:val="20"/>
                <w:szCs w:val="20"/>
              </w:rPr>
              <w:t>1.255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0.300</w:t>
            </w:r>
          </w:p>
        </w:tc>
        <w:tc>
          <w:tcPr>
            <w:tcW w:w="1205" w:type="dxa"/>
            <w:tcBorders/>
            <w:noWrap/>
            <w:hideMark/>
          </w:tcPr>
          <w:p>
            <w:pPr>
              <w:pStyle w:val="style0"/>
              <w:jc w:val="center"/>
              <w:rPr>
                <w:sz w:val="20"/>
                <w:szCs w:val="20"/>
              </w:rPr>
            </w:pPr>
            <w:r>
              <w:rPr>
                <w:sz w:val="20"/>
                <w:szCs w:val="20"/>
              </w:rPr>
              <w:t>0.115</w:t>
            </w:r>
          </w:p>
        </w:tc>
        <w:tc>
          <w:tcPr>
            <w:tcW w:w="1239" w:type="dxa"/>
            <w:tcBorders/>
            <w:noWrap/>
            <w:hideMark/>
          </w:tcPr>
          <w:p>
            <w:pPr>
              <w:pStyle w:val="style0"/>
              <w:jc w:val="center"/>
              <w:rPr>
                <w:sz w:val="20"/>
                <w:szCs w:val="20"/>
              </w:rPr>
            </w:pPr>
            <w:r>
              <w:rPr>
                <w:sz w:val="20"/>
                <w:szCs w:val="20"/>
              </w:rPr>
              <w:t>0.750</w:t>
            </w:r>
          </w:p>
        </w:tc>
        <w:tc>
          <w:tcPr>
            <w:tcW w:w="948" w:type="dxa"/>
            <w:tcBorders/>
            <w:noWrap/>
            <w:hideMark/>
          </w:tcPr>
          <w:p>
            <w:pPr>
              <w:pStyle w:val="style0"/>
              <w:jc w:val="center"/>
              <w:rPr>
                <w:sz w:val="20"/>
                <w:szCs w:val="20"/>
              </w:rPr>
            </w:pPr>
            <w:r>
              <w:rPr>
                <w:sz w:val="20"/>
                <w:szCs w:val="20"/>
              </w:rPr>
              <w:t>1.167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0.115</w:t>
            </w:r>
          </w:p>
        </w:tc>
        <w:tc>
          <w:tcPr>
            <w:tcW w:w="1239" w:type="dxa"/>
            <w:tcBorders/>
            <w:noWrap/>
            <w:hideMark/>
          </w:tcPr>
          <w:p>
            <w:pPr>
              <w:pStyle w:val="style0"/>
              <w:jc w:val="center"/>
              <w:rPr>
                <w:sz w:val="20"/>
                <w:szCs w:val="20"/>
              </w:rPr>
            </w:pPr>
            <w:r>
              <w:rPr>
                <w:sz w:val="20"/>
                <w:szCs w:val="20"/>
              </w:rPr>
              <w:t>0.749</w:t>
            </w:r>
          </w:p>
        </w:tc>
        <w:tc>
          <w:tcPr>
            <w:tcW w:w="948" w:type="dxa"/>
            <w:tcBorders/>
            <w:noWrap/>
            <w:hideMark/>
          </w:tcPr>
          <w:p>
            <w:pPr>
              <w:pStyle w:val="style0"/>
              <w:jc w:val="center"/>
              <w:rPr>
                <w:sz w:val="20"/>
                <w:szCs w:val="20"/>
              </w:rPr>
            </w:pPr>
            <w:r>
              <w:rPr>
                <w:sz w:val="20"/>
                <w:szCs w:val="20"/>
              </w:rPr>
              <w:t>0.954</w:t>
            </w:r>
          </w:p>
        </w:tc>
      </w:tr>
      <w:tr>
        <w:tblPrEx/>
        <w:trPr>
          <w:trHeight w:val="290" w:hRule="atLeast"/>
        </w:trPr>
        <w:tc>
          <w:tcPr>
            <w:tcW w:w="510" w:type="dxa"/>
            <w:tcBorders/>
          </w:tcPr>
          <w:p>
            <w:pPr>
              <w:pStyle w:val="style0"/>
              <w:jc w:val="center"/>
              <w:rPr>
                <w:sz w:val="20"/>
                <w:szCs w:val="20"/>
              </w:rPr>
            </w:pPr>
            <w:r>
              <w:rPr>
                <w:sz w:val="20"/>
                <w:szCs w:val="20"/>
              </w:rPr>
              <w:t>22</w:t>
            </w:r>
          </w:p>
        </w:tc>
        <w:tc>
          <w:tcPr>
            <w:tcW w:w="1461" w:type="dxa"/>
            <w:tcBorders/>
            <w:noWrap/>
            <w:hideMark/>
          </w:tcPr>
          <w:p>
            <w:pPr>
              <w:pStyle w:val="style0"/>
              <w:jc w:val="center"/>
              <w:rPr>
                <w:sz w:val="20"/>
                <w:szCs w:val="20"/>
              </w:rPr>
            </w:pPr>
            <w:r>
              <w:rPr>
                <w:sz w:val="20"/>
                <w:szCs w:val="20"/>
              </w:rPr>
              <w:t>MOLI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0.219</w:t>
            </w:r>
          </w:p>
        </w:tc>
        <w:tc>
          <w:tcPr>
            <w:tcW w:w="1239" w:type="dxa"/>
            <w:tcBorders/>
            <w:noWrap/>
            <w:hideMark/>
          </w:tcPr>
          <w:p>
            <w:pPr>
              <w:pStyle w:val="style0"/>
              <w:jc w:val="center"/>
              <w:rPr>
                <w:sz w:val="20"/>
                <w:szCs w:val="20"/>
              </w:rPr>
            </w:pPr>
            <w:r>
              <w:rPr>
                <w:sz w:val="20"/>
                <w:szCs w:val="20"/>
              </w:rPr>
              <w:t>0.626</w:t>
            </w:r>
          </w:p>
        </w:tc>
        <w:tc>
          <w:tcPr>
            <w:tcW w:w="948" w:type="dxa"/>
            <w:tcBorders/>
            <w:noWrap/>
            <w:hideMark/>
          </w:tcPr>
          <w:p>
            <w:pPr>
              <w:pStyle w:val="style0"/>
              <w:jc w:val="center"/>
              <w:rPr>
                <w:sz w:val="20"/>
                <w:szCs w:val="20"/>
              </w:rPr>
            </w:pPr>
            <w:r>
              <w:rPr>
                <w:sz w:val="20"/>
                <w:szCs w:val="20"/>
              </w:rPr>
              <w:t>1.261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0.219</w:t>
            </w:r>
          </w:p>
        </w:tc>
        <w:tc>
          <w:tcPr>
            <w:tcW w:w="1239" w:type="dxa"/>
            <w:tcBorders/>
            <w:noWrap/>
            <w:hideMark/>
          </w:tcPr>
          <w:p>
            <w:pPr>
              <w:pStyle w:val="style0"/>
              <w:jc w:val="center"/>
              <w:rPr>
                <w:sz w:val="20"/>
                <w:szCs w:val="20"/>
              </w:rPr>
            </w:pPr>
            <w:r>
              <w:rPr>
                <w:sz w:val="20"/>
                <w:szCs w:val="20"/>
              </w:rPr>
              <w:t>0.537</w:t>
            </w:r>
          </w:p>
        </w:tc>
        <w:tc>
          <w:tcPr>
            <w:tcW w:w="948" w:type="dxa"/>
            <w:tcBorders/>
            <w:noWrap/>
            <w:hideMark/>
          </w:tcPr>
          <w:p>
            <w:pPr>
              <w:pStyle w:val="style0"/>
              <w:jc w:val="center"/>
              <w:rPr>
                <w:sz w:val="20"/>
                <w:szCs w:val="20"/>
              </w:rPr>
            </w:pPr>
            <w:r>
              <w:rPr>
                <w:sz w:val="20"/>
                <w:szCs w:val="20"/>
              </w:rPr>
              <w:t>0.970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0.400</w:t>
            </w:r>
          </w:p>
        </w:tc>
        <w:tc>
          <w:tcPr>
            <w:tcW w:w="1205" w:type="dxa"/>
            <w:tcBorders/>
            <w:noWrap/>
            <w:hideMark/>
          </w:tcPr>
          <w:p>
            <w:pPr>
              <w:pStyle w:val="style0"/>
              <w:jc w:val="center"/>
              <w:rPr>
                <w:sz w:val="20"/>
                <w:szCs w:val="20"/>
              </w:rPr>
            </w:pPr>
            <w:r>
              <w:rPr>
                <w:sz w:val="20"/>
                <w:szCs w:val="20"/>
              </w:rPr>
              <w:t>0.219</w:t>
            </w:r>
          </w:p>
        </w:tc>
        <w:tc>
          <w:tcPr>
            <w:tcW w:w="1239" w:type="dxa"/>
            <w:tcBorders/>
            <w:noWrap/>
            <w:hideMark/>
          </w:tcPr>
          <w:p>
            <w:pPr>
              <w:pStyle w:val="style0"/>
              <w:jc w:val="center"/>
              <w:rPr>
                <w:sz w:val="20"/>
                <w:szCs w:val="20"/>
              </w:rPr>
            </w:pPr>
            <w:r>
              <w:rPr>
                <w:sz w:val="20"/>
                <w:szCs w:val="20"/>
              </w:rPr>
              <w:t>0.637</w:t>
            </w:r>
          </w:p>
        </w:tc>
        <w:tc>
          <w:tcPr>
            <w:tcW w:w="948" w:type="dxa"/>
            <w:tcBorders/>
            <w:noWrap/>
            <w:hideMark/>
          </w:tcPr>
          <w:p>
            <w:pPr>
              <w:pStyle w:val="style0"/>
              <w:jc w:val="center"/>
              <w:rPr>
                <w:sz w:val="20"/>
                <w:szCs w:val="20"/>
              </w:rPr>
            </w:pPr>
            <w:r>
              <w:rPr>
                <w:sz w:val="20"/>
                <w:szCs w:val="20"/>
              </w:rPr>
              <w:t>0.637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0.219</w:t>
            </w:r>
          </w:p>
        </w:tc>
        <w:tc>
          <w:tcPr>
            <w:tcW w:w="1239" w:type="dxa"/>
            <w:tcBorders/>
            <w:noWrap/>
            <w:hideMark/>
          </w:tcPr>
          <w:p>
            <w:pPr>
              <w:pStyle w:val="style0"/>
              <w:jc w:val="center"/>
              <w:rPr>
                <w:sz w:val="20"/>
                <w:szCs w:val="20"/>
              </w:rPr>
            </w:pPr>
            <w:r>
              <w:rPr>
                <w:sz w:val="20"/>
                <w:szCs w:val="20"/>
              </w:rPr>
              <w:t>0.640</w:t>
            </w:r>
          </w:p>
        </w:tc>
        <w:tc>
          <w:tcPr>
            <w:tcW w:w="948" w:type="dxa"/>
            <w:tcBorders/>
            <w:noWrap/>
            <w:hideMark/>
          </w:tcPr>
          <w:p>
            <w:pPr>
              <w:pStyle w:val="style0"/>
              <w:jc w:val="center"/>
              <w:rPr>
                <w:sz w:val="20"/>
                <w:szCs w:val="20"/>
              </w:rPr>
            </w:pPr>
            <w:r>
              <w:rPr>
                <w:sz w:val="20"/>
                <w:szCs w:val="20"/>
              </w:rPr>
              <w:t>0.838</w:t>
            </w:r>
          </w:p>
        </w:tc>
      </w:tr>
      <w:tr>
        <w:tblPrEx/>
        <w:trPr>
          <w:trHeight w:val="290" w:hRule="atLeast"/>
        </w:trPr>
        <w:tc>
          <w:tcPr>
            <w:tcW w:w="510" w:type="dxa"/>
            <w:tcBorders/>
          </w:tcPr>
          <w:p>
            <w:pPr>
              <w:pStyle w:val="style0"/>
              <w:jc w:val="center"/>
              <w:rPr>
                <w:sz w:val="20"/>
                <w:szCs w:val="20"/>
              </w:rPr>
            </w:pPr>
            <w:r>
              <w:rPr>
                <w:sz w:val="20"/>
                <w:szCs w:val="20"/>
              </w:rPr>
              <w:t>23</w:t>
            </w:r>
          </w:p>
        </w:tc>
        <w:tc>
          <w:tcPr>
            <w:tcW w:w="1461" w:type="dxa"/>
            <w:tcBorders/>
            <w:noWrap/>
            <w:hideMark/>
          </w:tcPr>
          <w:p>
            <w:pPr>
              <w:pStyle w:val="style0"/>
              <w:jc w:val="center"/>
              <w:rPr>
                <w:sz w:val="20"/>
                <w:szCs w:val="20"/>
              </w:rPr>
            </w:pPr>
            <w:r>
              <w:rPr>
                <w:sz w:val="20"/>
                <w:szCs w:val="20"/>
              </w:rPr>
              <w:t>SMKL</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0.019</w:t>
            </w:r>
          </w:p>
        </w:tc>
        <w:tc>
          <w:tcPr>
            <w:tcW w:w="1239" w:type="dxa"/>
            <w:tcBorders/>
            <w:noWrap/>
            <w:hideMark/>
          </w:tcPr>
          <w:p>
            <w:pPr>
              <w:pStyle w:val="style0"/>
              <w:jc w:val="center"/>
              <w:rPr>
                <w:sz w:val="20"/>
                <w:szCs w:val="20"/>
              </w:rPr>
            </w:pPr>
            <w:r>
              <w:rPr>
                <w:sz w:val="20"/>
                <w:szCs w:val="20"/>
              </w:rPr>
              <w:t>0.809</w:t>
            </w:r>
          </w:p>
        </w:tc>
        <w:tc>
          <w:tcPr>
            <w:tcW w:w="948" w:type="dxa"/>
            <w:tcBorders/>
            <w:noWrap/>
            <w:hideMark/>
          </w:tcPr>
          <w:p>
            <w:pPr>
              <w:pStyle w:val="style0"/>
              <w:jc w:val="center"/>
              <w:rPr>
                <w:sz w:val="20"/>
                <w:szCs w:val="20"/>
              </w:rPr>
            </w:pPr>
            <w:r>
              <w:rPr>
                <w:sz w:val="20"/>
                <w:szCs w:val="20"/>
              </w:rPr>
              <w:t>0.965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0.043</w:t>
            </w:r>
          </w:p>
        </w:tc>
        <w:tc>
          <w:tcPr>
            <w:tcW w:w="1239" w:type="dxa"/>
            <w:tcBorders/>
            <w:noWrap/>
            <w:hideMark/>
          </w:tcPr>
          <w:p>
            <w:pPr>
              <w:pStyle w:val="style0"/>
              <w:jc w:val="center"/>
              <w:rPr>
                <w:sz w:val="20"/>
                <w:szCs w:val="20"/>
              </w:rPr>
            </w:pPr>
            <w:r>
              <w:rPr>
                <w:sz w:val="20"/>
                <w:szCs w:val="20"/>
              </w:rPr>
              <w:t>0.871</w:t>
            </w:r>
          </w:p>
        </w:tc>
        <w:tc>
          <w:tcPr>
            <w:tcW w:w="948" w:type="dxa"/>
            <w:tcBorders/>
            <w:noWrap/>
            <w:hideMark/>
          </w:tcPr>
          <w:p>
            <w:pPr>
              <w:pStyle w:val="style0"/>
              <w:jc w:val="center"/>
              <w:rPr>
                <w:sz w:val="20"/>
                <w:szCs w:val="20"/>
              </w:rPr>
            </w:pPr>
            <w:r>
              <w:rPr>
                <w:sz w:val="20"/>
                <w:szCs w:val="20"/>
              </w:rPr>
              <w:t>1.494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0.750</w:t>
            </w:r>
          </w:p>
        </w:tc>
        <w:tc>
          <w:tcPr>
            <w:tcW w:w="1205" w:type="dxa"/>
            <w:tcBorders/>
            <w:noWrap/>
            <w:hideMark/>
          </w:tcPr>
          <w:p>
            <w:pPr>
              <w:pStyle w:val="style0"/>
              <w:jc w:val="center"/>
              <w:rPr>
                <w:sz w:val="20"/>
                <w:szCs w:val="20"/>
              </w:rPr>
            </w:pPr>
            <w:r>
              <w:rPr>
                <w:sz w:val="20"/>
                <w:szCs w:val="20"/>
              </w:rPr>
              <w:t>0.043</w:t>
            </w:r>
          </w:p>
        </w:tc>
        <w:tc>
          <w:tcPr>
            <w:tcW w:w="1239" w:type="dxa"/>
            <w:tcBorders/>
            <w:noWrap/>
            <w:hideMark/>
          </w:tcPr>
          <w:p>
            <w:pPr>
              <w:pStyle w:val="style0"/>
              <w:jc w:val="center"/>
              <w:rPr>
                <w:sz w:val="20"/>
                <w:szCs w:val="20"/>
              </w:rPr>
            </w:pPr>
            <w:r>
              <w:rPr>
                <w:sz w:val="20"/>
                <w:szCs w:val="20"/>
              </w:rPr>
              <w:t>0.886</w:t>
            </w:r>
          </w:p>
        </w:tc>
        <w:tc>
          <w:tcPr>
            <w:tcW w:w="948" w:type="dxa"/>
            <w:tcBorders/>
            <w:noWrap/>
            <w:hideMark/>
          </w:tcPr>
          <w:p>
            <w:pPr>
              <w:pStyle w:val="style0"/>
              <w:jc w:val="center"/>
              <w:rPr>
                <w:sz w:val="20"/>
                <w:szCs w:val="20"/>
              </w:rPr>
            </w:pPr>
            <w:r>
              <w:rPr>
                <w:sz w:val="20"/>
                <w:szCs w:val="20"/>
              </w:rPr>
              <w:t>0.963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0.850</w:t>
            </w:r>
          </w:p>
        </w:tc>
        <w:tc>
          <w:tcPr>
            <w:tcW w:w="1205" w:type="dxa"/>
            <w:tcBorders/>
            <w:noWrap/>
            <w:hideMark/>
          </w:tcPr>
          <w:p>
            <w:pPr>
              <w:pStyle w:val="style0"/>
              <w:jc w:val="center"/>
              <w:rPr>
                <w:sz w:val="20"/>
                <w:szCs w:val="20"/>
              </w:rPr>
            </w:pPr>
            <w:r>
              <w:rPr>
                <w:sz w:val="20"/>
                <w:szCs w:val="20"/>
              </w:rPr>
              <w:t>0.042</w:t>
            </w:r>
          </w:p>
        </w:tc>
        <w:tc>
          <w:tcPr>
            <w:tcW w:w="1239" w:type="dxa"/>
            <w:tcBorders/>
            <w:noWrap/>
            <w:hideMark/>
          </w:tcPr>
          <w:p>
            <w:pPr>
              <w:pStyle w:val="style0"/>
              <w:jc w:val="center"/>
              <w:rPr>
                <w:sz w:val="20"/>
                <w:szCs w:val="20"/>
              </w:rPr>
            </w:pPr>
            <w:r>
              <w:rPr>
                <w:sz w:val="20"/>
                <w:szCs w:val="20"/>
              </w:rPr>
              <w:t>0.839</w:t>
            </w:r>
          </w:p>
        </w:tc>
        <w:tc>
          <w:tcPr>
            <w:tcW w:w="948" w:type="dxa"/>
            <w:tcBorders/>
            <w:noWrap/>
            <w:hideMark/>
          </w:tcPr>
          <w:p>
            <w:pPr>
              <w:pStyle w:val="style0"/>
              <w:jc w:val="center"/>
              <w:rPr>
                <w:sz w:val="20"/>
                <w:szCs w:val="20"/>
              </w:rPr>
            </w:pPr>
            <w:r>
              <w:rPr>
                <w:sz w:val="20"/>
                <w:szCs w:val="20"/>
              </w:rPr>
              <w:t>0.875</w:t>
            </w:r>
          </w:p>
        </w:tc>
      </w:tr>
      <w:tr>
        <w:tblPrEx/>
        <w:trPr>
          <w:trHeight w:val="290" w:hRule="atLeast"/>
        </w:trPr>
        <w:tc>
          <w:tcPr>
            <w:tcW w:w="510" w:type="dxa"/>
            <w:tcBorders/>
          </w:tcPr>
          <w:p>
            <w:pPr>
              <w:pStyle w:val="style0"/>
              <w:jc w:val="center"/>
              <w:rPr>
                <w:sz w:val="20"/>
                <w:szCs w:val="20"/>
              </w:rPr>
            </w:pPr>
            <w:r>
              <w:rPr>
                <w:sz w:val="20"/>
                <w:szCs w:val="20"/>
              </w:rPr>
              <w:t>24</w:t>
            </w:r>
          </w:p>
        </w:tc>
        <w:tc>
          <w:tcPr>
            <w:tcW w:w="1461" w:type="dxa"/>
            <w:tcBorders/>
            <w:noWrap/>
            <w:hideMark/>
          </w:tcPr>
          <w:p>
            <w:pPr>
              <w:pStyle w:val="style0"/>
              <w:jc w:val="center"/>
              <w:rPr>
                <w:sz w:val="20"/>
                <w:szCs w:val="20"/>
              </w:rPr>
            </w:pPr>
            <w:r>
              <w:rPr>
                <w:sz w:val="20"/>
                <w:szCs w:val="20"/>
              </w:rPr>
              <w:t>ESIP</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0.250</w:t>
            </w:r>
          </w:p>
        </w:tc>
        <w:tc>
          <w:tcPr>
            <w:tcW w:w="1205" w:type="dxa"/>
            <w:tcBorders/>
            <w:noWrap/>
            <w:hideMark/>
          </w:tcPr>
          <w:p>
            <w:pPr>
              <w:pStyle w:val="style0"/>
              <w:jc w:val="center"/>
              <w:rPr>
                <w:sz w:val="20"/>
                <w:szCs w:val="20"/>
              </w:rPr>
            </w:pPr>
            <w:r>
              <w:rPr>
                <w:sz w:val="20"/>
                <w:szCs w:val="20"/>
              </w:rPr>
              <w:t>0.149</w:t>
            </w:r>
          </w:p>
        </w:tc>
        <w:tc>
          <w:tcPr>
            <w:tcW w:w="1239" w:type="dxa"/>
            <w:tcBorders/>
            <w:noWrap/>
            <w:hideMark/>
          </w:tcPr>
          <w:p>
            <w:pPr>
              <w:pStyle w:val="style0"/>
              <w:jc w:val="center"/>
              <w:rPr>
                <w:sz w:val="20"/>
                <w:szCs w:val="20"/>
              </w:rPr>
            </w:pPr>
            <w:r>
              <w:rPr>
                <w:sz w:val="20"/>
                <w:szCs w:val="20"/>
              </w:rPr>
              <w:t>0.557</w:t>
            </w:r>
          </w:p>
        </w:tc>
        <w:tc>
          <w:tcPr>
            <w:tcW w:w="948" w:type="dxa"/>
            <w:tcBorders/>
            <w:noWrap/>
            <w:hideMark/>
          </w:tcPr>
          <w:p>
            <w:pPr>
              <w:pStyle w:val="style0"/>
              <w:jc w:val="center"/>
              <w:rPr>
                <w:sz w:val="20"/>
                <w:szCs w:val="20"/>
              </w:rPr>
            </w:pPr>
            <w:r>
              <w:rPr>
                <w:sz w:val="20"/>
                <w:szCs w:val="20"/>
              </w:rPr>
              <w:t>1.169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0.250</w:t>
            </w:r>
          </w:p>
        </w:tc>
        <w:tc>
          <w:tcPr>
            <w:tcW w:w="1205" w:type="dxa"/>
            <w:tcBorders/>
            <w:noWrap/>
            <w:hideMark/>
          </w:tcPr>
          <w:p>
            <w:pPr>
              <w:pStyle w:val="style0"/>
              <w:jc w:val="center"/>
              <w:rPr>
                <w:sz w:val="20"/>
                <w:szCs w:val="20"/>
              </w:rPr>
            </w:pPr>
            <w:r>
              <w:rPr>
                <w:sz w:val="20"/>
                <w:szCs w:val="20"/>
              </w:rPr>
              <w:t>0.110</w:t>
            </w:r>
          </w:p>
        </w:tc>
        <w:tc>
          <w:tcPr>
            <w:tcW w:w="1239" w:type="dxa"/>
            <w:tcBorders/>
            <w:noWrap/>
            <w:hideMark/>
          </w:tcPr>
          <w:p>
            <w:pPr>
              <w:pStyle w:val="style0"/>
              <w:jc w:val="center"/>
              <w:rPr>
                <w:sz w:val="20"/>
                <w:szCs w:val="20"/>
              </w:rPr>
            </w:pPr>
            <w:r>
              <w:rPr>
                <w:sz w:val="20"/>
                <w:szCs w:val="20"/>
              </w:rPr>
              <w:t>0.554</w:t>
            </w:r>
          </w:p>
        </w:tc>
        <w:tc>
          <w:tcPr>
            <w:tcW w:w="948" w:type="dxa"/>
            <w:tcBorders/>
            <w:noWrap/>
            <w:hideMark/>
          </w:tcPr>
          <w:p>
            <w:pPr>
              <w:pStyle w:val="style0"/>
              <w:jc w:val="center"/>
              <w:rPr>
                <w:sz w:val="20"/>
                <w:szCs w:val="20"/>
              </w:rPr>
            </w:pPr>
            <w:r>
              <w:rPr>
                <w:sz w:val="20"/>
                <w:szCs w:val="20"/>
              </w:rPr>
              <w:t>1.306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0.318</w:t>
            </w:r>
          </w:p>
        </w:tc>
        <w:tc>
          <w:tcPr>
            <w:tcW w:w="1239" w:type="dxa"/>
            <w:tcBorders/>
            <w:noWrap/>
            <w:hideMark/>
          </w:tcPr>
          <w:p>
            <w:pPr>
              <w:pStyle w:val="style0"/>
              <w:jc w:val="center"/>
              <w:rPr>
                <w:sz w:val="20"/>
                <w:szCs w:val="20"/>
              </w:rPr>
            </w:pPr>
            <w:r>
              <w:rPr>
                <w:sz w:val="20"/>
                <w:szCs w:val="20"/>
              </w:rPr>
              <w:t>0.335</w:t>
            </w:r>
          </w:p>
        </w:tc>
        <w:tc>
          <w:tcPr>
            <w:tcW w:w="948" w:type="dxa"/>
            <w:tcBorders/>
            <w:noWrap/>
            <w:hideMark/>
          </w:tcPr>
          <w:p>
            <w:pPr>
              <w:pStyle w:val="style0"/>
              <w:jc w:val="center"/>
              <w:rPr>
                <w:sz w:val="20"/>
                <w:szCs w:val="20"/>
              </w:rPr>
            </w:pPr>
            <w:r>
              <w:rPr>
                <w:sz w:val="20"/>
                <w:szCs w:val="20"/>
              </w:rPr>
              <w:t>0.686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0.318</w:t>
            </w:r>
          </w:p>
        </w:tc>
        <w:tc>
          <w:tcPr>
            <w:tcW w:w="1239" w:type="dxa"/>
            <w:tcBorders/>
            <w:noWrap/>
            <w:hideMark/>
          </w:tcPr>
          <w:p>
            <w:pPr>
              <w:pStyle w:val="style0"/>
              <w:jc w:val="center"/>
              <w:rPr>
                <w:sz w:val="20"/>
                <w:szCs w:val="20"/>
              </w:rPr>
            </w:pPr>
            <w:r>
              <w:rPr>
                <w:sz w:val="20"/>
                <w:szCs w:val="20"/>
              </w:rPr>
              <w:t>0.328</w:t>
            </w:r>
          </w:p>
        </w:tc>
        <w:tc>
          <w:tcPr>
            <w:tcW w:w="948" w:type="dxa"/>
            <w:tcBorders/>
            <w:noWrap/>
            <w:hideMark/>
          </w:tcPr>
          <w:p>
            <w:pPr>
              <w:pStyle w:val="style0"/>
              <w:jc w:val="center"/>
              <w:rPr>
                <w:sz w:val="20"/>
                <w:szCs w:val="20"/>
              </w:rPr>
            </w:pPr>
            <w:r>
              <w:rPr>
                <w:sz w:val="20"/>
                <w:szCs w:val="20"/>
              </w:rPr>
              <w:t>0.594</w:t>
            </w:r>
          </w:p>
        </w:tc>
      </w:tr>
      <w:tr>
        <w:tblPrEx/>
        <w:trPr>
          <w:trHeight w:val="290" w:hRule="atLeast"/>
        </w:trPr>
        <w:tc>
          <w:tcPr>
            <w:tcW w:w="510" w:type="dxa"/>
            <w:tcBorders/>
          </w:tcPr>
          <w:p>
            <w:pPr>
              <w:pStyle w:val="style0"/>
              <w:jc w:val="center"/>
              <w:rPr>
                <w:sz w:val="20"/>
                <w:szCs w:val="20"/>
              </w:rPr>
            </w:pPr>
            <w:r>
              <w:rPr>
                <w:sz w:val="20"/>
                <w:szCs w:val="20"/>
              </w:rPr>
              <w:t>25</w:t>
            </w:r>
          </w:p>
        </w:tc>
        <w:tc>
          <w:tcPr>
            <w:tcW w:w="1461" w:type="dxa"/>
            <w:tcBorders/>
            <w:noWrap/>
            <w:hideMark/>
          </w:tcPr>
          <w:p>
            <w:pPr>
              <w:pStyle w:val="style0"/>
              <w:jc w:val="center"/>
              <w:rPr>
                <w:sz w:val="20"/>
                <w:szCs w:val="20"/>
              </w:rPr>
            </w:pPr>
            <w:r>
              <w:rPr>
                <w:sz w:val="20"/>
                <w:szCs w:val="20"/>
              </w:rPr>
              <w:t>SAMF</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0.250</w:t>
            </w:r>
          </w:p>
        </w:tc>
        <w:tc>
          <w:tcPr>
            <w:tcW w:w="1205" w:type="dxa"/>
            <w:tcBorders/>
            <w:noWrap/>
            <w:hideMark/>
          </w:tcPr>
          <w:p>
            <w:pPr>
              <w:pStyle w:val="style0"/>
              <w:jc w:val="center"/>
              <w:rPr>
                <w:sz w:val="20"/>
                <w:szCs w:val="20"/>
              </w:rPr>
            </w:pPr>
            <w:r>
              <w:rPr>
                <w:sz w:val="20"/>
                <w:szCs w:val="20"/>
              </w:rPr>
              <w:t>0.090</w:t>
            </w:r>
          </w:p>
        </w:tc>
        <w:tc>
          <w:tcPr>
            <w:tcW w:w="1239" w:type="dxa"/>
            <w:tcBorders/>
            <w:noWrap/>
            <w:hideMark/>
          </w:tcPr>
          <w:p>
            <w:pPr>
              <w:pStyle w:val="style0"/>
              <w:jc w:val="center"/>
              <w:rPr>
                <w:sz w:val="20"/>
                <w:szCs w:val="20"/>
              </w:rPr>
            </w:pPr>
            <w:r>
              <w:rPr>
                <w:sz w:val="20"/>
                <w:szCs w:val="20"/>
              </w:rPr>
              <w:t>0.870</w:t>
            </w:r>
          </w:p>
        </w:tc>
        <w:tc>
          <w:tcPr>
            <w:tcW w:w="948" w:type="dxa"/>
            <w:tcBorders/>
            <w:noWrap/>
            <w:hideMark/>
          </w:tcPr>
          <w:p>
            <w:pPr>
              <w:pStyle w:val="style0"/>
              <w:jc w:val="center"/>
              <w:rPr>
                <w:sz w:val="20"/>
                <w:szCs w:val="20"/>
              </w:rPr>
            </w:pPr>
            <w:r>
              <w:rPr>
                <w:sz w:val="20"/>
                <w:szCs w:val="20"/>
              </w:rPr>
              <w:t>1.936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0.090</w:t>
            </w:r>
          </w:p>
        </w:tc>
        <w:tc>
          <w:tcPr>
            <w:tcW w:w="1239" w:type="dxa"/>
            <w:tcBorders/>
            <w:noWrap/>
            <w:hideMark/>
          </w:tcPr>
          <w:p>
            <w:pPr>
              <w:pStyle w:val="style0"/>
              <w:jc w:val="center"/>
              <w:rPr>
                <w:sz w:val="20"/>
                <w:szCs w:val="20"/>
              </w:rPr>
            </w:pPr>
            <w:r>
              <w:rPr>
                <w:sz w:val="20"/>
                <w:szCs w:val="20"/>
              </w:rPr>
              <w:t>0.855</w:t>
            </w:r>
          </w:p>
        </w:tc>
        <w:tc>
          <w:tcPr>
            <w:tcW w:w="948" w:type="dxa"/>
            <w:tcBorders/>
            <w:noWrap/>
            <w:hideMark/>
          </w:tcPr>
          <w:p>
            <w:pPr>
              <w:pStyle w:val="style0"/>
              <w:jc w:val="center"/>
              <w:rPr>
                <w:sz w:val="20"/>
                <w:szCs w:val="20"/>
              </w:rPr>
            </w:pPr>
            <w:r>
              <w:rPr>
                <w:sz w:val="20"/>
                <w:szCs w:val="20"/>
              </w:rPr>
              <w:t>3.694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0.090</w:t>
            </w:r>
          </w:p>
        </w:tc>
        <w:tc>
          <w:tcPr>
            <w:tcW w:w="1239" w:type="dxa"/>
            <w:tcBorders/>
            <w:noWrap/>
            <w:hideMark/>
          </w:tcPr>
          <w:p>
            <w:pPr>
              <w:pStyle w:val="style0"/>
              <w:jc w:val="center"/>
              <w:rPr>
                <w:sz w:val="20"/>
                <w:szCs w:val="20"/>
              </w:rPr>
            </w:pPr>
            <w:r>
              <w:rPr>
                <w:sz w:val="20"/>
                <w:szCs w:val="20"/>
              </w:rPr>
              <w:t>0.855</w:t>
            </w:r>
          </w:p>
        </w:tc>
        <w:tc>
          <w:tcPr>
            <w:tcW w:w="948" w:type="dxa"/>
            <w:tcBorders/>
            <w:noWrap/>
            <w:hideMark/>
          </w:tcPr>
          <w:p>
            <w:pPr>
              <w:pStyle w:val="style0"/>
              <w:jc w:val="center"/>
              <w:rPr>
                <w:sz w:val="20"/>
                <w:szCs w:val="20"/>
              </w:rPr>
            </w:pPr>
            <w:r>
              <w:rPr>
                <w:sz w:val="20"/>
                <w:szCs w:val="20"/>
              </w:rPr>
              <w:t>1.416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0.090</w:t>
            </w:r>
          </w:p>
        </w:tc>
        <w:tc>
          <w:tcPr>
            <w:tcW w:w="1239" w:type="dxa"/>
            <w:tcBorders/>
            <w:noWrap/>
            <w:hideMark/>
          </w:tcPr>
          <w:p>
            <w:pPr>
              <w:pStyle w:val="style0"/>
              <w:jc w:val="center"/>
              <w:rPr>
                <w:sz w:val="20"/>
                <w:szCs w:val="20"/>
              </w:rPr>
            </w:pPr>
            <w:r>
              <w:rPr>
                <w:sz w:val="20"/>
                <w:szCs w:val="20"/>
              </w:rPr>
              <w:t>0.868</w:t>
            </w:r>
          </w:p>
        </w:tc>
        <w:tc>
          <w:tcPr>
            <w:tcW w:w="948" w:type="dxa"/>
            <w:tcBorders/>
            <w:noWrap/>
            <w:hideMark/>
          </w:tcPr>
          <w:p>
            <w:pPr>
              <w:pStyle w:val="style0"/>
              <w:jc w:val="center"/>
              <w:rPr>
                <w:sz w:val="20"/>
                <w:szCs w:val="20"/>
              </w:rPr>
            </w:pPr>
            <w:r>
              <w:rPr>
                <w:sz w:val="20"/>
                <w:szCs w:val="20"/>
              </w:rPr>
              <w:t>1.873</w:t>
            </w:r>
          </w:p>
        </w:tc>
      </w:tr>
      <w:tr>
        <w:tblPrEx/>
        <w:trPr>
          <w:trHeight w:val="290" w:hRule="atLeast"/>
        </w:trPr>
        <w:tc>
          <w:tcPr>
            <w:tcW w:w="510" w:type="dxa"/>
            <w:tcBorders/>
          </w:tcPr>
          <w:p>
            <w:pPr>
              <w:pStyle w:val="style0"/>
              <w:jc w:val="center"/>
              <w:rPr>
                <w:sz w:val="20"/>
                <w:szCs w:val="20"/>
              </w:rPr>
            </w:pPr>
            <w:r>
              <w:rPr>
                <w:sz w:val="20"/>
                <w:szCs w:val="20"/>
              </w:rPr>
              <w:t>26</w:t>
            </w:r>
          </w:p>
        </w:tc>
        <w:tc>
          <w:tcPr>
            <w:tcW w:w="1461" w:type="dxa"/>
            <w:tcBorders/>
            <w:noWrap/>
            <w:hideMark/>
          </w:tcPr>
          <w:p>
            <w:pPr>
              <w:pStyle w:val="style0"/>
              <w:jc w:val="center"/>
              <w:rPr>
                <w:sz w:val="20"/>
                <w:szCs w:val="20"/>
              </w:rPr>
            </w:pPr>
            <w:r>
              <w:rPr>
                <w:sz w:val="20"/>
                <w:szCs w:val="20"/>
              </w:rPr>
              <w:t>EPAC</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0.265</w:t>
            </w:r>
          </w:p>
        </w:tc>
        <w:tc>
          <w:tcPr>
            <w:tcW w:w="1239" w:type="dxa"/>
            <w:tcBorders/>
            <w:noWrap/>
            <w:hideMark/>
          </w:tcPr>
          <w:p>
            <w:pPr>
              <w:pStyle w:val="style0"/>
              <w:jc w:val="center"/>
              <w:rPr>
                <w:sz w:val="20"/>
                <w:szCs w:val="20"/>
              </w:rPr>
            </w:pPr>
            <w:r>
              <w:rPr>
                <w:sz w:val="20"/>
                <w:szCs w:val="20"/>
              </w:rPr>
              <w:t>0.242</w:t>
            </w:r>
          </w:p>
        </w:tc>
        <w:tc>
          <w:tcPr>
            <w:tcW w:w="948" w:type="dxa"/>
            <w:tcBorders/>
            <w:noWrap/>
            <w:hideMark/>
          </w:tcPr>
          <w:p>
            <w:pPr>
              <w:pStyle w:val="style0"/>
              <w:jc w:val="center"/>
              <w:rPr>
                <w:sz w:val="20"/>
                <w:szCs w:val="20"/>
              </w:rPr>
            </w:pPr>
            <w:r>
              <w:rPr>
                <w:sz w:val="20"/>
                <w:szCs w:val="20"/>
              </w:rPr>
              <w:t>2.641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0.241</w:t>
            </w:r>
          </w:p>
        </w:tc>
        <w:tc>
          <w:tcPr>
            <w:tcW w:w="1239" w:type="dxa"/>
            <w:tcBorders/>
            <w:noWrap/>
            <w:hideMark/>
          </w:tcPr>
          <w:p>
            <w:pPr>
              <w:pStyle w:val="style0"/>
              <w:jc w:val="center"/>
              <w:rPr>
                <w:sz w:val="20"/>
                <w:szCs w:val="20"/>
              </w:rPr>
            </w:pPr>
            <w:r>
              <w:rPr>
                <w:sz w:val="20"/>
                <w:szCs w:val="20"/>
              </w:rPr>
              <w:t>0.242</w:t>
            </w:r>
          </w:p>
        </w:tc>
        <w:tc>
          <w:tcPr>
            <w:tcW w:w="948" w:type="dxa"/>
            <w:tcBorders/>
            <w:noWrap/>
            <w:hideMark/>
          </w:tcPr>
          <w:p>
            <w:pPr>
              <w:pStyle w:val="style0"/>
              <w:jc w:val="center"/>
              <w:rPr>
                <w:sz w:val="20"/>
                <w:szCs w:val="20"/>
              </w:rPr>
            </w:pPr>
            <w:r>
              <w:rPr>
                <w:sz w:val="20"/>
                <w:szCs w:val="20"/>
              </w:rPr>
              <w:t>0.966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0.088</w:t>
            </w:r>
          </w:p>
        </w:tc>
        <w:tc>
          <w:tcPr>
            <w:tcW w:w="1239" w:type="dxa"/>
            <w:tcBorders/>
            <w:noWrap/>
            <w:hideMark/>
          </w:tcPr>
          <w:p>
            <w:pPr>
              <w:pStyle w:val="style0"/>
              <w:jc w:val="center"/>
              <w:rPr>
                <w:sz w:val="20"/>
                <w:szCs w:val="20"/>
              </w:rPr>
            </w:pPr>
            <w:r>
              <w:rPr>
                <w:sz w:val="20"/>
                <w:szCs w:val="20"/>
              </w:rPr>
              <w:t>0.242</w:t>
            </w:r>
          </w:p>
        </w:tc>
        <w:tc>
          <w:tcPr>
            <w:tcW w:w="948" w:type="dxa"/>
            <w:tcBorders/>
            <w:noWrap/>
            <w:hideMark/>
          </w:tcPr>
          <w:p>
            <w:pPr>
              <w:pStyle w:val="style0"/>
              <w:jc w:val="center"/>
              <w:rPr>
                <w:sz w:val="20"/>
                <w:szCs w:val="20"/>
              </w:rPr>
            </w:pPr>
            <w:r>
              <w:rPr>
                <w:sz w:val="20"/>
                <w:szCs w:val="20"/>
              </w:rPr>
              <w:t>1.169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0.088</w:t>
            </w:r>
          </w:p>
        </w:tc>
        <w:tc>
          <w:tcPr>
            <w:tcW w:w="1239" w:type="dxa"/>
            <w:tcBorders/>
            <w:noWrap/>
            <w:hideMark/>
          </w:tcPr>
          <w:p>
            <w:pPr>
              <w:pStyle w:val="style0"/>
              <w:jc w:val="center"/>
              <w:rPr>
                <w:sz w:val="20"/>
                <w:szCs w:val="20"/>
              </w:rPr>
            </w:pPr>
            <w:r>
              <w:rPr>
                <w:sz w:val="20"/>
                <w:szCs w:val="20"/>
              </w:rPr>
              <w:t>0.242</w:t>
            </w:r>
          </w:p>
        </w:tc>
        <w:tc>
          <w:tcPr>
            <w:tcW w:w="948" w:type="dxa"/>
            <w:tcBorders/>
            <w:noWrap/>
            <w:hideMark/>
          </w:tcPr>
          <w:p>
            <w:pPr>
              <w:pStyle w:val="style0"/>
              <w:jc w:val="center"/>
              <w:rPr>
                <w:sz w:val="20"/>
                <w:szCs w:val="20"/>
              </w:rPr>
            </w:pPr>
            <w:r>
              <w:rPr>
                <w:sz w:val="20"/>
                <w:szCs w:val="20"/>
              </w:rPr>
              <w:t>0.814</w:t>
            </w:r>
          </w:p>
        </w:tc>
      </w:tr>
      <w:tr>
        <w:tblPrEx/>
        <w:trPr>
          <w:trHeight w:val="290" w:hRule="atLeast"/>
        </w:trPr>
        <w:tc>
          <w:tcPr>
            <w:tcW w:w="510" w:type="dxa"/>
            <w:tcBorders/>
          </w:tcPr>
          <w:p>
            <w:pPr>
              <w:pStyle w:val="style0"/>
              <w:jc w:val="center"/>
              <w:rPr>
                <w:sz w:val="20"/>
                <w:szCs w:val="20"/>
              </w:rPr>
            </w:pPr>
            <w:r>
              <w:rPr>
                <w:sz w:val="20"/>
                <w:szCs w:val="20"/>
              </w:rPr>
              <w:t>27</w:t>
            </w:r>
          </w:p>
        </w:tc>
        <w:tc>
          <w:tcPr>
            <w:tcW w:w="1461" w:type="dxa"/>
            <w:tcBorders/>
            <w:noWrap/>
            <w:hideMark/>
          </w:tcPr>
          <w:p>
            <w:pPr>
              <w:pStyle w:val="style0"/>
              <w:jc w:val="center"/>
              <w:rPr>
                <w:sz w:val="20"/>
                <w:szCs w:val="20"/>
              </w:rPr>
            </w:pPr>
            <w:r>
              <w:rPr>
                <w:sz w:val="20"/>
                <w:szCs w:val="20"/>
              </w:rPr>
              <w:t>CPRO</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0.300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0.775</w:t>
            </w:r>
          </w:p>
        </w:tc>
        <w:tc>
          <w:tcPr>
            <w:tcW w:w="948" w:type="dxa"/>
            <w:tcBorders/>
            <w:noWrap/>
            <w:hideMark/>
          </w:tcPr>
          <w:p>
            <w:pPr>
              <w:pStyle w:val="style0"/>
              <w:jc w:val="center"/>
              <w:rPr>
                <w:sz w:val="20"/>
                <w:szCs w:val="20"/>
              </w:rPr>
            </w:pPr>
            <w:r>
              <w:rPr>
                <w:sz w:val="20"/>
                <w:szCs w:val="20"/>
              </w:rPr>
              <w:t>1.357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0.350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0.625</w:t>
            </w:r>
          </w:p>
        </w:tc>
        <w:tc>
          <w:tcPr>
            <w:tcW w:w="948" w:type="dxa"/>
            <w:tcBorders/>
            <w:noWrap/>
            <w:hideMark/>
          </w:tcPr>
          <w:p>
            <w:pPr>
              <w:pStyle w:val="style0"/>
              <w:jc w:val="center"/>
              <w:rPr>
                <w:sz w:val="20"/>
                <w:szCs w:val="20"/>
              </w:rPr>
            </w:pPr>
            <w:r>
              <w:rPr>
                <w:sz w:val="20"/>
                <w:szCs w:val="20"/>
              </w:rPr>
              <w:t>1.431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0.350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0.806</w:t>
            </w:r>
          </w:p>
        </w:tc>
        <w:tc>
          <w:tcPr>
            <w:tcW w:w="948" w:type="dxa"/>
            <w:tcBorders/>
            <w:noWrap/>
            <w:hideMark/>
          </w:tcPr>
          <w:p>
            <w:pPr>
              <w:pStyle w:val="style0"/>
              <w:jc w:val="center"/>
              <w:rPr>
                <w:sz w:val="20"/>
                <w:szCs w:val="20"/>
              </w:rPr>
            </w:pPr>
            <w:r>
              <w:rPr>
                <w:sz w:val="20"/>
                <w:szCs w:val="20"/>
              </w:rPr>
              <w:t>0.996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0.350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0.791</w:t>
            </w:r>
          </w:p>
        </w:tc>
        <w:tc>
          <w:tcPr>
            <w:tcW w:w="948" w:type="dxa"/>
            <w:tcBorders/>
            <w:noWrap/>
            <w:hideMark/>
          </w:tcPr>
          <w:p>
            <w:pPr>
              <w:pStyle w:val="style0"/>
              <w:jc w:val="center"/>
              <w:rPr>
                <w:sz w:val="20"/>
                <w:szCs w:val="20"/>
              </w:rPr>
            </w:pPr>
            <w:r>
              <w:rPr>
                <w:sz w:val="20"/>
                <w:szCs w:val="20"/>
              </w:rPr>
              <w:t>0.944</w:t>
            </w:r>
          </w:p>
        </w:tc>
      </w:tr>
      <w:tr>
        <w:tblPrEx/>
        <w:trPr>
          <w:trHeight w:val="290" w:hRule="atLeast"/>
        </w:trPr>
        <w:tc>
          <w:tcPr>
            <w:tcW w:w="510" w:type="dxa"/>
            <w:tcBorders/>
          </w:tcPr>
          <w:p>
            <w:pPr>
              <w:pStyle w:val="style0"/>
              <w:jc w:val="center"/>
              <w:rPr>
                <w:sz w:val="20"/>
                <w:szCs w:val="20"/>
              </w:rPr>
            </w:pPr>
            <w:r>
              <w:rPr>
                <w:sz w:val="20"/>
                <w:szCs w:val="20"/>
              </w:rPr>
              <w:t>28</w:t>
            </w:r>
          </w:p>
        </w:tc>
        <w:tc>
          <w:tcPr>
            <w:tcW w:w="1461" w:type="dxa"/>
            <w:tcBorders/>
            <w:noWrap/>
            <w:hideMark/>
          </w:tcPr>
          <w:p>
            <w:pPr>
              <w:pStyle w:val="style0"/>
              <w:jc w:val="center"/>
              <w:rPr>
                <w:sz w:val="20"/>
                <w:szCs w:val="20"/>
              </w:rPr>
            </w:pPr>
            <w:r>
              <w:rPr>
                <w:sz w:val="20"/>
                <w:szCs w:val="20"/>
              </w:rPr>
              <w:t>GGRM</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0.350</w:t>
            </w:r>
          </w:p>
        </w:tc>
        <w:tc>
          <w:tcPr>
            <w:tcW w:w="1205" w:type="dxa"/>
            <w:tcBorders/>
            <w:noWrap/>
            <w:hideMark/>
          </w:tcPr>
          <w:p>
            <w:pPr>
              <w:pStyle w:val="style0"/>
              <w:jc w:val="center"/>
              <w:rPr>
                <w:sz w:val="20"/>
                <w:szCs w:val="20"/>
              </w:rPr>
            </w:pPr>
            <w:r>
              <w:rPr>
                <w:sz w:val="20"/>
                <w:szCs w:val="20"/>
              </w:rPr>
              <w:t>0.007</w:t>
            </w:r>
          </w:p>
        </w:tc>
        <w:tc>
          <w:tcPr>
            <w:tcW w:w="1239" w:type="dxa"/>
            <w:tcBorders/>
            <w:noWrap/>
            <w:hideMark/>
          </w:tcPr>
          <w:p>
            <w:pPr>
              <w:pStyle w:val="style0"/>
              <w:jc w:val="center"/>
              <w:rPr>
                <w:sz w:val="20"/>
                <w:szCs w:val="20"/>
              </w:rPr>
            </w:pPr>
            <w:r>
              <w:rPr>
                <w:sz w:val="20"/>
                <w:szCs w:val="20"/>
              </w:rPr>
              <w:t>0.937</w:t>
            </w:r>
          </w:p>
        </w:tc>
        <w:tc>
          <w:tcPr>
            <w:tcW w:w="948" w:type="dxa"/>
            <w:tcBorders/>
            <w:noWrap/>
            <w:hideMark/>
          </w:tcPr>
          <w:p>
            <w:pPr>
              <w:pStyle w:val="style0"/>
              <w:jc w:val="center"/>
              <w:rPr>
                <w:sz w:val="20"/>
                <w:szCs w:val="20"/>
              </w:rPr>
            </w:pPr>
            <w:r>
              <w:rPr>
                <w:sz w:val="20"/>
                <w:szCs w:val="20"/>
              </w:rPr>
              <w:t>1.260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0.350</w:t>
            </w:r>
          </w:p>
        </w:tc>
        <w:tc>
          <w:tcPr>
            <w:tcW w:w="1205" w:type="dxa"/>
            <w:tcBorders/>
            <w:noWrap/>
            <w:hideMark/>
          </w:tcPr>
          <w:p>
            <w:pPr>
              <w:pStyle w:val="style0"/>
              <w:jc w:val="center"/>
              <w:rPr>
                <w:sz w:val="20"/>
                <w:szCs w:val="20"/>
              </w:rPr>
            </w:pPr>
            <w:r>
              <w:rPr>
                <w:sz w:val="20"/>
                <w:szCs w:val="20"/>
              </w:rPr>
              <w:t>0.007</w:t>
            </w:r>
          </w:p>
        </w:tc>
        <w:tc>
          <w:tcPr>
            <w:tcW w:w="1239" w:type="dxa"/>
            <w:tcBorders/>
            <w:noWrap/>
            <w:hideMark/>
          </w:tcPr>
          <w:p>
            <w:pPr>
              <w:pStyle w:val="style0"/>
              <w:jc w:val="center"/>
              <w:rPr>
                <w:sz w:val="20"/>
                <w:szCs w:val="20"/>
              </w:rPr>
            </w:pPr>
            <w:r>
              <w:rPr>
                <w:sz w:val="20"/>
                <w:szCs w:val="20"/>
              </w:rPr>
              <w:t>0.930</w:t>
            </w:r>
          </w:p>
        </w:tc>
        <w:tc>
          <w:tcPr>
            <w:tcW w:w="948" w:type="dxa"/>
            <w:tcBorders/>
            <w:noWrap/>
            <w:hideMark/>
          </w:tcPr>
          <w:p>
            <w:pPr>
              <w:pStyle w:val="style0"/>
              <w:jc w:val="center"/>
              <w:rPr>
                <w:sz w:val="20"/>
                <w:szCs w:val="20"/>
              </w:rPr>
            </w:pPr>
            <w:r>
              <w:rPr>
                <w:sz w:val="20"/>
                <w:szCs w:val="20"/>
              </w:rPr>
              <w:t>0.995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0.350</w:t>
            </w:r>
          </w:p>
        </w:tc>
        <w:tc>
          <w:tcPr>
            <w:tcW w:w="1205" w:type="dxa"/>
            <w:tcBorders/>
            <w:noWrap/>
            <w:hideMark/>
          </w:tcPr>
          <w:p>
            <w:pPr>
              <w:pStyle w:val="style0"/>
              <w:jc w:val="center"/>
              <w:rPr>
                <w:sz w:val="20"/>
                <w:szCs w:val="20"/>
              </w:rPr>
            </w:pPr>
            <w:r>
              <w:rPr>
                <w:sz w:val="20"/>
                <w:szCs w:val="20"/>
              </w:rPr>
              <w:t>0.007</w:t>
            </w:r>
          </w:p>
        </w:tc>
        <w:tc>
          <w:tcPr>
            <w:tcW w:w="1239" w:type="dxa"/>
            <w:tcBorders/>
            <w:noWrap/>
            <w:hideMark/>
          </w:tcPr>
          <w:p>
            <w:pPr>
              <w:pStyle w:val="style0"/>
              <w:jc w:val="center"/>
              <w:rPr>
                <w:sz w:val="20"/>
                <w:szCs w:val="20"/>
              </w:rPr>
            </w:pPr>
            <w:r>
              <w:rPr>
                <w:sz w:val="20"/>
                <w:szCs w:val="20"/>
              </w:rPr>
              <w:t>0.910</w:t>
            </w:r>
          </w:p>
        </w:tc>
        <w:tc>
          <w:tcPr>
            <w:tcW w:w="948" w:type="dxa"/>
            <w:tcBorders/>
            <w:noWrap/>
            <w:hideMark/>
          </w:tcPr>
          <w:p>
            <w:pPr>
              <w:pStyle w:val="style0"/>
              <w:jc w:val="center"/>
              <w:rPr>
                <w:sz w:val="20"/>
                <w:szCs w:val="20"/>
              </w:rPr>
            </w:pPr>
            <w:r>
              <w:rPr>
                <w:sz w:val="20"/>
                <w:szCs w:val="20"/>
              </w:rPr>
              <w:t>0.738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0.350</w:t>
            </w:r>
          </w:p>
        </w:tc>
        <w:tc>
          <w:tcPr>
            <w:tcW w:w="1205" w:type="dxa"/>
            <w:tcBorders/>
            <w:noWrap/>
            <w:hideMark/>
          </w:tcPr>
          <w:p>
            <w:pPr>
              <w:pStyle w:val="style0"/>
              <w:jc w:val="center"/>
              <w:rPr>
                <w:sz w:val="20"/>
                <w:szCs w:val="20"/>
              </w:rPr>
            </w:pPr>
            <w:r>
              <w:rPr>
                <w:sz w:val="20"/>
                <w:szCs w:val="20"/>
              </w:rPr>
              <w:t>0.007</w:t>
            </w:r>
          </w:p>
        </w:tc>
        <w:tc>
          <w:tcPr>
            <w:tcW w:w="1239" w:type="dxa"/>
            <w:tcBorders/>
            <w:noWrap/>
            <w:hideMark/>
          </w:tcPr>
          <w:p>
            <w:pPr>
              <w:pStyle w:val="style0"/>
              <w:jc w:val="center"/>
              <w:rPr>
                <w:sz w:val="20"/>
                <w:szCs w:val="20"/>
              </w:rPr>
            </w:pPr>
            <w:r>
              <w:rPr>
                <w:sz w:val="20"/>
                <w:szCs w:val="20"/>
              </w:rPr>
              <w:t>0.899</w:t>
            </w:r>
          </w:p>
        </w:tc>
        <w:tc>
          <w:tcPr>
            <w:tcW w:w="948" w:type="dxa"/>
            <w:tcBorders/>
            <w:noWrap/>
            <w:hideMark/>
          </w:tcPr>
          <w:p>
            <w:pPr>
              <w:pStyle w:val="style0"/>
              <w:jc w:val="center"/>
              <w:rPr>
                <w:sz w:val="20"/>
                <w:szCs w:val="20"/>
              </w:rPr>
            </w:pPr>
            <w:r>
              <w:rPr>
                <w:sz w:val="20"/>
                <w:szCs w:val="20"/>
              </w:rPr>
              <w:t>0.765</w:t>
            </w:r>
          </w:p>
        </w:tc>
      </w:tr>
      <w:tr>
        <w:tblPrEx/>
        <w:trPr>
          <w:trHeight w:val="290" w:hRule="atLeast"/>
        </w:trPr>
        <w:tc>
          <w:tcPr>
            <w:tcW w:w="510" w:type="dxa"/>
            <w:tcBorders/>
          </w:tcPr>
          <w:p>
            <w:pPr>
              <w:pStyle w:val="style0"/>
              <w:jc w:val="center"/>
              <w:rPr>
                <w:sz w:val="20"/>
                <w:szCs w:val="20"/>
              </w:rPr>
            </w:pPr>
            <w:r>
              <w:rPr>
                <w:sz w:val="20"/>
                <w:szCs w:val="20"/>
              </w:rPr>
              <w:t>29</w:t>
            </w:r>
          </w:p>
        </w:tc>
        <w:tc>
          <w:tcPr>
            <w:tcW w:w="1461" w:type="dxa"/>
            <w:tcBorders/>
            <w:noWrap/>
            <w:hideMark/>
          </w:tcPr>
          <w:p>
            <w:pPr>
              <w:pStyle w:val="style0"/>
              <w:jc w:val="center"/>
              <w:rPr>
                <w:sz w:val="20"/>
                <w:szCs w:val="20"/>
              </w:rPr>
            </w:pPr>
            <w:r>
              <w:rPr>
                <w:sz w:val="20"/>
                <w:szCs w:val="20"/>
              </w:rPr>
              <w:t>JPFA</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0.014</w:t>
            </w:r>
          </w:p>
        </w:tc>
        <w:tc>
          <w:tcPr>
            <w:tcW w:w="1239" w:type="dxa"/>
            <w:tcBorders/>
            <w:noWrap/>
            <w:hideMark/>
          </w:tcPr>
          <w:p>
            <w:pPr>
              <w:pStyle w:val="style0"/>
              <w:jc w:val="center"/>
              <w:rPr>
                <w:sz w:val="20"/>
                <w:szCs w:val="20"/>
              </w:rPr>
            </w:pPr>
            <w:r>
              <w:rPr>
                <w:sz w:val="20"/>
                <w:szCs w:val="20"/>
              </w:rPr>
              <w:t>0.525</w:t>
            </w:r>
          </w:p>
        </w:tc>
        <w:tc>
          <w:tcPr>
            <w:tcW w:w="948" w:type="dxa"/>
            <w:tcBorders/>
            <w:noWrap/>
            <w:hideMark/>
          </w:tcPr>
          <w:p>
            <w:pPr>
              <w:pStyle w:val="style0"/>
              <w:jc w:val="center"/>
              <w:rPr>
                <w:sz w:val="20"/>
                <w:szCs w:val="20"/>
              </w:rPr>
            </w:pPr>
            <w:r>
              <w:rPr>
                <w:sz w:val="20"/>
                <w:szCs w:val="20"/>
              </w:rPr>
              <w:t>1.222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0.006</w:t>
            </w:r>
          </w:p>
        </w:tc>
        <w:tc>
          <w:tcPr>
            <w:tcW w:w="1239" w:type="dxa"/>
            <w:tcBorders/>
            <w:noWrap/>
            <w:hideMark/>
          </w:tcPr>
          <w:p>
            <w:pPr>
              <w:pStyle w:val="style0"/>
              <w:jc w:val="center"/>
              <w:rPr>
                <w:sz w:val="20"/>
                <w:szCs w:val="20"/>
              </w:rPr>
            </w:pPr>
            <w:r>
              <w:rPr>
                <w:sz w:val="20"/>
                <w:szCs w:val="20"/>
              </w:rPr>
              <w:t>0.920</w:t>
            </w:r>
          </w:p>
        </w:tc>
        <w:tc>
          <w:tcPr>
            <w:tcW w:w="948" w:type="dxa"/>
            <w:tcBorders/>
            <w:noWrap/>
            <w:hideMark/>
          </w:tcPr>
          <w:p>
            <w:pPr>
              <w:pStyle w:val="style0"/>
              <w:jc w:val="center"/>
              <w:rPr>
                <w:sz w:val="20"/>
                <w:szCs w:val="20"/>
              </w:rPr>
            </w:pPr>
            <w:r>
              <w:rPr>
                <w:sz w:val="20"/>
                <w:szCs w:val="20"/>
              </w:rPr>
              <w:t>1.247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0.899</w:t>
            </w:r>
          </w:p>
        </w:tc>
        <w:tc>
          <w:tcPr>
            <w:tcW w:w="948" w:type="dxa"/>
            <w:tcBorders/>
            <w:noWrap/>
            <w:hideMark/>
          </w:tcPr>
          <w:p>
            <w:pPr>
              <w:pStyle w:val="style0"/>
              <w:jc w:val="center"/>
              <w:rPr>
                <w:sz w:val="20"/>
                <w:szCs w:val="20"/>
              </w:rPr>
            </w:pPr>
            <w:r>
              <w:rPr>
                <w:sz w:val="20"/>
                <w:szCs w:val="20"/>
              </w:rPr>
              <w:t>1.047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0.897</w:t>
            </w:r>
          </w:p>
        </w:tc>
        <w:tc>
          <w:tcPr>
            <w:tcW w:w="948" w:type="dxa"/>
            <w:tcBorders/>
            <w:noWrap/>
            <w:hideMark/>
          </w:tcPr>
          <w:p>
            <w:pPr>
              <w:pStyle w:val="style0"/>
              <w:jc w:val="center"/>
              <w:rPr>
                <w:sz w:val="20"/>
                <w:szCs w:val="20"/>
              </w:rPr>
            </w:pPr>
            <w:r>
              <w:rPr>
                <w:sz w:val="20"/>
                <w:szCs w:val="20"/>
              </w:rPr>
              <w:t>0.990</w:t>
            </w:r>
          </w:p>
        </w:tc>
      </w:tr>
      <w:tr>
        <w:tblPrEx/>
        <w:trPr>
          <w:trHeight w:val="290" w:hRule="atLeast"/>
        </w:trPr>
        <w:tc>
          <w:tcPr>
            <w:tcW w:w="510" w:type="dxa"/>
            <w:tcBorders/>
          </w:tcPr>
          <w:p>
            <w:pPr>
              <w:pStyle w:val="style0"/>
              <w:jc w:val="center"/>
              <w:rPr>
                <w:sz w:val="20"/>
                <w:szCs w:val="20"/>
              </w:rPr>
            </w:pPr>
            <w:r>
              <w:rPr>
                <w:sz w:val="20"/>
                <w:szCs w:val="20"/>
              </w:rPr>
              <w:t>30</w:t>
            </w:r>
          </w:p>
        </w:tc>
        <w:tc>
          <w:tcPr>
            <w:tcW w:w="1461" w:type="dxa"/>
            <w:tcBorders/>
            <w:noWrap/>
            <w:hideMark/>
          </w:tcPr>
          <w:p>
            <w:pPr>
              <w:pStyle w:val="style0"/>
              <w:jc w:val="center"/>
              <w:rPr>
                <w:sz w:val="20"/>
                <w:szCs w:val="20"/>
              </w:rPr>
            </w:pPr>
            <w:r>
              <w:rPr>
                <w:sz w:val="20"/>
                <w:szCs w:val="20"/>
              </w:rPr>
              <w:t>MAIN</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0.700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0.823</w:t>
            </w:r>
          </w:p>
        </w:tc>
        <w:tc>
          <w:tcPr>
            <w:tcW w:w="948" w:type="dxa"/>
            <w:tcBorders/>
            <w:noWrap/>
            <w:hideMark/>
          </w:tcPr>
          <w:p>
            <w:pPr>
              <w:pStyle w:val="style0"/>
              <w:jc w:val="center"/>
              <w:rPr>
                <w:sz w:val="20"/>
                <w:szCs w:val="20"/>
              </w:rPr>
            </w:pPr>
            <w:r>
              <w:rPr>
                <w:sz w:val="20"/>
                <w:szCs w:val="20"/>
              </w:rPr>
              <w:t>0.895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0.700</w:t>
            </w:r>
          </w:p>
        </w:tc>
        <w:tc>
          <w:tcPr>
            <w:tcW w:w="1205" w:type="dxa"/>
            <w:tcBorders/>
            <w:noWrap/>
            <w:hideMark/>
          </w:tcPr>
          <w:p>
            <w:pPr>
              <w:pStyle w:val="style0"/>
              <w:jc w:val="center"/>
              <w:rPr>
                <w:sz w:val="20"/>
                <w:szCs w:val="20"/>
              </w:rPr>
            </w:pPr>
            <w:r>
              <w:rPr>
                <w:sz w:val="20"/>
                <w:szCs w:val="20"/>
              </w:rPr>
              <w:t>0.003</w:t>
            </w:r>
          </w:p>
        </w:tc>
        <w:tc>
          <w:tcPr>
            <w:tcW w:w="1239" w:type="dxa"/>
            <w:tcBorders/>
            <w:noWrap/>
            <w:hideMark/>
          </w:tcPr>
          <w:p>
            <w:pPr>
              <w:pStyle w:val="style0"/>
              <w:jc w:val="center"/>
              <w:rPr>
                <w:sz w:val="20"/>
                <w:szCs w:val="20"/>
              </w:rPr>
            </w:pPr>
            <w:r>
              <w:rPr>
                <w:sz w:val="20"/>
                <w:szCs w:val="20"/>
              </w:rPr>
              <w:t>0.764</w:t>
            </w:r>
          </w:p>
        </w:tc>
        <w:tc>
          <w:tcPr>
            <w:tcW w:w="948" w:type="dxa"/>
            <w:tcBorders/>
            <w:noWrap/>
            <w:hideMark/>
          </w:tcPr>
          <w:p>
            <w:pPr>
              <w:pStyle w:val="style0"/>
              <w:jc w:val="center"/>
              <w:rPr>
                <w:sz w:val="20"/>
                <w:szCs w:val="20"/>
              </w:rPr>
            </w:pPr>
            <w:r>
              <w:rPr>
                <w:sz w:val="20"/>
                <w:szCs w:val="20"/>
              </w:rPr>
              <w:t>0.837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0.003</w:t>
            </w:r>
          </w:p>
        </w:tc>
        <w:tc>
          <w:tcPr>
            <w:tcW w:w="1239" w:type="dxa"/>
            <w:tcBorders/>
            <w:noWrap/>
            <w:hideMark/>
          </w:tcPr>
          <w:p>
            <w:pPr>
              <w:pStyle w:val="style0"/>
              <w:jc w:val="center"/>
              <w:rPr>
                <w:sz w:val="20"/>
                <w:szCs w:val="20"/>
              </w:rPr>
            </w:pPr>
            <w:r>
              <w:rPr>
                <w:sz w:val="20"/>
                <w:szCs w:val="20"/>
              </w:rPr>
              <w:t>0.769</w:t>
            </w:r>
          </w:p>
        </w:tc>
        <w:tc>
          <w:tcPr>
            <w:tcW w:w="948" w:type="dxa"/>
            <w:tcBorders/>
            <w:noWrap/>
            <w:hideMark/>
          </w:tcPr>
          <w:p>
            <w:pPr>
              <w:pStyle w:val="style0"/>
              <w:jc w:val="center"/>
              <w:rPr>
                <w:sz w:val="20"/>
                <w:szCs w:val="20"/>
              </w:rPr>
            </w:pPr>
            <w:r>
              <w:rPr>
                <w:sz w:val="20"/>
                <w:szCs w:val="20"/>
              </w:rPr>
              <w:t>0.835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0.700</w:t>
            </w:r>
          </w:p>
        </w:tc>
        <w:tc>
          <w:tcPr>
            <w:tcW w:w="1205" w:type="dxa"/>
            <w:tcBorders/>
            <w:noWrap/>
            <w:hideMark/>
          </w:tcPr>
          <w:p>
            <w:pPr>
              <w:pStyle w:val="style0"/>
              <w:jc w:val="center"/>
              <w:rPr>
                <w:sz w:val="20"/>
                <w:szCs w:val="20"/>
              </w:rPr>
            </w:pPr>
            <w:r>
              <w:rPr>
                <w:sz w:val="20"/>
                <w:szCs w:val="20"/>
              </w:rPr>
              <w:t>0.003</w:t>
            </w:r>
          </w:p>
        </w:tc>
        <w:tc>
          <w:tcPr>
            <w:tcW w:w="1239" w:type="dxa"/>
            <w:tcBorders/>
            <w:noWrap/>
            <w:hideMark/>
          </w:tcPr>
          <w:p>
            <w:pPr>
              <w:pStyle w:val="style0"/>
              <w:jc w:val="center"/>
              <w:rPr>
                <w:sz w:val="20"/>
                <w:szCs w:val="20"/>
              </w:rPr>
            </w:pPr>
            <w:r>
              <w:rPr>
                <w:sz w:val="20"/>
                <w:szCs w:val="20"/>
              </w:rPr>
              <w:t>0.747</w:t>
            </w:r>
          </w:p>
        </w:tc>
        <w:tc>
          <w:tcPr>
            <w:tcW w:w="948" w:type="dxa"/>
            <w:tcBorders/>
            <w:noWrap/>
            <w:hideMark/>
          </w:tcPr>
          <w:p>
            <w:pPr>
              <w:pStyle w:val="style0"/>
              <w:jc w:val="center"/>
              <w:rPr>
                <w:sz w:val="20"/>
                <w:szCs w:val="20"/>
              </w:rPr>
            </w:pPr>
            <w:r>
              <w:rPr>
                <w:sz w:val="20"/>
                <w:szCs w:val="20"/>
              </w:rPr>
              <w:t>0.757</w:t>
            </w:r>
          </w:p>
        </w:tc>
      </w:tr>
      <w:tr>
        <w:tblPrEx/>
        <w:trPr>
          <w:trHeight w:val="290" w:hRule="atLeast"/>
        </w:trPr>
        <w:tc>
          <w:tcPr>
            <w:tcW w:w="510" w:type="dxa"/>
            <w:tcBorders/>
          </w:tcPr>
          <w:p>
            <w:pPr>
              <w:pStyle w:val="style0"/>
              <w:jc w:val="center"/>
              <w:rPr>
                <w:sz w:val="20"/>
                <w:szCs w:val="20"/>
              </w:rPr>
            </w:pPr>
            <w:r>
              <w:rPr>
                <w:sz w:val="20"/>
                <w:szCs w:val="20"/>
              </w:rPr>
              <w:t>31</w:t>
            </w:r>
          </w:p>
        </w:tc>
        <w:tc>
          <w:tcPr>
            <w:tcW w:w="1461" w:type="dxa"/>
            <w:tcBorders/>
            <w:noWrap/>
            <w:hideMark/>
          </w:tcPr>
          <w:p>
            <w:pPr>
              <w:pStyle w:val="style0"/>
              <w:jc w:val="center"/>
              <w:rPr>
                <w:sz w:val="20"/>
                <w:szCs w:val="20"/>
              </w:rPr>
            </w:pPr>
            <w:r>
              <w:rPr>
                <w:sz w:val="20"/>
                <w:szCs w:val="20"/>
              </w:rPr>
              <w:t>MYOR</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0.252</w:t>
            </w:r>
          </w:p>
        </w:tc>
        <w:tc>
          <w:tcPr>
            <w:tcW w:w="1239" w:type="dxa"/>
            <w:tcBorders/>
            <w:noWrap/>
            <w:hideMark/>
          </w:tcPr>
          <w:p>
            <w:pPr>
              <w:pStyle w:val="style0"/>
              <w:jc w:val="center"/>
              <w:rPr>
                <w:sz w:val="20"/>
                <w:szCs w:val="20"/>
              </w:rPr>
            </w:pPr>
            <w:r>
              <w:rPr>
                <w:sz w:val="20"/>
                <w:szCs w:val="20"/>
              </w:rPr>
              <w:t>0.150</w:t>
            </w:r>
          </w:p>
        </w:tc>
        <w:tc>
          <w:tcPr>
            <w:tcW w:w="948" w:type="dxa"/>
            <w:tcBorders/>
            <w:noWrap/>
            <w:hideMark/>
          </w:tcPr>
          <w:p>
            <w:pPr>
              <w:pStyle w:val="style0"/>
              <w:jc w:val="center"/>
              <w:rPr>
                <w:sz w:val="20"/>
                <w:szCs w:val="20"/>
              </w:rPr>
            </w:pPr>
            <w:r>
              <w:rPr>
                <w:sz w:val="20"/>
                <w:szCs w:val="20"/>
              </w:rPr>
              <w:t>3.494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0.253</w:t>
            </w:r>
          </w:p>
        </w:tc>
        <w:tc>
          <w:tcPr>
            <w:tcW w:w="1239" w:type="dxa"/>
            <w:tcBorders/>
            <w:noWrap/>
            <w:hideMark/>
          </w:tcPr>
          <w:p>
            <w:pPr>
              <w:pStyle w:val="style0"/>
              <w:jc w:val="center"/>
              <w:rPr>
                <w:sz w:val="20"/>
                <w:szCs w:val="20"/>
              </w:rPr>
            </w:pPr>
            <w:r>
              <w:rPr>
                <w:sz w:val="20"/>
                <w:szCs w:val="20"/>
              </w:rPr>
              <w:t>0.739</w:t>
            </w:r>
          </w:p>
        </w:tc>
        <w:tc>
          <w:tcPr>
            <w:tcW w:w="948" w:type="dxa"/>
            <w:tcBorders/>
            <w:noWrap/>
            <w:hideMark/>
          </w:tcPr>
          <w:p>
            <w:pPr>
              <w:pStyle w:val="style0"/>
              <w:jc w:val="center"/>
              <w:rPr>
                <w:sz w:val="20"/>
                <w:szCs w:val="20"/>
              </w:rPr>
            </w:pPr>
            <w:r>
              <w:rPr>
                <w:sz w:val="20"/>
                <w:szCs w:val="20"/>
              </w:rPr>
              <w:t>2.720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0.253</w:t>
            </w:r>
          </w:p>
        </w:tc>
        <w:tc>
          <w:tcPr>
            <w:tcW w:w="1239" w:type="dxa"/>
            <w:tcBorders/>
            <w:noWrap/>
            <w:hideMark/>
          </w:tcPr>
          <w:p>
            <w:pPr>
              <w:pStyle w:val="style0"/>
              <w:jc w:val="center"/>
              <w:rPr>
                <w:sz w:val="20"/>
                <w:szCs w:val="20"/>
              </w:rPr>
            </w:pPr>
            <w:r>
              <w:rPr>
                <w:sz w:val="20"/>
                <w:szCs w:val="20"/>
              </w:rPr>
              <w:t>0.740</w:t>
            </w:r>
          </w:p>
        </w:tc>
        <w:tc>
          <w:tcPr>
            <w:tcW w:w="948" w:type="dxa"/>
            <w:tcBorders/>
            <w:noWrap/>
            <w:hideMark/>
          </w:tcPr>
          <w:p>
            <w:pPr>
              <w:pStyle w:val="style0"/>
              <w:jc w:val="center"/>
              <w:rPr>
                <w:sz w:val="20"/>
                <w:szCs w:val="20"/>
              </w:rPr>
            </w:pPr>
            <w:r>
              <w:rPr>
                <w:sz w:val="20"/>
                <w:szCs w:val="20"/>
              </w:rPr>
              <w:t>2.933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0.253</w:t>
            </w:r>
          </w:p>
        </w:tc>
        <w:tc>
          <w:tcPr>
            <w:tcW w:w="1239" w:type="dxa"/>
            <w:tcBorders/>
            <w:noWrap/>
            <w:hideMark/>
          </w:tcPr>
          <w:p>
            <w:pPr>
              <w:pStyle w:val="style0"/>
              <w:jc w:val="center"/>
              <w:rPr>
                <w:sz w:val="20"/>
                <w:szCs w:val="20"/>
              </w:rPr>
            </w:pPr>
            <w:r>
              <w:rPr>
                <w:sz w:val="20"/>
                <w:szCs w:val="20"/>
              </w:rPr>
              <w:t>0.739</w:t>
            </w:r>
          </w:p>
        </w:tc>
        <w:tc>
          <w:tcPr>
            <w:tcW w:w="948" w:type="dxa"/>
            <w:tcBorders/>
            <w:noWrap/>
            <w:hideMark/>
          </w:tcPr>
          <w:p>
            <w:pPr>
              <w:pStyle w:val="style0"/>
              <w:jc w:val="center"/>
              <w:rPr>
                <w:sz w:val="20"/>
                <w:szCs w:val="20"/>
              </w:rPr>
            </w:pPr>
            <w:r>
              <w:rPr>
                <w:sz w:val="20"/>
                <w:szCs w:val="20"/>
              </w:rPr>
              <w:t>2.692</w:t>
            </w:r>
          </w:p>
        </w:tc>
      </w:tr>
      <w:tr>
        <w:tblPrEx/>
        <w:trPr>
          <w:trHeight w:val="290" w:hRule="atLeast"/>
        </w:trPr>
        <w:tc>
          <w:tcPr>
            <w:tcW w:w="510" w:type="dxa"/>
            <w:tcBorders/>
          </w:tcPr>
          <w:p>
            <w:pPr>
              <w:pStyle w:val="style0"/>
              <w:jc w:val="center"/>
              <w:rPr>
                <w:sz w:val="20"/>
                <w:szCs w:val="20"/>
              </w:rPr>
            </w:pPr>
            <w:r>
              <w:rPr>
                <w:sz w:val="20"/>
                <w:szCs w:val="20"/>
              </w:rPr>
              <w:t>32</w:t>
            </w:r>
          </w:p>
        </w:tc>
        <w:tc>
          <w:tcPr>
            <w:tcW w:w="1461" w:type="dxa"/>
            <w:tcBorders/>
            <w:noWrap/>
            <w:hideMark/>
          </w:tcPr>
          <w:p>
            <w:pPr>
              <w:pStyle w:val="style0"/>
              <w:jc w:val="center"/>
              <w:rPr>
                <w:sz w:val="20"/>
                <w:szCs w:val="20"/>
              </w:rPr>
            </w:pPr>
            <w:r>
              <w:rPr>
                <w:sz w:val="20"/>
                <w:szCs w:val="20"/>
              </w:rPr>
              <w:t>SKBM</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0.022</w:t>
            </w:r>
          </w:p>
        </w:tc>
        <w:tc>
          <w:tcPr>
            <w:tcW w:w="1239" w:type="dxa"/>
            <w:tcBorders/>
            <w:noWrap/>
            <w:hideMark/>
          </w:tcPr>
          <w:p>
            <w:pPr>
              <w:pStyle w:val="style0"/>
              <w:jc w:val="center"/>
              <w:rPr>
                <w:sz w:val="20"/>
                <w:szCs w:val="20"/>
              </w:rPr>
            </w:pPr>
            <w:r>
              <w:rPr>
                <w:sz w:val="20"/>
                <w:szCs w:val="20"/>
              </w:rPr>
              <w:t>0.955</w:t>
            </w:r>
          </w:p>
        </w:tc>
        <w:tc>
          <w:tcPr>
            <w:tcW w:w="948" w:type="dxa"/>
            <w:tcBorders/>
            <w:noWrap/>
            <w:hideMark/>
          </w:tcPr>
          <w:p>
            <w:pPr>
              <w:pStyle w:val="style0"/>
              <w:jc w:val="center"/>
              <w:rPr>
                <w:sz w:val="20"/>
                <w:szCs w:val="20"/>
              </w:rPr>
            </w:pPr>
            <w:r>
              <w:rPr>
                <w:sz w:val="20"/>
                <w:szCs w:val="20"/>
              </w:rPr>
              <w:t>0.772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0.022</w:t>
            </w:r>
          </w:p>
        </w:tc>
        <w:tc>
          <w:tcPr>
            <w:tcW w:w="1239" w:type="dxa"/>
            <w:tcBorders/>
            <w:noWrap/>
            <w:hideMark/>
          </w:tcPr>
          <w:p>
            <w:pPr>
              <w:pStyle w:val="style0"/>
              <w:jc w:val="center"/>
              <w:rPr>
                <w:sz w:val="20"/>
                <w:szCs w:val="20"/>
              </w:rPr>
            </w:pPr>
            <w:r>
              <w:rPr>
                <w:sz w:val="20"/>
                <w:szCs w:val="20"/>
              </w:rPr>
              <w:t>1.563</w:t>
            </w:r>
          </w:p>
        </w:tc>
        <w:tc>
          <w:tcPr>
            <w:tcW w:w="948" w:type="dxa"/>
            <w:tcBorders/>
            <w:noWrap/>
            <w:hideMark/>
          </w:tcPr>
          <w:p>
            <w:pPr>
              <w:pStyle w:val="style0"/>
              <w:jc w:val="center"/>
              <w:rPr>
                <w:sz w:val="20"/>
                <w:szCs w:val="20"/>
              </w:rPr>
            </w:pPr>
            <w:r>
              <w:rPr>
                <w:sz w:val="20"/>
                <w:szCs w:val="20"/>
              </w:rPr>
              <w:t>0.812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0.023</w:t>
            </w:r>
          </w:p>
        </w:tc>
        <w:tc>
          <w:tcPr>
            <w:tcW w:w="1239" w:type="dxa"/>
            <w:tcBorders/>
            <w:noWrap/>
            <w:hideMark/>
          </w:tcPr>
          <w:p>
            <w:pPr>
              <w:pStyle w:val="style0"/>
              <w:jc w:val="center"/>
              <w:rPr>
                <w:sz w:val="20"/>
                <w:szCs w:val="20"/>
              </w:rPr>
            </w:pPr>
            <w:r>
              <w:rPr>
                <w:sz w:val="20"/>
                <w:szCs w:val="20"/>
              </w:rPr>
              <w:t>0.924</w:t>
            </w:r>
          </w:p>
        </w:tc>
        <w:tc>
          <w:tcPr>
            <w:tcW w:w="948" w:type="dxa"/>
            <w:tcBorders/>
            <w:noWrap/>
            <w:hideMark/>
          </w:tcPr>
          <w:p>
            <w:pPr>
              <w:pStyle w:val="style0"/>
              <w:jc w:val="center"/>
              <w:rPr>
                <w:sz w:val="20"/>
                <w:szCs w:val="20"/>
              </w:rPr>
            </w:pPr>
            <w:r>
              <w:rPr>
                <w:sz w:val="20"/>
                <w:szCs w:val="20"/>
              </w:rPr>
              <w:t>0.794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0.023</w:t>
            </w:r>
          </w:p>
        </w:tc>
        <w:tc>
          <w:tcPr>
            <w:tcW w:w="1239" w:type="dxa"/>
            <w:tcBorders/>
            <w:noWrap/>
            <w:hideMark/>
          </w:tcPr>
          <w:p>
            <w:pPr>
              <w:pStyle w:val="style0"/>
              <w:jc w:val="center"/>
              <w:rPr>
                <w:sz w:val="20"/>
                <w:szCs w:val="20"/>
              </w:rPr>
            </w:pPr>
            <w:r>
              <w:rPr>
                <w:sz w:val="20"/>
                <w:szCs w:val="20"/>
              </w:rPr>
              <w:t>0.924</w:t>
            </w:r>
          </w:p>
        </w:tc>
        <w:tc>
          <w:tcPr>
            <w:tcW w:w="948" w:type="dxa"/>
            <w:tcBorders/>
            <w:noWrap/>
            <w:hideMark/>
          </w:tcPr>
          <w:p>
            <w:pPr>
              <w:pStyle w:val="style0"/>
              <w:jc w:val="center"/>
              <w:rPr>
                <w:sz w:val="20"/>
                <w:szCs w:val="20"/>
              </w:rPr>
            </w:pPr>
            <w:r>
              <w:rPr>
                <w:sz w:val="20"/>
                <w:szCs w:val="20"/>
              </w:rPr>
              <w:t>0.715</w:t>
            </w:r>
          </w:p>
        </w:tc>
      </w:tr>
      <w:tr>
        <w:tblPrEx/>
        <w:trPr>
          <w:trHeight w:val="290" w:hRule="atLeast"/>
        </w:trPr>
        <w:tc>
          <w:tcPr>
            <w:tcW w:w="510" w:type="dxa"/>
            <w:tcBorders/>
          </w:tcPr>
          <w:p>
            <w:pPr>
              <w:pStyle w:val="style0"/>
              <w:jc w:val="center"/>
              <w:rPr>
                <w:sz w:val="20"/>
                <w:szCs w:val="20"/>
              </w:rPr>
            </w:pPr>
            <w:r>
              <w:rPr>
                <w:sz w:val="20"/>
                <w:szCs w:val="20"/>
              </w:rPr>
              <w:t>33</w:t>
            </w:r>
          </w:p>
        </w:tc>
        <w:tc>
          <w:tcPr>
            <w:tcW w:w="1461" w:type="dxa"/>
            <w:tcBorders/>
            <w:noWrap/>
            <w:hideMark/>
          </w:tcPr>
          <w:p>
            <w:pPr>
              <w:pStyle w:val="style0"/>
              <w:jc w:val="center"/>
              <w:rPr>
                <w:sz w:val="20"/>
                <w:szCs w:val="20"/>
              </w:rPr>
            </w:pPr>
            <w:r>
              <w:rPr>
                <w:sz w:val="20"/>
                <w:szCs w:val="20"/>
              </w:rPr>
              <w:t>TBLA</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0.893</w:t>
            </w:r>
          </w:p>
        </w:tc>
        <w:tc>
          <w:tcPr>
            <w:tcW w:w="948" w:type="dxa"/>
            <w:tcBorders/>
            <w:noWrap/>
            <w:hideMark/>
          </w:tcPr>
          <w:p>
            <w:pPr>
              <w:pStyle w:val="style0"/>
              <w:jc w:val="center"/>
              <w:rPr>
                <w:sz w:val="20"/>
                <w:szCs w:val="20"/>
              </w:rPr>
            </w:pPr>
            <w:r>
              <w:rPr>
                <w:sz w:val="20"/>
                <w:szCs w:val="20"/>
              </w:rPr>
              <w:t>0.954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0.606</w:t>
            </w:r>
          </w:p>
        </w:tc>
        <w:tc>
          <w:tcPr>
            <w:tcW w:w="948" w:type="dxa"/>
            <w:tcBorders/>
            <w:noWrap/>
            <w:hideMark/>
          </w:tcPr>
          <w:p>
            <w:pPr>
              <w:pStyle w:val="style0"/>
              <w:jc w:val="center"/>
              <w:rPr>
                <w:sz w:val="20"/>
                <w:szCs w:val="20"/>
              </w:rPr>
            </w:pPr>
            <w:r>
              <w:rPr>
                <w:sz w:val="20"/>
                <w:szCs w:val="20"/>
              </w:rPr>
              <w:t>0.894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0.552</w:t>
            </w:r>
          </w:p>
        </w:tc>
        <w:tc>
          <w:tcPr>
            <w:tcW w:w="948" w:type="dxa"/>
            <w:tcBorders/>
            <w:noWrap/>
            <w:hideMark/>
          </w:tcPr>
          <w:p>
            <w:pPr>
              <w:pStyle w:val="style0"/>
              <w:jc w:val="center"/>
              <w:rPr>
                <w:sz w:val="20"/>
                <w:szCs w:val="20"/>
              </w:rPr>
            </w:pPr>
            <w:r>
              <w:rPr>
                <w:sz w:val="20"/>
                <w:szCs w:val="20"/>
              </w:rPr>
              <w:t>0.868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0.638</w:t>
            </w:r>
          </w:p>
        </w:tc>
        <w:tc>
          <w:tcPr>
            <w:tcW w:w="948" w:type="dxa"/>
            <w:tcBorders/>
            <w:noWrap/>
            <w:hideMark/>
          </w:tcPr>
          <w:p>
            <w:pPr>
              <w:pStyle w:val="style0"/>
              <w:jc w:val="center"/>
              <w:rPr>
                <w:sz w:val="20"/>
                <w:szCs w:val="20"/>
              </w:rPr>
            </w:pPr>
            <w:r>
              <w:rPr>
                <w:sz w:val="20"/>
                <w:szCs w:val="20"/>
              </w:rPr>
              <w:t>0.845</w:t>
            </w:r>
          </w:p>
        </w:tc>
      </w:tr>
      <w:tr>
        <w:tblPrEx/>
        <w:trPr>
          <w:trHeight w:val="290" w:hRule="atLeast"/>
        </w:trPr>
        <w:tc>
          <w:tcPr>
            <w:tcW w:w="510" w:type="dxa"/>
            <w:tcBorders/>
          </w:tcPr>
          <w:p>
            <w:pPr>
              <w:pStyle w:val="style0"/>
              <w:jc w:val="center"/>
              <w:rPr>
                <w:sz w:val="20"/>
                <w:szCs w:val="20"/>
              </w:rPr>
            </w:pPr>
            <w:r>
              <w:rPr>
                <w:sz w:val="20"/>
                <w:szCs w:val="20"/>
              </w:rPr>
              <w:t>34</w:t>
            </w:r>
          </w:p>
        </w:tc>
        <w:tc>
          <w:tcPr>
            <w:tcW w:w="1461" w:type="dxa"/>
            <w:tcBorders/>
            <w:noWrap/>
            <w:hideMark/>
          </w:tcPr>
          <w:p>
            <w:pPr>
              <w:pStyle w:val="style0"/>
              <w:jc w:val="center"/>
              <w:rPr>
                <w:sz w:val="20"/>
                <w:szCs w:val="20"/>
              </w:rPr>
            </w:pPr>
            <w:r>
              <w:rPr>
                <w:sz w:val="20"/>
                <w:szCs w:val="20"/>
              </w:rPr>
              <w:t>ULTJ</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0.482</w:t>
            </w:r>
          </w:p>
        </w:tc>
        <w:tc>
          <w:tcPr>
            <w:tcW w:w="1239" w:type="dxa"/>
            <w:tcBorders/>
            <w:noWrap/>
            <w:hideMark/>
          </w:tcPr>
          <w:p>
            <w:pPr>
              <w:pStyle w:val="style0"/>
              <w:jc w:val="center"/>
              <w:rPr>
                <w:sz w:val="20"/>
                <w:szCs w:val="20"/>
              </w:rPr>
            </w:pPr>
            <w:r>
              <w:rPr>
                <w:sz w:val="20"/>
                <w:szCs w:val="20"/>
              </w:rPr>
              <w:t>0.156</w:t>
            </w:r>
          </w:p>
        </w:tc>
        <w:tc>
          <w:tcPr>
            <w:tcW w:w="948" w:type="dxa"/>
            <w:tcBorders/>
            <w:noWrap/>
            <w:hideMark/>
          </w:tcPr>
          <w:p>
            <w:pPr>
              <w:pStyle w:val="style0"/>
              <w:jc w:val="center"/>
              <w:rPr>
                <w:sz w:val="20"/>
                <w:szCs w:val="20"/>
              </w:rPr>
            </w:pPr>
            <w:r>
              <w:rPr>
                <w:sz w:val="20"/>
                <w:szCs w:val="20"/>
              </w:rPr>
              <w:t>2.354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0.485</w:t>
            </w:r>
          </w:p>
        </w:tc>
        <w:tc>
          <w:tcPr>
            <w:tcW w:w="1239" w:type="dxa"/>
            <w:tcBorders/>
            <w:noWrap/>
            <w:hideMark/>
          </w:tcPr>
          <w:p>
            <w:pPr>
              <w:pStyle w:val="style0"/>
              <w:jc w:val="center"/>
              <w:rPr>
                <w:sz w:val="20"/>
                <w:szCs w:val="20"/>
              </w:rPr>
            </w:pPr>
            <w:r>
              <w:rPr>
                <w:sz w:val="20"/>
                <w:szCs w:val="20"/>
              </w:rPr>
              <w:t>0.156</w:t>
            </w:r>
          </w:p>
        </w:tc>
        <w:tc>
          <w:tcPr>
            <w:tcW w:w="948" w:type="dxa"/>
            <w:tcBorders/>
            <w:noWrap/>
            <w:hideMark/>
          </w:tcPr>
          <w:p>
            <w:pPr>
              <w:pStyle w:val="style0"/>
              <w:jc w:val="center"/>
              <w:rPr>
                <w:sz w:val="20"/>
                <w:szCs w:val="20"/>
              </w:rPr>
            </w:pPr>
            <w:r>
              <w:rPr>
                <w:sz w:val="20"/>
                <w:szCs w:val="20"/>
              </w:rPr>
              <w:t>2.510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0.488</w:t>
            </w:r>
          </w:p>
        </w:tc>
        <w:tc>
          <w:tcPr>
            <w:tcW w:w="1239" w:type="dxa"/>
            <w:tcBorders/>
            <w:noWrap/>
            <w:hideMark/>
          </w:tcPr>
          <w:p>
            <w:pPr>
              <w:pStyle w:val="style0"/>
              <w:jc w:val="center"/>
              <w:rPr>
                <w:sz w:val="20"/>
                <w:szCs w:val="20"/>
              </w:rPr>
            </w:pPr>
            <w:r>
              <w:rPr>
                <w:sz w:val="20"/>
                <w:szCs w:val="20"/>
              </w:rPr>
              <w:t>0.363</w:t>
            </w:r>
          </w:p>
        </w:tc>
        <w:tc>
          <w:tcPr>
            <w:tcW w:w="948" w:type="dxa"/>
            <w:tcBorders/>
            <w:noWrap/>
            <w:hideMark/>
          </w:tcPr>
          <w:p>
            <w:pPr>
              <w:pStyle w:val="style0"/>
              <w:jc w:val="center"/>
              <w:rPr>
                <w:sz w:val="20"/>
                <w:szCs w:val="20"/>
              </w:rPr>
            </w:pPr>
            <w:r>
              <w:rPr>
                <w:sz w:val="20"/>
                <w:szCs w:val="20"/>
              </w:rPr>
              <w:t>2.290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0.391</w:t>
            </w:r>
          </w:p>
        </w:tc>
        <w:tc>
          <w:tcPr>
            <w:tcW w:w="1239" w:type="dxa"/>
            <w:tcBorders/>
            <w:noWrap/>
            <w:hideMark/>
          </w:tcPr>
          <w:p>
            <w:pPr>
              <w:pStyle w:val="style0"/>
              <w:jc w:val="center"/>
              <w:rPr>
                <w:sz w:val="20"/>
                <w:szCs w:val="20"/>
              </w:rPr>
            </w:pPr>
            <w:r>
              <w:rPr>
                <w:sz w:val="20"/>
                <w:szCs w:val="20"/>
              </w:rPr>
              <w:t>0.554</w:t>
            </w:r>
          </w:p>
        </w:tc>
        <w:tc>
          <w:tcPr>
            <w:tcW w:w="948" w:type="dxa"/>
            <w:tcBorders/>
            <w:noWrap/>
            <w:hideMark/>
          </w:tcPr>
          <w:p>
            <w:pPr>
              <w:pStyle w:val="style0"/>
              <w:jc w:val="center"/>
              <w:rPr>
                <w:sz w:val="20"/>
                <w:szCs w:val="20"/>
              </w:rPr>
            </w:pPr>
            <w:r>
              <w:rPr>
                <w:sz w:val="20"/>
                <w:szCs w:val="20"/>
              </w:rPr>
              <w:t>2.150</w:t>
            </w:r>
          </w:p>
        </w:tc>
      </w:tr>
      <w:tr>
        <w:tblPrEx/>
        <w:trPr>
          <w:trHeight w:val="290" w:hRule="atLeast"/>
        </w:trPr>
        <w:tc>
          <w:tcPr>
            <w:tcW w:w="510" w:type="dxa"/>
            <w:tcBorders/>
          </w:tcPr>
          <w:p>
            <w:pPr>
              <w:pStyle w:val="style0"/>
              <w:jc w:val="center"/>
              <w:rPr>
                <w:sz w:val="20"/>
                <w:szCs w:val="20"/>
              </w:rPr>
            </w:pPr>
            <w:r>
              <w:rPr>
                <w:sz w:val="20"/>
                <w:szCs w:val="20"/>
              </w:rPr>
              <w:t>35</w:t>
            </w:r>
          </w:p>
        </w:tc>
        <w:tc>
          <w:tcPr>
            <w:tcW w:w="1461" w:type="dxa"/>
            <w:tcBorders/>
            <w:noWrap/>
            <w:hideMark/>
          </w:tcPr>
          <w:p>
            <w:pPr>
              <w:pStyle w:val="style0"/>
              <w:jc w:val="center"/>
              <w:rPr>
                <w:sz w:val="20"/>
                <w:szCs w:val="20"/>
              </w:rPr>
            </w:pPr>
            <w:r>
              <w:rPr>
                <w:sz w:val="20"/>
                <w:szCs w:val="20"/>
              </w:rPr>
              <w:t>UNVR</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0.700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0.983</w:t>
            </w:r>
          </w:p>
        </w:tc>
        <w:tc>
          <w:tcPr>
            <w:tcW w:w="948" w:type="dxa"/>
            <w:tcBorders/>
            <w:noWrap/>
            <w:hideMark/>
          </w:tcPr>
          <w:p>
            <w:pPr>
              <w:pStyle w:val="style0"/>
              <w:jc w:val="center"/>
              <w:rPr>
                <w:sz w:val="20"/>
                <w:szCs w:val="20"/>
              </w:rPr>
            </w:pPr>
            <w:r>
              <w:rPr>
                <w:sz w:val="20"/>
                <w:szCs w:val="20"/>
              </w:rPr>
              <w:t>14.415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0.965</w:t>
            </w:r>
          </w:p>
        </w:tc>
        <w:tc>
          <w:tcPr>
            <w:tcW w:w="948" w:type="dxa"/>
            <w:tcBorders/>
            <w:noWrap/>
            <w:hideMark/>
          </w:tcPr>
          <w:p>
            <w:pPr>
              <w:pStyle w:val="style0"/>
              <w:jc w:val="center"/>
              <w:rPr>
                <w:sz w:val="20"/>
                <w:szCs w:val="20"/>
              </w:rPr>
            </w:pPr>
            <w:r>
              <w:rPr>
                <w:sz w:val="20"/>
                <w:szCs w:val="20"/>
              </w:rPr>
              <w:t>8.996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0.965</w:t>
            </w:r>
          </w:p>
        </w:tc>
        <w:tc>
          <w:tcPr>
            <w:tcW w:w="948" w:type="dxa"/>
            <w:tcBorders/>
            <w:noWrap/>
            <w:hideMark/>
          </w:tcPr>
          <w:p>
            <w:pPr>
              <w:pStyle w:val="style0"/>
              <w:jc w:val="center"/>
              <w:rPr>
                <w:sz w:val="20"/>
                <w:szCs w:val="20"/>
              </w:rPr>
            </w:pPr>
            <w:r>
              <w:rPr>
                <w:sz w:val="20"/>
                <w:szCs w:val="20"/>
              </w:rPr>
              <w:t>10.570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0.750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0.970</w:t>
            </w:r>
          </w:p>
        </w:tc>
        <w:tc>
          <w:tcPr>
            <w:tcW w:w="948" w:type="dxa"/>
            <w:tcBorders/>
            <w:noWrap/>
            <w:hideMark/>
          </w:tcPr>
          <w:p>
            <w:pPr>
              <w:pStyle w:val="style0"/>
              <w:jc w:val="center"/>
              <w:rPr>
                <w:sz w:val="20"/>
                <w:szCs w:val="20"/>
              </w:rPr>
            </w:pPr>
            <w:r>
              <w:rPr>
                <w:sz w:val="20"/>
                <w:szCs w:val="20"/>
              </w:rPr>
              <w:t>8.879</w:t>
            </w:r>
          </w:p>
        </w:tc>
      </w:tr>
      <w:tr>
        <w:tblPrEx/>
        <w:trPr>
          <w:trHeight w:val="290" w:hRule="atLeast"/>
        </w:trPr>
        <w:tc>
          <w:tcPr>
            <w:tcW w:w="510" w:type="dxa"/>
            <w:tcBorders/>
          </w:tcPr>
          <w:p>
            <w:pPr>
              <w:pStyle w:val="style0"/>
              <w:jc w:val="center"/>
              <w:rPr>
                <w:sz w:val="20"/>
                <w:szCs w:val="20"/>
              </w:rPr>
            </w:pPr>
            <w:r>
              <w:rPr>
                <w:sz w:val="20"/>
                <w:szCs w:val="20"/>
              </w:rPr>
              <w:t>36</w:t>
            </w:r>
          </w:p>
        </w:tc>
        <w:tc>
          <w:tcPr>
            <w:tcW w:w="1461" w:type="dxa"/>
            <w:tcBorders/>
            <w:noWrap/>
            <w:hideMark/>
          </w:tcPr>
          <w:p>
            <w:pPr>
              <w:pStyle w:val="style0"/>
              <w:jc w:val="center"/>
              <w:rPr>
                <w:sz w:val="20"/>
                <w:szCs w:val="20"/>
              </w:rPr>
            </w:pPr>
            <w:r>
              <w:rPr>
                <w:sz w:val="20"/>
                <w:szCs w:val="20"/>
              </w:rPr>
              <w:t>KINO</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0.125</w:t>
            </w:r>
          </w:p>
        </w:tc>
        <w:tc>
          <w:tcPr>
            <w:tcW w:w="1239" w:type="dxa"/>
            <w:tcBorders/>
            <w:noWrap/>
            <w:hideMark/>
          </w:tcPr>
          <w:p>
            <w:pPr>
              <w:pStyle w:val="style0"/>
              <w:jc w:val="center"/>
              <w:rPr>
                <w:sz w:val="20"/>
                <w:szCs w:val="20"/>
              </w:rPr>
            </w:pPr>
            <w:r>
              <w:rPr>
                <w:sz w:val="20"/>
                <w:szCs w:val="20"/>
              </w:rPr>
              <w:t>0.859</w:t>
            </w:r>
          </w:p>
        </w:tc>
        <w:tc>
          <w:tcPr>
            <w:tcW w:w="948" w:type="dxa"/>
            <w:tcBorders/>
            <w:noWrap/>
            <w:hideMark/>
          </w:tcPr>
          <w:p>
            <w:pPr>
              <w:pStyle w:val="style0"/>
              <w:jc w:val="center"/>
              <w:rPr>
                <w:sz w:val="20"/>
                <w:szCs w:val="20"/>
              </w:rPr>
            </w:pPr>
            <w:r>
              <w:rPr>
                <w:sz w:val="20"/>
                <w:szCs w:val="20"/>
              </w:rPr>
              <w:t>1.216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0.126</w:t>
            </w:r>
          </w:p>
        </w:tc>
        <w:tc>
          <w:tcPr>
            <w:tcW w:w="1239" w:type="dxa"/>
            <w:tcBorders/>
            <w:noWrap/>
            <w:hideMark/>
          </w:tcPr>
          <w:p>
            <w:pPr>
              <w:pStyle w:val="style0"/>
              <w:jc w:val="center"/>
              <w:rPr>
                <w:sz w:val="20"/>
                <w:szCs w:val="20"/>
              </w:rPr>
            </w:pPr>
            <w:r>
              <w:rPr>
                <w:sz w:val="20"/>
                <w:szCs w:val="20"/>
              </w:rPr>
              <w:t>0.843</w:t>
            </w:r>
          </w:p>
        </w:tc>
        <w:tc>
          <w:tcPr>
            <w:tcW w:w="948" w:type="dxa"/>
            <w:tcBorders/>
            <w:noWrap/>
            <w:hideMark/>
          </w:tcPr>
          <w:p>
            <w:pPr>
              <w:pStyle w:val="style0"/>
              <w:jc w:val="center"/>
              <w:rPr>
                <w:sz w:val="20"/>
                <w:szCs w:val="20"/>
              </w:rPr>
            </w:pPr>
            <w:r>
              <w:rPr>
                <w:sz w:val="20"/>
                <w:szCs w:val="20"/>
              </w:rPr>
              <w:t>1.021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0.700</w:t>
            </w:r>
          </w:p>
        </w:tc>
        <w:tc>
          <w:tcPr>
            <w:tcW w:w="1205" w:type="dxa"/>
            <w:tcBorders/>
            <w:noWrap/>
            <w:hideMark/>
          </w:tcPr>
          <w:p>
            <w:pPr>
              <w:pStyle w:val="style0"/>
              <w:jc w:val="center"/>
              <w:rPr>
                <w:sz w:val="20"/>
                <w:szCs w:val="20"/>
              </w:rPr>
            </w:pPr>
            <w:r>
              <w:rPr>
                <w:sz w:val="20"/>
                <w:szCs w:val="20"/>
              </w:rPr>
              <w:t>0.126</w:t>
            </w:r>
          </w:p>
        </w:tc>
        <w:tc>
          <w:tcPr>
            <w:tcW w:w="1239" w:type="dxa"/>
            <w:tcBorders/>
            <w:noWrap/>
            <w:hideMark/>
          </w:tcPr>
          <w:p>
            <w:pPr>
              <w:pStyle w:val="style0"/>
              <w:jc w:val="center"/>
              <w:rPr>
                <w:sz w:val="20"/>
                <w:szCs w:val="20"/>
              </w:rPr>
            </w:pPr>
            <w:r>
              <w:rPr>
                <w:sz w:val="20"/>
                <w:szCs w:val="20"/>
              </w:rPr>
              <w:t>0.855</w:t>
            </w:r>
          </w:p>
        </w:tc>
        <w:tc>
          <w:tcPr>
            <w:tcW w:w="948" w:type="dxa"/>
            <w:tcBorders/>
            <w:noWrap/>
            <w:hideMark/>
          </w:tcPr>
          <w:p>
            <w:pPr>
              <w:pStyle w:val="style0"/>
              <w:jc w:val="center"/>
              <w:rPr>
                <w:sz w:val="20"/>
                <w:szCs w:val="20"/>
              </w:rPr>
            </w:pPr>
            <w:r>
              <w:rPr>
                <w:sz w:val="20"/>
                <w:szCs w:val="20"/>
              </w:rPr>
              <w:t>1.125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0.126</w:t>
            </w:r>
          </w:p>
        </w:tc>
        <w:tc>
          <w:tcPr>
            <w:tcW w:w="1239" w:type="dxa"/>
            <w:tcBorders/>
            <w:noWrap/>
            <w:hideMark/>
          </w:tcPr>
          <w:p>
            <w:pPr>
              <w:pStyle w:val="style0"/>
              <w:jc w:val="center"/>
              <w:rPr>
                <w:sz w:val="20"/>
                <w:szCs w:val="20"/>
              </w:rPr>
            </w:pPr>
            <w:r>
              <w:rPr>
                <w:sz w:val="20"/>
                <w:szCs w:val="20"/>
              </w:rPr>
              <w:t>0.884</w:t>
            </w:r>
          </w:p>
        </w:tc>
        <w:tc>
          <w:tcPr>
            <w:tcW w:w="948" w:type="dxa"/>
            <w:tcBorders/>
            <w:noWrap/>
            <w:hideMark/>
          </w:tcPr>
          <w:p>
            <w:pPr>
              <w:pStyle w:val="style0"/>
              <w:jc w:val="center"/>
              <w:rPr>
                <w:sz w:val="20"/>
                <w:szCs w:val="20"/>
              </w:rPr>
            </w:pPr>
            <w:r>
              <w:rPr>
                <w:sz w:val="20"/>
                <w:szCs w:val="20"/>
              </w:rPr>
              <w:t>1.027</w:t>
            </w:r>
          </w:p>
        </w:tc>
      </w:tr>
      <w:tr>
        <w:tblPrEx/>
        <w:trPr>
          <w:trHeight w:val="290" w:hRule="atLeast"/>
        </w:trPr>
        <w:tc>
          <w:tcPr>
            <w:tcW w:w="510" w:type="dxa"/>
            <w:tcBorders/>
          </w:tcPr>
          <w:p>
            <w:pPr>
              <w:pStyle w:val="style0"/>
              <w:jc w:val="center"/>
              <w:rPr>
                <w:sz w:val="20"/>
                <w:szCs w:val="20"/>
              </w:rPr>
            </w:pPr>
            <w:r>
              <w:rPr>
                <w:sz w:val="20"/>
                <w:szCs w:val="20"/>
              </w:rPr>
              <w:t>37</w:t>
            </w:r>
          </w:p>
        </w:tc>
        <w:tc>
          <w:tcPr>
            <w:tcW w:w="1461" w:type="dxa"/>
            <w:tcBorders/>
            <w:noWrap/>
            <w:hideMark/>
          </w:tcPr>
          <w:p>
            <w:pPr>
              <w:pStyle w:val="style0"/>
              <w:jc w:val="center"/>
              <w:rPr>
                <w:sz w:val="20"/>
                <w:szCs w:val="20"/>
              </w:rPr>
            </w:pPr>
            <w:r>
              <w:rPr>
                <w:sz w:val="20"/>
                <w:szCs w:val="20"/>
              </w:rPr>
              <w:t>ZINC</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0.047</w:t>
            </w:r>
          </w:p>
        </w:tc>
        <w:tc>
          <w:tcPr>
            <w:tcW w:w="1239" w:type="dxa"/>
            <w:tcBorders/>
            <w:noWrap/>
            <w:hideMark/>
          </w:tcPr>
          <w:p>
            <w:pPr>
              <w:pStyle w:val="style0"/>
              <w:jc w:val="center"/>
              <w:rPr>
                <w:sz w:val="20"/>
                <w:szCs w:val="20"/>
              </w:rPr>
            </w:pPr>
            <w:r>
              <w:rPr>
                <w:sz w:val="20"/>
                <w:szCs w:val="20"/>
              </w:rPr>
              <w:t>0.000</w:t>
            </w:r>
          </w:p>
        </w:tc>
        <w:tc>
          <w:tcPr>
            <w:tcW w:w="948" w:type="dxa"/>
            <w:tcBorders/>
            <w:noWrap/>
            <w:hideMark/>
          </w:tcPr>
          <w:p>
            <w:pPr>
              <w:pStyle w:val="style0"/>
              <w:jc w:val="center"/>
              <w:rPr>
                <w:sz w:val="20"/>
                <w:szCs w:val="20"/>
              </w:rPr>
            </w:pPr>
            <w:r>
              <w:rPr>
                <w:sz w:val="20"/>
                <w:szCs w:val="20"/>
              </w:rPr>
              <w:t>1.750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0.047</w:t>
            </w:r>
          </w:p>
        </w:tc>
        <w:tc>
          <w:tcPr>
            <w:tcW w:w="1239" w:type="dxa"/>
            <w:tcBorders/>
            <w:noWrap/>
            <w:hideMark/>
          </w:tcPr>
          <w:p>
            <w:pPr>
              <w:pStyle w:val="style0"/>
              <w:jc w:val="center"/>
              <w:rPr>
                <w:sz w:val="20"/>
                <w:szCs w:val="20"/>
              </w:rPr>
            </w:pPr>
            <w:r>
              <w:rPr>
                <w:sz w:val="20"/>
                <w:szCs w:val="20"/>
              </w:rPr>
              <w:t>0.002</w:t>
            </w:r>
          </w:p>
        </w:tc>
        <w:tc>
          <w:tcPr>
            <w:tcW w:w="948" w:type="dxa"/>
            <w:tcBorders/>
            <w:noWrap/>
            <w:hideMark/>
          </w:tcPr>
          <w:p>
            <w:pPr>
              <w:pStyle w:val="style0"/>
              <w:jc w:val="center"/>
              <w:rPr>
                <w:sz w:val="20"/>
                <w:szCs w:val="20"/>
              </w:rPr>
            </w:pPr>
            <w:r>
              <w:rPr>
                <w:sz w:val="20"/>
                <w:szCs w:val="20"/>
              </w:rPr>
              <w:t>1.593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0.009</w:t>
            </w:r>
          </w:p>
        </w:tc>
        <w:tc>
          <w:tcPr>
            <w:tcW w:w="1239" w:type="dxa"/>
            <w:tcBorders/>
            <w:noWrap/>
            <w:hideMark/>
          </w:tcPr>
          <w:p>
            <w:pPr>
              <w:pStyle w:val="style0"/>
              <w:jc w:val="center"/>
              <w:rPr>
                <w:sz w:val="20"/>
                <w:szCs w:val="20"/>
              </w:rPr>
            </w:pPr>
            <w:r>
              <w:rPr>
                <w:sz w:val="20"/>
                <w:szCs w:val="20"/>
              </w:rPr>
              <w:t>0.002</w:t>
            </w:r>
          </w:p>
        </w:tc>
        <w:tc>
          <w:tcPr>
            <w:tcW w:w="948" w:type="dxa"/>
            <w:tcBorders/>
            <w:noWrap/>
            <w:hideMark/>
          </w:tcPr>
          <w:p>
            <w:pPr>
              <w:pStyle w:val="style0"/>
              <w:jc w:val="center"/>
              <w:rPr>
                <w:sz w:val="20"/>
                <w:szCs w:val="20"/>
              </w:rPr>
            </w:pPr>
            <w:r>
              <w:rPr>
                <w:sz w:val="20"/>
                <w:szCs w:val="20"/>
              </w:rPr>
              <w:t>1.800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0.015</w:t>
            </w:r>
          </w:p>
        </w:tc>
        <w:tc>
          <w:tcPr>
            <w:tcW w:w="1239" w:type="dxa"/>
            <w:tcBorders/>
            <w:noWrap/>
            <w:hideMark/>
          </w:tcPr>
          <w:p>
            <w:pPr>
              <w:pStyle w:val="style0"/>
              <w:jc w:val="center"/>
              <w:rPr>
                <w:sz w:val="20"/>
                <w:szCs w:val="20"/>
              </w:rPr>
            </w:pPr>
            <w:r>
              <w:rPr>
                <w:sz w:val="20"/>
                <w:szCs w:val="20"/>
              </w:rPr>
              <w:t>0.998</w:t>
            </w:r>
          </w:p>
        </w:tc>
        <w:tc>
          <w:tcPr>
            <w:tcW w:w="948" w:type="dxa"/>
            <w:tcBorders/>
            <w:noWrap/>
            <w:hideMark/>
          </w:tcPr>
          <w:p>
            <w:pPr>
              <w:pStyle w:val="style0"/>
              <w:jc w:val="center"/>
              <w:rPr>
                <w:sz w:val="20"/>
                <w:szCs w:val="20"/>
              </w:rPr>
            </w:pPr>
            <w:r>
              <w:rPr>
                <w:sz w:val="20"/>
                <w:szCs w:val="20"/>
              </w:rPr>
              <w:t>2.298</w:t>
            </w:r>
          </w:p>
        </w:tc>
      </w:tr>
      <w:tr>
        <w:tblPrEx/>
        <w:trPr>
          <w:trHeight w:val="290" w:hRule="atLeast"/>
        </w:trPr>
        <w:tc>
          <w:tcPr>
            <w:tcW w:w="510" w:type="dxa"/>
            <w:tcBorders/>
          </w:tcPr>
          <w:p>
            <w:pPr>
              <w:pStyle w:val="style0"/>
              <w:jc w:val="center"/>
              <w:rPr>
                <w:sz w:val="20"/>
                <w:szCs w:val="20"/>
              </w:rPr>
            </w:pPr>
            <w:r>
              <w:rPr>
                <w:sz w:val="20"/>
                <w:szCs w:val="20"/>
              </w:rPr>
              <w:t>38</w:t>
            </w:r>
          </w:p>
        </w:tc>
        <w:tc>
          <w:tcPr>
            <w:tcW w:w="1461" w:type="dxa"/>
            <w:tcBorders/>
            <w:noWrap/>
            <w:hideMark/>
          </w:tcPr>
          <w:p>
            <w:pPr>
              <w:pStyle w:val="style0"/>
              <w:jc w:val="center"/>
              <w:rPr>
                <w:sz w:val="20"/>
                <w:szCs w:val="20"/>
              </w:rPr>
            </w:pPr>
            <w:r>
              <w:rPr>
                <w:sz w:val="20"/>
                <w:szCs w:val="20"/>
              </w:rPr>
              <w:t>GOOD</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0.400</w:t>
            </w:r>
          </w:p>
        </w:tc>
        <w:tc>
          <w:tcPr>
            <w:tcW w:w="1205" w:type="dxa"/>
            <w:tcBorders/>
            <w:noWrap/>
            <w:hideMark/>
          </w:tcPr>
          <w:p>
            <w:pPr>
              <w:pStyle w:val="style0"/>
              <w:jc w:val="center"/>
              <w:rPr>
                <w:sz w:val="20"/>
                <w:szCs w:val="20"/>
              </w:rPr>
            </w:pPr>
            <w:r>
              <w:rPr>
                <w:sz w:val="20"/>
                <w:szCs w:val="20"/>
              </w:rPr>
              <w:t>0.106</w:t>
            </w:r>
          </w:p>
        </w:tc>
        <w:tc>
          <w:tcPr>
            <w:tcW w:w="1239" w:type="dxa"/>
            <w:tcBorders/>
            <w:noWrap/>
            <w:hideMark/>
          </w:tcPr>
          <w:p>
            <w:pPr>
              <w:pStyle w:val="style0"/>
              <w:jc w:val="center"/>
              <w:rPr>
                <w:sz w:val="20"/>
                <w:szCs w:val="20"/>
              </w:rPr>
            </w:pPr>
            <w:r>
              <w:rPr>
                <w:sz w:val="20"/>
                <w:szCs w:val="20"/>
              </w:rPr>
              <w:t>0.429</w:t>
            </w:r>
          </w:p>
        </w:tc>
        <w:tc>
          <w:tcPr>
            <w:tcW w:w="948" w:type="dxa"/>
            <w:tcBorders/>
            <w:noWrap/>
            <w:hideMark/>
          </w:tcPr>
          <w:p>
            <w:pPr>
              <w:pStyle w:val="style0"/>
              <w:jc w:val="center"/>
              <w:rPr>
                <w:sz w:val="20"/>
                <w:szCs w:val="20"/>
              </w:rPr>
            </w:pPr>
            <w:r>
              <w:rPr>
                <w:sz w:val="20"/>
                <w:szCs w:val="20"/>
              </w:rPr>
              <w:t>1.960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0.105</w:t>
            </w:r>
          </w:p>
        </w:tc>
        <w:tc>
          <w:tcPr>
            <w:tcW w:w="1239" w:type="dxa"/>
            <w:tcBorders/>
            <w:noWrap/>
            <w:hideMark/>
          </w:tcPr>
          <w:p>
            <w:pPr>
              <w:pStyle w:val="style0"/>
              <w:jc w:val="center"/>
              <w:rPr>
                <w:sz w:val="20"/>
                <w:szCs w:val="20"/>
              </w:rPr>
            </w:pPr>
            <w:r>
              <w:rPr>
                <w:sz w:val="20"/>
                <w:szCs w:val="20"/>
              </w:rPr>
              <w:t>0.437</w:t>
            </w:r>
          </w:p>
        </w:tc>
        <w:tc>
          <w:tcPr>
            <w:tcW w:w="948" w:type="dxa"/>
            <w:tcBorders/>
            <w:noWrap/>
            <w:hideMark/>
          </w:tcPr>
          <w:p>
            <w:pPr>
              <w:pStyle w:val="style0"/>
              <w:jc w:val="center"/>
              <w:rPr>
                <w:sz w:val="20"/>
                <w:szCs w:val="20"/>
              </w:rPr>
            </w:pPr>
            <w:r>
              <w:rPr>
                <w:sz w:val="20"/>
                <w:szCs w:val="20"/>
              </w:rPr>
              <w:t>3.413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0.092</w:t>
            </w:r>
          </w:p>
        </w:tc>
        <w:tc>
          <w:tcPr>
            <w:tcW w:w="1239" w:type="dxa"/>
            <w:tcBorders/>
            <w:noWrap/>
            <w:hideMark/>
          </w:tcPr>
          <w:p>
            <w:pPr>
              <w:pStyle w:val="style0"/>
              <w:jc w:val="center"/>
              <w:rPr>
                <w:sz w:val="20"/>
                <w:szCs w:val="20"/>
              </w:rPr>
            </w:pPr>
            <w:r>
              <w:rPr>
                <w:sz w:val="20"/>
                <w:szCs w:val="20"/>
              </w:rPr>
              <w:t>0.517</w:t>
            </w:r>
          </w:p>
        </w:tc>
        <w:tc>
          <w:tcPr>
            <w:tcW w:w="948" w:type="dxa"/>
            <w:tcBorders/>
            <w:noWrap/>
            <w:hideMark/>
          </w:tcPr>
          <w:p>
            <w:pPr>
              <w:pStyle w:val="style0"/>
              <w:jc w:val="center"/>
              <w:rPr>
                <w:sz w:val="20"/>
                <w:szCs w:val="20"/>
              </w:rPr>
            </w:pPr>
            <w:r>
              <w:rPr>
                <w:sz w:val="20"/>
                <w:szCs w:val="20"/>
              </w:rPr>
              <w:t>3.186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0.171</w:t>
            </w:r>
          </w:p>
        </w:tc>
        <w:tc>
          <w:tcPr>
            <w:tcW w:w="1239" w:type="dxa"/>
            <w:tcBorders/>
            <w:noWrap/>
            <w:hideMark/>
          </w:tcPr>
          <w:p>
            <w:pPr>
              <w:pStyle w:val="style0"/>
              <w:jc w:val="center"/>
              <w:rPr>
                <w:sz w:val="20"/>
                <w:szCs w:val="20"/>
              </w:rPr>
            </w:pPr>
            <w:r>
              <w:rPr>
                <w:sz w:val="20"/>
                <w:szCs w:val="20"/>
              </w:rPr>
              <w:t>0.507</w:t>
            </w:r>
          </w:p>
        </w:tc>
        <w:tc>
          <w:tcPr>
            <w:tcW w:w="948" w:type="dxa"/>
            <w:tcBorders/>
            <w:noWrap/>
            <w:hideMark/>
          </w:tcPr>
          <w:p>
            <w:pPr>
              <w:pStyle w:val="style0"/>
              <w:jc w:val="center"/>
              <w:rPr>
                <w:sz w:val="20"/>
                <w:szCs w:val="20"/>
              </w:rPr>
            </w:pPr>
            <w:r>
              <w:rPr>
                <w:sz w:val="20"/>
                <w:szCs w:val="20"/>
              </w:rPr>
              <w:t>2.610</w:t>
            </w:r>
          </w:p>
        </w:tc>
      </w:tr>
      <w:tr>
        <w:tblPrEx/>
        <w:trPr>
          <w:trHeight w:val="290" w:hRule="atLeast"/>
        </w:trPr>
        <w:tc>
          <w:tcPr>
            <w:tcW w:w="510" w:type="dxa"/>
            <w:tcBorders/>
          </w:tcPr>
          <w:p>
            <w:pPr>
              <w:pStyle w:val="style0"/>
              <w:jc w:val="center"/>
              <w:rPr>
                <w:sz w:val="20"/>
                <w:szCs w:val="20"/>
              </w:rPr>
            </w:pPr>
            <w:r>
              <w:rPr>
                <w:sz w:val="20"/>
                <w:szCs w:val="20"/>
              </w:rPr>
              <w:t>39</w:t>
            </w:r>
          </w:p>
        </w:tc>
        <w:tc>
          <w:tcPr>
            <w:tcW w:w="1461" w:type="dxa"/>
            <w:tcBorders/>
            <w:noWrap/>
            <w:hideMark/>
          </w:tcPr>
          <w:p>
            <w:pPr>
              <w:pStyle w:val="style0"/>
              <w:jc w:val="center"/>
              <w:rPr>
                <w:sz w:val="20"/>
                <w:szCs w:val="20"/>
              </w:rPr>
            </w:pPr>
            <w:r>
              <w:rPr>
                <w:sz w:val="20"/>
                <w:szCs w:val="20"/>
              </w:rPr>
              <w:t>FOOD</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0.769</w:t>
            </w:r>
          </w:p>
        </w:tc>
        <w:tc>
          <w:tcPr>
            <w:tcW w:w="948" w:type="dxa"/>
            <w:tcBorders/>
            <w:noWrap/>
            <w:hideMark/>
          </w:tcPr>
          <w:p>
            <w:pPr>
              <w:pStyle w:val="style0"/>
              <w:jc w:val="center"/>
              <w:rPr>
                <w:sz w:val="20"/>
                <w:szCs w:val="20"/>
              </w:rPr>
            </w:pPr>
            <w:r>
              <w:rPr>
                <w:sz w:val="20"/>
                <w:szCs w:val="20"/>
              </w:rPr>
              <w:t>1.100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0.769</w:t>
            </w:r>
          </w:p>
        </w:tc>
        <w:tc>
          <w:tcPr>
            <w:tcW w:w="948" w:type="dxa"/>
            <w:tcBorders/>
            <w:noWrap/>
            <w:hideMark/>
          </w:tcPr>
          <w:p>
            <w:pPr>
              <w:pStyle w:val="style0"/>
              <w:jc w:val="center"/>
              <w:rPr>
                <w:sz w:val="20"/>
                <w:szCs w:val="20"/>
              </w:rPr>
            </w:pPr>
            <w:r>
              <w:rPr>
                <w:sz w:val="20"/>
                <w:szCs w:val="20"/>
              </w:rPr>
              <w:t>1.401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0.786</w:t>
            </w:r>
          </w:p>
        </w:tc>
        <w:tc>
          <w:tcPr>
            <w:tcW w:w="948" w:type="dxa"/>
            <w:tcBorders/>
            <w:noWrap/>
            <w:hideMark/>
          </w:tcPr>
          <w:p>
            <w:pPr>
              <w:pStyle w:val="style0"/>
              <w:jc w:val="center"/>
              <w:rPr>
                <w:sz w:val="20"/>
                <w:szCs w:val="20"/>
              </w:rPr>
            </w:pPr>
            <w:r>
              <w:rPr>
                <w:sz w:val="20"/>
                <w:szCs w:val="20"/>
              </w:rPr>
              <w:t>1.298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0.769</w:t>
            </w:r>
          </w:p>
        </w:tc>
        <w:tc>
          <w:tcPr>
            <w:tcW w:w="948" w:type="dxa"/>
            <w:tcBorders/>
            <w:noWrap/>
            <w:hideMark/>
          </w:tcPr>
          <w:p>
            <w:pPr>
              <w:pStyle w:val="style0"/>
              <w:jc w:val="center"/>
              <w:rPr>
                <w:sz w:val="20"/>
                <w:szCs w:val="20"/>
              </w:rPr>
            </w:pPr>
            <w:r>
              <w:rPr>
                <w:sz w:val="20"/>
                <w:szCs w:val="20"/>
              </w:rPr>
              <w:t>1.893</w:t>
            </w:r>
          </w:p>
        </w:tc>
      </w:tr>
      <w:tr>
        <w:tblPrEx/>
        <w:trPr>
          <w:trHeight w:val="290" w:hRule="atLeast"/>
        </w:trPr>
        <w:tc>
          <w:tcPr>
            <w:tcW w:w="510" w:type="dxa"/>
            <w:tcBorders/>
          </w:tcPr>
          <w:p>
            <w:pPr>
              <w:pStyle w:val="style0"/>
              <w:jc w:val="center"/>
              <w:rPr>
                <w:sz w:val="20"/>
                <w:szCs w:val="20"/>
              </w:rPr>
            </w:pPr>
            <w:r>
              <w:rPr>
                <w:sz w:val="20"/>
                <w:szCs w:val="20"/>
              </w:rPr>
              <w:t>40</w:t>
            </w:r>
          </w:p>
        </w:tc>
        <w:tc>
          <w:tcPr>
            <w:tcW w:w="1461" w:type="dxa"/>
            <w:tcBorders/>
            <w:noWrap/>
            <w:hideMark/>
          </w:tcPr>
          <w:p>
            <w:pPr>
              <w:pStyle w:val="style0"/>
              <w:jc w:val="center"/>
              <w:rPr>
                <w:sz w:val="20"/>
                <w:szCs w:val="20"/>
              </w:rPr>
            </w:pPr>
            <w:r>
              <w:rPr>
                <w:sz w:val="20"/>
                <w:szCs w:val="20"/>
              </w:rPr>
              <w:t>ITIC</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0.639</w:t>
            </w:r>
          </w:p>
        </w:tc>
        <w:tc>
          <w:tcPr>
            <w:tcW w:w="1239" w:type="dxa"/>
            <w:tcBorders/>
            <w:noWrap/>
            <w:hideMark/>
          </w:tcPr>
          <w:p>
            <w:pPr>
              <w:pStyle w:val="style0"/>
              <w:jc w:val="center"/>
              <w:rPr>
                <w:sz w:val="20"/>
                <w:szCs w:val="20"/>
              </w:rPr>
            </w:pPr>
            <w:r>
              <w:rPr>
                <w:sz w:val="20"/>
                <w:szCs w:val="20"/>
              </w:rPr>
              <w:t>0.064</w:t>
            </w:r>
          </w:p>
        </w:tc>
        <w:tc>
          <w:tcPr>
            <w:tcW w:w="948" w:type="dxa"/>
            <w:tcBorders/>
            <w:noWrap/>
            <w:hideMark/>
          </w:tcPr>
          <w:p>
            <w:pPr>
              <w:pStyle w:val="style0"/>
              <w:jc w:val="center"/>
              <w:rPr>
                <w:sz w:val="20"/>
                <w:szCs w:val="20"/>
              </w:rPr>
            </w:pPr>
            <w:r>
              <w:rPr>
                <w:sz w:val="20"/>
                <w:szCs w:val="20"/>
              </w:rPr>
              <w:t>0.799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0.639</w:t>
            </w:r>
          </w:p>
        </w:tc>
        <w:tc>
          <w:tcPr>
            <w:tcW w:w="1239" w:type="dxa"/>
            <w:tcBorders/>
            <w:noWrap/>
            <w:hideMark/>
          </w:tcPr>
          <w:p>
            <w:pPr>
              <w:pStyle w:val="style0"/>
              <w:jc w:val="center"/>
              <w:rPr>
                <w:sz w:val="20"/>
                <w:szCs w:val="20"/>
              </w:rPr>
            </w:pPr>
            <w:r>
              <w:rPr>
                <w:sz w:val="20"/>
                <w:szCs w:val="20"/>
              </w:rPr>
              <w:t>0.017</w:t>
            </w:r>
          </w:p>
        </w:tc>
        <w:tc>
          <w:tcPr>
            <w:tcW w:w="948" w:type="dxa"/>
            <w:tcBorders/>
            <w:noWrap/>
            <w:hideMark/>
          </w:tcPr>
          <w:p>
            <w:pPr>
              <w:pStyle w:val="style0"/>
              <w:jc w:val="center"/>
              <w:rPr>
                <w:sz w:val="20"/>
                <w:szCs w:val="20"/>
              </w:rPr>
            </w:pPr>
            <w:r>
              <w:rPr>
                <w:sz w:val="20"/>
                <w:szCs w:val="20"/>
              </w:rPr>
              <w:t>0.526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0.639</w:t>
            </w:r>
          </w:p>
        </w:tc>
        <w:tc>
          <w:tcPr>
            <w:tcW w:w="1239" w:type="dxa"/>
            <w:tcBorders/>
            <w:noWrap/>
            <w:hideMark/>
          </w:tcPr>
          <w:p>
            <w:pPr>
              <w:pStyle w:val="style0"/>
              <w:jc w:val="center"/>
              <w:rPr>
                <w:sz w:val="20"/>
                <w:szCs w:val="20"/>
              </w:rPr>
            </w:pPr>
            <w:r>
              <w:rPr>
                <w:sz w:val="20"/>
                <w:szCs w:val="20"/>
              </w:rPr>
              <w:t>0.007</w:t>
            </w:r>
          </w:p>
        </w:tc>
        <w:tc>
          <w:tcPr>
            <w:tcW w:w="948" w:type="dxa"/>
            <w:tcBorders/>
            <w:noWrap/>
            <w:hideMark/>
          </w:tcPr>
          <w:p>
            <w:pPr>
              <w:pStyle w:val="style0"/>
              <w:jc w:val="center"/>
              <w:rPr>
                <w:sz w:val="20"/>
                <w:szCs w:val="20"/>
              </w:rPr>
            </w:pPr>
            <w:r>
              <w:rPr>
                <w:sz w:val="20"/>
                <w:szCs w:val="20"/>
              </w:rPr>
              <w:t>0.471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0.649</w:t>
            </w:r>
          </w:p>
        </w:tc>
        <w:tc>
          <w:tcPr>
            <w:tcW w:w="1239" w:type="dxa"/>
            <w:tcBorders/>
            <w:noWrap/>
            <w:hideMark/>
          </w:tcPr>
          <w:p>
            <w:pPr>
              <w:pStyle w:val="style0"/>
              <w:jc w:val="center"/>
              <w:rPr>
                <w:sz w:val="20"/>
                <w:szCs w:val="20"/>
              </w:rPr>
            </w:pPr>
            <w:r>
              <w:rPr>
                <w:sz w:val="20"/>
                <w:szCs w:val="20"/>
              </w:rPr>
              <w:t>0.004</w:t>
            </w:r>
          </w:p>
        </w:tc>
        <w:tc>
          <w:tcPr>
            <w:tcW w:w="948" w:type="dxa"/>
            <w:tcBorders/>
            <w:noWrap/>
            <w:hideMark/>
          </w:tcPr>
          <w:p>
            <w:pPr>
              <w:pStyle w:val="style0"/>
              <w:jc w:val="center"/>
              <w:rPr>
                <w:sz w:val="20"/>
                <w:szCs w:val="20"/>
              </w:rPr>
            </w:pPr>
            <w:r>
              <w:rPr>
                <w:sz w:val="20"/>
                <w:szCs w:val="20"/>
              </w:rPr>
              <w:t>0.437</w:t>
            </w:r>
          </w:p>
        </w:tc>
      </w:tr>
      <w:tr>
        <w:tblPrEx/>
        <w:trPr>
          <w:trHeight w:val="290" w:hRule="atLeast"/>
        </w:trPr>
        <w:tc>
          <w:tcPr>
            <w:tcW w:w="510" w:type="dxa"/>
            <w:tcBorders/>
          </w:tcPr>
          <w:p>
            <w:pPr>
              <w:pStyle w:val="style0"/>
              <w:jc w:val="center"/>
              <w:rPr>
                <w:sz w:val="20"/>
                <w:szCs w:val="20"/>
              </w:rPr>
            </w:pPr>
            <w:r>
              <w:rPr>
                <w:sz w:val="20"/>
                <w:szCs w:val="20"/>
              </w:rPr>
              <w:t>41</w:t>
            </w:r>
          </w:p>
        </w:tc>
        <w:tc>
          <w:tcPr>
            <w:tcW w:w="1461" w:type="dxa"/>
            <w:tcBorders/>
            <w:noWrap/>
            <w:hideMark/>
          </w:tcPr>
          <w:p>
            <w:pPr>
              <w:pStyle w:val="style0"/>
              <w:jc w:val="center"/>
              <w:rPr>
                <w:sz w:val="20"/>
                <w:szCs w:val="20"/>
              </w:rPr>
            </w:pPr>
            <w:r>
              <w:rPr>
                <w:sz w:val="20"/>
                <w:szCs w:val="20"/>
              </w:rPr>
              <w:t>DMND</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0.396</w:t>
            </w:r>
          </w:p>
        </w:tc>
        <w:tc>
          <w:tcPr>
            <w:tcW w:w="1239" w:type="dxa"/>
            <w:tcBorders/>
            <w:noWrap/>
            <w:hideMark/>
          </w:tcPr>
          <w:p>
            <w:pPr>
              <w:pStyle w:val="style0"/>
              <w:jc w:val="center"/>
              <w:rPr>
                <w:sz w:val="20"/>
                <w:szCs w:val="20"/>
              </w:rPr>
            </w:pPr>
            <w:r>
              <w:rPr>
                <w:sz w:val="20"/>
                <w:szCs w:val="20"/>
              </w:rPr>
              <w:t>0.210</w:t>
            </w:r>
          </w:p>
        </w:tc>
        <w:tc>
          <w:tcPr>
            <w:tcW w:w="948" w:type="dxa"/>
            <w:tcBorders/>
            <w:noWrap/>
            <w:hideMark/>
          </w:tcPr>
          <w:p>
            <w:pPr>
              <w:pStyle w:val="style0"/>
              <w:jc w:val="center"/>
              <w:rPr>
                <w:sz w:val="20"/>
                <w:szCs w:val="20"/>
              </w:rPr>
            </w:pPr>
            <w:r>
              <w:rPr>
                <w:sz w:val="20"/>
                <w:szCs w:val="20"/>
              </w:rPr>
              <w:t>1.714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0.396</w:t>
            </w:r>
          </w:p>
        </w:tc>
        <w:tc>
          <w:tcPr>
            <w:tcW w:w="1239" w:type="dxa"/>
            <w:tcBorders/>
            <w:noWrap/>
            <w:hideMark/>
          </w:tcPr>
          <w:p>
            <w:pPr>
              <w:pStyle w:val="style0"/>
              <w:jc w:val="center"/>
              <w:rPr>
                <w:sz w:val="20"/>
                <w:szCs w:val="20"/>
              </w:rPr>
            </w:pPr>
            <w:r>
              <w:rPr>
                <w:sz w:val="20"/>
                <w:szCs w:val="20"/>
              </w:rPr>
              <w:t>0.206</w:t>
            </w:r>
          </w:p>
        </w:tc>
        <w:tc>
          <w:tcPr>
            <w:tcW w:w="948" w:type="dxa"/>
            <w:tcBorders/>
            <w:noWrap/>
            <w:hideMark/>
          </w:tcPr>
          <w:p>
            <w:pPr>
              <w:pStyle w:val="style0"/>
              <w:jc w:val="center"/>
              <w:rPr>
                <w:sz w:val="20"/>
                <w:szCs w:val="20"/>
              </w:rPr>
            </w:pPr>
            <w:r>
              <w:rPr>
                <w:sz w:val="20"/>
                <w:szCs w:val="20"/>
              </w:rPr>
              <w:t>1.564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0.396</w:t>
            </w:r>
          </w:p>
        </w:tc>
        <w:tc>
          <w:tcPr>
            <w:tcW w:w="1239" w:type="dxa"/>
            <w:tcBorders/>
            <w:noWrap/>
            <w:hideMark/>
          </w:tcPr>
          <w:p>
            <w:pPr>
              <w:pStyle w:val="style0"/>
              <w:jc w:val="center"/>
              <w:rPr>
                <w:sz w:val="20"/>
                <w:szCs w:val="20"/>
              </w:rPr>
            </w:pPr>
            <w:r>
              <w:rPr>
                <w:sz w:val="20"/>
                <w:szCs w:val="20"/>
              </w:rPr>
              <w:t>0.206</w:t>
            </w:r>
          </w:p>
        </w:tc>
        <w:tc>
          <w:tcPr>
            <w:tcW w:w="948" w:type="dxa"/>
            <w:tcBorders/>
            <w:noWrap/>
            <w:hideMark/>
          </w:tcPr>
          <w:p>
            <w:pPr>
              <w:pStyle w:val="style0"/>
              <w:jc w:val="center"/>
              <w:rPr>
                <w:sz w:val="20"/>
                <w:szCs w:val="20"/>
              </w:rPr>
            </w:pPr>
            <w:r>
              <w:rPr>
                <w:sz w:val="20"/>
                <w:szCs w:val="20"/>
              </w:rPr>
              <w:t>1.335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0.396</w:t>
            </w:r>
          </w:p>
        </w:tc>
        <w:tc>
          <w:tcPr>
            <w:tcW w:w="1239" w:type="dxa"/>
            <w:tcBorders/>
            <w:noWrap/>
            <w:hideMark/>
          </w:tcPr>
          <w:p>
            <w:pPr>
              <w:pStyle w:val="style0"/>
              <w:jc w:val="center"/>
              <w:rPr>
                <w:sz w:val="20"/>
                <w:szCs w:val="20"/>
              </w:rPr>
            </w:pPr>
            <w:r>
              <w:rPr>
                <w:sz w:val="20"/>
                <w:szCs w:val="20"/>
              </w:rPr>
              <w:t>0.206</w:t>
            </w:r>
          </w:p>
        </w:tc>
        <w:tc>
          <w:tcPr>
            <w:tcW w:w="948" w:type="dxa"/>
            <w:tcBorders/>
            <w:noWrap/>
            <w:hideMark/>
          </w:tcPr>
          <w:p>
            <w:pPr>
              <w:pStyle w:val="style0"/>
              <w:jc w:val="center"/>
              <w:rPr>
                <w:sz w:val="20"/>
                <w:szCs w:val="20"/>
              </w:rPr>
            </w:pPr>
            <w:r>
              <w:rPr>
                <w:sz w:val="20"/>
                <w:szCs w:val="20"/>
              </w:rPr>
              <w:t>1.263</w:t>
            </w:r>
          </w:p>
        </w:tc>
      </w:tr>
      <w:tr>
        <w:tblPrEx/>
        <w:trPr>
          <w:trHeight w:val="290" w:hRule="atLeast"/>
        </w:trPr>
        <w:tc>
          <w:tcPr>
            <w:tcW w:w="510" w:type="dxa"/>
            <w:tcBorders/>
          </w:tcPr>
          <w:p>
            <w:pPr>
              <w:pStyle w:val="style0"/>
              <w:jc w:val="center"/>
              <w:rPr>
                <w:sz w:val="20"/>
                <w:szCs w:val="20"/>
              </w:rPr>
            </w:pPr>
            <w:r>
              <w:rPr>
                <w:sz w:val="20"/>
                <w:szCs w:val="20"/>
              </w:rPr>
              <w:t>42</w:t>
            </w:r>
          </w:p>
        </w:tc>
        <w:tc>
          <w:tcPr>
            <w:tcW w:w="1461" w:type="dxa"/>
            <w:tcBorders/>
            <w:noWrap/>
            <w:hideMark/>
          </w:tcPr>
          <w:p>
            <w:pPr>
              <w:pStyle w:val="style0"/>
              <w:jc w:val="center"/>
              <w:rPr>
                <w:sz w:val="20"/>
                <w:szCs w:val="20"/>
              </w:rPr>
            </w:pPr>
            <w:r>
              <w:rPr>
                <w:sz w:val="20"/>
                <w:szCs w:val="20"/>
              </w:rPr>
              <w:t>IKAN</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0.265</w:t>
            </w:r>
          </w:p>
        </w:tc>
        <w:tc>
          <w:tcPr>
            <w:tcW w:w="1239" w:type="dxa"/>
            <w:tcBorders/>
            <w:noWrap/>
            <w:hideMark/>
          </w:tcPr>
          <w:p>
            <w:pPr>
              <w:pStyle w:val="style0"/>
              <w:jc w:val="center"/>
              <w:rPr>
                <w:sz w:val="20"/>
                <w:szCs w:val="20"/>
              </w:rPr>
            </w:pPr>
            <w:r>
              <w:rPr>
                <w:sz w:val="20"/>
                <w:szCs w:val="20"/>
              </w:rPr>
              <w:t>0.335</w:t>
            </w:r>
          </w:p>
        </w:tc>
        <w:tc>
          <w:tcPr>
            <w:tcW w:w="948" w:type="dxa"/>
            <w:tcBorders/>
            <w:noWrap/>
            <w:hideMark/>
          </w:tcPr>
          <w:p>
            <w:pPr>
              <w:pStyle w:val="style0"/>
              <w:jc w:val="center"/>
              <w:rPr>
                <w:sz w:val="20"/>
                <w:szCs w:val="20"/>
              </w:rPr>
            </w:pPr>
            <w:r>
              <w:rPr>
                <w:sz w:val="20"/>
                <w:szCs w:val="20"/>
              </w:rPr>
              <w:t>1.403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0.265</w:t>
            </w:r>
          </w:p>
        </w:tc>
        <w:tc>
          <w:tcPr>
            <w:tcW w:w="1239" w:type="dxa"/>
            <w:tcBorders/>
            <w:noWrap/>
            <w:hideMark/>
          </w:tcPr>
          <w:p>
            <w:pPr>
              <w:pStyle w:val="style0"/>
              <w:jc w:val="center"/>
              <w:rPr>
                <w:sz w:val="20"/>
                <w:szCs w:val="20"/>
              </w:rPr>
            </w:pPr>
            <w:r>
              <w:rPr>
                <w:sz w:val="20"/>
                <w:szCs w:val="20"/>
              </w:rPr>
              <w:t>0.336</w:t>
            </w:r>
          </w:p>
        </w:tc>
        <w:tc>
          <w:tcPr>
            <w:tcW w:w="948" w:type="dxa"/>
            <w:tcBorders/>
            <w:noWrap/>
            <w:hideMark/>
          </w:tcPr>
          <w:p>
            <w:pPr>
              <w:pStyle w:val="style0"/>
              <w:jc w:val="center"/>
              <w:rPr>
                <w:sz w:val="20"/>
                <w:szCs w:val="20"/>
              </w:rPr>
            </w:pPr>
            <w:r>
              <w:rPr>
                <w:sz w:val="20"/>
                <w:szCs w:val="20"/>
              </w:rPr>
              <w:t>1.065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0.265</w:t>
            </w:r>
          </w:p>
        </w:tc>
        <w:tc>
          <w:tcPr>
            <w:tcW w:w="1239" w:type="dxa"/>
            <w:tcBorders/>
            <w:noWrap/>
            <w:hideMark/>
          </w:tcPr>
          <w:p>
            <w:pPr>
              <w:pStyle w:val="style0"/>
              <w:jc w:val="center"/>
              <w:rPr>
                <w:sz w:val="20"/>
                <w:szCs w:val="20"/>
              </w:rPr>
            </w:pPr>
            <w:r>
              <w:rPr>
                <w:sz w:val="20"/>
                <w:szCs w:val="20"/>
              </w:rPr>
              <w:t>0.336</w:t>
            </w:r>
          </w:p>
        </w:tc>
        <w:tc>
          <w:tcPr>
            <w:tcW w:w="948" w:type="dxa"/>
            <w:tcBorders/>
            <w:noWrap/>
            <w:hideMark/>
          </w:tcPr>
          <w:p>
            <w:pPr>
              <w:pStyle w:val="style0"/>
              <w:jc w:val="center"/>
              <w:rPr>
                <w:sz w:val="20"/>
                <w:szCs w:val="20"/>
              </w:rPr>
            </w:pPr>
            <w:r>
              <w:rPr>
                <w:sz w:val="20"/>
                <w:szCs w:val="20"/>
              </w:rPr>
              <w:t>0.812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0.350</w:t>
            </w:r>
          </w:p>
        </w:tc>
        <w:tc>
          <w:tcPr>
            <w:tcW w:w="1205" w:type="dxa"/>
            <w:tcBorders/>
            <w:noWrap/>
            <w:hideMark/>
          </w:tcPr>
          <w:p>
            <w:pPr>
              <w:pStyle w:val="style0"/>
              <w:jc w:val="center"/>
              <w:rPr>
                <w:sz w:val="20"/>
                <w:szCs w:val="20"/>
              </w:rPr>
            </w:pPr>
            <w:r>
              <w:rPr>
                <w:sz w:val="20"/>
                <w:szCs w:val="20"/>
              </w:rPr>
              <w:t>0.265</w:t>
            </w:r>
          </w:p>
        </w:tc>
        <w:tc>
          <w:tcPr>
            <w:tcW w:w="1239" w:type="dxa"/>
            <w:tcBorders/>
            <w:noWrap/>
            <w:hideMark/>
          </w:tcPr>
          <w:p>
            <w:pPr>
              <w:pStyle w:val="style0"/>
              <w:jc w:val="center"/>
              <w:rPr>
                <w:sz w:val="20"/>
                <w:szCs w:val="20"/>
              </w:rPr>
            </w:pPr>
            <w:r>
              <w:rPr>
                <w:sz w:val="20"/>
                <w:szCs w:val="20"/>
              </w:rPr>
              <w:t>0.336</w:t>
            </w:r>
          </w:p>
        </w:tc>
        <w:tc>
          <w:tcPr>
            <w:tcW w:w="948" w:type="dxa"/>
            <w:tcBorders/>
            <w:noWrap/>
            <w:hideMark/>
          </w:tcPr>
          <w:p>
            <w:pPr>
              <w:pStyle w:val="style0"/>
              <w:jc w:val="center"/>
              <w:rPr>
                <w:sz w:val="20"/>
                <w:szCs w:val="20"/>
              </w:rPr>
            </w:pPr>
            <w:r>
              <w:rPr>
                <w:sz w:val="20"/>
                <w:szCs w:val="20"/>
              </w:rPr>
              <w:t>0.773</w:t>
            </w:r>
          </w:p>
        </w:tc>
      </w:tr>
      <w:tr>
        <w:tblPrEx/>
        <w:trPr>
          <w:trHeight w:val="290" w:hRule="atLeast"/>
        </w:trPr>
        <w:tc>
          <w:tcPr>
            <w:tcW w:w="510" w:type="dxa"/>
            <w:tcBorders/>
          </w:tcPr>
          <w:p>
            <w:pPr>
              <w:pStyle w:val="style0"/>
              <w:jc w:val="center"/>
              <w:rPr>
                <w:sz w:val="20"/>
                <w:szCs w:val="20"/>
              </w:rPr>
            </w:pPr>
            <w:r>
              <w:rPr>
                <w:sz w:val="20"/>
                <w:szCs w:val="20"/>
              </w:rPr>
              <w:t>43</w:t>
            </w:r>
          </w:p>
        </w:tc>
        <w:tc>
          <w:tcPr>
            <w:tcW w:w="1461" w:type="dxa"/>
            <w:tcBorders/>
            <w:noWrap/>
            <w:hideMark/>
          </w:tcPr>
          <w:p>
            <w:pPr>
              <w:pStyle w:val="style0"/>
              <w:jc w:val="center"/>
              <w:rPr>
                <w:sz w:val="20"/>
                <w:szCs w:val="20"/>
              </w:rPr>
            </w:pPr>
            <w:r>
              <w:rPr>
                <w:sz w:val="20"/>
                <w:szCs w:val="20"/>
              </w:rPr>
              <w:t>VICI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0.923</w:t>
            </w:r>
          </w:p>
        </w:tc>
        <w:tc>
          <w:tcPr>
            <w:tcW w:w="948" w:type="dxa"/>
            <w:tcBorders/>
            <w:noWrap/>
            <w:hideMark/>
          </w:tcPr>
          <w:p>
            <w:pPr>
              <w:pStyle w:val="style0"/>
              <w:jc w:val="center"/>
              <w:rPr>
                <w:sz w:val="20"/>
                <w:szCs w:val="20"/>
              </w:rPr>
            </w:pPr>
            <w:r>
              <w:rPr>
                <w:sz w:val="20"/>
                <w:szCs w:val="20"/>
              </w:rPr>
              <w:t>2.524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0.919</w:t>
            </w:r>
          </w:p>
        </w:tc>
        <w:tc>
          <w:tcPr>
            <w:tcW w:w="948" w:type="dxa"/>
            <w:tcBorders/>
            <w:noWrap/>
            <w:hideMark/>
          </w:tcPr>
          <w:p>
            <w:pPr>
              <w:pStyle w:val="style0"/>
              <w:jc w:val="center"/>
              <w:rPr>
                <w:sz w:val="20"/>
                <w:szCs w:val="20"/>
              </w:rPr>
            </w:pPr>
            <w:r>
              <w:rPr>
                <w:sz w:val="20"/>
                <w:szCs w:val="20"/>
              </w:rPr>
              <w:t>3.710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0.923</w:t>
            </w:r>
          </w:p>
        </w:tc>
        <w:tc>
          <w:tcPr>
            <w:tcW w:w="948" w:type="dxa"/>
            <w:tcBorders/>
            <w:noWrap/>
            <w:hideMark/>
          </w:tcPr>
          <w:p>
            <w:pPr>
              <w:pStyle w:val="style0"/>
              <w:jc w:val="center"/>
              <w:rPr>
                <w:sz w:val="20"/>
                <w:szCs w:val="20"/>
              </w:rPr>
            </w:pPr>
            <w:r>
              <w:rPr>
                <w:sz w:val="20"/>
                <w:szCs w:val="20"/>
              </w:rPr>
              <w:t>3.277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0.923</w:t>
            </w:r>
          </w:p>
        </w:tc>
        <w:tc>
          <w:tcPr>
            <w:tcW w:w="948" w:type="dxa"/>
            <w:tcBorders/>
            <w:noWrap/>
            <w:hideMark/>
          </w:tcPr>
          <w:p>
            <w:pPr>
              <w:pStyle w:val="style0"/>
              <w:jc w:val="center"/>
              <w:rPr>
                <w:sz w:val="20"/>
                <w:szCs w:val="20"/>
              </w:rPr>
            </w:pPr>
            <w:r>
              <w:rPr>
                <w:sz w:val="20"/>
                <w:szCs w:val="20"/>
              </w:rPr>
              <w:t>3.997</w:t>
            </w:r>
          </w:p>
        </w:tc>
      </w:tr>
      <w:tr>
        <w:tblPrEx/>
        <w:trPr>
          <w:trHeight w:val="290" w:hRule="atLeast"/>
        </w:trPr>
        <w:tc>
          <w:tcPr>
            <w:tcW w:w="510" w:type="dxa"/>
            <w:tcBorders/>
          </w:tcPr>
          <w:p>
            <w:pPr>
              <w:pStyle w:val="style0"/>
              <w:jc w:val="center"/>
              <w:rPr>
                <w:sz w:val="20"/>
                <w:szCs w:val="20"/>
              </w:rPr>
            </w:pPr>
            <w:r>
              <w:rPr>
                <w:sz w:val="20"/>
                <w:szCs w:val="20"/>
              </w:rPr>
              <w:t>44</w:t>
            </w:r>
          </w:p>
        </w:tc>
        <w:tc>
          <w:tcPr>
            <w:tcW w:w="1461" w:type="dxa"/>
            <w:tcBorders/>
            <w:noWrap/>
            <w:hideMark/>
          </w:tcPr>
          <w:p>
            <w:pPr>
              <w:pStyle w:val="style0"/>
              <w:jc w:val="center"/>
              <w:rPr>
                <w:sz w:val="20"/>
                <w:szCs w:val="20"/>
              </w:rPr>
            </w:pPr>
            <w:r>
              <w:rPr>
                <w:sz w:val="20"/>
                <w:szCs w:val="20"/>
              </w:rPr>
              <w:t>KLBF</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0.950</w:t>
            </w:r>
          </w:p>
        </w:tc>
        <w:tc>
          <w:tcPr>
            <w:tcW w:w="1205" w:type="dxa"/>
            <w:tcBorders/>
            <w:noWrap/>
            <w:hideMark/>
          </w:tcPr>
          <w:p>
            <w:pPr>
              <w:pStyle w:val="style0"/>
              <w:jc w:val="center"/>
              <w:rPr>
                <w:sz w:val="20"/>
                <w:szCs w:val="20"/>
              </w:rPr>
            </w:pPr>
            <w:r>
              <w:rPr>
                <w:sz w:val="20"/>
                <w:szCs w:val="20"/>
              </w:rPr>
              <w:t>0.003</w:t>
            </w:r>
          </w:p>
        </w:tc>
        <w:tc>
          <w:tcPr>
            <w:tcW w:w="1239" w:type="dxa"/>
            <w:tcBorders/>
            <w:noWrap/>
            <w:hideMark/>
          </w:tcPr>
          <w:p>
            <w:pPr>
              <w:pStyle w:val="style0"/>
              <w:jc w:val="center"/>
              <w:rPr>
                <w:sz w:val="20"/>
                <w:szCs w:val="20"/>
              </w:rPr>
            </w:pPr>
            <w:r>
              <w:rPr>
                <w:sz w:val="20"/>
                <w:szCs w:val="20"/>
              </w:rPr>
              <w:t>0.932</w:t>
            </w:r>
          </w:p>
        </w:tc>
        <w:tc>
          <w:tcPr>
            <w:tcW w:w="948" w:type="dxa"/>
            <w:tcBorders/>
            <w:noWrap/>
            <w:hideMark/>
          </w:tcPr>
          <w:p>
            <w:pPr>
              <w:pStyle w:val="style0"/>
              <w:jc w:val="center"/>
              <w:rPr>
                <w:sz w:val="20"/>
                <w:szCs w:val="20"/>
              </w:rPr>
            </w:pPr>
            <w:r>
              <w:rPr>
                <w:sz w:val="20"/>
                <w:szCs w:val="20"/>
              </w:rPr>
              <w:t>3.264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1.000</w:t>
            </w:r>
          </w:p>
        </w:tc>
        <w:tc>
          <w:tcPr>
            <w:tcW w:w="1205" w:type="dxa"/>
            <w:tcBorders/>
            <w:noWrap/>
            <w:hideMark/>
          </w:tcPr>
          <w:p>
            <w:pPr>
              <w:pStyle w:val="style0"/>
              <w:jc w:val="center"/>
              <w:rPr>
                <w:sz w:val="20"/>
                <w:szCs w:val="20"/>
              </w:rPr>
            </w:pPr>
            <w:r>
              <w:rPr>
                <w:sz w:val="20"/>
                <w:szCs w:val="20"/>
              </w:rPr>
              <w:t>0.003</w:t>
            </w:r>
          </w:p>
        </w:tc>
        <w:tc>
          <w:tcPr>
            <w:tcW w:w="1239" w:type="dxa"/>
            <w:tcBorders/>
            <w:noWrap/>
            <w:hideMark/>
          </w:tcPr>
          <w:p>
            <w:pPr>
              <w:pStyle w:val="style0"/>
              <w:jc w:val="center"/>
              <w:rPr>
                <w:sz w:val="20"/>
                <w:szCs w:val="20"/>
              </w:rPr>
            </w:pPr>
            <w:r>
              <w:rPr>
                <w:sz w:val="20"/>
                <w:szCs w:val="20"/>
              </w:rPr>
              <w:t>0.945</w:t>
            </w:r>
          </w:p>
        </w:tc>
        <w:tc>
          <w:tcPr>
            <w:tcW w:w="948" w:type="dxa"/>
            <w:tcBorders/>
            <w:noWrap/>
            <w:hideMark/>
          </w:tcPr>
          <w:p>
            <w:pPr>
              <w:pStyle w:val="style0"/>
              <w:jc w:val="center"/>
              <w:rPr>
                <w:sz w:val="20"/>
                <w:szCs w:val="20"/>
              </w:rPr>
            </w:pPr>
            <w:r>
              <w:rPr>
                <w:sz w:val="20"/>
                <w:szCs w:val="20"/>
              </w:rPr>
              <w:t>3.121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1.000</w:t>
            </w:r>
          </w:p>
        </w:tc>
        <w:tc>
          <w:tcPr>
            <w:tcW w:w="1205" w:type="dxa"/>
            <w:tcBorders/>
            <w:noWrap/>
            <w:hideMark/>
          </w:tcPr>
          <w:p>
            <w:pPr>
              <w:pStyle w:val="style0"/>
              <w:jc w:val="center"/>
              <w:rPr>
                <w:sz w:val="20"/>
                <w:szCs w:val="20"/>
              </w:rPr>
            </w:pPr>
            <w:r>
              <w:rPr>
                <w:sz w:val="20"/>
                <w:szCs w:val="20"/>
              </w:rPr>
              <w:t>0.002</w:t>
            </w:r>
          </w:p>
        </w:tc>
        <w:tc>
          <w:tcPr>
            <w:tcW w:w="1239" w:type="dxa"/>
            <w:tcBorders/>
            <w:noWrap/>
            <w:hideMark/>
          </w:tcPr>
          <w:p>
            <w:pPr>
              <w:pStyle w:val="style0"/>
              <w:jc w:val="center"/>
              <w:rPr>
                <w:sz w:val="20"/>
                <w:szCs w:val="20"/>
              </w:rPr>
            </w:pPr>
            <w:r>
              <w:rPr>
                <w:sz w:val="20"/>
                <w:szCs w:val="20"/>
              </w:rPr>
              <w:t>0.969</w:t>
            </w:r>
          </w:p>
        </w:tc>
        <w:tc>
          <w:tcPr>
            <w:tcW w:w="948" w:type="dxa"/>
            <w:tcBorders/>
            <w:noWrap/>
            <w:hideMark/>
          </w:tcPr>
          <w:p>
            <w:pPr>
              <w:pStyle w:val="style0"/>
              <w:jc w:val="center"/>
              <w:rPr>
                <w:sz w:val="20"/>
                <w:szCs w:val="20"/>
              </w:rPr>
            </w:pPr>
            <w:r>
              <w:rPr>
                <w:sz w:val="20"/>
                <w:szCs w:val="20"/>
              </w:rPr>
              <w:t>3.738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1.000</w:t>
            </w:r>
          </w:p>
        </w:tc>
        <w:tc>
          <w:tcPr>
            <w:tcW w:w="1205" w:type="dxa"/>
            <w:tcBorders/>
            <w:noWrap/>
            <w:hideMark/>
          </w:tcPr>
          <w:p>
            <w:pPr>
              <w:pStyle w:val="style0"/>
              <w:jc w:val="center"/>
              <w:rPr>
                <w:sz w:val="20"/>
                <w:szCs w:val="20"/>
              </w:rPr>
            </w:pPr>
            <w:r>
              <w:rPr>
                <w:sz w:val="20"/>
                <w:szCs w:val="20"/>
              </w:rPr>
              <w:t>0.002</w:t>
            </w:r>
          </w:p>
        </w:tc>
        <w:tc>
          <w:tcPr>
            <w:tcW w:w="1239" w:type="dxa"/>
            <w:tcBorders/>
            <w:noWrap/>
            <w:hideMark/>
          </w:tcPr>
          <w:p>
            <w:pPr>
              <w:pStyle w:val="style0"/>
              <w:jc w:val="center"/>
              <w:rPr>
                <w:sz w:val="20"/>
                <w:szCs w:val="20"/>
              </w:rPr>
            </w:pPr>
            <w:r>
              <w:rPr>
                <w:sz w:val="20"/>
                <w:szCs w:val="20"/>
              </w:rPr>
              <w:t>0.967</w:t>
            </w:r>
          </w:p>
        </w:tc>
        <w:tc>
          <w:tcPr>
            <w:tcW w:w="948" w:type="dxa"/>
            <w:tcBorders/>
            <w:noWrap/>
            <w:hideMark/>
          </w:tcPr>
          <w:p>
            <w:pPr>
              <w:pStyle w:val="style0"/>
              <w:jc w:val="center"/>
              <w:rPr>
                <w:sz w:val="20"/>
                <w:szCs w:val="20"/>
              </w:rPr>
            </w:pPr>
            <w:r>
              <w:rPr>
                <w:sz w:val="20"/>
                <w:szCs w:val="20"/>
              </w:rPr>
              <w:t>2.898</w:t>
            </w:r>
          </w:p>
        </w:tc>
      </w:tr>
      <w:tr>
        <w:tblPrEx/>
        <w:trPr>
          <w:trHeight w:val="290" w:hRule="atLeast"/>
        </w:trPr>
        <w:tc>
          <w:tcPr>
            <w:tcW w:w="510" w:type="dxa"/>
            <w:tcBorders/>
          </w:tcPr>
          <w:p>
            <w:pPr>
              <w:pStyle w:val="style0"/>
              <w:jc w:val="center"/>
              <w:rPr>
                <w:sz w:val="20"/>
                <w:szCs w:val="20"/>
              </w:rPr>
            </w:pPr>
            <w:r>
              <w:rPr>
                <w:sz w:val="20"/>
                <w:szCs w:val="20"/>
              </w:rPr>
              <w:t>45</w:t>
            </w:r>
          </w:p>
        </w:tc>
        <w:tc>
          <w:tcPr>
            <w:tcW w:w="1461" w:type="dxa"/>
            <w:tcBorders/>
            <w:noWrap/>
            <w:hideMark/>
          </w:tcPr>
          <w:p>
            <w:pPr>
              <w:pStyle w:val="style0"/>
              <w:jc w:val="center"/>
              <w:rPr>
                <w:sz w:val="20"/>
                <w:szCs w:val="20"/>
              </w:rPr>
            </w:pPr>
            <w:r>
              <w:rPr>
                <w:sz w:val="20"/>
                <w:szCs w:val="20"/>
              </w:rPr>
              <w:t>PEHA</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1.000</w:t>
            </w:r>
          </w:p>
        </w:tc>
        <w:tc>
          <w:tcPr>
            <w:tcW w:w="1205" w:type="dxa"/>
            <w:tcBorders/>
            <w:noWrap/>
            <w:hideMark/>
          </w:tcPr>
          <w:p>
            <w:pPr>
              <w:pStyle w:val="style0"/>
              <w:jc w:val="center"/>
              <w:rPr>
                <w:sz w:val="20"/>
                <w:szCs w:val="20"/>
              </w:rPr>
            </w:pPr>
            <w:r>
              <w:rPr>
                <w:sz w:val="20"/>
                <w:szCs w:val="20"/>
              </w:rPr>
              <w:t>0.092</w:t>
            </w:r>
          </w:p>
        </w:tc>
        <w:tc>
          <w:tcPr>
            <w:tcW w:w="1239" w:type="dxa"/>
            <w:tcBorders/>
            <w:noWrap/>
            <w:hideMark/>
          </w:tcPr>
          <w:p>
            <w:pPr>
              <w:pStyle w:val="style0"/>
              <w:jc w:val="center"/>
              <w:rPr>
                <w:sz w:val="20"/>
                <w:szCs w:val="20"/>
              </w:rPr>
            </w:pPr>
            <w:r>
              <w:rPr>
                <w:sz w:val="20"/>
                <w:szCs w:val="20"/>
              </w:rPr>
              <w:t>0.568</w:t>
            </w:r>
          </w:p>
        </w:tc>
        <w:tc>
          <w:tcPr>
            <w:tcW w:w="948" w:type="dxa"/>
            <w:tcBorders/>
            <w:noWrap/>
            <w:hideMark/>
          </w:tcPr>
          <w:p>
            <w:pPr>
              <w:pStyle w:val="style0"/>
              <w:jc w:val="center"/>
              <w:rPr>
                <w:sz w:val="20"/>
                <w:szCs w:val="20"/>
              </w:rPr>
            </w:pPr>
            <w:r>
              <w:rPr>
                <w:sz w:val="20"/>
                <w:szCs w:val="20"/>
              </w:rPr>
              <w:t>1.356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1.000</w:t>
            </w:r>
          </w:p>
        </w:tc>
        <w:tc>
          <w:tcPr>
            <w:tcW w:w="1205" w:type="dxa"/>
            <w:tcBorders/>
            <w:noWrap/>
            <w:hideMark/>
          </w:tcPr>
          <w:p>
            <w:pPr>
              <w:pStyle w:val="style0"/>
              <w:jc w:val="center"/>
              <w:rPr>
                <w:sz w:val="20"/>
                <w:szCs w:val="20"/>
              </w:rPr>
            </w:pPr>
            <w:r>
              <w:rPr>
                <w:sz w:val="20"/>
                <w:szCs w:val="20"/>
              </w:rPr>
              <w:t>0.093</w:t>
            </w:r>
          </w:p>
        </w:tc>
        <w:tc>
          <w:tcPr>
            <w:tcW w:w="1239" w:type="dxa"/>
            <w:tcBorders/>
            <w:noWrap/>
            <w:hideMark/>
          </w:tcPr>
          <w:p>
            <w:pPr>
              <w:pStyle w:val="style0"/>
              <w:jc w:val="center"/>
              <w:rPr>
                <w:sz w:val="20"/>
                <w:szCs w:val="20"/>
              </w:rPr>
            </w:pPr>
            <w:r>
              <w:rPr>
                <w:sz w:val="20"/>
                <w:szCs w:val="20"/>
              </w:rPr>
              <w:t>0.568</w:t>
            </w:r>
          </w:p>
        </w:tc>
        <w:tc>
          <w:tcPr>
            <w:tcW w:w="948" w:type="dxa"/>
            <w:tcBorders/>
            <w:noWrap/>
            <w:hideMark/>
          </w:tcPr>
          <w:p>
            <w:pPr>
              <w:pStyle w:val="style0"/>
              <w:jc w:val="center"/>
              <w:rPr>
                <w:sz w:val="20"/>
                <w:szCs w:val="20"/>
              </w:rPr>
            </w:pPr>
            <w:r>
              <w:rPr>
                <w:sz w:val="20"/>
                <w:szCs w:val="20"/>
              </w:rPr>
              <w:t>1.102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1.000</w:t>
            </w:r>
          </w:p>
        </w:tc>
        <w:tc>
          <w:tcPr>
            <w:tcW w:w="1205" w:type="dxa"/>
            <w:tcBorders/>
            <w:noWrap/>
            <w:hideMark/>
          </w:tcPr>
          <w:p>
            <w:pPr>
              <w:pStyle w:val="style0"/>
              <w:jc w:val="center"/>
              <w:rPr>
                <w:sz w:val="20"/>
                <w:szCs w:val="20"/>
              </w:rPr>
            </w:pPr>
            <w:r>
              <w:rPr>
                <w:sz w:val="20"/>
                <w:szCs w:val="20"/>
              </w:rPr>
              <w:t>0.101</w:t>
            </w:r>
          </w:p>
        </w:tc>
        <w:tc>
          <w:tcPr>
            <w:tcW w:w="1239" w:type="dxa"/>
            <w:tcBorders/>
            <w:noWrap/>
            <w:hideMark/>
          </w:tcPr>
          <w:p>
            <w:pPr>
              <w:pStyle w:val="style0"/>
              <w:jc w:val="center"/>
              <w:rPr>
                <w:sz w:val="20"/>
                <w:szCs w:val="20"/>
              </w:rPr>
            </w:pPr>
            <w:r>
              <w:rPr>
                <w:sz w:val="20"/>
                <w:szCs w:val="20"/>
              </w:rPr>
              <w:t>0.568</w:t>
            </w:r>
          </w:p>
        </w:tc>
        <w:tc>
          <w:tcPr>
            <w:tcW w:w="948" w:type="dxa"/>
            <w:tcBorders/>
            <w:noWrap/>
            <w:hideMark/>
          </w:tcPr>
          <w:p>
            <w:pPr>
              <w:pStyle w:val="style0"/>
              <w:jc w:val="center"/>
              <w:rPr>
                <w:sz w:val="20"/>
                <w:szCs w:val="20"/>
              </w:rPr>
            </w:pPr>
            <w:r>
              <w:rPr>
                <w:sz w:val="20"/>
                <w:szCs w:val="20"/>
              </w:rPr>
              <w:t>0.891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1.000</w:t>
            </w:r>
          </w:p>
        </w:tc>
        <w:tc>
          <w:tcPr>
            <w:tcW w:w="1205" w:type="dxa"/>
            <w:tcBorders/>
            <w:noWrap/>
            <w:hideMark/>
          </w:tcPr>
          <w:p>
            <w:pPr>
              <w:pStyle w:val="style0"/>
              <w:jc w:val="center"/>
              <w:rPr>
                <w:sz w:val="20"/>
                <w:szCs w:val="20"/>
              </w:rPr>
            </w:pPr>
            <w:r>
              <w:rPr>
                <w:sz w:val="20"/>
                <w:szCs w:val="20"/>
              </w:rPr>
              <w:t>0.101</w:t>
            </w:r>
          </w:p>
        </w:tc>
        <w:tc>
          <w:tcPr>
            <w:tcW w:w="1239" w:type="dxa"/>
            <w:tcBorders/>
            <w:noWrap/>
            <w:hideMark/>
          </w:tcPr>
          <w:p>
            <w:pPr>
              <w:pStyle w:val="style0"/>
              <w:jc w:val="center"/>
              <w:rPr>
                <w:sz w:val="20"/>
                <w:szCs w:val="20"/>
              </w:rPr>
            </w:pPr>
            <w:r>
              <w:rPr>
                <w:sz w:val="20"/>
                <w:szCs w:val="20"/>
              </w:rPr>
              <w:t>0.568</w:t>
            </w:r>
          </w:p>
        </w:tc>
        <w:tc>
          <w:tcPr>
            <w:tcW w:w="948" w:type="dxa"/>
            <w:tcBorders/>
            <w:noWrap/>
            <w:hideMark/>
          </w:tcPr>
          <w:p>
            <w:pPr>
              <w:pStyle w:val="style0"/>
              <w:jc w:val="center"/>
              <w:rPr>
                <w:sz w:val="20"/>
                <w:szCs w:val="20"/>
              </w:rPr>
            </w:pPr>
            <w:r>
              <w:rPr>
                <w:sz w:val="20"/>
                <w:szCs w:val="20"/>
              </w:rPr>
              <w:t>0.868</w:t>
            </w:r>
          </w:p>
        </w:tc>
      </w:tr>
      <w:tr>
        <w:tblPrEx/>
        <w:trPr>
          <w:trHeight w:val="290" w:hRule="atLeast"/>
        </w:trPr>
        <w:tc>
          <w:tcPr>
            <w:tcW w:w="510" w:type="dxa"/>
            <w:tcBorders/>
          </w:tcPr>
          <w:p>
            <w:pPr>
              <w:pStyle w:val="style0"/>
              <w:jc w:val="center"/>
              <w:rPr>
                <w:sz w:val="20"/>
                <w:szCs w:val="20"/>
              </w:rPr>
            </w:pPr>
            <w:r>
              <w:rPr>
                <w:sz w:val="20"/>
                <w:szCs w:val="20"/>
              </w:rPr>
              <w:t>46</w:t>
            </w:r>
          </w:p>
        </w:tc>
        <w:tc>
          <w:tcPr>
            <w:tcW w:w="1461" w:type="dxa"/>
            <w:tcBorders/>
            <w:noWrap/>
            <w:hideMark/>
          </w:tcPr>
          <w:p>
            <w:pPr>
              <w:pStyle w:val="style0"/>
              <w:jc w:val="center"/>
              <w:rPr>
                <w:sz w:val="20"/>
                <w:szCs w:val="20"/>
              </w:rPr>
            </w:pPr>
            <w:r>
              <w:rPr>
                <w:sz w:val="20"/>
                <w:szCs w:val="20"/>
              </w:rPr>
              <w:t>AMIN</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0.039</w:t>
            </w:r>
          </w:p>
        </w:tc>
        <w:tc>
          <w:tcPr>
            <w:tcW w:w="1239" w:type="dxa"/>
            <w:tcBorders/>
            <w:noWrap/>
            <w:hideMark/>
          </w:tcPr>
          <w:p>
            <w:pPr>
              <w:pStyle w:val="style0"/>
              <w:jc w:val="center"/>
              <w:rPr>
                <w:sz w:val="20"/>
                <w:szCs w:val="20"/>
              </w:rPr>
            </w:pPr>
            <w:r>
              <w:rPr>
                <w:sz w:val="20"/>
                <w:szCs w:val="20"/>
              </w:rPr>
              <w:t>0.629</w:t>
            </w:r>
          </w:p>
        </w:tc>
        <w:tc>
          <w:tcPr>
            <w:tcW w:w="948" w:type="dxa"/>
            <w:tcBorders/>
            <w:noWrap/>
            <w:hideMark/>
          </w:tcPr>
          <w:p>
            <w:pPr>
              <w:pStyle w:val="style0"/>
              <w:jc w:val="center"/>
              <w:rPr>
                <w:sz w:val="20"/>
                <w:szCs w:val="20"/>
              </w:rPr>
            </w:pPr>
            <w:r>
              <w:rPr>
                <w:sz w:val="20"/>
                <w:szCs w:val="20"/>
              </w:rPr>
              <w:t>1.386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0.039</w:t>
            </w:r>
          </w:p>
        </w:tc>
        <w:tc>
          <w:tcPr>
            <w:tcW w:w="1239" w:type="dxa"/>
            <w:tcBorders/>
            <w:noWrap/>
            <w:hideMark/>
          </w:tcPr>
          <w:p>
            <w:pPr>
              <w:pStyle w:val="style0"/>
              <w:jc w:val="center"/>
              <w:rPr>
                <w:sz w:val="20"/>
                <w:szCs w:val="20"/>
              </w:rPr>
            </w:pPr>
            <w:r>
              <w:rPr>
                <w:sz w:val="20"/>
                <w:szCs w:val="20"/>
              </w:rPr>
              <w:t>0.629</w:t>
            </w:r>
          </w:p>
        </w:tc>
        <w:tc>
          <w:tcPr>
            <w:tcW w:w="948" w:type="dxa"/>
            <w:tcBorders/>
            <w:noWrap/>
            <w:hideMark/>
          </w:tcPr>
          <w:p>
            <w:pPr>
              <w:pStyle w:val="style0"/>
              <w:jc w:val="center"/>
              <w:rPr>
                <w:sz w:val="20"/>
                <w:szCs w:val="20"/>
              </w:rPr>
            </w:pPr>
            <w:r>
              <w:rPr>
                <w:sz w:val="20"/>
                <w:szCs w:val="20"/>
              </w:rPr>
              <w:t>1.189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0.850</w:t>
            </w:r>
          </w:p>
        </w:tc>
        <w:tc>
          <w:tcPr>
            <w:tcW w:w="1205" w:type="dxa"/>
            <w:tcBorders/>
            <w:noWrap/>
            <w:hideMark/>
          </w:tcPr>
          <w:p>
            <w:pPr>
              <w:pStyle w:val="style0"/>
              <w:jc w:val="center"/>
              <w:rPr>
                <w:sz w:val="20"/>
                <w:szCs w:val="20"/>
              </w:rPr>
            </w:pPr>
            <w:r>
              <w:rPr>
                <w:sz w:val="20"/>
                <w:szCs w:val="20"/>
              </w:rPr>
              <w:t>0.048</w:t>
            </w:r>
          </w:p>
        </w:tc>
        <w:tc>
          <w:tcPr>
            <w:tcW w:w="1239" w:type="dxa"/>
            <w:tcBorders/>
            <w:noWrap/>
            <w:hideMark/>
          </w:tcPr>
          <w:p>
            <w:pPr>
              <w:pStyle w:val="style0"/>
              <w:jc w:val="center"/>
              <w:rPr>
                <w:sz w:val="20"/>
                <w:szCs w:val="20"/>
              </w:rPr>
            </w:pPr>
            <w:r>
              <w:rPr>
                <w:sz w:val="20"/>
                <w:szCs w:val="20"/>
              </w:rPr>
              <w:t>0.629</w:t>
            </w:r>
          </w:p>
        </w:tc>
        <w:tc>
          <w:tcPr>
            <w:tcW w:w="948" w:type="dxa"/>
            <w:tcBorders/>
            <w:noWrap/>
            <w:hideMark/>
          </w:tcPr>
          <w:p>
            <w:pPr>
              <w:pStyle w:val="style0"/>
              <w:jc w:val="center"/>
              <w:rPr>
                <w:sz w:val="20"/>
                <w:szCs w:val="20"/>
              </w:rPr>
            </w:pPr>
            <w:r>
              <w:rPr>
                <w:sz w:val="20"/>
                <w:szCs w:val="20"/>
              </w:rPr>
              <w:t>0.874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0.850</w:t>
            </w:r>
          </w:p>
        </w:tc>
        <w:tc>
          <w:tcPr>
            <w:tcW w:w="1205" w:type="dxa"/>
            <w:tcBorders/>
            <w:noWrap/>
            <w:hideMark/>
          </w:tcPr>
          <w:p>
            <w:pPr>
              <w:pStyle w:val="style0"/>
              <w:jc w:val="center"/>
              <w:rPr>
                <w:sz w:val="20"/>
                <w:szCs w:val="20"/>
              </w:rPr>
            </w:pPr>
            <w:r>
              <w:rPr>
                <w:sz w:val="20"/>
                <w:szCs w:val="20"/>
              </w:rPr>
              <w:t>0.048</w:t>
            </w:r>
          </w:p>
        </w:tc>
        <w:tc>
          <w:tcPr>
            <w:tcW w:w="1239" w:type="dxa"/>
            <w:tcBorders/>
            <w:noWrap/>
            <w:hideMark/>
          </w:tcPr>
          <w:p>
            <w:pPr>
              <w:pStyle w:val="style0"/>
              <w:jc w:val="center"/>
              <w:rPr>
                <w:sz w:val="20"/>
                <w:szCs w:val="20"/>
              </w:rPr>
            </w:pPr>
            <w:r>
              <w:rPr>
                <w:sz w:val="20"/>
                <w:szCs w:val="20"/>
              </w:rPr>
              <w:t>0.598</w:t>
            </w:r>
          </w:p>
        </w:tc>
        <w:tc>
          <w:tcPr>
            <w:tcW w:w="948" w:type="dxa"/>
            <w:tcBorders/>
            <w:noWrap/>
            <w:hideMark/>
          </w:tcPr>
          <w:p>
            <w:pPr>
              <w:pStyle w:val="style0"/>
              <w:jc w:val="center"/>
              <w:rPr>
                <w:sz w:val="20"/>
                <w:szCs w:val="20"/>
              </w:rPr>
            </w:pPr>
            <w:r>
              <w:rPr>
                <w:sz w:val="20"/>
                <w:szCs w:val="20"/>
              </w:rPr>
              <w:t>1.011</w:t>
            </w:r>
          </w:p>
        </w:tc>
      </w:tr>
      <w:tr>
        <w:tblPrEx/>
        <w:trPr>
          <w:trHeight w:val="290" w:hRule="atLeast"/>
        </w:trPr>
        <w:tc>
          <w:tcPr>
            <w:tcW w:w="510" w:type="dxa"/>
            <w:tcBorders/>
          </w:tcPr>
          <w:p>
            <w:pPr>
              <w:pStyle w:val="style0"/>
              <w:jc w:val="center"/>
              <w:rPr>
                <w:sz w:val="20"/>
                <w:szCs w:val="20"/>
              </w:rPr>
            </w:pPr>
            <w:r>
              <w:rPr>
                <w:sz w:val="20"/>
                <w:szCs w:val="20"/>
              </w:rPr>
              <w:t>47</w:t>
            </w:r>
          </w:p>
        </w:tc>
        <w:tc>
          <w:tcPr>
            <w:tcW w:w="1461" w:type="dxa"/>
            <w:tcBorders/>
            <w:noWrap/>
            <w:hideMark/>
          </w:tcPr>
          <w:p>
            <w:pPr>
              <w:pStyle w:val="style0"/>
              <w:jc w:val="center"/>
              <w:rPr>
                <w:sz w:val="20"/>
                <w:szCs w:val="20"/>
              </w:rPr>
            </w:pPr>
            <w:r>
              <w:rPr>
                <w:sz w:val="20"/>
                <w:szCs w:val="20"/>
              </w:rPr>
              <w:t>ARNA</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0.373</w:t>
            </w:r>
          </w:p>
        </w:tc>
        <w:tc>
          <w:tcPr>
            <w:tcW w:w="1239" w:type="dxa"/>
            <w:tcBorders/>
            <w:noWrap/>
            <w:hideMark/>
          </w:tcPr>
          <w:p>
            <w:pPr>
              <w:pStyle w:val="style0"/>
              <w:jc w:val="center"/>
              <w:rPr>
                <w:sz w:val="20"/>
                <w:szCs w:val="20"/>
              </w:rPr>
            </w:pPr>
            <w:r>
              <w:rPr>
                <w:sz w:val="20"/>
                <w:szCs w:val="20"/>
              </w:rPr>
              <w:t>0.546</w:t>
            </w:r>
          </w:p>
        </w:tc>
        <w:tc>
          <w:tcPr>
            <w:tcW w:w="948" w:type="dxa"/>
            <w:tcBorders/>
            <w:noWrap/>
            <w:hideMark/>
          </w:tcPr>
          <w:p>
            <w:pPr>
              <w:pStyle w:val="style0"/>
              <w:jc w:val="center"/>
              <w:rPr>
                <w:sz w:val="20"/>
                <w:szCs w:val="20"/>
              </w:rPr>
            </w:pPr>
            <w:r>
              <w:rPr>
                <w:sz w:val="20"/>
                <w:szCs w:val="20"/>
              </w:rPr>
              <w:t>2.871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0.373</w:t>
            </w:r>
          </w:p>
        </w:tc>
        <w:tc>
          <w:tcPr>
            <w:tcW w:w="1239" w:type="dxa"/>
            <w:tcBorders/>
            <w:noWrap/>
            <w:hideMark/>
          </w:tcPr>
          <w:p>
            <w:pPr>
              <w:pStyle w:val="style0"/>
              <w:jc w:val="center"/>
              <w:rPr>
                <w:sz w:val="20"/>
                <w:szCs w:val="20"/>
              </w:rPr>
            </w:pPr>
            <w:r>
              <w:rPr>
                <w:sz w:val="20"/>
                <w:szCs w:val="20"/>
              </w:rPr>
              <w:t>0.542</w:t>
            </w:r>
          </w:p>
        </w:tc>
        <w:tc>
          <w:tcPr>
            <w:tcW w:w="948" w:type="dxa"/>
            <w:tcBorders/>
            <w:noWrap/>
            <w:hideMark/>
          </w:tcPr>
          <w:p>
            <w:pPr>
              <w:pStyle w:val="style0"/>
              <w:jc w:val="center"/>
              <w:rPr>
                <w:sz w:val="20"/>
                <w:szCs w:val="20"/>
              </w:rPr>
            </w:pPr>
            <w:r>
              <w:rPr>
                <w:sz w:val="20"/>
                <w:szCs w:val="20"/>
              </w:rPr>
              <w:t>2.917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0.373</w:t>
            </w:r>
          </w:p>
        </w:tc>
        <w:tc>
          <w:tcPr>
            <w:tcW w:w="1239" w:type="dxa"/>
            <w:tcBorders/>
            <w:noWrap/>
            <w:hideMark/>
          </w:tcPr>
          <w:p>
            <w:pPr>
              <w:pStyle w:val="style0"/>
              <w:jc w:val="center"/>
              <w:rPr>
                <w:sz w:val="20"/>
                <w:szCs w:val="20"/>
              </w:rPr>
            </w:pPr>
            <w:r>
              <w:rPr>
                <w:sz w:val="20"/>
                <w:szCs w:val="20"/>
              </w:rPr>
              <w:t>0.537</w:t>
            </w:r>
          </w:p>
        </w:tc>
        <w:tc>
          <w:tcPr>
            <w:tcW w:w="948" w:type="dxa"/>
            <w:tcBorders/>
            <w:noWrap/>
            <w:hideMark/>
          </w:tcPr>
          <w:p>
            <w:pPr>
              <w:pStyle w:val="style0"/>
              <w:jc w:val="center"/>
              <w:rPr>
                <w:sz w:val="20"/>
                <w:szCs w:val="20"/>
              </w:rPr>
            </w:pPr>
            <w:r>
              <w:rPr>
                <w:sz w:val="20"/>
                <w:szCs w:val="20"/>
              </w:rPr>
              <w:t>3.122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0.374</w:t>
            </w:r>
          </w:p>
        </w:tc>
        <w:tc>
          <w:tcPr>
            <w:tcW w:w="1239" w:type="dxa"/>
            <w:tcBorders/>
            <w:noWrap/>
            <w:hideMark/>
          </w:tcPr>
          <w:p>
            <w:pPr>
              <w:pStyle w:val="style0"/>
              <w:jc w:val="center"/>
              <w:rPr>
                <w:sz w:val="20"/>
                <w:szCs w:val="20"/>
              </w:rPr>
            </w:pPr>
            <w:r>
              <w:rPr>
                <w:sz w:val="20"/>
                <w:szCs w:val="20"/>
              </w:rPr>
              <w:t>0.526</w:t>
            </w:r>
          </w:p>
        </w:tc>
        <w:tc>
          <w:tcPr>
            <w:tcW w:w="948" w:type="dxa"/>
            <w:tcBorders/>
            <w:noWrap/>
            <w:hideMark/>
          </w:tcPr>
          <w:p>
            <w:pPr>
              <w:pStyle w:val="style0"/>
              <w:jc w:val="center"/>
              <w:rPr>
                <w:sz w:val="20"/>
                <w:szCs w:val="20"/>
              </w:rPr>
            </w:pPr>
            <w:r>
              <w:rPr>
                <w:sz w:val="20"/>
                <w:szCs w:val="20"/>
              </w:rPr>
              <w:t>2.155</w:t>
            </w:r>
          </w:p>
        </w:tc>
      </w:tr>
      <w:tr>
        <w:tblPrEx/>
        <w:trPr>
          <w:trHeight w:val="290" w:hRule="atLeast"/>
        </w:trPr>
        <w:tc>
          <w:tcPr>
            <w:tcW w:w="510" w:type="dxa"/>
            <w:tcBorders/>
          </w:tcPr>
          <w:p>
            <w:pPr>
              <w:pStyle w:val="style0"/>
              <w:jc w:val="center"/>
              <w:rPr>
                <w:sz w:val="20"/>
                <w:szCs w:val="20"/>
              </w:rPr>
            </w:pPr>
            <w:r>
              <w:rPr>
                <w:sz w:val="20"/>
                <w:szCs w:val="20"/>
              </w:rPr>
              <w:t>48</w:t>
            </w:r>
          </w:p>
        </w:tc>
        <w:tc>
          <w:tcPr>
            <w:tcW w:w="1461" w:type="dxa"/>
            <w:tcBorders/>
            <w:noWrap/>
            <w:hideMark/>
          </w:tcPr>
          <w:p>
            <w:pPr>
              <w:pStyle w:val="style0"/>
              <w:jc w:val="center"/>
              <w:rPr>
                <w:sz w:val="20"/>
                <w:szCs w:val="20"/>
              </w:rPr>
            </w:pPr>
            <w:r>
              <w:rPr>
                <w:sz w:val="20"/>
                <w:szCs w:val="20"/>
              </w:rPr>
              <w:t>ASII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0.973</w:t>
            </w:r>
          </w:p>
        </w:tc>
        <w:tc>
          <w:tcPr>
            <w:tcW w:w="948" w:type="dxa"/>
            <w:tcBorders/>
            <w:noWrap/>
            <w:hideMark/>
          </w:tcPr>
          <w:p>
            <w:pPr>
              <w:pStyle w:val="style0"/>
              <w:jc w:val="center"/>
              <w:rPr>
                <w:sz w:val="20"/>
                <w:szCs w:val="20"/>
              </w:rPr>
            </w:pPr>
            <w:r>
              <w:rPr>
                <w:sz w:val="20"/>
                <w:szCs w:val="20"/>
              </w:rPr>
              <w:t>1.191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0.700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0.972</w:t>
            </w:r>
          </w:p>
        </w:tc>
        <w:tc>
          <w:tcPr>
            <w:tcW w:w="948" w:type="dxa"/>
            <w:tcBorders/>
            <w:noWrap/>
            <w:hideMark/>
          </w:tcPr>
          <w:p>
            <w:pPr>
              <w:pStyle w:val="style0"/>
              <w:jc w:val="center"/>
              <w:rPr>
                <w:sz w:val="20"/>
                <w:szCs w:val="20"/>
              </w:rPr>
            </w:pPr>
            <w:r>
              <w:rPr>
                <w:sz w:val="20"/>
                <w:szCs w:val="20"/>
              </w:rPr>
              <w:t>1.041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0.750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0.970</w:t>
            </w:r>
          </w:p>
        </w:tc>
        <w:tc>
          <w:tcPr>
            <w:tcW w:w="948" w:type="dxa"/>
            <w:tcBorders/>
            <w:noWrap/>
            <w:hideMark/>
          </w:tcPr>
          <w:p>
            <w:pPr>
              <w:pStyle w:val="style0"/>
              <w:jc w:val="center"/>
              <w:rPr>
                <w:sz w:val="20"/>
                <w:szCs w:val="20"/>
              </w:rPr>
            </w:pPr>
            <w:r>
              <w:rPr>
                <w:sz w:val="20"/>
                <w:szCs w:val="20"/>
              </w:rPr>
              <w:t>0.969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0.750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0.964</w:t>
            </w:r>
          </w:p>
        </w:tc>
        <w:tc>
          <w:tcPr>
            <w:tcW w:w="948" w:type="dxa"/>
            <w:tcBorders/>
            <w:noWrap/>
            <w:hideMark/>
          </w:tcPr>
          <w:p>
            <w:pPr>
              <w:pStyle w:val="style0"/>
              <w:jc w:val="center"/>
              <w:rPr>
                <w:sz w:val="20"/>
                <w:szCs w:val="20"/>
              </w:rPr>
            </w:pPr>
            <w:r>
              <w:rPr>
                <w:sz w:val="20"/>
                <w:szCs w:val="20"/>
              </w:rPr>
              <w:t>0.951</w:t>
            </w:r>
          </w:p>
        </w:tc>
      </w:tr>
      <w:tr>
        <w:tblPrEx/>
        <w:trPr>
          <w:trHeight w:val="290" w:hRule="atLeast"/>
        </w:trPr>
        <w:tc>
          <w:tcPr>
            <w:tcW w:w="510" w:type="dxa"/>
            <w:tcBorders/>
          </w:tcPr>
          <w:p>
            <w:pPr>
              <w:pStyle w:val="style0"/>
              <w:jc w:val="center"/>
              <w:rPr>
                <w:sz w:val="20"/>
                <w:szCs w:val="20"/>
              </w:rPr>
            </w:pPr>
            <w:r>
              <w:rPr>
                <w:sz w:val="20"/>
                <w:szCs w:val="20"/>
              </w:rPr>
              <w:t>49</w:t>
            </w:r>
          </w:p>
        </w:tc>
        <w:tc>
          <w:tcPr>
            <w:tcW w:w="1461" w:type="dxa"/>
            <w:tcBorders/>
            <w:noWrap/>
            <w:hideMark/>
          </w:tcPr>
          <w:p>
            <w:pPr>
              <w:pStyle w:val="style0"/>
              <w:jc w:val="center"/>
              <w:rPr>
                <w:sz w:val="20"/>
                <w:szCs w:val="20"/>
              </w:rPr>
            </w:pPr>
            <w:r>
              <w:rPr>
                <w:sz w:val="20"/>
                <w:szCs w:val="20"/>
              </w:rPr>
              <w:t>BNBR</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0.800</w:t>
            </w:r>
          </w:p>
        </w:tc>
        <w:tc>
          <w:tcPr>
            <w:tcW w:w="1205" w:type="dxa"/>
            <w:tcBorders/>
            <w:noWrap/>
            <w:hideMark/>
          </w:tcPr>
          <w:p>
            <w:pPr>
              <w:pStyle w:val="style0"/>
              <w:jc w:val="center"/>
              <w:rPr>
                <w:sz w:val="20"/>
                <w:szCs w:val="20"/>
              </w:rPr>
            </w:pPr>
            <w:r>
              <w:rPr>
                <w:sz w:val="20"/>
                <w:szCs w:val="20"/>
              </w:rPr>
              <w:t>0.003</w:t>
            </w:r>
          </w:p>
        </w:tc>
        <w:tc>
          <w:tcPr>
            <w:tcW w:w="1239" w:type="dxa"/>
            <w:tcBorders/>
            <w:noWrap/>
            <w:hideMark/>
          </w:tcPr>
          <w:p>
            <w:pPr>
              <w:pStyle w:val="style0"/>
              <w:jc w:val="center"/>
              <w:rPr>
                <w:sz w:val="20"/>
                <w:szCs w:val="20"/>
              </w:rPr>
            </w:pPr>
            <w:r>
              <w:rPr>
                <w:sz w:val="20"/>
                <w:szCs w:val="20"/>
              </w:rPr>
              <w:t>0.615</w:t>
            </w:r>
          </w:p>
        </w:tc>
        <w:tc>
          <w:tcPr>
            <w:tcW w:w="948" w:type="dxa"/>
            <w:tcBorders/>
            <w:noWrap/>
            <w:hideMark/>
          </w:tcPr>
          <w:p>
            <w:pPr>
              <w:pStyle w:val="style0"/>
              <w:jc w:val="center"/>
              <w:rPr>
                <w:sz w:val="20"/>
                <w:szCs w:val="20"/>
              </w:rPr>
            </w:pPr>
            <w:r>
              <w:rPr>
                <w:sz w:val="20"/>
                <w:szCs w:val="20"/>
              </w:rPr>
              <w:t>0.971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0.800</w:t>
            </w:r>
          </w:p>
        </w:tc>
        <w:tc>
          <w:tcPr>
            <w:tcW w:w="1205" w:type="dxa"/>
            <w:tcBorders/>
            <w:noWrap/>
            <w:hideMark/>
          </w:tcPr>
          <w:p>
            <w:pPr>
              <w:pStyle w:val="style0"/>
              <w:jc w:val="center"/>
              <w:rPr>
                <w:sz w:val="20"/>
                <w:szCs w:val="20"/>
              </w:rPr>
            </w:pPr>
            <w:r>
              <w:rPr>
                <w:sz w:val="20"/>
                <w:szCs w:val="20"/>
              </w:rPr>
              <w:t>0.002</w:t>
            </w:r>
          </w:p>
        </w:tc>
        <w:tc>
          <w:tcPr>
            <w:tcW w:w="1239" w:type="dxa"/>
            <w:tcBorders/>
            <w:noWrap/>
            <w:hideMark/>
          </w:tcPr>
          <w:p>
            <w:pPr>
              <w:pStyle w:val="style0"/>
              <w:jc w:val="center"/>
              <w:rPr>
                <w:sz w:val="20"/>
                <w:szCs w:val="20"/>
              </w:rPr>
            </w:pPr>
            <w:r>
              <w:rPr>
                <w:sz w:val="20"/>
                <w:szCs w:val="20"/>
              </w:rPr>
              <w:t>0.647</w:t>
            </w:r>
          </w:p>
        </w:tc>
        <w:tc>
          <w:tcPr>
            <w:tcW w:w="948" w:type="dxa"/>
            <w:tcBorders/>
            <w:noWrap/>
            <w:hideMark/>
          </w:tcPr>
          <w:p>
            <w:pPr>
              <w:pStyle w:val="style0"/>
              <w:jc w:val="center"/>
              <w:rPr>
                <w:sz w:val="20"/>
                <w:szCs w:val="20"/>
              </w:rPr>
            </w:pPr>
            <w:r>
              <w:rPr>
                <w:sz w:val="20"/>
                <w:szCs w:val="20"/>
              </w:rPr>
              <w:t>0.984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0.850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0.565</w:t>
            </w:r>
          </w:p>
        </w:tc>
        <w:tc>
          <w:tcPr>
            <w:tcW w:w="948" w:type="dxa"/>
            <w:tcBorders/>
            <w:noWrap/>
            <w:hideMark/>
          </w:tcPr>
          <w:p>
            <w:pPr>
              <w:pStyle w:val="style0"/>
              <w:jc w:val="center"/>
              <w:rPr>
                <w:sz w:val="20"/>
                <w:szCs w:val="20"/>
              </w:rPr>
            </w:pPr>
            <w:r>
              <w:rPr>
                <w:sz w:val="20"/>
                <w:szCs w:val="20"/>
              </w:rPr>
              <w:t>1.011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0.900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0.957</w:t>
            </w:r>
          </w:p>
        </w:tc>
        <w:tc>
          <w:tcPr>
            <w:tcW w:w="948" w:type="dxa"/>
            <w:tcBorders/>
            <w:noWrap/>
            <w:hideMark/>
          </w:tcPr>
          <w:p>
            <w:pPr>
              <w:pStyle w:val="style0"/>
              <w:jc w:val="center"/>
              <w:rPr>
                <w:sz w:val="20"/>
                <w:szCs w:val="20"/>
              </w:rPr>
            </w:pPr>
            <w:r>
              <w:rPr>
                <w:sz w:val="20"/>
                <w:szCs w:val="20"/>
              </w:rPr>
              <w:t>1.752</w:t>
            </w:r>
          </w:p>
        </w:tc>
      </w:tr>
      <w:tr>
        <w:tblPrEx/>
        <w:trPr>
          <w:trHeight w:val="290" w:hRule="atLeast"/>
        </w:trPr>
        <w:tc>
          <w:tcPr>
            <w:tcW w:w="510" w:type="dxa"/>
            <w:tcBorders/>
          </w:tcPr>
          <w:p>
            <w:pPr>
              <w:pStyle w:val="style0"/>
              <w:jc w:val="center"/>
              <w:rPr>
                <w:sz w:val="20"/>
                <w:szCs w:val="20"/>
              </w:rPr>
            </w:pPr>
            <w:r>
              <w:rPr>
                <w:sz w:val="20"/>
                <w:szCs w:val="20"/>
              </w:rPr>
              <w:t>50</w:t>
            </w:r>
          </w:p>
        </w:tc>
        <w:tc>
          <w:tcPr>
            <w:tcW w:w="1461" w:type="dxa"/>
            <w:tcBorders/>
            <w:noWrap/>
            <w:hideMark/>
          </w:tcPr>
          <w:p>
            <w:pPr>
              <w:pStyle w:val="style0"/>
              <w:jc w:val="center"/>
              <w:rPr>
                <w:sz w:val="20"/>
                <w:szCs w:val="20"/>
              </w:rPr>
            </w:pPr>
            <w:r>
              <w:rPr>
                <w:sz w:val="20"/>
                <w:szCs w:val="20"/>
              </w:rPr>
              <w:t>CTTH</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0.400</w:t>
            </w:r>
          </w:p>
        </w:tc>
        <w:tc>
          <w:tcPr>
            <w:tcW w:w="1205" w:type="dxa"/>
            <w:tcBorders/>
            <w:noWrap/>
            <w:hideMark/>
          </w:tcPr>
          <w:p>
            <w:pPr>
              <w:pStyle w:val="style0"/>
              <w:jc w:val="center"/>
              <w:rPr>
                <w:sz w:val="20"/>
                <w:szCs w:val="20"/>
              </w:rPr>
            </w:pPr>
            <w:r>
              <w:rPr>
                <w:sz w:val="20"/>
                <w:szCs w:val="20"/>
              </w:rPr>
              <w:t>0.124</w:t>
            </w:r>
          </w:p>
        </w:tc>
        <w:tc>
          <w:tcPr>
            <w:tcW w:w="1239" w:type="dxa"/>
            <w:tcBorders/>
            <w:noWrap/>
            <w:hideMark/>
          </w:tcPr>
          <w:p>
            <w:pPr>
              <w:pStyle w:val="style0"/>
              <w:jc w:val="center"/>
              <w:rPr>
                <w:sz w:val="20"/>
                <w:szCs w:val="20"/>
              </w:rPr>
            </w:pPr>
            <w:r>
              <w:rPr>
                <w:sz w:val="20"/>
                <w:szCs w:val="20"/>
              </w:rPr>
              <w:t>0.464</w:t>
            </w:r>
          </w:p>
        </w:tc>
        <w:tc>
          <w:tcPr>
            <w:tcW w:w="948" w:type="dxa"/>
            <w:tcBorders/>
            <w:noWrap/>
            <w:hideMark/>
          </w:tcPr>
          <w:p>
            <w:pPr>
              <w:pStyle w:val="style0"/>
              <w:jc w:val="center"/>
              <w:rPr>
                <w:sz w:val="20"/>
                <w:szCs w:val="20"/>
              </w:rPr>
            </w:pPr>
            <w:r>
              <w:rPr>
                <w:sz w:val="20"/>
                <w:szCs w:val="20"/>
              </w:rPr>
              <w:t>0.766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0.400</w:t>
            </w:r>
          </w:p>
        </w:tc>
        <w:tc>
          <w:tcPr>
            <w:tcW w:w="1205" w:type="dxa"/>
            <w:tcBorders/>
            <w:noWrap/>
            <w:hideMark/>
          </w:tcPr>
          <w:p>
            <w:pPr>
              <w:pStyle w:val="style0"/>
              <w:jc w:val="center"/>
              <w:rPr>
                <w:sz w:val="20"/>
                <w:szCs w:val="20"/>
              </w:rPr>
            </w:pPr>
            <w:r>
              <w:rPr>
                <w:sz w:val="20"/>
                <w:szCs w:val="20"/>
              </w:rPr>
              <w:t>0.100</w:t>
            </w:r>
          </w:p>
        </w:tc>
        <w:tc>
          <w:tcPr>
            <w:tcW w:w="1239" w:type="dxa"/>
            <w:tcBorders/>
            <w:noWrap/>
            <w:hideMark/>
          </w:tcPr>
          <w:p>
            <w:pPr>
              <w:pStyle w:val="style0"/>
              <w:jc w:val="center"/>
              <w:rPr>
                <w:sz w:val="20"/>
                <w:szCs w:val="20"/>
              </w:rPr>
            </w:pPr>
            <w:r>
              <w:rPr>
                <w:sz w:val="20"/>
                <w:szCs w:val="20"/>
              </w:rPr>
              <w:t>0.580</w:t>
            </w:r>
          </w:p>
        </w:tc>
        <w:tc>
          <w:tcPr>
            <w:tcW w:w="948" w:type="dxa"/>
            <w:tcBorders/>
            <w:noWrap/>
            <w:hideMark/>
          </w:tcPr>
          <w:p>
            <w:pPr>
              <w:pStyle w:val="style0"/>
              <w:jc w:val="center"/>
              <w:rPr>
                <w:sz w:val="20"/>
                <w:szCs w:val="20"/>
              </w:rPr>
            </w:pPr>
            <w:r>
              <w:rPr>
                <w:sz w:val="20"/>
                <w:szCs w:val="20"/>
              </w:rPr>
              <w:t>0.793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0.400</w:t>
            </w:r>
          </w:p>
        </w:tc>
        <w:tc>
          <w:tcPr>
            <w:tcW w:w="1205" w:type="dxa"/>
            <w:tcBorders/>
            <w:noWrap/>
            <w:hideMark/>
          </w:tcPr>
          <w:p>
            <w:pPr>
              <w:pStyle w:val="style0"/>
              <w:jc w:val="center"/>
              <w:rPr>
                <w:sz w:val="20"/>
                <w:szCs w:val="20"/>
              </w:rPr>
            </w:pPr>
            <w:r>
              <w:rPr>
                <w:sz w:val="20"/>
                <w:szCs w:val="20"/>
              </w:rPr>
              <w:t>0.100</w:t>
            </w:r>
          </w:p>
        </w:tc>
        <w:tc>
          <w:tcPr>
            <w:tcW w:w="1239" w:type="dxa"/>
            <w:tcBorders/>
            <w:noWrap/>
            <w:hideMark/>
          </w:tcPr>
          <w:p>
            <w:pPr>
              <w:pStyle w:val="style0"/>
              <w:jc w:val="center"/>
              <w:rPr>
                <w:sz w:val="20"/>
                <w:szCs w:val="20"/>
              </w:rPr>
            </w:pPr>
            <w:r>
              <w:rPr>
                <w:sz w:val="20"/>
                <w:szCs w:val="20"/>
              </w:rPr>
              <w:t>0.571</w:t>
            </w:r>
          </w:p>
        </w:tc>
        <w:tc>
          <w:tcPr>
            <w:tcW w:w="948" w:type="dxa"/>
            <w:tcBorders/>
            <w:noWrap/>
            <w:hideMark/>
          </w:tcPr>
          <w:p>
            <w:pPr>
              <w:pStyle w:val="style0"/>
              <w:jc w:val="center"/>
              <w:rPr>
                <w:sz w:val="20"/>
                <w:szCs w:val="20"/>
              </w:rPr>
            </w:pPr>
            <w:r>
              <w:rPr>
                <w:sz w:val="20"/>
                <w:szCs w:val="20"/>
              </w:rPr>
              <w:t>0.844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0.400</w:t>
            </w:r>
          </w:p>
        </w:tc>
        <w:tc>
          <w:tcPr>
            <w:tcW w:w="1205" w:type="dxa"/>
            <w:tcBorders/>
            <w:noWrap/>
            <w:hideMark/>
          </w:tcPr>
          <w:p>
            <w:pPr>
              <w:pStyle w:val="style0"/>
              <w:jc w:val="center"/>
              <w:rPr>
                <w:sz w:val="20"/>
                <w:szCs w:val="20"/>
              </w:rPr>
            </w:pPr>
            <w:r>
              <w:rPr>
                <w:sz w:val="20"/>
                <w:szCs w:val="20"/>
              </w:rPr>
              <w:t>0.100</w:t>
            </w:r>
          </w:p>
        </w:tc>
        <w:tc>
          <w:tcPr>
            <w:tcW w:w="1239" w:type="dxa"/>
            <w:tcBorders/>
            <w:noWrap/>
            <w:hideMark/>
          </w:tcPr>
          <w:p>
            <w:pPr>
              <w:pStyle w:val="style0"/>
              <w:jc w:val="center"/>
              <w:rPr>
                <w:sz w:val="20"/>
                <w:szCs w:val="20"/>
              </w:rPr>
            </w:pPr>
            <w:r>
              <w:rPr>
                <w:sz w:val="20"/>
                <w:szCs w:val="20"/>
              </w:rPr>
              <w:t>0.571</w:t>
            </w:r>
          </w:p>
        </w:tc>
        <w:tc>
          <w:tcPr>
            <w:tcW w:w="948" w:type="dxa"/>
            <w:tcBorders/>
            <w:noWrap/>
            <w:hideMark/>
          </w:tcPr>
          <w:p>
            <w:pPr>
              <w:pStyle w:val="style0"/>
              <w:jc w:val="center"/>
              <w:rPr>
                <w:sz w:val="20"/>
                <w:szCs w:val="20"/>
              </w:rPr>
            </w:pPr>
            <w:r>
              <w:rPr>
                <w:sz w:val="20"/>
                <w:szCs w:val="20"/>
              </w:rPr>
              <w:t>0.743</w:t>
            </w:r>
          </w:p>
        </w:tc>
      </w:tr>
      <w:tr>
        <w:tblPrEx/>
        <w:trPr>
          <w:trHeight w:val="290" w:hRule="atLeast"/>
        </w:trPr>
        <w:tc>
          <w:tcPr>
            <w:tcW w:w="510" w:type="dxa"/>
            <w:tcBorders/>
          </w:tcPr>
          <w:p>
            <w:pPr>
              <w:pStyle w:val="style0"/>
              <w:jc w:val="center"/>
              <w:rPr>
                <w:sz w:val="20"/>
                <w:szCs w:val="20"/>
              </w:rPr>
            </w:pPr>
            <w:r>
              <w:rPr>
                <w:sz w:val="20"/>
                <w:szCs w:val="20"/>
              </w:rPr>
              <w:t>51</w:t>
            </w:r>
          </w:p>
        </w:tc>
        <w:tc>
          <w:tcPr>
            <w:tcW w:w="1461" w:type="dxa"/>
            <w:tcBorders/>
            <w:noWrap/>
            <w:hideMark/>
          </w:tcPr>
          <w:p>
            <w:pPr>
              <w:pStyle w:val="style0"/>
              <w:jc w:val="center"/>
              <w:rPr>
                <w:sz w:val="20"/>
                <w:szCs w:val="20"/>
              </w:rPr>
            </w:pPr>
            <w:r>
              <w:rPr>
                <w:sz w:val="20"/>
                <w:szCs w:val="20"/>
              </w:rPr>
              <w:t>IKBI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0.250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0.922</w:t>
            </w:r>
          </w:p>
        </w:tc>
        <w:tc>
          <w:tcPr>
            <w:tcW w:w="948" w:type="dxa"/>
            <w:tcBorders/>
            <w:noWrap/>
            <w:hideMark/>
          </w:tcPr>
          <w:p>
            <w:pPr>
              <w:pStyle w:val="style0"/>
              <w:jc w:val="center"/>
              <w:rPr>
                <w:sz w:val="20"/>
                <w:szCs w:val="20"/>
              </w:rPr>
            </w:pPr>
            <w:r>
              <w:rPr>
                <w:sz w:val="20"/>
                <w:szCs w:val="20"/>
              </w:rPr>
              <w:t>0.498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0.350</w:t>
            </w:r>
          </w:p>
        </w:tc>
        <w:tc>
          <w:tcPr>
            <w:tcW w:w="1205" w:type="dxa"/>
            <w:tcBorders/>
            <w:noWrap/>
            <w:hideMark/>
          </w:tcPr>
          <w:p>
            <w:pPr>
              <w:pStyle w:val="style0"/>
              <w:jc w:val="center"/>
              <w:rPr>
                <w:sz w:val="20"/>
                <w:szCs w:val="20"/>
              </w:rPr>
            </w:pPr>
            <w:r>
              <w:rPr>
                <w:sz w:val="20"/>
                <w:szCs w:val="20"/>
              </w:rPr>
              <w:t>0.001</w:t>
            </w:r>
          </w:p>
        </w:tc>
        <w:tc>
          <w:tcPr>
            <w:tcW w:w="1239" w:type="dxa"/>
            <w:tcBorders/>
            <w:noWrap/>
            <w:hideMark/>
          </w:tcPr>
          <w:p>
            <w:pPr>
              <w:pStyle w:val="style0"/>
              <w:jc w:val="center"/>
              <w:rPr>
                <w:sz w:val="20"/>
                <w:szCs w:val="20"/>
              </w:rPr>
            </w:pPr>
            <w:r>
              <w:rPr>
                <w:sz w:val="20"/>
                <w:szCs w:val="20"/>
              </w:rPr>
              <w:t>0.922</w:t>
            </w:r>
          </w:p>
        </w:tc>
        <w:tc>
          <w:tcPr>
            <w:tcW w:w="948" w:type="dxa"/>
            <w:tcBorders/>
            <w:noWrap/>
            <w:hideMark/>
          </w:tcPr>
          <w:p>
            <w:pPr>
              <w:pStyle w:val="style0"/>
              <w:jc w:val="center"/>
              <w:rPr>
                <w:sz w:val="20"/>
                <w:szCs w:val="20"/>
              </w:rPr>
            </w:pPr>
            <w:r>
              <w:rPr>
                <w:sz w:val="20"/>
                <w:szCs w:val="20"/>
              </w:rPr>
              <w:t>0.570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0.400</w:t>
            </w:r>
          </w:p>
        </w:tc>
        <w:tc>
          <w:tcPr>
            <w:tcW w:w="1205" w:type="dxa"/>
            <w:tcBorders/>
            <w:noWrap/>
            <w:hideMark/>
          </w:tcPr>
          <w:p>
            <w:pPr>
              <w:pStyle w:val="style0"/>
              <w:jc w:val="center"/>
              <w:rPr>
                <w:sz w:val="20"/>
                <w:szCs w:val="20"/>
              </w:rPr>
            </w:pPr>
            <w:r>
              <w:rPr>
                <w:sz w:val="20"/>
                <w:szCs w:val="20"/>
              </w:rPr>
              <w:t>0.005</w:t>
            </w:r>
          </w:p>
        </w:tc>
        <w:tc>
          <w:tcPr>
            <w:tcW w:w="1239" w:type="dxa"/>
            <w:tcBorders/>
            <w:noWrap/>
            <w:hideMark/>
          </w:tcPr>
          <w:p>
            <w:pPr>
              <w:pStyle w:val="style0"/>
              <w:jc w:val="center"/>
              <w:rPr>
                <w:sz w:val="20"/>
                <w:szCs w:val="20"/>
              </w:rPr>
            </w:pPr>
            <w:r>
              <w:rPr>
                <w:sz w:val="20"/>
                <w:szCs w:val="20"/>
              </w:rPr>
              <w:t>0.922</w:t>
            </w:r>
          </w:p>
        </w:tc>
        <w:tc>
          <w:tcPr>
            <w:tcW w:w="948" w:type="dxa"/>
            <w:tcBorders/>
            <w:noWrap/>
            <w:hideMark/>
          </w:tcPr>
          <w:p>
            <w:pPr>
              <w:pStyle w:val="style0"/>
              <w:jc w:val="center"/>
              <w:rPr>
                <w:sz w:val="20"/>
                <w:szCs w:val="20"/>
              </w:rPr>
            </w:pPr>
            <w:r>
              <w:rPr>
                <w:sz w:val="20"/>
                <w:szCs w:val="20"/>
              </w:rPr>
              <w:t>0.561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0.400</w:t>
            </w:r>
          </w:p>
        </w:tc>
        <w:tc>
          <w:tcPr>
            <w:tcW w:w="1205" w:type="dxa"/>
            <w:tcBorders/>
            <w:noWrap/>
            <w:hideMark/>
          </w:tcPr>
          <w:p>
            <w:pPr>
              <w:pStyle w:val="style0"/>
              <w:jc w:val="center"/>
              <w:rPr>
                <w:sz w:val="20"/>
                <w:szCs w:val="20"/>
              </w:rPr>
            </w:pPr>
            <w:r>
              <w:rPr>
                <w:sz w:val="20"/>
                <w:szCs w:val="20"/>
              </w:rPr>
              <w:t>0.005</w:t>
            </w:r>
          </w:p>
        </w:tc>
        <w:tc>
          <w:tcPr>
            <w:tcW w:w="1239" w:type="dxa"/>
            <w:tcBorders/>
            <w:noWrap/>
            <w:hideMark/>
          </w:tcPr>
          <w:p>
            <w:pPr>
              <w:pStyle w:val="style0"/>
              <w:jc w:val="center"/>
              <w:rPr>
                <w:sz w:val="20"/>
                <w:szCs w:val="20"/>
              </w:rPr>
            </w:pPr>
            <w:r>
              <w:rPr>
                <w:sz w:val="20"/>
                <w:szCs w:val="20"/>
              </w:rPr>
              <w:t>0.915</w:t>
            </w:r>
          </w:p>
        </w:tc>
        <w:tc>
          <w:tcPr>
            <w:tcW w:w="948" w:type="dxa"/>
            <w:tcBorders/>
            <w:noWrap/>
            <w:hideMark/>
          </w:tcPr>
          <w:p>
            <w:pPr>
              <w:pStyle w:val="style0"/>
              <w:jc w:val="center"/>
              <w:rPr>
                <w:sz w:val="20"/>
                <w:szCs w:val="20"/>
              </w:rPr>
            </w:pPr>
            <w:r>
              <w:rPr>
                <w:sz w:val="20"/>
                <w:szCs w:val="20"/>
              </w:rPr>
              <w:t>0.741</w:t>
            </w:r>
          </w:p>
        </w:tc>
      </w:tr>
      <w:tr>
        <w:tblPrEx/>
        <w:trPr>
          <w:trHeight w:val="290" w:hRule="atLeast"/>
        </w:trPr>
        <w:tc>
          <w:tcPr>
            <w:tcW w:w="510" w:type="dxa"/>
            <w:tcBorders/>
          </w:tcPr>
          <w:p>
            <w:pPr>
              <w:pStyle w:val="style0"/>
              <w:jc w:val="center"/>
              <w:rPr>
                <w:sz w:val="20"/>
                <w:szCs w:val="20"/>
              </w:rPr>
            </w:pPr>
            <w:r>
              <w:rPr>
                <w:sz w:val="20"/>
                <w:szCs w:val="20"/>
              </w:rPr>
              <w:t>52</w:t>
            </w:r>
          </w:p>
        </w:tc>
        <w:tc>
          <w:tcPr>
            <w:tcW w:w="1461" w:type="dxa"/>
            <w:tcBorders/>
            <w:noWrap/>
            <w:hideMark/>
          </w:tcPr>
          <w:p>
            <w:pPr>
              <w:pStyle w:val="style0"/>
              <w:jc w:val="center"/>
              <w:rPr>
                <w:sz w:val="20"/>
                <w:szCs w:val="20"/>
              </w:rPr>
            </w:pPr>
            <w:r>
              <w:rPr>
                <w:sz w:val="20"/>
                <w:szCs w:val="20"/>
              </w:rPr>
              <w:t>IMPC</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0.018</w:t>
            </w:r>
          </w:p>
        </w:tc>
        <w:tc>
          <w:tcPr>
            <w:tcW w:w="1239" w:type="dxa"/>
            <w:tcBorders/>
            <w:noWrap/>
            <w:hideMark/>
          </w:tcPr>
          <w:p>
            <w:pPr>
              <w:pStyle w:val="style0"/>
              <w:jc w:val="center"/>
              <w:rPr>
                <w:sz w:val="20"/>
                <w:szCs w:val="20"/>
              </w:rPr>
            </w:pPr>
            <w:r>
              <w:rPr>
                <w:sz w:val="20"/>
                <w:szCs w:val="20"/>
              </w:rPr>
              <w:t>0.923</w:t>
            </w:r>
          </w:p>
        </w:tc>
        <w:tc>
          <w:tcPr>
            <w:tcW w:w="948" w:type="dxa"/>
            <w:tcBorders/>
            <w:noWrap/>
            <w:hideMark/>
          </w:tcPr>
          <w:p>
            <w:pPr>
              <w:pStyle w:val="style0"/>
              <w:jc w:val="center"/>
              <w:rPr>
                <w:sz w:val="20"/>
                <w:szCs w:val="20"/>
              </w:rPr>
            </w:pPr>
            <w:r>
              <w:rPr>
                <w:sz w:val="20"/>
                <w:szCs w:val="20"/>
              </w:rPr>
              <w:t>2.822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0.018</w:t>
            </w:r>
          </w:p>
        </w:tc>
        <w:tc>
          <w:tcPr>
            <w:tcW w:w="1239" w:type="dxa"/>
            <w:tcBorders/>
            <w:noWrap/>
            <w:hideMark/>
          </w:tcPr>
          <w:p>
            <w:pPr>
              <w:pStyle w:val="style0"/>
              <w:jc w:val="center"/>
              <w:rPr>
                <w:sz w:val="20"/>
                <w:szCs w:val="20"/>
              </w:rPr>
            </w:pPr>
            <w:r>
              <w:rPr>
                <w:sz w:val="20"/>
                <w:szCs w:val="20"/>
              </w:rPr>
              <w:t>0.928</w:t>
            </w:r>
          </w:p>
        </w:tc>
        <w:tc>
          <w:tcPr>
            <w:tcW w:w="948" w:type="dxa"/>
            <w:tcBorders/>
            <w:noWrap/>
            <w:hideMark/>
          </w:tcPr>
          <w:p>
            <w:pPr>
              <w:pStyle w:val="style0"/>
              <w:jc w:val="center"/>
              <w:rPr>
                <w:sz w:val="20"/>
                <w:szCs w:val="20"/>
              </w:rPr>
            </w:pPr>
            <w:r>
              <w:rPr>
                <w:sz w:val="20"/>
                <w:szCs w:val="20"/>
              </w:rPr>
              <w:t>4.722</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0.016</w:t>
            </w:r>
          </w:p>
        </w:tc>
        <w:tc>
          <w:tcPr>
            <w:tcW w:w="1239" w:type="dxa"/>
            <w:tcBorders/>
            <w:noWrap/>
            <w:hideMark/>
          </w:tcPr>
          <w:p>
            <w:pPr>
              <w:pStyle w:val="style0"/>
              <w:jc w:val="center"/>
              <w:rPr>
                <w:sz w:val="20"/>
                <w:szCs w:val="20"/>
              </w:rPr>
            </w:pPr>
            <w:r>
              <w:rPr>
                <w:sz w:val="20"/>
                <w:szCs w:val="20"/>
              </w:rPr>
              <w:t>0.940</w:t>
            </w:r>
          </w:p>
        </w:tc>
        <w:tc>
          <w:tcPr>
            <w:tcW w:w="948" w:type="dxa"/>
            <w:tcBorders/>
            <w:noWrap/>
            <w:hideMark/>
          </w:tcPr>
          <w:p>
            <w:pPr>
              <w:pStyle w:val="style0"/>
              <w:jc w:val="center"/>
              <w:rPr>
                <w:sz w:val="20"/>
                <w:szCs w:val="20"/>
              </w:rPr>
            </w:pPr>
            <w:r>
              <w:rPr>
                <w:sz w:val="20"/>
                <w:szCs w:val="20"/>
              </w:rPr>
              <w:t>5.407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0.016</w:t>
            </w:r>
          </w:p>
        </w:tc>
        <w:tc>
          <w:tcPr>
            <w:tcW w:w="1239" w:type="dxa"/>
            <w:tcBorders/>
            <w:noWrap/>
            <w:hideMark/>
          </w:tcPr>
          <w:p>
            <w:pPr>
              <w:pStyle w:val="style0"/>
              <w:jc w:val="center"/>
              <w:rPr>
                <w:sz w:val="20"/>
                <w:szCs w:val="20"/>
              </w:rPr>
            </w:pPr>
            <w:r>
              <w:rPr>
                <w:sz w:val="20"/>
                <w:szCs w:val="20"/>
              </w:rPr>
              <w:t>0.930</w:t>
            </w:r>
          </w:p>
        </w:tc>
        <w:tc>
          <w:tcPr>
            <w:tcW w:w="948" w:type="dxa"/>
            <w:tcBorders/>
            <w:noWrap/>
            <w:hideMark/>
          </w:tcPr>
          <w:p>
            <w:pPr>
              <w:pStyle w:val="style0"/>
              <w:jc w:val="center"/>
              <w:rPr>
                <w:sz w:val="20"/>
                <w:szCs w:val="20"/>
              </w:rPr>
            </w:pPr>
            <w:r>
              <w:rPr>
                <w:sz w:val="20"/>
                <w:szCs w:val="20"/>
              </w:rPr>
              <w:t>6.162</w:t>
            </w:r>
          </w:p>
        </w:tc>
      </w:tr>
      <w:tr>
        <w:tblPrEx/>
        <w:trPr>
          <w:trHeight w:val="290" w:hRule="atLeast"/>
        </w:trPr>
        <w:tc>
          <w:tcPr>
            <w:tcW w:w="510" w:type="dxa"/>
            <w:tcBorders/>
          </w:tcPr>
          <w:p>
            <w:pPr>
              <w:pStyle w:val="style0"/>
              <w:jc w:val="center"/>
              <w:rPr>
                <w:sz w:val="20"/>
                <w:szCs w:val="20"/>
              </w:rPr>
            </w:pPr>
            <w:r>
              <w:rPr>
                <w:sz w:val="20"/>
                <w:szCs w:val="20"/>
              </w:rPr>
              <w:t>53</w:t>
            </w:r>
          </w:p>
        </w:tc>
        <w:tc>
          <w:tcPr>
            <w:tcW w:w="1461" w:type="dxa"/>
            <w:tcBorders/>
            <w:noWrap/>
            <w:hideMark/>
          </w:tcPr>
          <w:p>
            <w:pPr>
              <w:pStyle w:val="style0"/>
              <w:jc w:val="center"/>
              <w:rPr>
                <w:sz w:val="20"/>
                <w:szCs w:val="20"/>
              </w:rPr>
            </w:pPr>
            <w:r>
              <w:rPr>
                <w:sz w:val="20"/>
                <w:szCs w:val="20"/>
              </w:rPr>
              <w:t>JTPE</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0.800</w:t>
            </w:r>
          </w:p>
        </w:tc>
        <w:tc>
          <w:tcPr>
            <w:tcW w:w="1205" w:type="dxa"/>
            <w:tcBorders/>
            <w:noWrap/>
            <w:hideMark/>
          </w:tcPr>
          <w:p>
            <w:pPr>
              <w:pStyle w:val="style0"/>
              <w:jc w:val="center"/>
              <w:rPr>
                <w:sz w:val="20"/>
                <w:szCs w:val="20"/>
              </w:rPr>
            </w:pPr>
            <w:r>
              <w:rPr>
                <w:sz w:val="20"/>
                <w:szCs w:val="20"/>
              </w:rPr>
              <w:t>0.051</w:t>
            </w:r>
          </w:p>
        </w:tc>
        <w:tc>
          <w:tcPr>
            <w:tcW w:w="1239" w:type="dxa"/>
            <w:tcBorders/>
            <w:noWrap/>
            <w:hideMark/>
          </w:tcPr>
          <w:p>
            <w:pPr>
              <w:pStyle w:val="style0"/>
              <w:jc w:val="center"/>
              <w:rPr>
                <w:sz w:val="20"/>
                <w:szCs w:val="20"/>
              </w:rPr>
            </w:pPr>
            <w:r>
              <w:rPr>
                <w:sz w:val="20"/>
                <w:szCs w:val="20"/>
              </w:rPr>
              <w:t>0.712</w:t>
            </w:r>
          </w:p>
        </w:tc>
        <w:tc>
          <w:tcPr>
            <w:tcW w:w="948" w:type="dxa"/>
            <w:tcBorders/>
            <w:noWrap/>
            <w:hideMark/>
          </w:tcPr>
          <w:p>
            <w:pPr>
              <w:pStyle w:val="style0"/>
              <w:jc w:val="center"/>
              <w:rPr>
                <w:sz w:val="20"/>
                <w:szCs w:val="20"/>
              </w:rPr>
            </w:pPr>
            <w:r>
              <w:rPr>
                <w:sz w:val="20"/>
                <w:szCs w:val="20"/>
              </w:rPr>
              <w:t>1.925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0.800</w:t>
            </w:r>
          </w:p>
        </w:tc>
        <w:tc>
          <w:tcPr>
            <w:tcW w:w="1205" w:type="dxa"/>
            <w:tcBorders/>
            <w:noWrap/>
            <w:hideMark/>
          </w:tcPr>
          <w:p>
            <w:pPr>
              <w:pStyle w:val="style0"/>
              <w:jc w:val="center"/>
              <w:rPr>
                <w:sz w:val="20"/>
                <w:szCs w:val="20"/>
              </w:rPr>
            </w:pPr>
            <w:r>
              <w:rPr>
                <w:sz w:val="20"/>
                <w:szCs w:val="20"/>
              </w:rPr>
              <w:t>0.051</w:t>
            </w:r>
          </w:p>
        </w:tc>
        <w:tc>
          <w:tcPr>
            <w:tcW w:w="1239" w:type="dxa"/>
            <w:tcBorders/>
            <w:noWrap/>
            <w:hideMark/>
          </w:tcPr>
          <w:p>
            <w:pPr>
              <w:pStyle w:val="style0"/>
              <w:jc w:val="center"/>
              <w:rPr>
                <w:sz w:val="20"/>
                <w:szCs w:val="20"/>
              </w:rPr>
            </w:pPr>
            <w:r>
              <w:rPr>
                <w:sz w:val="20"/>
                <w:szCs w:val="20"/>
              </w:rPr>
              <w:t>0.714</w:t>
            </w:r>
          </w:p>
        </w:tc>
        <w:tc>
          <w:tcPr>
            <w:tcW w:w="948" w:type="dxa"/>
            <w:tcBorders/>
            <w:noWrap/>
            <w:hideMark/>
          </w:tcPr>
          <w:p>
            <w:pPr>
              <w:pStyle w:val="style0"/>
              <w:jc w:val="center"/>
              <w:rPr>
                <w:sz w:val="20"/>
                <w:szCs w:val="20"/>
              </w:rPr>
            </w:pPr>
            <w:r>
              <w:rPr>
                <w:sz w:val="20"/>
                <w:szCs w:val="20"/>
              </w:rPr>
              <w:t>1.739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0.850</w:t>
            </w:r>
          </w:p>
        </w:tc>
        <w:tc>
          <w:tcPr>
            <w:tcW w:w="1205" w:type="dxa"/>
            <w:tcBorders/>
            <w:noWrap/>
            <w:hideMark/>
          </w:tcPr>
          <w:p>
            <w:pPr>
              <w:pStyle w:val="style0"/>
              <w:jc w:val="center"/>
              <w:rPr>
                <w:sz w:val="20"/>
                <w:szCs w:val="20"/>
              </w:rPr>
            </w:pPr>
            <w:r>
              <w:rPr>
                <w:sz w:val="20"/>
                <w:szCs w:val="20"/>
              </w:rPr>
              <w:t>0.054</w:t>
            </w:r>
          </w:p>
        </w:tc>
        <w:tc>
          <w:tcPr>
            <w:tcW w:w="1239" w:type="dxa"/>
            <w:tcBorders/>
            <w:noWrap/>
            <w:hideMark/>
          </w:tcPr>
          <w:p>
            <w:pPr>
              <w:pStyle w:val="style0"/>
              <w:jc w:val="center"/>
              <w:rPr>
                <w:sz w:val="20"/>
                <w:szCs w:val="20"/>
              </w:rPr>
            </w:pPr>
            <w:r>
              <w:rPr>
                <w:sz w:val="20"/>
                <w:szCs w:val="20"/>
              </w:rPr>
              <w:t>0.727</w:t>
            </w:r>
          </w:p>
        </w:tc>
        <w:tc>
          <w:tcPr>
            <w:tcW w:w="948" w:type="dxa"/>
            <w:tcBorders/>
            <w:noWrap/>
            <w:hideMark/>
          </w:tcPr>
          <w:p>
            <w:pPr>
              <w:pStyle w:val="style0"/>
              <w:jc w:val="center"/>
              <w:rPr>
                <w:sz w:val="20"/>
                <w:szCs w:val="20"/>
              </w:rPr>
            </w:pPr>
            <w:r>
              <w:rPr>
                <w:sz w:val="20"/>
                <w:szCs w:val="20"/>
              </w:rPr>
              <w:t>1.503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0.850</w:t>
            </w:r>
          </w:p>
        </w:tc>
        <w:tc>
          <w:tcPr>
            <w:tcW w:w="1205" w:type="dxa"/>
            <w:tcBorders/>
            <w:noWrap/>
            <w:hideMark/>
          </w:tcPr>
          <w:p>
            <w:pPr>
              <w:pStyle w:val="style0"/>
              <w:jc w:val="center"/>
              <w:rPr>
                <w:sz w:val="20"/>
                <w:szCs w:val="20"/>
              </w:rPr>
            </w:pPr>
            <w:r>
              <w:rPr>
                <w:sz w:val="20"/>
                <w:szCs w:val="20"/>
              </w:rPr>
              <w:t>0.054</w:t>
            </w:r>
          </w:p>
        </w:tc>
        <w:tc>
          <w:tcPr>
            <w:tcW w:w="1239" w:type="dxa"/>
            <w:tcBorders/>
            <w:noWrap/>
            <w:hideMark/>
          </w:tcPr>
          <w:p>
            <w:pPr>
              <w:pStyle w:val="style0"/>
              <w:jc w:val="center"/>
              <w:rPr>
                <w:sz w:val="20"/>
                <w:szCs w:val="20"/>
              </w:rPr>
            </w:pPr>
            <w:r>
              <w:rPr>
                <w:sz w:val="20"/>
                <w:szCs w:val="20"/>
              </w:rPr>
              <w:t>0.728</w:t>
            </w:r>
          </w:p>
        </w:tc>
        <w:tc>
          <w:tcPr>
            <w:tcW w:w="948" w:type="dxa"/>
            <w:tcBorders/>
            <w:noWrap/>
            <w:hideMark/>
          </w:tcPr>
          <w:p>
            <w:pPr>
              <w:pStyle w:val="style0"/>
              <w:jc w:val="center"/>
              <w:rPr>
                <w:sz w:val="20"/>
                <w:szCs w:val="20"/>
              </w:rPr>
            </w:pPr>
            <w:r>
              <w:rPr>
                <w:sz w:val="20"/>
                <w:szCs w:val="20"/>
              </w:rPr>
              <w:t>1.573</w:t>
            </w:r>
          </w:p>
        </w:tc>
      </w:tr>
      <w:tr>
        <w:tblPrEx/>
        <w:trPr>
          <w:trHeight w:val="290" w:hRule="atLeast"/>
        </w:trPr>
        <w:tc>
          <w:tcPr>
            <w:tcW w:w="510" w:type="dxa"/>
            <w:tcBorders/>
          </w:tcPr>
          <w:p>
            <w:pPr>
              <w:pStyle w:val="style0"/>
              <w:jc w:val="center"/>
              <w:rPr>
                <w:sz w:val="20"/>
                <w:szCs w:val="20"/>
              </w:rPr>
            </w:pPr>
            <w:r>
              <w:rPr>
                <w:sz w:val="20"/>
                <w:szCs w:val="20"/>
              </w:rPr>
              <w:t>54</w:t>
            </w:r>
          </w:p>
        </w:tc>
        <w:tc>
          <w:tcPr>
            <w:tcW w:w="1461" w:type="dxa"/>
            <w:tcBorders/>
            <w:noWrap/>
            <w:hideMark/>
          </w:tcPr>
          <w:p>
            <w:pPr>
              <w:pStyle w:val="style0"/>
              <w:jc w:val="center"/>
              <w:rPr>
                <w:sz w:val="20"/>
                <w:szCs w:val="20"/>
              </w:rPr>
            </w:pPr>
            <w:r>
              <w:rPr>
                <w:sz w:val="20"/>
                <w:szCs w:val="20"/>
              </w:rPr>
              <w:t>LION</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0.003</w:t>
            </w:r>
          </w:p>
        </w:tc>
        <w:tc>
          <w:tcPr>
            <w:tcW w:w="1239" w:type="dxa"/>
            <w:tcBorders/>
            <w:noWrap/>
            <w:hideMark/>
          </w:tcPr>
          <w:p>
            <w:pPr>
              <w:pStyle w:val="style0"/>
              <w:jc w:val="center"/>
              <w:rPr>
                <w:sz w:val="20"/>
                <w:szCs w:val="20"/>
              </w:rPr>
            </w:pPr>
            <w:r>
              <w:rPr>
                <w:sz w:val="20"/>
                <w:szCs w:val="20"/>
              </w:rPr>
              <w:t>0.720</w:t>
            </w:r>
          </w:p>
        </w:tc>
        <w:tc>
          <w:tcPr>
            <w:tcW w:w="948" w:type="dxa"/>
            <w:tcBorders/>
            <w:noWrap/>
            <w:hideMark/>
          </w:tcPr>
          <w:p>
            <w:pPr>
              <w:pStyle w:val="style0"/>
              <w:jc w:val="center"/>
              <w:rPr>
                <w:sz w:val="20"/>
                <w:szCs w:val="20"/>
              </w:rPr>
            </w:pPr>
            <w:r>
              <w:rPr>
                <w:sz w:val="20"/>
                <w:szCs w:val="20"/>
              </w:rPr>
              <w:t>0.553</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0.003</w:t>
            </w:r>
          </w:p>
        </w:tc>
        <w:tc>
          <w:tcPr>
            <w:tcW w:w="1239" w:type="dxa"/>
            <w:tcBorders/>
            <w:noWrap/>
            <w:hideMark/>
          </w:tcPr>
          <w:p>
            <w:pPr>
              <w:pStyle w:val="style0"/>
              <w:jc w:val="center"/>
              <w:rPr>
                <w:sz w:val="20"/>
                <w:szCs w:val="20"/>
              </w:rPr>
            </w:pPr>
            <w:r>
              <w:rPr>
                <w:sz w:val="20"/>
                <w:szCs w:val="20"/>
              </w:rPr>
              <w:t>0.720</w:t>
            </w:r>
          </w:p>
        </w:tc>
        <w:tc>
          <w:tcPr>
            <w:tcW w:w="948" w:type="dxa"/>
            <w:tcBorders/>
            <w:noWrap/>
            <w:hideMark/>
          </w:tcPr>
          <w:p>
            <w:pPr>
              <w:pStyle w:val="style0"/>
              <w:jc w:val="center"/>
              <w:rPr>
                <w:sz w:val="20"/>
                <w:szCs w:val="20"/>
              </w:rPr>
            </w:pPr>
            <w:r>
              <w:rPr>
                <w:sz w:val="20"/>
                <w:szCs w:val="20"/>
              </w:rPr>
              <w:t>0.581</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0.003</w:t>
            </w:r>
          </w:p>
        </w:tc>
        <w:tc>
          <w:tcPr>
            <w:tcW w:w="1239" w:type="dxa"/>
            <w:tcBorders/>
            <w:noWrap/>
            <w:hideMark/>
          </w:tcPr>
          <w:p>
            <w:pPr>
              <w:pStyle w:val="style0"/>
              <w:jc w:val="center"/>
              <w:rPr>
                <w:sz w:val="20"/>
                <w:szCs w:val="20"/>
              </w:rPr>
            </w:pPr>
            <w:r>
              <w:rPr>
                <w:sz w:val="20"/>
                <w:szCs w:val="20"/>
              </w:rPr>
              <w:t>0.719</w:t>
            </w:r>
          </w:p>
        </w:tc>
        <w:tc>
          <w:tcPr>
            <w:tcW w:w="948" w:type="dxa"/>
            <w:tcBorders/>
            <w:noWrap/>
            <w:hideMark/>
          </w:tcPr>
          <w:p>
            <w:pPr>
              <w:pStyle w:val="style0"/>
              <w:jc w:val="center"/>
              <w:rPr>
                <w:sz w:val="20"/>
                <w:szCs w:val="20"/>
              </w:rPr>
            </w:pPr>
            <w:r>
              <w:rPr>
                <w:sz w:val="20"/>
                <w:szCs w:val="20"/>
              </w:rPr>
              <w:t>0.948</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0.003</w:t>
            </w:r>
          </w:p>
        </w:tc>
        <w:tc>
          <w:tcPr>
            <w:tcW w:w="1239" w:type="dxa"/>
            <w:tcBorders/>
            <w:noWrap/>
            <w:hideMark/>
          </w:tcPr>
          <w:p>
            <w:pPr>
              <w:pStyle w:val="style0"/>
              <w:jc w:val="center"/>
              <w:rPr>
                <w:sz w:val="20"/>
                <w:szCs w:val="20"/>
              </w:rPr>
            </w:pPr>
            <w:r>
              <w:rPr>
                <w:sz w:val="20"/>
                <w:szCs w:val="20"/>
              </w:rPr>
              <w:t>0.719</w:t>
            </w:r>
          </w:p>
        </w:tc>
        <w:tc>
          <w:tcPr>
            <w:tcW w:w="948" w:type="dxa"/>
            <w:tcBorders/>
            <w:noWrap/>
            <w:hideMark/>
          </w:tcPr>
          <w:p>
            <w:pPr>
              <w:pStyle w:val="style0"/>
              <w:jc w:val="center"/>
              <w:rPr>
                <w:sz w:val="20"/>
                <w:szCs w:val="20"/>
              </w:rPr>
            </w:pPr>
            <w:r>
              <w:rPr>
                <w:sz w:val="20"/>
                <w:szCs w:val="20"/>
              </w:rPr>
              <w:t>0.741</w:t>
            </w:r>
          </w:p>
        </w:tc>
      </w:tr>
      <w:tr>
        <w:tblPrEx/>
        <w:trPr>
          <w:trHeight w:val="290" w:hRule="atLeast"/>
        </w:trPr>
        <w:tc>
          <w:tcPr>
            <w:tcW w:w="510" w:type="dxa"/>
            <w:tcBorders/>
          </w:tcPr>
          <w:p>
            <w:pPr>
              <w:pStyle w:val="style0"/>
              <w:jc w:val="center"/>
              <w:rPr>
                <w:sz w:val="20"/>
                <w:szCs w:val="20"/>
              </w:rPr>
            </w:pPr>
            <w:r>
              <w:rPr>
                <w:sz w:val="20"/>
                <w:szCs w:val="20"/>
              </w:rPr>
              <w:t>55</w:t>
            </w:r>
          </w:p>
        </w:tc>
        <w:tc>
          <w:tcPr>
            <w:tcW w:w="1461" w:type="dxa"/>
            <w:tcBorders/>
            <w:noWrap/>
            <w:hideMark/>
          </w:tcPr>
          <w:p>
            <w:pPr>
              <w:pStyle w:val="style0"/>
              <w:jc w:val="center"/>
              <w:rPr>
                <w:sz w:val="20"/>
                <w:szCs w:val="20"/>
              </w:rPr>
            </w:pPr>
            <w:r>
              <w:rPr>
                <w:sz w:val="20"/>
                <w:szCs w:val="20"/>
              </w:rPr>
              <w:t>SCCO</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0.011</w:t>
            </w:r>
          </w:p>
        </w:tc>
        <w:tc>
          <w:tcPr>
            <w:tcW w:w="1239" w:type="dxa"/>
            <w:tcBorders/>
            <w:noWrap/>
            <w:hideMark/>
          </w:tcPr>
          <w:p>
            <w:pPr>
              <w:pStyle w:val="style0"/>
              <w:jc w:val="center"/>
              <w:rPr>
                <w:sz w:val="20"/>
                <w:szCs w:val="20"/>
              </w:rPr>
            </w:pPr>
            <w:r>
              <w:rPr>
                <w:sz w:val="20"/>
                <w:szCs w:val="20"/>
              </w:rPr>
              <w:t>0.883</w:t>
            </w:r>
          </w:p>
        </w:tc>
        <w:tc>
          <w:tcPr>
            <w:tcW w:w="948" w:type="dxa"/>
            <w:tcBorders/>
            <w:noWrap/>
            <w:hideMark/>
          </w:tcPr>
          <w:p>
            <w:pPr>
              <w:pStyle w:val="style0"/>
              <w:jc w:val="center"/>
              <w:rPr>
                <w:sz w:val="20"/>
                <w:szCs w:val="20"/>
              </w:rPr>
            </w:pPr>
            <w:r>
              <w:rPr>
                <w:sz w:val="20"/>
                <w:szCs w:val="20"/>
              </w:rPr>
              <w:t>0.700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0.009</w:t>
            </w:r>
          </w:p>
        </w:tc>
        <w:tc>
          <w:tcPr>
            <w:tcW w:w="1239" w:type="dxa"/>
            <w:tcBorders/>
            <w:noWrap/>
            <w:hideMark/>
          </w:tcPr>
          <w:p>
            <w:pPr>
              <w:pStyle w:val="style0"/>
              <w:jc w:val="center"/>
              <w:rPr>
                <w:sz w:val="20"/>
                <w:szCs w:val="20"/>
              </w:rPr>
            </w:pPr>
            <w:r>
              <w:rPr>
                <w:sz w:val="20"/>
                <w:szCs w:val="20"/>
              </w:rPr>
              <w:t>0.886</w:t>
            </w:r>
          </w:p>
        </w:tc>
        <w:tc>
          <w:tcPr>
            <w:tcW w:w="948" w:type="dxa"/>
            <w:tcBorders/>
            <w:noWrap/>
            <w:hideMark/>
          </w:tcPr>
          <w:p>
            <w:pPr>
              <w:pStyle w:val="style0"/>
              <w:jc w:val="center"/>
              <w:rPr>
                <w:sz w:val="20"/>
                <w:szCs w:val="20"/>
              </w:rPr>
            </w:pPr>
            <w:r>
              <w:rPr>
                <w:sz w:val="20"/>
                <w:szCs w:val="20"/>
              </w:rPr>
              <w:t>0.516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0.009</w:t>
            </w:r>
          </w:p>
        </w:tc>
        <w:tc>
          <w:tcPr>
            <w:tcW w:w="1239" w:type="dxa"/>
            <w:tcBorders/>
            <w:noWrap/>
            <w:hideMark/>
          </w:tcPr>
          <w:p>
            <w:pPr>
              <w:pStyle w:val="style0"/>
              <w:jc w:val="center"/>
              <w:rPr>
                <w:sz w:val="20"/>
                <w:szCs w:val="20"/>
              </w:rPr>
            </w:pPr>
            <w:r>
              <w:rPr>
                <w:sz w:val="20"/>
                <w:szCs w:val="20"/>
              </w:rPr>
              <w:t>0.885</w:t>
            </w:r>
          </w:p>
        </w:tc>
        <w:tc>
          <w:tcPr>
            <w:tcW w:w="948" w:type="dxa"/>
            <w:tcBorders/>
            <w:noWrap/>
            <w:hideMark/>
          </w:tcPr>
          <w:p>
            <w:pPr>
              <w:pStyle w:val="style0"/>
              <w:jc w:val="center"/>
              <w:rPr>
                <w:sz w:val="20"/>
                <w:szCs w:val="20"/>
              </w:rPr>
            </w:pPr>
            <w:r>
              <w:rPr>
                <w:sz w:val="20"/>
                <w:szCs w:val="20"/>
              </w:rPr>
              <w:t>0.424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0.008</w:t>
            </w:r>
          </w:p>
        </w:tc>
        <w:tc>
          <w:tcPr>
            <w:tcW w:w="1239" w:type="dxa"/>
            <w:tcBorders/>
            <w:noWrap/>
            <w:hideMark/>
          </w:tcPr>
          <w:p>
            <w:pPr>
              <w:pStyle w:val="style0"/>
              <w:jc w:val="center"/>
              <w:rPr>
                <w:sz w:val="20"/>
                <w:szCs w:val="20"/>
              </w:rPr>
            </w:pPr>
            <w:r>
              <w:rPr>
                <w:sz w:val="20"/>
                <w:szCs w:val="20"/>
              </w:rPr>
              <w:t>0.884</w:t>
            </w:r>
          </w:p>
        </w:tc>
        <w:tc>
          <w:tcPr>
            <w:tcW w:w="948" w:type="dxa"/>
            <w:tcBorders/>
            <w:noWrap/>
            <w:hideMark/>
          </w:tcPr>
          <w:p>
            <w:pPr>
              <w:pStyle w:val="style0"/>
              <w:jc w:val="center"/>
              <w:rPr>
                <w:sz w:val="20"/>
                <w:szCs w:val="20"/>
              </w:rPr>
            </w:pPr>
            <w:r>
              <w:rPr>
                <w:sz w:val="20"/>
                <w:szCs w:val="20"/>
              </w:rPr>
              <w:t>0.390</w:t>
            </w:r>
          </w:p>
        </w:tc>
      </w:tr>
      <w:tr>
        <w:tblPrEx/>
        <w:trPr>
          <w:trHeight w:val="290" w:hRule="atLeast"/>
        </w:trPr>
        <w:tc>
          <w:tcPr>
            <w:tcW w:w="510" w:type="dxa"/>
            <w:tcBorders/>
          </w:tcPr>
          <w:p>
            <w:pPr>
              <w:pStyle w:val="style0"/>
              <w:jc w:val="center"/>
              <w:rPr>
                <w:sz w:val="20"/>
                <w:szCs w:val="20"/>
              </w:rPr>
            </w:pPr>
            <w:r>
              <w:rPr>
                <w:sz w:val="20"/>
                <w:szCs w:val="20"/>
              </w:rPr>
              <w:t>56</w:t>
            </w:r>
          </w:p>
        </w:tc>
        <w:tc>
          <w:tcPr>
            <w:tcW w:w="1461" w:type="dxa"/>
            <w:tcBorders/>
            <w:noWrap/>
            <w:hideMark/>
          </w:tcPr>
          <w:p>
            <w:pPr>
              <w:pStyle w:val="style0"/>
              <w:jc w:val="center"/>
              <w:rPr>
                <w:sz w:val="20"/>
                <w:szCs w:val="20"/>
              </w:rPr>
            </w:pPr>
            <w:r>
              <w:rPr>
                <w:sz w:val="20"/>
                <w:szCs w:val="20"/>
              </w:rPr>
              <w:t>MARK</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0.048</w:t>
            </w:r>
          </w:p>
        </w:tc>
        <w:tc>
          <w:tcPr>
            <w:tcW w:w="1239" w:type="dxa"/>
            <w:tcBorders/>
            <w:noWrap/>
            <w:hideMark/>
          </w:tcPr>
          <w:p>
            <w:pPr>
              <w:pStyle w:val="style0"/>
              <w:jc w:val="center"/>
              <w:rPr>
                <w:sz w:val="20"/>
                <w:szCs w:val="20"/>
              </w:rPr>
            </w:pPr>
            <w:r>
              <w:rPr>
                <w:sz w:val="20"/>
                <w:szCs w:val="20"/>
              </w:rPr>
              <w:t>0.788</w:t>
            </w:r>
          </w:p>
        </w:tc>
        <w:tc>
          <w:tcPr>
            <w:tcW w:w="948" w:type="dxa"/>
            <w:tcBorders/>
            <w:noWrap/>
            <w:hideMark/>
          </w:tcPr>
          <w:p>
            <w:pPr>
              <w:pStyle w:val="style0"/>
              <w:jc w:val="center"/>
              <w:rPr>
                <w:sz w:val="20"/>
                <w:szCs w:val="20"/>
              </w:rPr>
            </w:pPr>
            <w:r>
              <w:rPr>
                <w:sz w:val="20"/>
                <w:szCs w:val="20"/>
              </w:rPr>
              <w:t>5.975</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0.047</w:t>
            </w:r>
          </w:p>
        </w:tc>
        <w:tc>
          <w:tcPr>
            <w:tcW w:w="1239" w:type="dxa"/>
            <w:tcBorders/>
            <w:noWrap/>
            <w:hideMark/>
          </w:tcPr>
          <w:p>
            <w:pPr>
              <w:pStyle w:val="style0"/>
              <w:jc w:val="center"/>
              <w:rPr>
                <w:sz w:val="20"/>
                <w:szCs w:val="20"/>
              </w:rPr>
            </w:pPr>
            <w:r>
              <w:rPr>
                <w:sz w:val="20"/>
                <w:szCs w:val="20"/>
              </w:rPr>
              <w:t>0.788</w:t>
            </w:r>
          </w:p>
        </w:tc>
        <w:tc>
          <w:tcPr>
            <w:tcW w:w="948" w:type="dxa"/>
            <w:tcBorders/>
            <w:noWrap/>
            <w:hideMark/>
          </w:tcPr>
          <w:p>
            <w:pPr>
              <w:pStyle w:val="style0"/>
              <w:jc w:val="center"/>
              <w:rPr>
                <w:sz w:val="20"/>
                <w:szCs w:val="20"/>
              </w:rPr>
            </w:pPr>
            <w:r>
              <w:rPr>
                <w:sz w:val="20"/>
                <w:szCs w:val="20"/>
              </w:rPr>
              <w:t>4.574</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0.017</w:t>
            </w:r>
          </w:p>
        </w:tc>
        <w:tc>
          <w:tcPr>
            <w:tcW w:w="1239" w:type="dxa"/>
            <w:tcBorders/>
            <w:noWrap/>
            <w:hideMark/>
          </w:tcPr>
          <w:p>
            <w:pPr>
              <w:pStyle w:val="style0"/>
              <w:jc w:val="center"/>
              <w:rPr>
                <w:sz w:val="20"/>
                <w:szCs w:val="20"/>
              </w:rPr>
            </w:pPr>
            <w:r>
              <w:rPr>
                <w:sz w:val="20"/>
                <w:szCs w:val="20"/>
              </w:rPr>
              <w:t>0.799</w:t>
            </w:r>
          </w:p>
        </w:tc>
        <w:tc>
          <w:tcPr>
            <w:tcW w:w="948" w:type="dxa"/>
            <w:tcBorders/>
            <w:noWrap/>
            <w:hideMark/>
          </w:tcPr>
          <w:p>
            <w:pPr>
              <w:pStyle w:val="style0"/>
              <w:jc w:val="center"/>
              <w:rPr>
                <w:sz w:val="20"/>
                <w:szCs w:val="20"/>
              </w:rPr>
            </w:pPr>
            <w:r>
              <w:rPr>
                <w:sz w:val="20"/>
                <w:szCs w:val="20"/>
              </w:rPr>
              <w:t>4.186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0.500</w:t>
            </w:r>
          </w:p>
        </w:tc>
        <w:tc>
          <w:tcPr>
            <w:tcW w:w="1205" w:type="dxa"/>
            <w:tcBorders/>
            <w:noWrap/>
            <w:hideMark/>
          </w:tcPr>
          <w:p>
            <w:pPr>
              <w:pStyle w:val="style0"/>
              <w:jc w:val="center"/>
              <w:rPr>
                <w:sz w:val="20"/>
                <w:szCs w:val="20"/>
              </w:rPr>
            </w:pPr>
            <w:r>
              <w:rPr>
                <w:sz w:val="20"/>
                <w:szCs w:val="20"/>
              </w:rPr>
              <w:t>0.017</w:t>
            </w:r>
          </w:p>
        </w:tc>
        <w:tc>
          <w:tcPr>
            <w:tcW w:w="1239" w:type="dxa"/>
            <w:tcBorders/>
            <w:noWrap/>
            <w:hideMark/>
          </w:tcPr>
          <w:p>
            <w:pPr>
              <w:pStyle w:val="style0"/>
              <w:jc w:val="center"/>
              <w:rPr>
                <w:sz w:val="20"/>
                <w:szCs w:val="20"/>
              </w:rPr>
            </w:pPr>
            <w:r>
              <w:rPr>
                <w:sz w:val="20"/>
                <w:szCs w:val="20"/>
              </w:rPr>
              <w:t>0.804</w:t>
            </w:r>
          </w:p>
        </w:tc>
        <w:tc>
          <w:tcPr>
            <w:tcW w:w="948" w:type="dxa"/>
            <w:tcBorders/>
            <w:noWrap/>
            <w:hideMark/>
          </w:tcPr>
          <w:p>
            <w:pPr>
              <w:pStyle w:val="style0"/>
              <w:jc w:val="center"/>
              <w:rPr>
                <w:sz w:val="20"/>
                <w:szCs w:val="20"/>
              </w:rPr>
            </w:pPr>
            <w:r>
              <w:rPr>
                <w:sz w:val="20"/>
                <w:szCs w:val="20"/>
              </w:rPr>
              <w:t>2.673</w:t>
            </w:r>
          </w:p>
        </w:tc>
      </w:tr>
      <w:tr>
        <w:tblPrEx/>
        <w:trPr>
          <w:trHeight w:val="290" w:hRule="atLeast"/>
        </w:trPr>
        <w:tc>
          <w:tcPr>
            <w:tcW w:w="510" w:type="dxa"/>
            <w:tcBorders/>
          </w:tcPr>
          <w:p>
            <w:pPr>
              <w:pStyle w:val="style0"/>
              <w:jc w:val="center"/>
              <w:rPr>
                <w:sz w:val="20"/>
                <w:szCs w:val="20"/>
              </w:rPr>
            </w:pPr>
            <w:r>
              <w:rPr>
                <w:sz w:val="20"/>
                <w:szCs w:val="20"/>
              </w:rPr>
              <w:t>57</w:t>
            </w:r>
          </w:p>
        </w:tc>
        <w:tc>
          <w:tcPr>
            <w:tcW w:w="1461" w:type="dxa"/>
            <w:tcBorders/>
            <w:noWrap/>
            <w:hideMark/>
          </w:tcPr>
          <w:p>
            <w:pPr>
              <w:pStyle w:val="style0"/>
              <w:jc w:val="center"/>
              <w:rPr>
                <w:sz w:val="20"/>
                <w:szCs w:val="20"/>
              </w:rPr>
            </w:pPr>
            <w:r>
              <w:rPr>
                <w:sz w:val="20"/>
                <w:szCs w:val="20"/>
              </w:rPr>
              <w:t>CAKK</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0.450</w:t>
            </w:r>
          </w:p>
        </w:tc>
        <w:tc>
          <w:tcPr>
            <w:tcW w:w="1205" w:type="dxa"/>
            <w:tcBorders/>
            <w:noWrap/>
            <w:hideMark/>
          </w:tcPr>
          <w:p>
            <w:pPr>
              <w:pStyle w:val="style0"/>
              <w:jc w:val="center"/>
              <w:rPr>
                <w:sz w:val="20"/>
                <w:szCs w:val="20"/>
              </w:rPr>
            </w:pPr>
            <w:r>
              <w:rPr>
                <w:sz w:val="20"/>
                <w:szCs w:val="20"/>
              </w:rPr>
              <w:t>0.455</w:t>
            </w:r>
          </w:p>
        </w:tc>
        <w:tc>
          <w:tcPr>
            <w:tcW w:w="1239" w:type="dxa"/>
            <w:tcBorders/>
            <w:noWrap/>
            <w:hideMark/>
          </w:tcPr>
          <w:p>
            <w:pPr>
              <w:pStyle w:val="style0"/>
              <w:jc w:val="center"/>
              <w:rPr>
                <w:sz w:val="20"/>
                <w:szCs w:val="20"/>
              </w:rPr>
            </w:pPr>
            <w:r>
              <w:rPr>
                <w:sz w:val="20"/>
                <w:szCs w:val="20"/>
              </w:rPr>
              <w:t>0.328</w:t>
            </w:r>
          </w:p>
        </w:tc>
        <w:tc>
          <w:tcPr>
            <w:tcW w:w="948" w:type="dxa"/>
            <w:tcBorders/>
            <w:noWrap/>
            <w:hideMark/>
          </w:tcPr>
          <w:p>
            <w:pPr>
              <w:pStyle w:val="style0"/>
              <w:jc w:val="center"/>
              <w:rPr>
                <w:sz w:val="20"/>
                <w:szCs w:val="20"/>
              </w:rPr>
            </w:pPr>
            <w:r>
              <w:rPr>
                <w:sz w:val="20"/>
                <w:szCs w:val="20"/>
              </w:rPr>
              <w:t>0.540</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0.455</w:t>
            </w:r>
          </w:p>
        </w:tc>
        <w:tc>
          <w:tcPr>
            <w:tcW w:w="1239" w:type="dxa"/>
            <w:tcBorders/>
            <w:noWrap/>
            <w:hideMark/>
          </w:tcPr>
          <w:p>
            <w:pPr>
              <w:pStyle w:val="style0"/>
              <w:jc w:val="center"/>
              <w:rPr>
                <w:sz w:val="20"/>
                <w:szCs w:val="20"/>
              </w:rPr>
            </w:pPr>
            <w:r>
              <w:rPr>
                <w:sz w:val="20"/>
                <w:szCs w:val="20"/>
              </w:rPr>
              <w:t>0.324</w:t>
            </w:r>
          </w:p>
        </w:tc>
        <w:tc>
          <w:tcPr>
            <w:tcW w:w="948" w:type="dxa"/>
            <w:tcBorders/>
            <w:noWrap/>
            <w:hideMark/>
          </w:tcPr>
          <w:p>
            <w:pPr>
              <w:pStyle w:val="style0"/>
              <w:jc w:val="center"/>
              <w:rPr>
                <w:sz w:val="20"/>
                <w:szCs w:val="20"/>
              </w:rPr>
            </w:pPr>
            <w:r>
              <w:rPr>
                <w:sz w:val="20"/>
                <w:szCs w:val="20"/>
              </w:rPr>
              <w:t>0.717</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0.859</w:t>
            </w:r>
          </w:p>
        </w:tc>
        <w:tc>
          <w:tcPr>
            <w:tcW w:w="948" w:type="dxa"/>
            <w:tcBorders/>
            <w:noWrap/>
            <w:hideMark/>
          </w:tcPr>
          <w:p>
            <w:pPr>
              <w:pStyle w:val="style0"/>
              <w:jc w:val="center"/>
              <w:rPr>
                <w:sz w:val="20"/>
                <w:szCs w:val="20"/>
              </w:rPr>
            </w:pPr>
            <w:r>
              <w:rPr>
                <w:sz w:val="20"/>
                <w:szCs w:val="20"/>
              </w:rPr>
              <w:t>0.979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0.036</w:t>
            </w:r>
          </w:p>
        </w:tc>
        <w:tc>
          <w:tcPr>
            <w:tcW w:w="1239" w:type="dxa"/>
            <w:tcBorders/>
            <w:noWrap/>
            <w:hideMark/>
          </w:tcPr>
          <w:p>
            <w:pPr>
              <w:pStyle w:val="style0"/>
              <w:jc w:val="center"/>
              <w:rPr>
                <w:sz w:val="20"/>
                <w:szCs w:val="20"/>
              </w:rPr>
            </w:pPr>
            <w:r>
              <w:rPr>
                <w:sz w:val="20"/>
                <w:szCs w:val="20"/>
              </w:rPr>
              <w:t>0.833</w:t>
            </w:r>
          </w:p>
        </w:tc>
        <w:tc>
          <w:tcPr>
            <w:tcW w:w="948" w:type="dxa"/>
            <w:tcBorders/>
            <w:noWrap/>
            <w:hideMark/>
          </w:tcPr>
          <w:p>
            <w:pPr>
              <w:pStyle w:val="style0"/>
              <w:jc w:val="center"/>
              <w:rPr>
                <w:sz w:val="20"/>
                <w:szCs w:val="20"/>
              </w:rPr>
            </w:pPr>
            <w:r>
              <w:rPr>
                <w:sz w:val="20"/>
                <w:szCs w:val="20"/>
              </w:rPr>
              <w:t>1.047</w:t>
            </w:r>
          </w:p>
        </w:tc>
      </w:tr>
      <w:tr>
        <w:tblPrEx/>
        <w:trPr>
          <w:trHeight w:val="290" w:hRule="atLeast"/>
        </w:trPr>
        <w:tc>
          <w:tcPr>
            <w:tcW w:w="510" w:type="dxa"/>
            <w:tcBorders/>
          </w:tcPr>
          <w:p>
            <w:pPr>
              <w:pStyle w:val="style0"/>
              <w:jc w:val="center"/>
              <w:rPr>
                <w:sz w:val="20"/>
                <w:szCs w:val="20"/>
              </w:rPr>
            </w:pPr>
            <w:r>
              <w:rPr>
                <w:sz w:val="20"/>
                <w:szCs w:val="20"/>
              </w:rPr>
              <w:t>58</w:t>
            </w:r>
          </w:p>
        </w:tc>
        <w:tc>
          <w:tcPr>
            <w:tcW w:w="1461" w:type="dxa"/>
            <w:tcBorders/>
            <w:noWrap/>
            <w:hideMark/>
          </w:tcPr>
          <w:p>
            <w:pPr>
              <w:pStyle w:val="style0"/>
              <w:jc w:val="center"/>
              <w:rPr>
                <w:sz w:val="20"/>
                <w:szCs w:val="20"/>
              </w:rPr>
            </w:pPr>
            <w:r>
              <w:rPr>
                <w:sz w:val="20"/>
                <w:szCs w:val="20"/>
              </w:rPr>
              <w:t>CCSI</w:t>
            </w:r>
          </w:p>
        </w:tc>
        <w:tc>
          <w:tcPr>
            <w:tcW w:w="814" w:type="dxa"/>
            <w:tcBorders/>
            <w:noWrap/>
            <w:hideMark/>
          </w:tcPr>
          <w:p>
            <w:pPr>
              <w:pStyle w:val="style0"/>
              <w:jc w:val="center"/>
              <w:rPr>
                <w:sz w:val="20"/>
                <w:szCs w:val="20"/>
              </w:rPr>
            </w:pPr>
            <w:r>
              <w:rPr>
                <w:sz w:val="20"/>
                <w:szCs w:val="20"/>
              </w:rPr>
              <w:t>2020</w:t>
            </w:r>
          </w:p>
        </w:tc>
        <w:tc>
          <w:tcPr>
            <w:tcW w:w="1750" w:type="dxa"/>
            <w:tcBorders/>
            <w:noWrap/>
            <w:hideMark/>
          </w:tcPr>
          <w:p>
            <w:pPr>
              <w:pStyle w:val="style0"/>
              <w:jc w:val="center"/>
              <w:rPr>
                <w:sz w:val="20"/>
                <w:szCs w:val="20"/>
              </w:rPr>
            </w:pPr>
            <w:r>
              <w:rPr>
                <w:sz w:val="20"/>
                <w:szCs w:val="20"/>
              </w:rPr>
              <w:t>0.550</w:t>
            </w:r>
          </w:p>
        </w:tc>
        <w:tc>
          <w:tcPr>
            <w:tcW w:w="1205" w:type="dxa"/>
            <w:tcBorders/>
            <w:noWrap/>
            <w:hideMark/>
          </w:tcPr>
          <w:p>
            <w:pPr>
              <w:pStyle w:val="style0"/>
              <w:jc w:val="center"/>
              <w:rPr>
                <w:sz w:val="20"/>
                <w:szCs w:val="20"/>
              </w:rPr>
            </w:pPr>
            <w:r>
              <w:rPr>
                <w:sz w:val="20"/>
                <w:szCs w:val="20"/>
              </w:rPr>
              <w:t>0.000</w:t>
            </w:r>
          </w:p>
        </w:tc>
        <w:tc>
          <w:tcPr>
            <w:tcW w:w="1239" w:type="dxa"/>
            <w:tcBorders/>
            <w:noWrap/>
            <w:hideMark/>
          </w:tcPr>
          <w:p>
            <w:pPr>
              <w:pStyle w:val="style0"/>
              <w:jc w:val="center"/>
              <w:rPr>
                <w:sz w:val="20"/>
                <w:szCs w:val="20"/>
              </w:rPr>
            </w:pPr>
            <w:r>
              <w:rPr>
                <w:sz w:val="20"/>
                <w:szCs w:val="20"/>
              </w:rPr>
              <w:t>0.596</w:t>
            </w:r>
          </w:p>
        </w:tc>
        <w:tc>
          <w:tcPr>
            <w:tcW w:w="948" w:type="dxa"/>
            <w:tcBorders/>
            <w:noWrap/>
            <w:hideMark/>
          </w:tcPr>
          <w:p>
            <w:pPr>
              <w:pStyle w:val="style0"/>
              <w:jc w:val="center"/>
              <w:rPr>
                <w:sz w:val="20"/>
                <w:szCs w:val="20"/>
              </w:rPr>
            </w:pPr>
            <w:r>
              <w:rPr>
                <w:sz w:val="20"/>
                <w:szCs w:val="20"/>
              </w:rPr>
              <w:t>0.806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2021</w:t>
            </w:r>
          </w:p>
        </w:tc>
        <w:tc>
          <w:tcPr>
            <w:tcW w:w="1750" w:type="dxa"/>
            <w:tcBorders/>
            <w:noWrap/>
            <w:hideMark/>
          </w:tcPr>
          <w:p>
            <w:pPr>
              <w:pStyle w:val="style0"/>
              <w:jc w:val="center"/>
              <w:rPr>
                <w:sz w:val="20"/>
                <w:szCs w:val="20"/>
              </w:rPr>
            </w:pPr>
            <w:r>
              <w:rPr>
                <w:sz w:val="20"/>
                <w:szCs w:val="20"/>
              </w:rPr>
              <w:t>0.650</w:t>
            </w:r>
          </w:p>
        </w:tc>
        <w:tc>
          <w:tcPr>
            <w:tcW w:w="1205" w:type="dxa"/>
            <w:tcBorders/>
            <w:noWrap/>
            <w:hideMark/>
          </w:tcPr>
          <w:p>
            <w:pPr>
              <w:pStyle w:val="style0"/>
              <w:jc w:val="center"/>
              <w:rPr>
                <w:sz w:val="20"/>
                <w:szCs w:val="20"/>
              </w:rPr>
            </w:pPr>
            <w:r>
              <w:rPr>
                <w:sz w:val="20"/>
                <w:szCs w:val="20"/>
              </w:rPr>
              <w:t>0.047</w:t>
            </w:r>
          </w:p>
        </w:tc>
        <w:tc>
          <w:tcPr>
            <w:tcW w:w="1239" w:type="dxa"/>
            <w:tcBorders/>
            <w:noWrap/>
            <w:hideMark/>
          </w:tcPr>
          <w:p>
            <w:pPr>
              <w:pStyle w:val="style0"/>
              <w:jc w:val="center"/>
              <w:rPr>
                <w:sz w:val="20"/>
                <w:szCs w:val="20"/>
              </w:rPr>
            </w:pPr>
            <w:r>
              <w:rPr>
                <w:sz w:val="20"/>
                <w:szCs w:val="20"/>
              </w:rPr>
              <w:t>0.599</w:t>
            </w:r>
          </w:p>
        </w:tc>
        <w:tc>
          <w:tcPr>
            <w:tcW w:w="948" w:type="dxa"/>
            <w:tcBorders/>
            <w:noWrap/>
            <w:hideMark/>
          </w:tcPr>
          <w:p>
            <w:pPr>
              <w:pStyle w:val="style0"/>
              <w:jc w:val="center"/>
              <w:rPr>
                <w:sz w:val="20"/>
                <w:szCs w:val="20"/>
              </w:rPr>
            </w:pPr>
            <w:r>
              <w:rPr>
                <w:sz w:val="20"/>
                <w:szCs w:val="20"/>
              </w:rPr>
              <w:t>1.966</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2022</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0.092</w:t>
            </w:r>
          </w:p>
        </w:tc>
        <w:tc>
          <w:tcPr>
            <w:tcW w:w="1239" w:type="dxa"/>
            <w:tcBorders/>
            <w:noWrap/>
            <w:hideMark/>
          </w:tcPr>
          <w:p>
            <w:pPr>
              <w:pStyle w:val="style0"/>
              <w:jc w:val="center"/>
              <w:rPr>
                <w:sz w:val="20"/>
                <w:szCs w:val="20"/>
              </w:rPr>
            </w:pPr>
            <w:r>
              <w:rPr>
                <w:sz w:val="20"/>
                <w:szCs w:val="20"/>
              </w:rPr>
              <w:t>0.609</w:t>
            </w:r>
          </w:p>
        </w:tc>
        <w:tc>
          <w:tcPr>
            <w:tcW w:w="948" w:type="dxa"/>
            <w:tcBorders/>
            <w:noWrap/>
            <w:hideMark/>
          </w:tcPr>
          <w:p>
            <w:pPr>
              <w:pStyle w:val="style0"/>
              <w:jc w:val="center"/>
              <w:rPr>
                <w:sz w:val="20"/>
                <w:szCs w:val="20"/>
              </w:rPr>
            </w:pPr>
            <w:r>
              <w:rPr>
                <w:sz w:val="20"/>
                <w:szCs w:val="20"/>
              </w:rPr>
              <w:t>1.499</w:t>
            </w:r>
          </w:p>
        </w:tc>
      </w:tr>
      <w:tr>
        <w:tblPrEx/>
        <w:trPr>
          <w:trHeight w:val="290" w:hRule="atLeast"/>
        </w:trPr>
        <w:tc>
          <w:tcPr>
            <w:tcW w:w="510" w:type="dxa"/>
            <w:tcBorders/>
          </w:tcPr>
          <w:p>
            <w:pPr>
              <w:pStyle w:val="style0"/>
              <w:jc w:val="center"/>
              <w:rPr>
                <w:sz w:val="20"/>
                <w:szCs w:val="20"/>
              </w:rPr>
            </w:pPr>
          </w:p>
        </w:tc>
        <w:tc>
          <w:tcPr>
            <w:tcW w:w="1461" w:type="dxa"/>
            <w:tcBorders/>
            <w:noWrap/>
            <w:hideMark/>
          </w:tcPr>
          <w:p>
            <w:pPr>
              <w:pStyle w:val="style0"/>
              <w:jc w:val="center"/>
              <w:rPr>
                <w:sz w:val="20"/>
                <w:szCs w:val="20"/>
              </w:rPr>
            </w:pPr>
          </w:p>
        </w:tc>
        <w:tc>
          <w:tcPr>
            <w:tcW w:w="814" w:type="dxa"/>
            <w:tcBorders/>
            <w:noWrap/>
            <w:hideMark/>
          </w:tcPr>
          <w:p>
            <w:pPr>
              <w:pStyle w:val="style0"/>
              <w:jc w:val="center"/>
              <w:rPr>
                <w:sz w:val="20"/>
                <w:szCs w:val="20"/>
              </w:rPr>
            </w:pPr>
            <w:r>
              <w:rPr>
                <w:sz w:val="20"/>
                <w:szCs w:val="20"/>
              </w:rPr>
              <w:t>2023</w:t>
            </w:r>
          </w:p>
        </w:tc>
        <w:tc>
          <w:tcPr>
            <w:tcW w:w="1750" w:type="dxa"/>
            <w:tcBorders/>
            <w:noWrap/>
            <w:hideMark/>
          </w:tcPr>
          <w:p>
            <w:pPr>
              <w:pStyle w:val="style0"/>
              <w:jc w:val="center"/>
              <w:rPr>
                <w:sz w:val="20"/>
                <w:szCs w:val="20"/>
              </w:rPr>
            </w:pPr>
            <w:r>
              <w:rPr>
                <w:sz w:val="20"/>
                <w:szCs w:val="20"/>
              </w:rPr>
              <w:t>0.600</w:t>
            </w:r>
          </w:p>
        </w:tc>
        <w:tc>
          <w:tcPr>
            <w:tcW w:w="1205" w:type="dxa"/>
            <w:tcBorders/>
            <w:noWrap/>
            <w:hideMark/>
          </w:tcPr>
          <w:p>
            <w:pPr>
              <w:pStyle w:val="style0"/>
              <w:jc w:val="center"/>
              <w:rPr>
                <w:sz w:val="20"/>
                <w:szCs w:val="20"/>
              </w:rPr>
            </w:pPr>
            <w:r>
              <w:rPr>
                <w:sz w:val="20"/>
                <w:szCs w:val="20"/>
              </w:rPr>
              <w:t>0.092</w:t>
            </w:r>
          </w:p>
        </w:tc>
        <w:tc>
          <w:tcPr>
            <w:tcW w:w="1239" w:type="dxa"/>
            <w:tcBorders/>
            <w:noWrap/>
            <w:hideMark/>
          </w:tcPr>
          <w:p>
            <w:pPr>
              <w:pStyle w:val="style0"/>
              <w:jc w:val="center"/>
              <w:rPr>
                <w:sz w:val="20"/>
                <w:szCs w:val="20"/>
              </w:rPr>
            </w:pPr>
            <w:r>
              <w:rPr>
                <w:sz w:val="20"/>
                <w:szCs w:val="20"/>
              </w:rPr>
              <w:t>0.611</w:t>
            </w:r>
          </w:p>
        </w:tc>
        <w:tc>
          <w:tcPr>
            <w:tcW w:w="948" w:type="dxa"/>
            <w:tcBorders/>
            <w:noWrap/>
            <w:hideMark/>
          </w:tcPr>
          <w:p>
            <w:pPr>
              <w:pStyle w:val="style0"/>
              <w:jc w:val="center"/>
              <w:rPr>
                <w:sz w:val="20"/>
                <w:szCs w:val="20"/>
              </w:rPr>
            </w:pPr>
            <w:r>
              <w:rPr>
                <w:sz w:val="20"/>
                <w:szCs w:val="20"/>
              </w:rPr>
              <w:t>1.206</w:t>
            </w:r>
          </w:p>
        </w:tc>
      </w:tr>
      <w:bookmarkStart w:id="127" w:name="_Toc216242929"/>
      <w:bookmarkStart w:id="128" w:name="_Toc224085871"/>
    </w:tbl>
    <w:p>
      <w:pPr>
        <w:pStyle w:val="style34"/>
        <w:spacing w:before="240" w:after="0"/>
        <w:rPr>
          <w:rFonts w:cs="Times New Roman"/>
        </w:rPr>
      </w:pPr>
      <w:r>
        <w:t xml:space="preserve">Lampiran </w:t>
      </w:r>
      <w:r>
        <w:rPr/>
        <w:fldChar w:fldCharType="begin"/>
      </w:r>
      <w:r>
        <w:instrText xml:space="preserve"> SEQ Lampiran \* ARABIC </w:instrText>
      </w:r>
      <w:r>
        <w:rPr/>
        <w:fldChar w:fldCharType="separate"/>
      </w:r>
      <w:r>
        <w:rPr>
          <w:noProof/>
        </w:rPr>
        <w:t>4</w:t>
      </w:r>
      <w:r>
        <w:rPr/>
        <w:fldChar w:fldCharType="end"/>
      </w:r>
      <w:r>
        <w:t xml:space="preserve">: </w:t>
      </w:r>
      <w:r>
        <w:t>Perhitungan Variabel</w:t>
      </w:r>
      <w:bookmarkEnd w:id="127"/>
      <w:bookmarkEnd w:id="128"/>
    </w:p>
    <w:p>
      <w:pPr>
        <w:pStyle w:val="style0"/>
        <w:spacing w:lineRule="auto" w:line="240"/>
        <w:rPr>
          <w:rFonts w:cs="Times New Roman"/>
          <w:b/>
          <w:bCs/>
          <w:szCs w:val="24"/>
        </w:rPr>
      </w:pPr>
      <w:r>
        <w:rPr>
          <w:rFonts w:cs="Times New Roman"/>
          <w:b/>
          <w:bCs/>
          <w:noProof/>
          <w:szCs w:val="24"/>
        </w:rPr>
        <mc:AlternateContent>
          <mc:Choice Requires="wps">
            <w:drawing>
              <wp:anchor distT="0" distB="0" distL="0" distR="0" simplePos="false" relativeHeight="9" behindDoc="false" locked="false" layoutInCell="true" allowOverlap="true">
                <wp:simplePos x="0" y="0"/>
                <wp:positionH relativeFrom="column">
                  <wp:posOffset>397889</wp:posOffset>
                </wp:positionH>
                <wp:positionV relativeFrom="paragraph">
                  <wp:posOffset>302895</wp:posOffset>
                </wp:positionV>
                <wp:extent cx="4319081" cy="622570"/>
                <wp:effectExtent l="0" t="0" r="24765" b="25400"/>
                <wp:wrapNone/>
                <wp:docPr id="1083" name="Rectangle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19081" cy="622570"/>
                        </a:xfrm>
                        <a:prstGeom prst="rect"/>
                        <a:ln cmpd="sng" cap="flat" w="9525">
                          <a:solidFill>
                            <a:srgbClr val="000000"/>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rect id="1083" filled="f" stroked="t" style="position:absolute;margin-left:31.33pt;margin-top:23.85pt;width:340.09pt;height:49.02pt;z-index:9;mso-position-horizontal-relative:text;mso-position-vertical-relative:text;mso-height-percent:0;mso-width-relative:page;mso-height-relative:margin;mso-wrap-distance-left:0.0pt;mso-wrap-distance-right:0.0pt;visibility:visible;">
                <v:fill/>
              </v:rect>
            </w:pict>
          </mc:Fallback>
        </mc:AlternateContent>
      </w:r>
      <w:r>
        <w:rPr>
          <w:rFonts w:cs="Times New Roman"/>
          <w:b/>
          <w:bCs/>
          <w:szCs w:val="24"/>
        </w:rPr>
        <w:t xml:space="preserve">1. Perhitungan Variabel </w:t>
      </w:r>
      <w:r>
        <w:rPr>
          <w:rFonts w:cs="Times New Roman"/>
          <w:b/>
          <w:bCs/>
          <w:i/>
          <w:iCs/>
          <w:szCs w:val="24"/>
        </w:rPr>
        <w:t xml:space="preserve">Enterprise Risk Management </w:t>
      </w:r>
      <w:r>
        <w:rPr>
          <w:rFonts w:cs="Times New Roman"/>
          <w:b/>
          <w:bCs/>
          <w:szCs w:val="24"/>
        </w:rPr>
        <w:t>(</w:t>
      </w:r>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1</m:t>
            </m:r>
          </m:sub>
        </m:sSub>
      </m:oMath>
      <w:r>
        <w:rPr>
          <w:rFonts w:cs="Times New Roman"/>
          <w:b/>
          <w:bCs/>
          <w:szCs w:val="24"/>
        </w:rPr>
        <w:t>)</w:t>
      </w:r>
    </w:p>
    <w:p>
      <w:pPr>
        <w:pStyle w:val="style0"/>
        <w:tabs>
          <w:tab w:val="left" w:leader="none" w:pos="720"/>
        </w:tabs>
        <w:spacing w:before="240" w:lineRule="auto" w:line="240"/>
        <w:jc w:val="center"/>
        <w:rPr>
          <w:rFonts w:cs="Times New Roman" w:eastAsia="宋体"/>
          <w:b/>
          <w:bCs/>
          <w:sz w:val="22"/>
        </w:rPr>
      </w:pPr>
      <m:oMathPara>
        <m:oMath>
          <m:r>
            <m:rPr>
              <m:sty m:val="bi"/>
            </m:rPr>
            <w:rPr>
              <w:rFonts w:ascii="Cambria Math" w:cs="Times New Roman" w:hAnsi="Cambria Math"/>
              <w:sz w:val="22"/>
            </w:rPr>
            <m:t xml:space="preserve">Enterprise Risk Management </m:t>
          </m:r>
          <m:r>
            <m:rPr>
              <m:sty m:val="b"/>
            </m:rPr>
            <w:rPr>
              <w:rFonts w:ascii="Cambria Math" w:cs="Times New Roman" w:eastAsia="宋体" w:hAnsi="Cambria Math"/>
              <w:sz w:val="22"/>
            </w:rPr>
            <m:t xml:space="preserve">= </m:t>
          </m:r>
          <m:f>
            <m:fPr>
              <m:ctrlPr>
                <w:rPr>
                  <w:rFonts w:ascii="Cambria Math" w:cs="Times New Roman" w:hAnsi="Cambria Math"/>
                  <w:b/>
                  <w:bCs/>
                  <w:i/>
                  <w:sz w:val="22"/>
                </w:rPr>
              </m:ctrlPr>
            </m:fPr>
            <m:num>
              <m:r>
                <m:rPr>
                  <m:sty m:val="b"/>
                </m:rPr>
                <w:rPr>
                  <w:rFonts w:ascii="Cambria Math" w:cs="Times New Roman" w:hAnsi="Cambria Math"/>
                  <w:sz w:val="22"/>
                </w:rPr>
                <m:t>∑Item yang diungkapkan</m:t>
              </m:r>
            </m:num>
            <m:den>
              <m:r>
                <m:rPr>
                  <m:sty m:val="bi"/>
                </m:rPr>
                <w:rPr>
                  <w:rFonts w:ascii="Cambria Math" w:cs="Times New Roman" w:hAnsi="Cambria Math"/>
                  <w:sz w:val="22"/>
                </w:rPr>
                <m:t>∑</m:t>
              </m:r>
              <m:r>
                <m:rPr>
                  <m:sty m:val="b"/>
                </m:rPr>
                <w:rPr>
                  <w:rFonts w:ascii="Cambria Math" w:cs="Times New Roman" w:hAnsi="Cambria Math"/>
                  <w:sz w:val="22"/>
                </w:rPr>
                <m:t>Item pengungkapan</m:t>
              </m:r>
              <m:r>
                <m:rPr>
                  <m:sty m:val="bi"/>
                </m:rPr>
                <w:rPr>
                  <w:rFonts w:ascii="Cambria Math" w:cs="Times New Roman" w:hAnsi="Cambria Math"/>
                  <w:sz w:val="22"/>
                </w:rPr>
                <m:t xml:space="preserve"> </m:t>
              </m:r>
            </m:den>
          </m:f>
        </m:oMath>
      </m:oMathPara>
    </w:p>
    <w:p>
      <w:pPr>
        <w:pStyle w:val="style0"/>
        <w:tabs>
          <w:tab w:val="left" w:leader="none" w:pos="720"/>
        </w:tabs>
        <w:spacing w:lineRule="auto" w:line="240"/>
        <w:jc w:val="center"/>
        <w:rPr>
          <w:rFonts w:cs="Times New Roman" w:eastAsia="宋体"/>
          <w:b/>
          <w:bCs/>
          <w:sz w:val="22"/>
        </w:rPr>
      </w:pPr>
    </w:p>
    <w:tbl>
      <w:tblPr>
        <w:tblStyle w:val="style154"/>
        <w:tblW w:w="0" w:type="auto"/>
        <w:tblLook w:val="04A0" w:firstRow="1" w:lastRow="0" w:firstColumn="1" w:lastColumn="0" w:noHBand="0" w:noVBand="1"/>
      </w:tblPr>
      <w:tblGrid>
        <w:gridCol w:w="620"/>
        <w:gridCol w:w="1309"/>
        <w:gridCol w:w="813"/>
        <w:gridCol w:w="1560"/>
        <w:gridCol w:w="1560"/>
        <w:gridCol w:w="1420"/>
      </w:tblGrid>
      <w:tr>
        <w:trPr>
          <w:trHeight w:val="440" w:hRule="atLeast"/>
        </w:trPr>
        <w:tc>
          <w:tcPr>
            <w:tcW w:w="620" w:type="dxa"/>
            <w:tcBorders/>
            <w:noWrap/>
            <w:vAlign w:val="center"/>
            <w:hideMark/>
          </w:tcPr>
          <w:p>
            <w:pPr>
              <w:pStyle w:val="style0"/>
              <w:tabs>
                <w:tab w:val="left" w:leader="none" w:pos="720"/>
              </w:tabs>
              <w:jc w:val="center"/>
              <w:rPr>
                <w:rFonts w:cs="Times New Roman" w:eastAsia="宋体"/>
                <w:b/>
                <w:bCs/>
                <w:sz w:val="20"/>
                <w:szCs w:val="20"/>
              </w:rPr>
            </w:pPr>
            <w:r>
              <w:rPr>
                <w:rFonts w:cs="Times New Roman" w:eastAsia="宋体"/>
                <w:b/>
                <w:bCs/>
                <w:sz w:val="20"/>
                <w:szCs w:val="20"/>
              </w:rPr>
              <w:t>No.</w:t>
            </w:r>
          </w:p>
        </w:tc>
        <w:tc>
          <w:tcPr>
            <w:tcW w:w="1309" w:type="dxa"/>
            <w:tcBorders/>
            <w:noWrap/>
            <w:vAlign w:val="center"/>
            <w:hideMark/>
          </w:tcPr>
          <w:p>
            <w:pPr>
              <w:pStyle w:val="style0"/>
              <w:tabs>
                <w:tab w:val="left" w:leader="none" w:pos="720"/>
              </w:tabs>
              <w:jc w:val="center"/>
              <w:rPr>
                <w:rFonts w:cs="Times New Roman" w:eastAsia="宋体"/>
                <w:b/>
                <w:bCs/>
                <w:sz w:val="20"/>
                <w:szCs w:val="20"/>
              </w:rPr>
            </w:pPr>
            <w:r>
              <w:rPr>
                <w:rFonts w:cs="Times New Roman" w:eastAsia="宋体"/>
                <w:b/>
                <w:bCs/>
                <w:sz w:val="20"/>
                <w:szCs w:val="20"/>
              </w:rPr>
              <w:t>Perusahaan</w:t>
            </w:r>
          </w:p>
        </w:tc>
        <w:tc>
          <w:tcPr>
            <w:tcW w:w="813" w:type="dxa"/>
            <w:tcBorders/>
            <w:noWrap/>
            <w:vAlign w:val="center"/>
            <w:hideMark/>
          </w:tcPr>
          <w:p>
            <w:pPr>
              <w:pStyle w:val="style0"/>
              <w:tabs>
                <w:tab w:val="left" w:leader="none" w:pos="720"/>
              </w:tabs>
              <w:jc w:val="center"/>
              <w:rPr>
                <w:rFonts w:cs="Times New Roman" w:eastAsia="宋体"/>
                <w:b/>
                <w:bCs/>
                <w:sz w:val="20"/>
                <w:szCs w:val="20"/>
              </w:rPr>
            </w:pPr>
            <w:r>
              <w:rPr>
                <w:rFonts w:cs="Times New Roman" w:eastAsia="宋体"/>
                <w:b/>
                <w:bCs/>
                <w:sz w:val="20"/>
                <w:szCs w:val="20"/>
              </w:rPr>
              <w:t>Tahun</w:t>
            </w:r>
          </w:p>
        </w:tc>
        <w:tc>
          <w:tcPr>
            <w:tcW w:w="1560" w:type="dxa"/>
            <w:tcBorders/>
            <w:noWrap/>
            <w:vAlign w:val="center"/>
            <w:hideMark/>
          </w:tcPr>
          <w:p>
            <w:pPr>
              <w:pStyle w:val="style0"/>
              <w:tabs>
                <w:tab w:val="left" w:leader="none" w:pos="720"/>
              </w:tabs>
              <w:jc w:val="center"/>
              <w:rPr>
                <w:rFonts w:cs="Times New Roman" w:eastAsia="宋体"/>
                <w:b/>
                <w:bCs/>
                <w:color w:val="ffffff"/>
                <w:sz w:val="20"/>
                <w:szCs w:val="20"/>
              </w:rPr>
            </w:pPr>
            <m:oMath>
              <m:r>
                <m:rPr>
                  <m:sty m:val="b"/>
                </m:rPr>
                <w:rPr>
                  <w:rFonts w:ascii="Cambria Math" w:cs="Times New Roman" w:hAnsi="Cambria Math"/>
                  <w:sz w:val="22"/>
                </w:rPr>
                <m:t>∑</m:t>
              </m:r>
            </m:oMath>
            <w:r>
              <w:rPr>
                <w:rFonts w:cs="Times New Roman" w:eastAsia="宋体"/>
                <w:b/>
                <w:bCs/>
                <w:sz w:val="20"/>
                <w:szCs w:val="20"/>
              </w:rPr>
              <w:t>Item yang Diungkapkan</w:t>
            </w:r>
          </w:p>
        </w:tc>
        <w:tc>
          <w:tcPr>
            <w:tcW w:w="1560" w:type="dxa"/>
            <w:tcBorders/>
            <w:noWrap/>
            <w:vAlign w:val="center"/>
            <w:hideMark/>
          </w:tcPr>
          <w:p>
            <w:pPr>
              <w:pStyle w:val="style0"/>
              <w:tabs>
                <w:tab w:val="left" w:leader="none" w:pos="720"/>
              </w:tabs>
              <w:jc w:val="center"/>
              <w:rPr>
                <w:rFonts w:cs="Times New Roman" w:eastAsia="宋体"/>
                <w:b/>
                <w:bCs/>
                <w:sz w:val="20"/>
                <w:szCs w:val="20"/>
              </w:rPr>
            </w:pPr>
            <m:oMath>
              <m:r>
                <m:rPr>
                  <m:sty m:val="b"/>
                </m:rPr>
                <w:rPr>
                  <w:rFonts w:ascii="Cambria Math" w:cs="Times New Roman" w:hAnsi="Cambria Math"/>
                  <w:sz w:val="22"/>
                </w:rPr>
                <m:t>∑</m:t>
              </m:r>
            </m:oMath>
            <w:r>
              <w:rPr>
                <w:rFonts w:cs="Times New Roman" w:eastAsia="宋体"/>
                <w:b/>
                <w:bCs/>
                <w:sz w:val="20"/>
                <w:szCs w:val="20"/>
              </w:rPr>
              <w:t>Item Pengungkapan</w:t>
            </w:r>
          </w:p>
        </w:tc>
        <w:tc>
          <w:tcPr>
            <w:tcW w:w="1420" w:type="dxa"/>
            <w:tcBorders/>
            <w:noWrap/>
            <w:vAlign w:val="center"/>
            <w:hideMark/>
          </w:tcPr>
          <w:p>
            <w:pPr>
              <w:pStyle w:val="style0"/>
              <w:tabs>
                <w:tab w:val="left" w:leader="none" w:pos="720"/>
              </w:tabs>
              <w:jc w:val="center"/>
              <w:rPr>
                <w:rFonts w:cs="Times New Roman" w:eastAsia="宋体"/>
                <w:b/>
                <w:bCs/>
                <w:sz w:val="20"/>
                <w:szCs w:val="20"/>
              </w:rPr>
            </w:pPr>
            <w:r>
              <w:rPr>
                <w:rFonts w:cs="Times New Roman" w:eastAsia="宋体"/>
                <w:b/>
                <w:bCs/>
                <w:sz w:val="20"/>
                <w:szCs w:val="20"/>
              </w:rPr>
              <w:t>Hasil</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AGII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AKPI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3</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ALDO</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4</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APLI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5</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DPNS</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6</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GDST</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7</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INAI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14</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14</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8</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INCI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15</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9</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KDSI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10</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KRAS</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11</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LMSH</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12</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LTLS</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13</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SMBR</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14</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SRSN</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15</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SULI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16</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UNIC</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17</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WTON</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18</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WSBP</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19</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KMTR</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MDKI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21</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PBID</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6</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6</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6</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22</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MOLI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23</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SMKL</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15</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0.85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24</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ESIP</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5</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0.25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5</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0.25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25</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SAMF</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5</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0.25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26</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EPAC</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27</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CPRO</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6</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28</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GGRM</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29</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JPFA</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30</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MAIN</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14</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14</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14</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31</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MYOR</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32</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SKBM</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33</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TBLA</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34</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ULTJ</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35</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UNVR</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14</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15</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3</w:t>
            </w:r>
            <w:r>
              <w:rPr>
                <w:rFonts w:cs="Times New Roman" w:eastAsia="宋体"/>
                <w:sz w:val="20"/>
                <w:szCs w:val="20"/>
              </w:rPr>
              <w:t>6</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KINO</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14</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3</w:t>
            </w:r>
            <w:r>
              <w:rPr>
                <w:rFonts w:cs="Times New Roman" w:eastAsia="宋体"/>
                <w:sz w:val="20"/>
                <w:szCs w:val="20"/>
              </w:rPr>
              <w:t>7</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ZINC</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3</w:t>
            </w:r>
            <w:r>
              <w:rPr>
                <w:rFonts w:cs="Times New Roman" w:eastAsia="宋体"/>
                <w:sz w:val="20"/>
                <w:szCs w:val="20"/>
              </w:rPr>
              <w:t>8</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GOOD</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39</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FOOD</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4</w:t>
            </w:r>
            <w:r>
              <w:rPr>
                <w:rFonts w:cs="Times New Roman" w:eastAsia="宋体"/>
                <w:sz w:val="20"/>
                <w:szCs w:val="20"/>
              </w:rPr>
              <w:t>0</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ITIC</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4</w:t>
            </w:r>
            <w:r>
              <w:rPr>
                <w:rFonts w:cs="Times New Roman" w:eastAsia="宋体"/>
                <w:sz w:val="20"/>
                <w:szCs w:val="20"/>
              </w:rPr>
              <w:t>1</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DMND</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4</w:t>
            </w:r>
            <w:r>
              <w:rPr>
                <w:rFonts w:cs="Times New Roman" w:eastAsia="宋体"/>
                <w:sz w:val="20"/>
                <w:szCs w:val="20"/>
              </w:rPr>
              <w:t>2</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IKAN</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4</w:t>
            </w:r>
            <w:r>
              <w:rPr>
                <w:rFonts w:cs="Times New Roman" w:eastAsia="宋体"/>
                <w:sz w:val="20"/>
                <w:szCs w:val="20"/>
              </w:rPr>
              <w:t>3</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VICI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4</w:t>
            </w:r>
            <w:r>
              <w:rPr>
                <w:rFonts w:cs="Times New Roman" w:eastAsia="宋体"/>
                <w:sz w:val="20"/>
                <w:szCs w:val="20"/>
              </w:rPr>
              <w:t>4</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KLBF</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20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1.00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20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1.00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20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1.00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4</w:t>
            </w:r>
            <w:r>
              <w:rPr>
                <w:rFonts w:cs="Times New Roman" w:eastAsia="宋体"/>
                <w:sz w:val="20"/>
                <w:szCs w:val="20"/>
              </w:rPr>
              <w:t>5</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PEHA</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20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1.00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20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1.00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20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1.00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20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1.00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4</w:t>
            </w:r>
            <w:r>
              <w:rPr>
                <w:rFonts w:cs="Times New Roman" w:eastAsia="宋体"/>
                <w:sz w:val="20"/>
                <w:szCs w:val="20"/>
              </w:rPr>
              <w:t>6</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AMIN</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0.85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0.85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47</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ARNA</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48</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ASII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14</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15</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15</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0.75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49</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BNBR</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16</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0.80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16</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0.80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0.85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0.90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5</w:t>
            </w:r>
            <w:r>
              <w:rPr>
                <w:rFonts w:cs="Times New Roman" w:eastAsia="宋体"/>
                <w:sz w:val="20"/>
                <w:szCs w:val="20"/>
              </w:rPr>
              <w:t>0</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CTTH</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5</w:t>
            </w:r>
            <w:r>
              <w:rPr>
                <w:rFonts w:cs="Times New Roman" w:eastAsia="宋体"/>
                <w:sz w:val="20"/>
                <w:szCs w:val="20"/>
              </w:rPr>
              <w:t>1</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IKBI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5</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0.25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0.35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8</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5</w:t>
            </w:r>
            <w:r>
              <w:rPr>
                <w:rFonts w:cs="Times New Roman" w:eastAsia="宋体"/>
                <w:sz w:val="20"/>
                <w:szCs w:val="20"/>
              </w:rPr>
              <w:t>2</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IMPC</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5</w:t>
            </w:r>
            <w:r>
              <w:rPr>
                <w:rFonts w:cs="Times New Roman" w:eastAsia="宋体"/>
                <w:sz w:val="20"/>
                <w:szCs w:val="20"/>
              </w:rPr>
              <w:t>3</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JTPE</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16</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0.80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16</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0.80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0.85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17</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0.85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5</w:t>
            </w:r>
            <w:r>
              <w:rPr>
                <w:rFonts w:cs="Times New Roman" w:eastAsia="宋体"/>
                <w:sz w:val="20"/>
                <w:szCs w:val="20"/>
              </w:rPr>
              <w:t>4</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LION</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5</w:t>
            </w:r>
            <w:r>
              <w:rPr>
                <w:rFonts w:cs="Times New Roman" w:eastAsia="宋体"/>
                <w:sz w:val="20"/>
                <w:szCs w:val="20"/>
              </w:rPr>
              <w:t>5</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SCCO</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5</w:t>
            </w:r>
            <w:r>
              <w:rPr>
                <w:rFonts w:cs="Times New Roman" w:eastAsia="宋体"/>
                <w:sz w:val="20"/>
                <w:szCs w:val="20"/>
              </w:rPr>
              <w:t>6</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MARK</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10</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57</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CAKK</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9</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0.45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58</w:t>
            </w:r>
          </w:p>
        </w:tc>
        <w:tc>
          <w:tcPr>
            <w:tcW w:w="1309"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CCSI</w:t>
            </w: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2020</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11</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0.55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2021</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13</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0.65</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2022</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r>
        <w:tblPrEx/>
        <w:trPr>
          <w:trHeight w:val="290" w:hRule="atLeast"/>
        </w:trPr>
        <w:tc>
          <w:tcPr>
            <w:tcW w:w="620" w:type="dxa"/>
            <w:tcBorders/>
            <w:noWrap/>
            <w:hideMark/>
          </w:tcPr>
          <w:p>
            <w:pPr>
              <w:pStyle w:val="style0"/>
              <w:tabs>
                <w:tab w:val="left" w:leader="none" w:pos="720"/>
              </w:tabs>
              <w:jc w:val="center"/>
              <w:rPr>
                <w:rFonts w:cs="Times New Roman" w:eastAsia="宋体"/>
                <w:sz w:val="20"/>
                <w:szCs w:val="20"/>
              </w:rPr>
            </w:pPr>
          </w:p>
        </w:tc>
        <w:tc>
          <w:tcPr>
            <w:tcW w:w="1309" w:type="dxa"/>
            <w:tcBorders/>
            <w:noWrap/>
            <w:hideMark/>
          </w:tcPr>
          <w:p>
            <w:pPr>
              <w:pStyle w:val="style0"/>
              <w:tabs>
                <w:tab w:val="left" w:leader="none" w:pos="720"/>
              </w:tabs>
              <w:jc w:val="center"/>
              <w:rPr>
                <w:rFonts w:cs="Times New Roman" w:eastAsia="宋体"/>
                <w:sz w:val="20"/>
                <w:szCs w:val="20"/>
              </w:rPr>
            </w:pPr>
          </w:p>
        </w:tc>
        <w:tc>
          <w:tcPr>
            <w:tcW w:w="813"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2023</w:t>
            </w:r>
          </w:p>
        </w:tc>
        <w:tc>
          <w:tcPr>
            <w:tcW w:w="1560" w:type="dxa"/>
            <w:tcBorders/>
            <w:noWrap/>
            <w:hideMark/>
          </w:tcPr>
          <w:p>
            <w:pPr>
              <w:pStyle w:val="style0"/>
              <w:tabs>
                <w:tab w:val="left" w:leader="none" w:pos="720"/>
              </w:tabs>
              <w:jc w:val="center"/>
              <w:rPr>
                <w:rFonts w:cs="Times New Roman" w:eastAsia="宋体"/>
                <w:color w:val="ffffff"/>
                <w:sz w:val="20"/>
                <w:szCs w:val="20"/>
              </w:rPr>
            </w:pPr>
            <w:r>
              <w:rPr>
                <w:sz w:val="20"/>
                <w:szCs w:val="20"/>
              </w:rPr>
              <w:t>12</w:t>
            </w:r>
          </w:p>
        </w:tc>
        <w:tc>
          <w:tcPr>
            <w:tcW w:w="156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20</w:t>
            </w:r>
          </w:p>
        </w:tc>
        <w:tc>
          <w:tcPr>
            <w:tcW w:w="1420" w:type="dxa"/>
            <w:tcBorders/>
            <w:noWrap/>
            <w:hideMark/>
          </w:tcPr>
          <w:p>
            <w:pPr>
              <w:pStyle w:val="style0"/>
              <w:tabs>
                <w:tab w:val="left" w:leader="none" w:pos="720"/>
              </w:tabs>
              <w:jc w:val="center"/>
              <w:rPr>
                <w:rFonts w:cs="Times New Roman" w:eastAsia="宋体"/>
                <w:sz w:val="20"/>
                <w:szCs w:val="20"/>
              </w:rPr>
            </w:pPr>
            <w:r>
              <w:rPr>
                <w:rFonts w:cs="Times New Roman" w:eastAsia="宋体"/>
                <w:sz w:val="20"/>
                <w:szCs w:val="20"/>
              </w:rPr>
              <w:t>0.60</w:t>
            </w:r>
          </w:p>
        </w:tc>
      </w:tr>
    </w:tbl>
    <w:p>
      <w:pPr>
        <w:pStyle w:val="style0"/>
        <w:tabs>
          <w:tab w:val="left" w:leader="none" w:pos="720"/>
        </w:tabs>
        <w:spacing w:before="240" w:lineRule="auto" w:line="240"/>
        <w:rPr>
          <w:rFonts w:cs="Times New Roman"/>
          <w:b/>
          <w:bCs/>
          <w:noProof/>
          <w:szCs w:val="24"/>
        </w:rPr>
      </w:pPr>
      <w:r>
        <w:rPr>
          <w:rFonts w:cs="Times New Roman" w:eastAsia="宋体"/>
          <w:b/>
          <w:bCs/>
          <w:szCs w:val="24"/>
        </w:rPr>
        <w:t xml:space="preserve">2. Perhitungan Variabel </w:t>
      </w:r>
      <w:r>
        <w:rPr>
          <w:rFonts w:cs="Times New Roman" w:eastAsia="宋体"/>
          <w:b/>
          <w:bCs/>
          <w:i/>
          <w:iCs/>
          <w:szCs w:val="24"/>
        </w:rPr>
        <w:t>Managerial Ownership</w:t>
      </w:r>
      <w:r>
        <w:rPr>
          <w:rFonts w:cs="Times New Roman" w:eastAsia="宋体"/>
          <w:b/>
          <w:bCs/>
          <w:szCs w:val="24"/>
        </w:rPr>
        <w:t xml:space="preserve"> (</w:t>
      </w:r>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2</m:t>
            </m:r>
          </m:sub>
        </m:sSub>
      </m:oMath>
      <w:r>
        <w:rPr>
          <w:rFonts w:cs="Times New Roman" w:eastAsia="宋体"/>
          <w:b/>
          <w:bCs/>
          <w:szCs w:val="24"/>
        </w:rPr>
        <w:t>)</w:t>
      </w:r>
      <w:r>
        <w:rPr>
          <w:rFonts w:cs="Times New Roman"/>
          <w:b/>
          <w:bCs/>
          <w:noProof/>
          <w:szCs w:val="24"/>
        </w:rPr>
        <w:t xml:space="preserve"> </w:t>
      </w:r>
    </w:p>
    <w:p>
      <w:pPr>
        <w:pStyle w:val="style0"/>
        <w:tabs>
          <w:tab w:val="left" w:leader="none" w:pos="720"/>
        </w:tabs>
        <w:spacing w:lineRule="auto" w:line="240"/>
        <w:rPr>
          <w:rFonts w:cs="Times New Roman" w:eastAsia="宋体"/>
          <w:b/>
          <w:bCs/>
          <w:szCs w:val="24"/>
        </w:rPr>
      </w:pPr>
      <w:r>
        <w:rPr>
          <w:rFonts w:cs="Times New Roman"/>
          <w:b/>
          <w:bCs/>
          <w:noProof/>
          <w:szCs w:val="24"/>
        </w:rPr>
        <mc:AlternateContent>
          <mc:Choice Requires="wps">
            <w:drawing>
              <wp:anchor distT="0" distB="0" distL="0" distR="0" simplePos="false" relativeHeight="10" behindDoc="false" locked="false" layoutInCell="true" allowOverlap="true">
                <wp:simplePos x="0" y="0"/>
                <wp:positionH relativeFrom="column">
                  <wp:posOffset>240462</wp:posOffset>
                </wp:positionH>
                <wp:positionV relativeFrom="paragraph">
                  <wp:posOffset>86995</wp:posOffset>
                </wp:positionV>
                <wp:extent cx="4620639" cy="690664"/>
                <wp:effectExtent l="0" t="0" r="27940" b="14605"/>
                <wp:wrapNone/>
                <wp:docPr id="1084" name="Rectangle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20639" cy="690664"/>
                        </a:xfrm>
                        <a:prstGeom prst="rect"/>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84" filled="f" stroked="t" style="position:absolute;margin-left:18.93pt;margin-top:6.85pt;width:363.83pt;height:54.38pt;z-index:10;mso-position-horizontal-relative:text;mso-position-vertical-relative:text;mso-width-percent:0;mso-height-percent:0;mso-width-relative:margin;mso-height-relative:margin;mso-wrap-distance-left:0.0pt;mso-wrap-distance-right:0.0pt;visibility:visible;">
                <v:fill/>
              </v:rect>
            </w:pict>
          </mc:Fallback>
        </mc:AlternateContent>
      </w:r>
    </w:p>
    <w:p>
      <w:pPr>
        <w:pStyle w:val="style0"/>
        <w:tabs>
          <w:tab w:val="left" w:leader="none" w:pos="360"/>
          <w:tab w:val="left" w:leader="none" w:pos="720"/>
        </w:tabs>
        <w:spacing w:after="0" w:lineRule="auto" w:line="480"/>
        <w:rPr>
          <w:rFonts w:cs="Times New Roman" w:eastAsia="宋体"/>
          <w:b/>
          <w:bCs/>
          <w:sz w:val="22"/>
        </w:rPr>
      </w:pPr>
      <m:oMathPara>
        <m:oMath>
          <m:r>
            <m:rPr>
              <m:sty m:val="bi"/>
            </m:rPr>
            <w:rPr>
              <w:rFonts w:ascii="Cambria Math" w:cs="Times New Roman" w:eastAsia="宋体" w:hAnsi="Cambria Math"/>
              <w:sz w:val="22"/>
            </w:rPr>
            <m:t>Managerial Ownership</m:t>
          </m:r>
          <m:r>
            <m:rPr>
              <m:sty m:val="b"/>
            </m:rPr>
            <w:rPr>
              <w:rFonts w:ascii="Cambria Math" w:cs="Times New Roman" w:hAnsi="Cambria Math"/>
              <w:sz w:val="22"/>
            </w:rPr>
            <m:t xml:space="preserve">= </m:t>
          </m:r>
          <m:f>
            <m:fPr>
              <m:ctrlPr>
                <w:rPr>
                  <w:rFonts w:ascii="Cambria Math" w:cs="Times New Roman" w:hAnsi="Cambria Math"/>
                  <w:b/>
                  <w:bCs/>
                  <w:sz w:val="22"/>
                </w:rPr>
              </m:ctrlPr>
            </m:fPr>
            <m:num>
              <m:r>
                <m:rPr>
                  <m:sty m:val="b"/>
                </m:rPr>
                <w:rPr>
                  <w:rFonts w:ascii="Cambria Math" w:cs="Times New Roman" w:hAnsi="Cambria Math"/>
                  <w:sz w:val="22"/>
                </w:rPr>
                <m:t xml:space="preserve">Total </m:t>
              </m:r>
              <m:r>
                <m:rPr>
                  <m:sty m:val="b"/>
                </m:rPr>
                <w:rPr>
                  <w:rFonts w:ascii="Cambria Math" w:cs="Times New Roman" w:eastAsia="宋体" w:hAnsi="Cambria Math"/>
                  <w:sz w:val="22"/>
                </w:rPr>
                <m:t>saham</m:t>
              </m:r>
              <m:r>
                <m:rPr>
                  <m:sty m:val="bi"/>
                </m:rPr>
                <w:rPr>
                  <w:rFonts w:ascii="Cambria Math" w:cs="Times New Roman" w:hAnsi="Cambria Math"/>
                  <w:sz w:val="22"/>
                </w:rPr>
                <m:t xml:space="preserve"> </m:t>
              </m:r>
              <m:r>
                <m:rPr>
                  <m:sty m:val="b"/>
                </m:rPr>
                <w:rPr>
                  <w:rFonts w:ascii="Cambria Math" w:cs="Times New Roman" w:hAnsi="Cambria Math"/>
                  <w:sz w:val="22"/>
                </w:rPr>
                <m:t>yang dimiliki manajemen</m:t>
              </m:r>
            </m:num>
            <m:den>
              <m:r>
                <m:rPr>
                  <m:sty m:val="b"/>
                </m:rPr>
                <w:rPr>
                  <w:rFonts w:ascii="Cambria Math" w:cs="Times New Roman" w:hAnsi="Cambria Math"/>
                  <w:sz w:val="22"/>
                </w:rPr>
                <m:t xml:space="preserve">Total </m:t>
              </m:r>
              <m:r>
                <m:rPr>
                  <m:sty m:val="b"/>
                </m:rPr>
                <w:rPr>
                  <w:rFonts w:ascii="Cambria Math" w:cs="Times New Roman" w:eastAsia="宋体" w:hAnsi="Cambria Math"/>
                  <w:sz w:val="22"/>
                </w:rPr>
                <m:t>saham beredar</m:t>
              </m:r>
            </m:den>
          </m:f>
        </m:oMath>
      </m:oMathPara>
    </w:p>
    <w:p>
      <w:pPr>
        <w:pStyle w:val="style0"/>
        <w:tabs>
          <w:tab w:val="left" w:leader="none" w:pos="720"/>
        </w:tabs>
        <w:spacing w:after="0" w:lineRule="auto" w:line="240"/>
        <w:rPr>
          <w:rFonts w:cs="Times New Roman" w:eastAsia="宋体"/>
          <w:b/>
          <w:bCs/>
          <w:sz w:val="22"/>
        </w:rPr>
      </w:pPr>
    </w:p>
    <w:tbl>
      <w:tblPr>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8"/>
        <w:gridCol w:w="840"/>
        <w:gridCol w:w="1646"/>
        <w:gridCol w:w="1980"/>
        <w:gridCol w:w="1260"/>
      </w:tblGrid>
      <w:tr>
        <w:trPr>
          <w:trHeight w:val="800" w:hRule="atLeast"/>
        </w:trPr>
        <w:tc>
          <w:tcPr>
            <w:tcW w:w="511" w:type="dxa"/>
            <w:tcBorders/>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No.</w:t>
            </w:r>
          </w:p>
        </w:tc>
        <w:tc>
          <w:tcPr>
            <w:tcW w:w="1228" w:type="dxa"/>
            <w:tcBorders/>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 xml:space="preserve">Perusahaan </w:t>
            </w:r>
          </w:p>
        </w:tc>
        <w:tc>
          <w:tcPr>
            <w:tcW w:w="840" w:type="dxa"/>
            <w:tcBorders/>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Tahun</w:t>
            </w:r>
          </w:p>
        </w:tc>
        <w:tc>
          <w:tcPr>
            <w:tcW w:w="1646" w:type="dxa"/>
            <w:tcBorders/>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Total Saham yang Dimiliki Manajemen</w:t>
            </w:r>
          </w:p>
        </w:tc>
        <w:tc>
          <w:tcPr>
            <w:tcW w:w="1980" w:type="dxa"/>
            <w:tcBorders/>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 xml:space="preserve">Total </w:t>
            </w:r>
            <w:r>
              <w:rPr>
                <w:rFonts w:cs="Times New Roman" w:eastAsia="Times New Roman"/>
                <w:b/>
                <w:bCs/>
                <w:color w:val="000000"/>
                <w:kern w:val="0"/>
                <w:sz w:val="20"/>
                <w:szCs w:val="20"/>
                <w14:ligatures xmlns:w14="http://schemas.microsoft.com/office/word/2010/wordml" w14:val="none"/>
              </w:rPr>
              <w:t>S</w:t>
            </w:r>
            <w:r>
              <w:rPr>
                <w:rFonts w:cs="Times New Roman" w:eastAsia="Times New Roman"/>
                <w:b/>
                <w:bCs/>
                <w:color w:val="000000"/>
                <w:kern w:val="0"/>
                <w:sz w:val="20"/>
                <w:szCs w:val="20"/>
                <w14:ligatures xmlns:w14="http://schemas.microsoft.com/office/word/2010/wordml" w14:val="none"/>
              </w:rPr>
              <w:t>aham</w:t>
            </w:r>
            <w:r>
              <w:rPr>
                <w:rFonts w:cs="Times New Roman" w:eastAsia="Times New Roman"/>
                <w:b/>
                <w:bCs/>
                <w:color w:val="000000"/>
                <w:kern w:val="0"/>
                <w:sz w:val="20"/>
                <w:szCs w:val="20"/>
                <w14:ligatures xmlns:w14="http://schemas.microsoft.com/office/word/2010/wordml" w14:val="none"/>
              </w:rPr>
              <w:t xml:space="preserve"> Beredar</w:t>
            </w:r>
          </w:p>
        </w:tc>
        <w:tc>
          <w:tcPr>
            <w:tcW w:w="1260" w:type="dxa"/>
            <w:tcBorders/>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Hasil</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AGII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191,229,100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3,066,660,000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0.062357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191,229,100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3,066,660,000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0.062357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121,492,700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3,066,660,000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0.039617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34,900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3,066,660,000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0.000011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AKPI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31,072,621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612,248,000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0.050752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31,072,621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612,248,000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0.050752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31,072,621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612,248,000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0.050752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31,084,521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612,248,000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0.050771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ALDO</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107,159,231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1,100,000,000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0.097417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107,159,231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1,316,856,020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0.081375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101,595,582</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1,316,856,309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0.077150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101,595,582</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1,350,356,872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0.075236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APLI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388,333,748</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1,362,671,400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0.284980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388,333,748</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1,362,671,400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0.284980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388,333,748</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1,362,671,400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0.284980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388,333,748</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1,362,671,400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0.284980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DPNS</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649,786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331,129,952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0.001962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649,786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331,129,952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0.001962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649,786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331,129,952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0.001962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649,786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331,129,952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0.001962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GDST</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1,115,100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9,242,500,000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0.000121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1,127,100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9,242,500,000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0.000122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13,127,100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9,242,500,000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0.001420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13,127,100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9,242,500,000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0.001420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INAI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6,488,500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633,600,000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0.010241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6,952,000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633,600,000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0.010972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6,972,000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633,600,000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0.011004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6,996,300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633,600,000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0.011042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INCI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70,841,992</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196,121,237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0.361215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70,615,926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196,121,237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0.360063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71,317,526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196,121,237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0.363640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75,512,673</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207,656,617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0.363642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KDSI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22,345,500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0.055174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22,572,000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0.055733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22,572,000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0.055733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22,572,000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0.055733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KRAS</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219,000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19,346,396,900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0.000011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6,351,100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19,346,396,900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0.000328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7,041,100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19,346,396,900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0.000364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264,000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19,346,396,900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0.000014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LMSH</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19,823,000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96,000,000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0.206490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19,823,000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96,000,000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0.206490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19,823,000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96,000,000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0.206490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19,823,000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96,000,000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0.206490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LTLS</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52,242,100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1,560,000,000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0.033489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21,875,100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1,560,000,000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0.014023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21,275,100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1,560,000,000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0.013638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21,275,100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1,560,000,000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0.013638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SMBR</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127,000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9,932,534,336</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0.000013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127,000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9,932,534,336</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0.000013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127,000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9,932,534,336</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0.000013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28,598</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9,932,534,336</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0.000003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SRSN</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1,710,200,266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6,020,000,000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0.284086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1,710,200,266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6,020,000,000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0.284086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2,361,547,077</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6,020,000,000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0.392284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2,437,081,177</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6,020,000,000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0.404831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SULI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1,024,389,982</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3,986,916,802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0.256938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1,024,389,982</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3,986,916,802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0.256938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1,024,389,982</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4,076,916,802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0.251266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270,066,493</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4,076,916,802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0.066243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UNIC</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318,509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383,331,363</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0.000831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318,509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383,331,363</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0.000831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318,509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383,331,363</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0.000831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318,509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383,331,363</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0.000831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WTON</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74,578,000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8,715,466,600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0.008557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63,197,600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8,715,466,600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0.007251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33,541,600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8,715,466,600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0.003849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15,862,600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8,715,466,600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0.001820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WSBP</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6,320,800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26,361,157,534</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0.000240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308,000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26,361,157,534</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0.000012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2,543,400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26,361,157,534</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0.000096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2,543,400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26,361,157,534</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0.000096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KMTR</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35,500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8,215,366,379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0.000004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31,321,000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8,215,366,379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0.003812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31,321,000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8,215,366,379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0.003812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31,321,000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8,215,366,379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0.003812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MDKI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254,471,681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2,530,150,002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0.100576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148,500,001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2,530,150,002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0.058692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148,500,001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2,530,150,002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0.058692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150,491,501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2,530,150,002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0.059479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PBID</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214,993,800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1,875,000,000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0.114663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214,993,800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1,875,000,000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0.114663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214,993,800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1,875,000,000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0.114663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214,993,800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1,875,000,000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0.114663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MOLI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510,684,558</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2,334,888,498</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0.218719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596,404,214</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2,724,036,581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0.218941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596,447,914</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2,724,036,581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0.218957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596,404,214</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2,724,036,581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0.218941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23</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SMKL</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65,263,000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3,400,000,005</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0.019195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146,287,700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3,401,381,246</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0.043008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147,284,700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3,418,085,290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0.043090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141,984,700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3,418,085,290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0.041539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24</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ESIP</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95,600,000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640,000,005</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0.149375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70,406,000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640,347,707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0.109950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352,581,862</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1,109,937,083</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0.317659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352,581,862</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1,109,953,847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0.317655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SAMF</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461,970,000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5,125,000,000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0.090140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461,970,000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5,125,000,000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0.090140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461,970,000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5,125,000,000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0.090140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461,970,000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5,125,000,000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0.090140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EPAC</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875,580,000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3,303,400,000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0.265054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796,620,000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3,303,400,000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0.241152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291,120,000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3,303,400,000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0.088127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291,120,000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3,303,400,000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0.088127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CPRO</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59,572,382,787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0.000008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59,572,382,787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0.000008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11,350,200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59,572,382,787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0.000191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11,350,200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59,572,382,787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0.000191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28</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GGRM</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12,946,930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1,924,088,000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0.006729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12,946,930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1,924,088,000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0.006729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12,946,930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1,924,088,000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0.006729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12,946,930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1,924,088,000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0.006729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29</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JPFA</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168,486,500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11,726,575,201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0.014368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65,984,800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11,726,575,201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0.005627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3,004,800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11,726,575,201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0.000256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2,751,400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11,726,575,201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0.000235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MAIN</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2,751,400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2,238,750,000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0.001229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7,390,100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2,238,750,000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0.003301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7,390,100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2,238,750,000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0.003301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7,594,600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2,238,750,000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0.003392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MYOR</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5,640,725,500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22,358,699,725</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0.252283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5,646,075,200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22,358,699,725</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0.252523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5,646,110,500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22,358,699,725</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0.252524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5,646,326,800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22,358,699,725</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0.252534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32</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SKBM</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38,304,991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1,726,003,217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0.022193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38,304,991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1,730,103,217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0.022140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39,624,185</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1,730,103,217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0.022903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39,624,185</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1,730,103,217</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0.022903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TBLA</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4,676,000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5,342,098,939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0.000875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4,676,000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5,342,098,939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0.000875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4,676,000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5,342,098,939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0.000875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5,344,000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6,025,373,372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0.000887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ULTJ</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5,565,634,360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11,553,528,000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0.481726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5,598,964,960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11,553,528,000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0.484611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5,632,527,360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11,553,528,000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0.487516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4,066,384,160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10,398,175,200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0.391067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35</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UNVR</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65,055</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38,150,000,000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0.000002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107,255</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38,150,000,000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0.000003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1,273,255</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38,150,000,000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0.000033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403,255</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38,150,000,000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0.000011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KINO</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178,441,300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1,428,571,500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0.124909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179,984,400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1,428,571,500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0.125989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180,184,400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1,428,571,500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0.126129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180,184,400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1,428,571,500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0.126129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ZINC</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278,900,000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5,885,000,000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0.047392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278,900,000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5,885,000,000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0.047392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50,750,000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5,885,000,000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0.008624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89,480,900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5,885,000,000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0.015205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GOOD</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779,821,701</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7,379,580,291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0.105673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3,891,005,505</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36,897,901,455</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0.105453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3,405,798,950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36,897,901,455</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0.092303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6,316,659,660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36,897,901,455</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0.171193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FOOD</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0.000002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0.000002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0.000002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0.000002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ITIC</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600,660,000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940,720,000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0.638511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600,660,000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940,720,000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0.638511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600,660,000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940,720,000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0.638511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610,428,100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940,720,000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0.648895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41</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DMND</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3,752,768,286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9,468,359,000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0.396348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3,752,768,286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9,468,359,000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0.396348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3,752,768,286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9,468,359,000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0.396348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3,752,768,286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9,468,359,000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0.396348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42</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IKAN</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220,640,000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833,333,000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0.264768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220,640,000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833,333,000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0.264768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220,640,000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833,333,000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0.264768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220,640,000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833,333,000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0.264768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43</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VICI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1,620,000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6,708,000,000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0.000242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1,635,500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6,708,000,000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0.000244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1,635,500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6,708,000,000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0.000244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1,635,500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6,708,000,000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0.000244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44</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KLBF</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131,536,807</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46,875,122,110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0.002806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130,741,852</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46,875,122,110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0.002789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112,909,052</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46,875,122,110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0.002409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112,909,052</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46,875,122,110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0.002409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45</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PEHA</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77,618,500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840,000,000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0.092403</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77,948,150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840,000,000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0.092795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84,703,750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840,000,000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0.100838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85,089,250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840,000,000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0.101297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AMIN</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42,000,000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1,080,000,000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0.038889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42,000,000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1,080,000,000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0.038889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52,000,000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1,080,000,000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0.048148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52,000,000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1,080,000,000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0.048148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ARNA</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2,740,390,000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7,341,430,976</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0.373277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2,740,779,400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7,341,430,976</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0.373330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2,741,046,400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7,341,430,976</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0.373367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2,744,425,100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7,341,430,976</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0.373827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48</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ASII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23,523,900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40,483,553,140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0.000581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12,695,600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40,483,553,140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0.000314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11,695,600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40,483,553,140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0.000289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22,559,000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40,483,553,140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0.000557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49</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BNBR</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54,606,799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20,863,053,480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0.002617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41,383,799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21,160,865,261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0.001956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17,239,799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22,084,484,209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0.000781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17,239,799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160,057,457,509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0.000108</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50</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CTTH</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152,407,874</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1,230,839,821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0.123824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122,640,599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1,230,839,821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0.099640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122,640,599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1,230,839,821</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0.099640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122,640,600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1,230,839,822</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0.099640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IKBI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1,164,000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1,224,000,000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0.000951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1,164,000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1,224,000,000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0.000951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6,119,440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1,224,000,000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0.005000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6,119,440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1,224,000,000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0.005000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IMPC</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86,748,000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4,833,500,000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0.017947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86,813,000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4,833,500,000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0.017961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76,539,100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4,933,500,000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0.015514</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849,850,100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54,268,500,000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0.015660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53</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JTPE</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87,500,000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1,713,012,500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0.051080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87,500,000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1,713,012,500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0.051080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368,953,500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6,852,050,000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0.053846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368,953,500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6,852,050,000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0.053846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54</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LION</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1,335,000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520,160,000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0.002567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1,335,000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520,160,000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0.002567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1,335,000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520,160,000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0.002567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1,335,000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520,160,000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0.002567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55</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SCCO</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2,256,636</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205,583,400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0.010977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1,833,519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205,583,400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0.008919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1,833,519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205,583,400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0.008919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1,633,719</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205,583,400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0.007947</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56</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MARK</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181,032,155</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3,800,000,310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0.047640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179,757,355</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3,800,000,310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0.047305</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63,381,295</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3,800,000,310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0.016679</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64,381,255</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3,800,000,310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0.016942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57</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CAKK</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547,100,000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1,203,300,219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0.454666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547,100,000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1,203,300,219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0.454666</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1,203,300,219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0.000042</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43,800,000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1,203,300,219</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0.036400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58</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CCSI</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230,000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1,000,000,000</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0.000230</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56,341,200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1,199,999,998</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0.046951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110,341,200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1,199,999,998</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0.091951</w:t>
            </w:r>
          </w:p>
        </w:tc>
      </w:tr>
      <w:tr>
        <w:tblPrEx/>
        <w:trPr>
          <w:trHeight w:val="290" w:hRule="atLeast"/>
        </w:trPr>
        <w:tc>
          <w:tcPr>
            <w:tcW w:w="511"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1228"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 </w:t>
            </w:r>
          </w:p>
        </w:tc>
        <w:tc>
          <w:tcPr>
            <w:tcW w:w="84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1646"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110,443,700</w:t>
            </w:r>
          </w:p>
        </w:tc>
        <w:tc>
          <w:tcPr>
            <w:tcW w:w="198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1,199,999,998</w:t>
            </w:r>
          </w:p>
        </w:tc>
        <w:tc>
          <w:tcPr>
            <w:tcW w:w="1260" w:type="dxa"/>
            <w:tcBorders/>
            <w:noWrap/>
            <w:vAlign w:val="bottom"/>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0.092036</w:t>
            </w:r>
          </w:p>
        </w:tc>
      </w:tr>
    </w:tbl>
    <w:p>
      <w:pPr>
        <w:pStyle w:val="style0"/>
        <w:tabs>
          <w:tab w:val="left" w:leader="none" w:pos="720"/>
        </w:tabs>
        <w:spacing w:before="240" w:lineRule="auto" w:line="240"/>
        <w:rPr>
          <w:rFonts w:cs="Times New Roman"/>
          <w:b/>
          <w:bCs/>
          <w:noProof/>
          <w:szCs w:val="24"/>
        </w:rPr>
      </w:pPr>
      <w:r>
        <w:rPr>
          <w:rFonts w:cs="Times New Roman" w:eastAsia="宋体"/>
          <w:b/>
          <w:bCs/>
          <w:szCs w:val="24"/>
        </w:rPr>
        <w:t xml:space="preserve">3. Perhitungan Variabel </w:t>
      </w:r>
      <w:r>
        <w:rPr>
          <w:rFonts w:cs="Times New Roman" w:eastAsia="宋体"/>
          <w:b/>
          <w:bCs/>
          <w:i/>
          <w:iCs/>
          <w:szCs w:val="24"/>
        </w:rPr>
        <w:t>Institutional Ownership</w:t>
      </w:r>
      <w:r>
        <w:rPr>
          <w:rFonts w:cs="Times New Roman" w:eastAsia="宋体"/>
          <w:b/>
          <w:bCs/>
          <w:szCs w:val="24"/>
        </w:rPr>
        <w:t xml:space="preserve"> (</w:t>
      </w:r>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3</m:t>
            </m:r>
          </m:sub>
        </m:sSub>
      </m:oMath>
      <w:r>
        <w:rPr>
          <w:rFonts w:cs="Times New Roman" w:eastAsia="宋体"/>
          <w:b/>
          <w:bCs/>
          <w:szCs w:val="24"/>
        </w:rPr>
        <w:t>)</w:t>
      </w:r>
      <w:r>
        <w:rPr>
          <w:rFonts w:cs="Times New Roman"/>
          <w:b/>
          <w:bCs/>
          <w:noProof/>
          <w:szCs w:val="24"/>
        </w:rPr>
        <w:t xml:space="preserve"> </w:t>
      </w:r>
    </w:p>
    <w:p>
      <w:pPr>
        <w:pStyle w:val="style0"/>
        <w:tabs>
          <w:tab w:val="left" w:leader="none" w:pos="720"/>
        </w:tabs>
        <w:spacing w:lineRule="auto" w:line="240"/>
        <w:rPr>
          <w:rFonts w:cs="Times New Roman" w:eastAsia="宋体"/>
          <w:b/>
          <w:bCs/>
          <w:szCs w:val="24"/>
        </w:rPr>
      </w:pPr>
      <w:r>
        <w:rPr>
          <w:rFonts w:cs="Times New Roman"/>
          <w:b/>
          <w:bCs/>
          <w:noProof/>
          <w:szCs w:val="24"/>
        </w:rPr>
        <mc:AlternateContent>
          <mc:Choice Requires="wps">
            <w:drawing>
              <wp:anchor distT="0" distB="0" distL="0" distR="0" simplePos="false" relativeHeight="12" behindDoc="false" locked="false" layoutInCell="true" allowOverlap="true">
                <wp:simplePos x="0" y="0"/>
                <wp:positionH relativeFrom="column">
                  <wp:posOffset>281616</wp:posOffset>
                </wp:positionH>
                <wp:positionV relativeFrom="paragraph">
                  <wp:posOffset>101357</wp:posOffset>
                </wp:positionV>
                <wp:extent cx="4581525" cy="651753"/>
                <wp:effectExtent l="0" t="0" r="28575" b="15240"/>
                <wp:wrapNone/>
                <wp:docPr id="1085" name="Rectangle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81525" cy="651753"/>
                        </a:xfrm>
                        <a:prstGeom prst="rect"/>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85" filled="f" stroked="t" style="position:absolute;margin-left:22.17pt;margin-top:7.98pt;width:360.75pt;height:51.32pt;z-index:12;mso-position-horizontal-relative:text;mso-position-vertical-relative:text;mso-width-percent:0;mso-height-percent:0;mso-width-relative:margin;mso-height-relative:margin;mso-wrap-distance-left:0.0pt;mso-wrap-distance-right:0.0pt;visibility:visible;">
                <v:fill/>
              </v:rect>
            </w:pict>
          </mc:Fallback>
        </mc:AlternateContent>
      </w:r>
    </w:p>
    <w:p>
      <w:pPr>
        <w:pStyle w:val="style0"/>
        <w:tabs>
          <w:tab w:val="left" w:leader="none" w:pos="720"/>
        </w:tabs>
        <w:spacing w:after="0" w:lineRule="auto" w:line="480"/>
        <w:rPr>
          <w:rFonts w:cs="Times New Roman" w:eastAsia="宋体"/>
          <w:b/>
          <w:bCs/>
          <w:sz w:val="22"/>
        </w:rPr>
      </w:pPr>
      <m:oMathPara>
        <m:oMath>
          <m:r>
            <m:rPr>
              <m:sty m:val="bi"/>
            </m:rPr>
            <w:rPr>
              <w:rFonts w:ascii="Cambria Math" w:cs="Times New Roman" w:eastAsia="宋体" w:hAnsi="Cambria Math"/>
              <w:sz w:val="22"/>
            </w:rPr>
            <m:t>Institution Ownership</m:t>
          </m:r>
          <m:r>
            <m:rPr>
              <m:sty m:val="b"/>
            </m:rPr>
            <w:rPr>
              <w:rFonts w:ascii="Cambria Math" w:cs="Times New Roman" w:hAnsi="Cambria Math"/>
              <w:sz w:val="22"/>
            </w:rPr>
            <m:t xml:space="preserve">= </m:t>
          </m:r>
          <m:f>
            <m:fPr>
              <m:ctrlPr>
                <w:rPr>
                  <w:rFonts w:ascii="Cambria Math" w:cs="Times New Roman" w:hAnsi="Cambria Math"/>
                  <w:b/>
                  <w:bCs/>
                  <w:sz w:val="22"/>
                </w:rPr>
              </m:ctrlPr>
            </m:fPr>
            <m:num>
              <m:r>
                <m:rPr>
                  <m:sty m:val="b"/>
                </m:rPr>
                <w:rPr>
                  <w:rFonts w:ascii="Cambria Math" w:cs="Times New Roman" w:hAnsi="Cambria Math"/>
                  <w:sz w:val="22"/>
                </w:rPr>
                <m:t xml:space="preserve">Total kepemilikan </m:t>
              </m:r>
              <m:r>
                <m:rPr>
                  <m:sty m:val="b"/>
                </m:rPr>
                <w:rPr>
                  <w:rFonts w:ascii="Cambria Math" w:cs="Times New Roman" w:eastAsia="宋体" w:hAnsi="Cambria Math"/>
                  <w:sz w:val="22"/>
                </w:rPr>
                <m:t>saham institusional</m:t>
              </m:r>
            </m:num>
            <m:den>
              <m:r>
                <m:rPr>
                  <m:sty m:val="b"/>
                </m:rPr>
                <w:rPr>
                  <w:rFonts w:ascii="Cambria Math" w:cs="Times New Roman" w:hAnsi="Cambria Math"/>
                  <w:sz w:val="22"/>
                </w:rPr>
                <m:t xml:space="preserve">Total </m:t>
              </m:r>
              <m:r>
                <m:rPr>
                  <m:sty m:val="b"/>
                </m:rPr>
                <w:rPr>
                  <w:rFonts w:ascii="Cambria Math" w:cs="Times New Roman" w:eastAsia="宋体" w:hAnsi="Cambria Math"/>
                  <w:sz w:val="22"/>
                </w:rPr>
                <m:t>saham beredar</m:t>
              </m:r>
            </m:den>
          </m:f>
        </m:oMath>
      </m:oMathPara>
    </w:p>
    <w:p>
      <w:pPr>
        <w:pStyle w:val="style0"/>
        <w:tabs>
          <w:tab w:val="left" w:leader="none" w:pos="720"/>
        </w:tabs>
        <w:spacing w:after="0" w:lineRule="auto" w:line="240"/>
        <w:rPr>
          <w:rFonts w:cs="Times New Roman" w:eastAsia="宋体"/>
          <w:b/>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8"/>
        <w:gridCol w:w="784"/>
        <w:gridCol w:w="2791"/>
        <w:gridCol w:w="1847"/>
        <w:gridCol w:w="766"/>
      </w:tblGrid>
      <w:tr>
        <w:trPr>
          <w:trHeight w:val="494" w:hRule="atLeast"/>
          <w:jc w:val="center"/>
        </w:trPr>
        <w:tc>
          <w:tcPr>
            <w:tcW w:w="0" w:type="auto"/>
            <w:tcBorders/>
            <w:noWrap/>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No.</w:t>
            </w:r>
          </w:p>
        </w:tc>
        <w:tc>
          <w:tcPr>
            <w:tcW w:w="0" w:type="auto"/>
            <w:tcBorders/>
            <w:noWrap/>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Perusahaan</w:t>
            </w:r>
          </w:p>
        </w:tc>
        <w:tc>
          <w:tcPr>
            <w:tcW w:w="0" w:type="auto"/>
            <w:tcBorders/>
            <w:noWrap/>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Tahun</w:t>
            </w:r>
          </w:p>
        </w:tc>
        <w:tc>
          <w:tcPr>
            <w:tcW w:w="0" w:type="auto"/>
            <w:tcBorders/>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Total Kepemilikan Saham Institusional</w:t>
            </w:r>
          </w:p>
        </w:tc>
        <w:tc>
          <w:tcPr>
            <w:tcW w:w="0" w:type="auto"/>
            <w:tcBorders/>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Total saham Beredar</w:t>
            </w:r>
          </w:p>
        </w:tc>
        <w:tc>
          <w:tcPr>
            <w:tcW w:w="0" w:type="auto"/>
            <w:tcBorders/>
            <w:noWrap/>
            <w:vAlign w:val="center"/>
            <w:hideMark/>
          </w:tcPr>
          <w:p>
            <w:pPr>
              <w:pStyle w:val="style0"/>
              <w:spacing w:after="0" w:lineRule="auto" w:line="240"/>
              <w:jc w:val="center"/>
              <w:rPr>
                <w:rFonts w:cs="Times New Roman" w:eastAsia="Times New Roman"/>
                <w:b/>
                <w:bCs/>
                <w:color w:val="000000"/>
                <w:kern w:val="0"/>
                <w:sz w:val="20"/>
                <w:szCs w:val="20"/>
                <w14:ligatures xmlns:w14="http://schemas.microsoft.com/office/word/2010/wordml" w14:val="none"/>
              </w:rPr>
            </w:pPr>
            <w:r>
              <w:rPr>
                <w:rFonts w:cs="Times New Roman" w:eastAsia="Times New Roman"/>
                <w:b/>
                <w:bCs/>
                <w:color w:val="000000"/>
                <w:kern w:val="0"/>
                <w:sz w:val="20"/>
                <w:szCs w:val="20"/>
                <w14:ligatures xmlns:w14="http://schemas.microsoft.com/office/word/2010/wordml" w14:val="none"/>
              </w:rPr>
              <w:t>Hasil</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AGII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2,739,598,100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3,066,660,000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0.8933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2,680,630,400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3,066,660,000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0.8741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2,781,473,109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3,066,660,000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0.9070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2,933,250,409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3,066,660,000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0.9565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AKPI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477,478,323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612,248,000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0.7799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477,621,023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612,248,000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0.7801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477,621,023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612,248,000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0.7801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479,574,730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612,248,000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0.7833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ALDO</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855,877,869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1,100,000,000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0.7781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393,573,813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1,316,856,020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0.2989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927,152,149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1,316,856,309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0.7041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988,091,449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1,350,356,872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0.7317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APLI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804,014,600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1,362,671,400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0.5900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802,917,000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1,362,671,400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0.5892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802,257,000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1,362,671,400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0.5887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802,049,400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1,362,671,400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0.5886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DPNS</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0.760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331,129,952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0.7597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0.737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331,129,952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0.7374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0.725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331,129,952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0.7245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0.686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331,129,952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0.6856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GDST</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186,135,160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9,242,500,000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0.0201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933,156,425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9,242,500,000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0.1010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222,329,125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9,242,500,000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0.0241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184,857,900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9,242,500,000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0.0200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INAI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475,277,100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633,600,000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0.7501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457,041,000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633,600,000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0.7213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473,508,000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633,600,000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0.7473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472,784,800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633,600,000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0.7462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INCI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2,632,286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196,121,237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0.0134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2,478,086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196,121,237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0.0126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2,427,011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196,121,237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0.0124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2,595,310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207,656,617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0.0125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KDSI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323,459,000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0.7987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325,589,800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0.8039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347,477,300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0.8580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350,794,900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0.8662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KRAS</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1,513,655,551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3,869,279,380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0.3912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1,298,997,251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3,869,279,380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0.3357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1,374,341,533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3,869,279,380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0.3552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1,216,724,435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3,869,279,380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0.3145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LMSH</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39,029,300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96,000,000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0.4066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41,177,500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96,000,000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0.4289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41,177,500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96,000,000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0.4289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38,937,100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96,000,000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0.4056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LTLS</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1,203,897,988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1,560,000,000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0.7717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1,213,111,900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1,560,000,000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0.7776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1,244,966,500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1,560,000,000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0.7981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1,274,679,600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1,560,000,000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0.8171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SMBR</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9,393,050,800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9,932,534,336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0.9457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9,358,658,100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9,932,534,336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0.9422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9,182,528,900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9,932,534,336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0.9245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9,177,547,999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9,932,534,336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0.9240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SRSN</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2,402,647,294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6,020,000,000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0.3991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2,299,890,269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6,020,000,000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0.3820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2,300,694,869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6,020,000,000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0.3822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2,392,942,794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6,020,000,000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0.3975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SULI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1,593,849,310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3,986,916,802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0.3998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1,638,555,910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3,986,916,802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0.4110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2,038,962,210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4,076,916,802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0.5001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2,703,214,401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4,076,916,802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0.6631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UNIC</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264,339,629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383,331,363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0.6896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265,044,929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383,331,363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0.6914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264,362,336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383,331,363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0.6896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264,418,052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383,331,363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0.6898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WTON</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6,835,559,852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8,715,466,600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0.7843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6,591,764,252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8,715,466,600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0.7563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1,308,638,752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8,715,466,600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0.1502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6,461,119,352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8,715,466,600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0.7413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WSBP</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2,638,691,569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26,361,157,534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0.1001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20,094,242,903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26,361,157,534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0.7623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20,094,706,203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26,361,157,534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0.7623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48,025,223,314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54,555,721,325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0.8803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KMTR</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8,180,287,364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8,215,366,379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0.9957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8,134,845,164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8,215,366,379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0.9902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8,134,845,261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8,215,366,379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0.9902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8,134,853,161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8,215,366,379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0.9902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MDKI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2,084,209,820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2,530,150,002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0.8237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2,048,480,820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2,530,150,002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0.8096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2,018,846,480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2,530,150,002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0.7979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2,003,870,240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2,530,150,002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0.7920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PBID</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1,414,512,900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1,875,000,000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0.7544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1,405,095,500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1,875,000,000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0.7494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1,406,376,300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1,875,000,000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0.7501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1,404,134,300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1,875,000,000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0.7489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MOLI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1,461,991,979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2,334,888,498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0.6262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1,461,991,979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2,724,036,581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0.5367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1,734,199,385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2,724,036,581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0.6366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1,743,431,469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2,724,036,581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0.6400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SMKL</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2,750,000,000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3,400,000,005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0.8088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2,962,284,000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3,401,381,246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0.8709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3,026,998,900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3,418,085,290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0.8856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2,868,950,900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3,418,085,290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0.8393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ESIP</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356,450,100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640,000,005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0.5570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354,545,500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640,347,707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0.5537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371,282,106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1,109,937,083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0.3345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363,855,017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1,109,953,847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0.3278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SAMF</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0.870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5,125,000,000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0.8701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0.855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5,125,000,000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0.8554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0.855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5,125,000,000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0.8554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0.868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5,125,000,000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0.8682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EPAC</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800,000,000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3,303,400,000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0.2422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800,000,000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3,303,400,000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0.2422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800,000,000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3,303,400,000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0.2422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800,000,000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3,303,400,000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0.2422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CPRO</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46,177,159,679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59,572,382,787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0.7751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37,236,173,108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59,572,382,787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0.6251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47,993,457,379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59,572,382,787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0.8056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47,130,068,624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59,572,382,787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0.7911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GGRM</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0.937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1,924,088,000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0.9370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0.930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1,924,088,000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0.9300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0.910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1,924,088,000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0.9100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0.899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1,924,088,000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0.8990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JPFA</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6,151,879,371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11,726,575,201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0.5246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10,794,244,257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11,726,575,201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0.9205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10,545,822,425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11,726,575,201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0.8993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10,520,020,188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11,726,575,201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0.8971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MAIN</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1,841,456,267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2,238,750,000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0.8225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1,709,611,667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2,238,750,000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0.7636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1,721,952,867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2,238,750,000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0.7692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1,672,290,363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2,238,750,000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0.7470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MYOR</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0.150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22,358,699,725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0.1498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16,519,150,791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22,358,699,725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0.7388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16,549,658,516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22,358,699,725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0.7402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16,518,069,797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22,358,699,725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0.7388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SKBM</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1,648,112,315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1,726,003,217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0.9549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2,704,498,366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1,730,103,217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1.5632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1,598,296,458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1,730,103,217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0.9238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1,598,406,858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1,730,103,217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0.9239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TBLA</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4,769,891,626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5,342,098,939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0.8929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3,238,449,202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5,342,098,939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0.6062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2,950,315,552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5,342,098,939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0.5523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3,843,796,586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6,025,373,372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0.6379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ULTJ</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0.156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11,553,528,000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0.1556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0.156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11,553,528,000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0.1556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4,190,667,795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11,553,528,000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0.3627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5,759,037,201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10,398,175,200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0.5539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UNVR</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37,484,602,729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38,150,000,000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0.9826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36,818,758,829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38,150,000,000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0.9651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36,818,758,829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38,150,000,000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0.9651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37,005,372,439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38,150,000,000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0.9700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KINO</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1,227,059,700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1,428,571,500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0.8589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1,203,979,700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1,428,571,500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0.8428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1,220,904,000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1,428,571,500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0.8546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1,263,016,443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1,428,571,500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0.8841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ZINC</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2,851,900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5,885,000,000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0.0005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13,645,700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5,885,000,000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0.0023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11,214,300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5,885,000,000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0.0019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5,872,508,900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5,885,000,000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0.9979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GOOD</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3,168,958,390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7,379,580,291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0.4294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16,134,139,450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36,897,901,455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0.4373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19,084,750,105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36,897,901,455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0.5172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18,714,539,205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36,897,901,455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0.5072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FOOD</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500,076,900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0.7693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500,122,400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0.7694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511,224,100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0.7865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500,122,400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650,000,000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0.7694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ITIC</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59,860,600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940,720,000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0.0636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15,883,000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940,720,000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0.0169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6,416,900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940,720,000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0.0068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3,315,600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940,720,000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0.0035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DMND</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1,992,724,964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9,468,359,000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0.2105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1,952,306,564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9,468,359,000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0.2062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1,951,832,764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9,468,359,000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0.2061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1,951,902,464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9,468,359,000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0.2062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IKAN</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279,360,000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833,333,000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0.3352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279,627,400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833,333,000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0.3356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279,627,400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833,333,000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0.3356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279,627,500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833,333,000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0.3356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VICI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6,194,623,800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6,708,000,000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0.9235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6,164,678,800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6,708,000,000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0.9190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6,192,237,900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6,708,000,000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0.9231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6,192,237,900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6,708,000,000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0.9231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KLBF</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43,681,083,410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46,875,122,110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0.9319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44,306,732,320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46,875,122,110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0.9452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45,407,734,496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46,875,122,110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0.9687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45,306,310,879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46,875,122,110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0.9665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PEHA</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476,901,860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840,000,000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0.5677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476,901,860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840,000,000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0.5677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476,901,860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840,000,000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0.5677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476,901,860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840,000,000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0.5677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AMIN</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679,780,200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1,080,000,000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0.6294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679,780,200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1,080,000,000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0.6294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679,780,200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1,080,000,000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0.6294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645,549,300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1,080,000,000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0.5977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ARNA</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4,006,670,187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7,341,430,976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0.5458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3,976,341,687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7,341,430,976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0.5416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3,943,552,387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7,341,430,976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0.5372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3,859,120,087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7,341,430,976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0.5257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ASII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39,408,140,305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40,483,553,140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0.9734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39,357,527,103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40,483,553,140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0.9722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39,261,875,894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40,483,553,140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0.9698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39,016,999,400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40,483,553,140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0.9638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BNBR</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12,831,713,579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20,863,053,480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0.6150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13,685,782,636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21,160,865,261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0.6467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12,468,345,011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22,084,484,209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0.5646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153,095,986,990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160,057,457,509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0.9565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CTTH</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571,241,478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1,230,839,821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0.4641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0.580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1,230,839,821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0.5802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0.571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1,230,839,821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0.5713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702,940,576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1,230,839,821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0.5711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IKBI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1,128,486,000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1,224,000,000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0.9220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1,128,486,000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1,224,000,000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0.9220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1,128,486,000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1,224,000,000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0.9220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1,119,486,000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1,224,000,000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0.9146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IMPC</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4,462,866,654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4,833,500,000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0.9233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4,485,680,354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4,833,500,000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0.9280</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4,635,746,952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4,933,500,000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0.9396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50,453,256,996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54,268,500,000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0.9297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JTPE</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1,218,998,400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1,713,012,500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0.7116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1,223,402,600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1,713,012,500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0.7142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4,983,585,900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6,852,050,000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0.7273</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4,991,376,100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6,852,050,000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0.7285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54</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LION</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374,407,000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520,160,000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0.7198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374,333,900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520,160,000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0.7197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374,186,900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520,160,000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0.7194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373,955,100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520,160,000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0.7189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SCCO</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181,476,746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205,583,400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0.8827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182,238,670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205,583,400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0.8864</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181,896,370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205,583,400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0.8848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181,706,270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205,583,400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0.8839</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56</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MARK</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2,995,238,555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3,800,000,310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0.7882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2,995,238,555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3,800,000,310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0.7882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3,035,196,260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3,800,000,310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0.7987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3,056,947,755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3,800,000,310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0.8045</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57</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CAKK</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394,231,140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1,203,300,219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0.3276</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389,564,252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1,203,300,219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0.3237</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1,033,916,145</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1,203,300,219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0.8592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1,002,078,660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1,203,300,219</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0.8328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CCSI</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596,133,568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1,000,000,000</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0.5961</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719,097,201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1,199,999,998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0.5992</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2022</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730,597,301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1,199,999,998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0.6088</w:t>
            </w:r>
          </w:p>
        </w:tc>
      </w:tr>
      <w:tr>
        <w:tblPrEx/>
        <w:trPr>
          <w:trHeight w:val="290" w:hRule="atLeast"/>
          <w:jc w:val="center"/>
        </w:trPr>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2023</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732,714,401</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rFonts w:cs="Times New Roman" w:eastAsia="Times New Roman"/>
                <w:color w:val="000000"/>
                <w:kern w:val="0"/>
                <w:sz w:val="20"/>
                <w:szCs w:val="20"/>
                <w14:ligatures xmlns:w14="http://schemas.microsoft.com/office/word/2010/wordml" w14:val="none"/>
              </w:rPr>
              <w:t>1,199,999,998</w:t>
            </w:r>
          </w:p>
        </w:tc>
        <w:tc>
          <w:tcPr>
            <w:tcW w:w="0" w:type="auto"/>
            <w:tcBorders/>
            <w:noWrap/>
            <w:vAlign w:val="center"/>
            <w:hideMark/>
          </w:tcPr>
          <w:p>
            <w:pPr>
              <w:pStyle w:val="style0"/>
              <w:spacing w:after="0" w:lineRule="auto" w:line="240"/>
              <w:jc w:val="center"/>
              <w:rPr>
                <w:rFonts w:cs="Times New Roman" w:eastAsia="Times New Roman"/>
                <w:color w:val="000000"/>
                <w:kern w:val="0"/>
                <w:sz w:val="20"/>
                <w:szCs w:val="20"/>
                <w14:ligatures xmlns:w14="http://schemas.microsoft.com/office/word/2010/wordml" w14:val="none"/>
              </w:rPr>
            </w:pPr>
            <w:r>
              <w:rPr>
                <w:color w:val="000000"/>
                <w:sz w:val="20"/>
                <w:szCs w:val="20"/>
              </w:rPr>
              <w:t>0.6106</w:t>
            </w:r>
          </w:p>
        </w:tc>
      </w:tr>
    </w:tbl>
    <w:p>
      <w:pPr>
        <w:pStyle w:val="style0"/>
        <w:tabs>
          <w:tab w:val="left" w:leader="none" w:pos="720"/>
        </w:tabs>
        <w:spacing w:before="240" w:lineRule="auto" w:line="240"/>
        <w:ind w:right="-73"/>
        <w:rPr>
          <w:rFonts w:cs="Times New Roman" w:eastAsia="宋体"/>
          <w:b/>
          <w:bCs/>
          <w:szCs w:val="24"/>
        </w:rPr>
      </w:pPr>
      <w:r>
        <w:rPr>
          <w:rFonts w:cs="Times New Roman" w:eastAsia="宋体"/>
          <w:b/>
          <w:bCs/>
          <w:szCs w:val="24"/>
        </w:rPr>
        <w:t xml:space="preserve">4. Perhitungan Variabel </w:t>
      </w:r>
      <w:r>
        <w:rPr>
          <w:rFonts w:cs="Times New Roman" w:eastAsia="宋体"/>
          <w:b/>
          <w:bCs/>
          <w:i/>
          <w:iCs/>
          <w:szCs w:val="24"/>
        </w:rPr>
        <w:t>Firm Value</w:t>
      </w:r>
      <w:r>
        <w:rPr>
          <w:rFonts w:cs="Times New Roman" w:eastAsia="宋体"/>
          <w:b/>
          <w:bCs/>
          <w:szCs w:val="24"/>
        </w:rPr>
        <w:t xml:space="preserve"> (Y)</w:t>
      </w:r>
    </w:p>
    <w:p>
      <w:pPr>
        <w:pStyle w:val="style0"/>
        <w:tabs>
          <w:tab w:val="left" w:leader="none" w:pos="720"/>
        </w:tabs>
        <w:spacing w:after="0" w:lineRule="auto" w:line="240"/>
        <w:ind w:right="-73"/>
        <w:rPr>
          <w:rFonts w:cs="Times New Roman" w:eastAsia="宋体"/>
          <w:b/>
          <w:bCs/>
          <w:szCs w:val="24"/>
        </w:rPr>
      </w:pPr>
      <w:r>
        <w:rPr>
          <w:rFonts w:cs="Times New Roman"/>
          <w:b/>
          <w:bCs/>
          <w:noProof/>
          <w:szCs w:val="24"/>
        </w:rPr>
        <mc:AlternateContent>
          <mc:Choice Requires="wps">
            <w:drawing>
              <wp:anchor distT="0" distB="0" distL="0" distR="0" simplePos="false" relativeHeight="11" behindDoc="false" locked="false" layoutInCell="true" allowOverlap="true">
                <wp:simplePos x="0" y="0"/>
                <wp:positionH relativeFrom="margin">
                  <wp:posOffset>1672590</wp:posOffset>
                </wp:positionH>
                <wp:positionV relativeFrom="paragraph">
                  <wp:posOffset>47193</wp:posOffset>
                </wp:positionV>
                <wp:extent cx="1682885" cy="544749"/>
                <wp:effectExtent l="0" t="0" r="12700" b="27305"/>
                <wp:wrapNone/>
                <wp:docPr id="1086" name="Rectangle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82885" cy="544749"/>
                        </a:xfrm>
                        <a:prstGeom prst="rect"/>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86" filled="f" stroked="t" style="position:absolute;margin-left:131.7pt;margin-top:3.72pt;width:132.51pt;height:42.89pt;z-index:11;mso-position-horizontal-relative:margin;mso-position-vertical-relative:text;mso-width-percent:0;mso-height-percent:0;mso-width-relative:margin;mso-height-relative:margin;mso-wrap-distance-left:0.0pt;mso-wrap-distance-right:0.0pt;visibility:visible;">
                <v:fill/>
              </v:rect>
            </w:pict>
          </mc:Fallback>
        </mc:AlternateContent>
      </w:r>
      <w:r>
        <w:rPr>
          <w:rFonts w:cs="Times New Roman"/>
          <w:b/>
          <w:bCs/>
          <w:noProof/>
          <w:szCs w:val="24"/>
        </w:rPr>
        <w:t xml:space="preserve"> </w:t>
      </w:r>
    </w:p>
    <w:p>
      <w:pPr>
        <w:pStyle w:val="style0"/>
        <w:tabs>
          <w:tab w:val="left" w:leader="none" w:pos="720"/>
        </w:tabs>
        <w:spacing w:lineRule="auto" w:line="240"/>
        <w:rPr>
          <w:rFonts w:cs="Times New Roman" w:eastAsia="宋体"/>
          <w:b/>
          <w:bCs/>
          <w:sz w:val="22"/>
        </w:rPr>
      </w:pPr>
      <m:oMathPara>
        <m:oMath>
          <m:r>
            <m:rPr>
              <m:sty m:val="bi"/>
            </m:rPr>
            <w:rPr>
              <w:rFonts w:ascii="Cambria Math" w:eastAsia="宋体" w:hAnsi="Cambria Math"/>
              <w:sz w:val="22"/>
            </w:rPr>
            <m:t>Tobi</m:t>
          </m:r>
          <m:sSup>
            <m:sSupPr>
              <m:ctrlPr>
                <w:rPr>
                  <w:rFonts w:ascii="Cambria Math" w:eastAsia="宋体" w:hAnsi="Cambria Math"/>
                  <w:b/>
                  <w:bCs/>
                  <w:i/>
                  <w:sz w:val="22"/>
                </w:rPr>
              </m:ctrlPr>
            </m:sSupPr>
            <m:e>
              <m:r>
                <m:rPr>
                  <m:sty m:val="bi"/>
                </m:rPr>
                <w:rPr>
                  <w:rFonts w:ascii="Cambria Math" w:eastAsia="宋体" w:hAnsi="Cambria Math"/>
                  <w:sz w:val="22"/>
                </w:rPr>
                <m:t>n</m:t>
              </m:r>
            </m:e>
            <m:sup>
              <m:r>
                <m:rPr>
                  <m:sty m:val="bi"/>
                </m:rPr>
                <w:rPr>
                  <w:rFonts w:ascii="Cambria Math" w:eastAsia="宋体" w:hAnsi="Cambria Math"/>
                  <w:sz w:val="22"/>
                </w:rPr>
                <m:t>'</m:t>
              </m:r>
            </m:sup>
          </m:sSup>
          <m:r>
            <m:rPr>
              <m:sty m:val="bi"/>
            </m:rPr>
            <w:rPr>
              <w:rFonts w:ascii="Cambria Math" w:eastAsia="宋体" w:hAnsi="Cambria Math"/>
              <w:sz w:val="22"/>
            </w:rPr>
            <m:t xml:space="preserve">s Q= </m:t>
          </m:r>
          <m:f>
            <m:fPr>
              <m:ctrlPr>
                <w:rPr>
                  <w:rFonts w:ascii="Cambria Math" w:cs="Times New Roman" w:hAnsi="Cambria Math"/>
                  <w:b/>
                  <w:bCs/>
                  <w:sz w:val="22"/>
                </w:rPr>
              </m:ctrlPr>
            </m:fPr>
            <m:num>
              <m:r>
                <m:rPr>
                  <m:sty m:val="bi"/>
                </m:rPr>
                <w:rPr>
                  <w:rFonts w:ascii="Cambria Math" w:cs="Times New Roman" w:hAnsi="Cambria Math"/>
                  <w:sz w:val="22"/>
                </w:rPr>
                <m:t>MVE</m:t>
              </m:r>
              <m:r>
                <m:rPr>
                  <m:sty m:val="b"/>
                </m:rPr>
                <w:rPr>
                  <w:rFonts w:ascii="Cambria Math" w:cs="Times New Roman" w:hAnsi="Cambria Math"/>
                  <w:sz w:val="22"/>
                </w:rPr>
                <m:t>+</m:t>
              </m:r>
              <m:r>
                <m:rPr>
                  <m:sty m:val="bi"/>
                </m:rPr>
                <w:rPr>
                  <w:rFonts w:ascii="Cambria Math" w:cs="Times New Roman" w:hAnsi="Cambria Math"/>
                  <w:sz w:val="22"/>
                </w:rPr>
                <m:t>D</m:t>
              </m:r>
            </m:num>
            <m:den>
              <m:r>
                <m:rPr>
                  <m:sty m:val="bi"/>
                </m:rPr>
                <w:rPr>
                  <w:rFonts w:ascii="Cambria Math" w:cs="Times New Roman" w:hAnsi="Cambria Math"/>
                  <w:sz w:val="22"/>
                </w:rPr>
                <m:t>TA</m:t>
              </m:r>
            </m:den>
          </m:f>
        </m:oMath>
      </m:oMathPara>
    </w:p>
    <w:p>
      <w:pPr>
        <w:pStyle w:val="style0"/>
        <w:tabs>
          <w:tab w:val="left" w:leader="none" w:pos="720"/>
        </w:tabs>
        <w:spacing w:after="0" w:lineRule="auto" w:line="240"/>
        <w:rPr>
          <w:rFonts w:cs="Times New Roman" w:eastAsia="宋体"/>
          <w:b/>
          <w:bCs/>
          <w:sz w:val="22"/>
        </w:rPr>
      </w:pPr>
    </w:p>
    <w:tbl>
      <w:tblPr>
        <w:tblStyle w:val="style154"/>
        <w:tblW w:w="0" w:type="auto"/>
        <w:tblLook w:val="04A0" w:firstRow="1" w:lastRow="0" w:firstColumn="1" w:lastColumn="0" w:noHBand="0" w:noVBand="1"/>
      </w:tblPr>
      <w:tblGrid>
        <w:gridCol w:w="528"/>
        <w:gridCol w:w="1035"/>
        <w:gridCol w:w="735"/>
        <w:gridCol w:w="1634"/>
        <w:gridCol w:w="1680"/>
        <w:gridCol w:w="1636"/>
        <w:gridCol w:w="679"/>
      </w:tblGrid>
      <w:tr>
        <w:trPr>
          <w:trHeight w:val="290" w:hRule="atLeast"/>
        </w:trPr>
        <w:tc>
          <w:tcPr>
            <w:tcW w:w="0" w:type="auto"/>
            <w:tcBorders/>
            <w:noWrap/>
            <w:vAlign w:val="center"/>
            <w:hideMark/>
          </w:tcPr>
          <w:p>
            <w:pPr>
              <w:pStyle w:val="style0"/>
              <w:tabs>
                <w:tab w:val="left" w:leader="none" w:pos="720"/>
              </w:tabs>
              <w:ind w:left="-17"/>
              <w:jc w:val="center"/>
              <w:rPr>
                <w:rFonts w:cs="Times New Roman" w:eastAsia="宋体"/>
                <w:b/>
                <w:bCs/>
                <w:sz w:val="18"/>
                <w:szCs w:val="18"/>
              </w:rPr>
            </w:pPr>
            <w:r>
              <w:rPr>
                <w:rFonts w:cs="Times New Roman" w:eastAsia="宋体"/>
                <w:b/>
                <w:bCs/>
                <w:sz w:val="18"/>
                <w:szCs w:val="18"/>
              </w:rPr>
              <w:t>No.</w:t>
            </w:r>
          </w:p>
        </w:tc>
        <w:tc>
          <w:tcPr>
            <w:tcW w:w="0" w:type="auto"/>
            <w:tcBorders/>
            <w:noWrap/>
            <w:vAlign w:val="center"/>
            <w:hideMark/>
          </w:tcPr>
          <w:p>
            <w:pPr>
              <w:pStyle w:val="style0"/>
              <w:tabs>
                <w:tab w:val="left" w:leader="none" w:pos="528"/>
              </w:tabs>
              <w:ind w:left="-110" w:right="-62"/>
              <w:jc w:val="center"/>
              <w:rPr>
                <w:rFonts w:cs="Times New Roman" w:eastAsia="宋体"/>
                <w:b/>
                <w:bCs/>
                <w:sz w:val="18"/>
                <w:szCs w:val="18"/>
              </w:rPr>
            </w:pPr>
            <w:r>
              <w:rPr>
                <w:rFonts w:cs="Times New Roman" w:eastAsia="宋体"/>
                <w:b/>
                <w:bCs/>
                <w:sz w:val="18"/>
                <w:szCs w:val="18"/>
              </w:rPr>
              <w:t>Perusahaan</w:t>
            </w:r>
          </w:p>
        </w:tc>
        <w:tc>
          <w:tcPr>
            <w:tcW w:w="0" w:type="auto"/>
            <w:tcBorders/>
            <w:noWrap/>
            <w:vAlign w:val="center"/>
            <w:hideMark/>
          </w:tcPr>
          <w:p>
            <w:pPr>
              <w:pStyle w:val="style0"/>
              <w:tabs>
                <w:tab w:val="left" w:leader="none" w:pos="720"/>
              </w:tabs>
              <w:ind w:left="-19"/>
              <w:jc w:val="center"/>
              <w:rPr>
                <w:rFonts w:cs="Times New Roman" w:eastAsia="宋体"/>
                <w:b/>
                <w:bCs/>
                <w:sz w:val="18"/>
                <w:szCs w:val="18"/>
              </w:rPr>
            </w:pPr>
            <w:r>
              <w:rPr>
                <w:rFonts w:cs="Times New Roman" w:eastAsia="宋体"/>
                <w:b/>
                <w:bCs/>
                <w:sz w:val="18"/>
                <w:szCs w:val="18"/>
              </w:rPr>
              <w:t>Tahun</w:t>
            </w:r>
          </w:p>
        </w:tc>
        <w:tc>
          <w:tcPr>
            <w:tcW w:w="0" w:type="auto"/>
            <w:tcBorders/>
            <w:noWrap/>
            <w:vAlign w:val="center"/>
            <w:hideMark/>
          </w:tcPr>
          <w:p>
            <w:pPr>
              <w:pStyle w:val="style0"/>
              <w:tabs>
                <w:tab w:val="left" w:leader="none" w:pos="720"/>
              </w:tabs>
              <w:ind w:right="-59"/>
              <w:jc w:val="center"/>
              <w:rPr>
                <w:rFonts w:cs="Times New Roman" w:eastAsia="宋体"/>
                <w:b/>
                <w:bCs/>
                <w:sz w:val="18"/>
                <w:szCs w:val="18"/>
              </w:rPr>
            </w:pPr>
            <w:r>
              <w:rPr>
                <w:rFonts w:cs="Times New Roman" w:eastAsia="宋体"/>
                <w:b/>
                <w:bCs/>
                <w:sz w:val="18"/>
                <w:szCs w:val="18"/>
              </w:rPr>
              <w:t>MVE</w:t>
            </w:r>
          </w:p>
        </w:tc>
        <w:tc>
          <w:tcPr>
            <w:tcW w:w="0" w:type="auto"/>
            <w:tcBorders/>
            <w:noWrap/>
            <w:vAlign w:val="center"/>
            <w:hideMark/>
          </w:tcPr>
          <w:p>
            <w:pPr>
              <w:pStyle w:val="style0"/>
              <w:tabs>
                <w:tab w:val="left" w:leader="none" w:pos="720"/>
              </w:tabs>
              <w:jc w:val="center"/>
              <w:rPr>
                <w:rFonts w:cs="Times New Roman" w:eastAsia="宋体"/>
                <w:b/>
                <w:bCs/>
                <w:sz w:val="18"/>
                <w:szCs w:val="18"/>
              </w:rPr>
            </w:pPr>
            <w:r>
              <w:rPr>
                <w:rFonts w:cs="Times New Roman" w:eastAsia="宋体"/>
                <w:b/>
                <w:bCs/>
                <w:sz w:val="18"/>
                <w:szCs w:val="18"/>
              </w:rPr>
              <w:t>D</w:t>
            </w:r>
          </w:p>
        </w:tc>
        <w:tc>
          <w:tcPr>
            <w:tcW w:w="0" w:type="auto"/>
            <w:tcBorders/>
            <w:noWrap/>
            <w:vAlign w:val="center"/>
            <w:hideMark/>
          </w:tcPr>
          <w:p>
            <w:pPr>
              <w:pStyle w:val="style0"/>
              <w:tabs>
                <w:tab w:val="left" w:leader="none" w:pos="720"/>
              </w:tabs>
              <w:jc w:val="center"/>
              <w:rPr>
                <w:rFonts w:cs="Times New Roman" w:eastAsia="宋体"/>
                <w:b/>
                <w:bCs/>
                <w:sz w:val="18"/>
                <w:szCs w:val="18"/>
              </w:rPr>
            </w:pPr>
            <w:r>
              <w:rPr>
                <w:rFonts w:cs="Times New Roman" w:eastAsia="宋体"/>
                <w:b/>
                <w:bCs/>
                <w:sz w:val="18"/>
                <w:szCs w:val="18"/>
              </w:rPr>
              <w:t>T</w:t>
            </w:r>
            <w:r>
              <w:rPr>
                <w:rFonts w:cs="Times New Roman" w:eastAsia="宋体"/>
                <w:b/>
                <w:bCs/>
                <w:sz w:val="18"/>
                <w:szCs w:val="18"/>
              </w:rPr>
              <w:t>A</w:t>
            </w:r>
          </w:p>
        </w:tc>
        <w:tc>
          <w:tcPr>
            <w:tcW w:w="0" w:type="auto"/>
            <w:tcBorders/>
            <w:noWrap/>
            <w:vAlign w:val="center"/>
            <w:hideMark/>
          </w:tcPr>
          <w:p>
            <w:pPr>
              <w:pStyle w:val="style0"/>
              <w:tabs>
                <w:tab w:val="left" w:leader="none" w:pos="720"/>
              </w:tabs>
              <w:jc w:val="center"/>
              <w:rPr>
                <w:rFonts w:cs="Times New Roman" w:eastAsia="宋体"/>
                <w:b/>
                <w:bCs/>
                <w:sz w:val="18"/>
                <w:szCs w:val="18"/>
              </w:rPr>
            </w:pPr>
            <w:r>
              <w:rPr>
                <w:rFonts w:cs="Times New Roman" w:eastAsia="宋体"/>
                <w:b/>
                <w:bCs/>
                <w:sz w:val="18"/>
                <w:szCs w:val="18"/>
              </w:rPr>
              <w:t>Hasil</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AGII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2,739,294,000,000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3,739,317,000,000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7,121,458,000,000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0.910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4,611,144,900,000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4,630,453,000,000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8,081,840,000,000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1.144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5,907,509,714,000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4,404,660,000,000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7,955,474,000,000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1.296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4,661,323,200,000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4,069,613,000,000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7,797,759,000,000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1.120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AKPI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339,797,640,000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1,330,380,957,000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2,644,267,716,000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0.632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1,236,740,960,000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1,864,609,543,000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3,335,740,349,000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0.930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673,472,800,000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1,844,891,328,000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3,590,544,759,000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0.701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339,797,640,000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1,699,640,104,000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3,351,569,378,000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0.609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ALDO</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448,800,000,000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363,428,319,392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953,551,967,212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0.852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1,316,856,020,000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507,406,880,546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1,210,809,442,028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1.507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1,060,069,328,745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803,638,004,050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1,568,806,950,187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1.188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1,255,831,890,960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941,764,934,889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1,751,702,567,743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1.255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APLI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269,808,937,200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200,450,080,044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406,440,895,710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1.157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280,710,308,400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200,245,883,845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431,280,653,664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1.115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381,547,992,000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189,586,990,363</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468,541,883,266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1.219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817,602,840,000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156,657,593,788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490,506,911,907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1.986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DPNS</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90,729,606,848</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32,487,055,094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317,310,718,779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0.388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130,465,201,088</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54,285,716,417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362,242,571,405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0.510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132,451,980,800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75,717,897,528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405,675,831,614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0.513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139,074,579,840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15,281,776,764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347,048,791,589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0.445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GDST</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1,016,675,000,000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741,251,635,985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1,588,136,471,649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1.107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924,250,000,000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795,881,703,057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1,583,979,016,422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1.086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1,395,617,500,000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1,046,603,698,108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2,106,446,579,086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1.159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1,220,010,000,000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954,226,747,571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2,228,129,147,603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0.976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INAI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211,622,400,000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1,074,565,554,861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1,395,969,637,457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0.921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185,011,200,000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1,162,189,008,725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1,548,832,511,319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0.870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167,270,400,000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1,257,313,269,665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1,554,795,974,228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0.916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129,254,400,000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1,202,948,785,324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1,476,872,833,252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0.902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INCI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177,489,719,485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75,990,820,673</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444,865,800,672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0.570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109,827,892,720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131,138,919,060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510,698,600,200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0.472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133,362,441,160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79,040,070,257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496,010,534,463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0.428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112,134,573,180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55,968,674,064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492,567,875,766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0.341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KDSI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334,125,000,000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609,330,922,174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1,251,125,615,130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0.754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443,475,000,000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652,355,217,431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1,353,868,759,222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0.809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465,750,000,000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551,310,313,962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1,289,211,450,108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0.789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704,700,000,000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344,173,362,496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1,128,518,916,364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0.929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KRAS</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8,280,257,873,200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2,954,140,000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3,486,349,000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1.010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7,970,715,522,800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3,186,482,000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3,773,676,000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0.992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6,306,925,389,400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2,609,848,000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3,162,434,000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0.959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2,747,188,359,800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2,352,388,000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2,849,189,000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0.889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LMSH</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40,320,000,000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35,134,745,290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143,486,189,959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0.526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72,000,000,000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29,893,350,889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145,459,649,889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0.700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59,040,000,000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20,831,759,780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132,398,867,747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0.603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42,240,000,000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20,419,094,068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125,154,742,796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0.501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LTLS</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764,400,000,000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3,230,044,000,000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5,514,332,000,000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0.724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1,115,400,000,000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3,480,106,000,000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6,217,987,000,000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0.739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2,168,400,000,000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3,107,428,000,000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6,094,139,000,000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0.866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2,035,800,000,000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2,655,480,000,000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5,628,540,000,000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0.833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SMBR</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10,578,149,067,840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2,256,285,577,000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5,203,207,370,000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2.467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6,158,171,288,320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2,315,107,607,000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5,321,005,660,000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1.592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3,833,958,253,696</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2,167,586,907,000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5,242,724,933,000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1.145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2,761,244,545,408</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1,694,318,282,000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4,856,730,638,000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0.917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SRSN</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349,160,000,000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318,959,497,000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906,846,895,000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0.737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331,100,000,000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251,955,480,000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860,162,908,000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0.678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313,040,000,000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218,259,872,000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876,602,301,000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0.606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403,340,000,000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226,110,331,000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936,697,851,000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0.672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SULI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199,345,840,100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103,191,084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85,099,322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1.373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199,345,840,100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104,233,395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89,708,022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1.317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648,229,771,518</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39,255,820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61,550,680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1.346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570,768,352,280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44,067,401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53,030,906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1.537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UNIC</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1,801,657,406,100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43,542,406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242,256,371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0.691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4,829,975,173,800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51,998,377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292,723,782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1.331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3,823,730,345,925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42,624,419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317,577,675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0.944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3,143,317,176,600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44,840,780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335,210,659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0.749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WTON</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3,364,170,107,600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5,245,174,935,010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8,670,064,519,212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0.993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2,144,004,783,600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5,597,700,106,779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9,082,511,044,439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0.852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1,664,654,120,600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5,809,708,177,850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9,447,528,704,261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0.791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941,270,392,800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4,005,560,677,656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7,631,670,664,176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0.648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WSBP</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7,012,067,904,044</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9,463,128,936,388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8,589,025,755,237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1.918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3,005,171,958,876</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9,660,606,347,159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6,882,077,282,159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1.840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2,504,309,965,730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8,066,866,451,302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5,963,657,951,878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1.773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2,727,786,066,250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5,137,639,812,056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4,473,145,720,502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1.758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KMTR</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2,743,932,370,586</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3,056,731,466,842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5,127,760,608,990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1.131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2,743,932,370,586</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3,540,150,966,974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5,575,135,591,236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1.127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2,119,564,525,782</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2,842,079,572,157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4,798,796,482,352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1.034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2,283,871,853,362</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2,684,113,538,701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4,582,841,788,763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1.084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MDKI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586,994,800,464</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83,704,000,000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973,684,000,000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0.689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516,150,600,408</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80,106,000,000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985,400,000,000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0.605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468,077,750,370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105,711,000,000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1,045,929,000,000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0.549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506,030,000,400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99,638,000,000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1,064,547,000,000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0.569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PBID</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2,690,625,000,000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472,245,114,000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2,417,251,742,000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1.308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3,009,375,000,000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500,347,722,000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2,795,959,663,000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1.255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2,953,125,000,000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594,336,031,000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3,040,363,137,000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1.167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2,484,375,000,000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565,828,079,000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3,196,352,644,000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0.954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MOLI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1,984,655,223,300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889,592,205,000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2,279,580,714,000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1.261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1,165,887,656,668</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742,202,654,000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1,967,188,458,000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0.970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566,599,608,848</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640,559,702,000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1,896,261,085,000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0.637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1,024,237,754,456</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669,321,468,000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2,019,929,220,000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0.838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SMKL</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686,800,001,010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924,846,507,844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1,669,628,001,275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0.965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1,768,718,247,920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1,081,939,496,306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1,908,641,505,907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1.494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884,359,123,960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1,065,998,439,638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2,024,398,917,353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0.963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690,453,228,580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963,901,177,675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1,890,946,951,343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0.875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ESIP</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65,920,000,000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25,185,619,128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77,924,121,640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1.169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79,403,115,668</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31,052,264,665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84,582,663,843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1.306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64,376,350,814</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3,217,041,702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98,498,235,572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0.686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55,497,692,350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4,295,132,559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100,614,252,263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0.594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SAMF</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2,039,750,000,000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558,300,272,457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1,342,071,492,913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1.936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5,611,875,000,000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900,912,951,489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1,763,123,879,245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3.694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2,408,750,000,000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1,977,461,409,047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3,097,781,579,099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1.416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3,818,125,000,000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1,413,587,710,511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2,793,664,505,857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1.873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EPAC</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782,905,800,000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187,422,856,159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367,448,396,337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2.641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168,473,400,000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190,978,440,044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372,241,949,890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0.966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165,170,000,000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181,287,614,926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296,272,927,272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1.169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33,034,000,000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197,753,427,311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283,647,472,207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0.814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CPRO</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2,978,619,139,350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5,597,622,000,000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6,321,559,000,000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1.357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5,659,376,364,765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3,570,697,000,000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6,448,438,000,000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1.431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3,157,336,287,711</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3,651,905,000,000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6,833,737,000,000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0.996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3,038,191,522,137</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3,436,635,000,000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6,856,338,000,000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0.944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GGRM</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78,887,608,000,000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19,668,941,000,000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78,191,409,000,000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1.260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58,877,092,800,000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30,676,095,000,000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89,964,369,000,000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0.995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34,633,584,000,000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30,706,651,000,000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88,562,617,000,000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0.738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39,107,088,600,000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31,587,980,000,000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92,450,823,000,000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0.765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JPFA</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17,179,432,669,465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14,539,790,000,000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25,951,760,000,000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1.222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20,169,709,345,720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15,486,946,000,000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28,589,656,000,000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1.247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15,185,914,885,295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19,036,110,000,000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32,690,887,000,000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1.047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13,837,358,737,180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19,942,219,000,000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34,109,431,000,000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0.990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MAIN</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1,656,675,000,000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2,528,717,093,000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4,674,206,873,000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0.895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1,499,962,500,000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3,048,242,414,000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5,436,745,210,000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0.837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1,443,993,750,000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3,352,507,765,000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5,746,998,087,000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0.835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1,152,956,250,000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3,021,300,745,000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5,517,296,880,000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0.757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MYOR</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60,592,076,254,750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8,506,032,464,592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19,777,500,514,550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3.494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45,611,747,439,000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8,557,621,869,393</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19,917,653,265,528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2.720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55,896,749,312,500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9,441,466,604,896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22,276,160,695,411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2.933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55,673,162,315,250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8,588,315,775,736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23,870,404,962,472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2.692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SKBM</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559,225,042,308</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806,678,887,419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1,768,660,546,754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0.772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622,837,158,120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977,942,627,046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1,970,428,120,056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0.812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653,979,016,026</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968,233,866,594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2,042,199,577,083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0.794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543,252,410,138</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772,343,255,862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1,839,622,473,747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0.715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TBLA</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4,994,862,507,965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13,542,437,000,000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19,431,293,000,000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0.954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4,246,968,656,505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14,591,663,000,000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21,084,017,000,000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0.894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3,712,758,762,605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16,841,410,000,000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23,673,644,000,000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0.868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4,187,634,493,540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17,680,467,000,000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25,883,325,000,000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0.845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ULTJ</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16,637,080,320,000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3,972,379,000,000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8,754,116,000,000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2.354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16,325,135,064,000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2,268,730,000,000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7,406,856,000,000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2.510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15,337,308,420,000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1,553,696,000,000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7,376,375,000,000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2.290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15,337,308,420,000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836,988,000,000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7,523,956,000,000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2.150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UNVR</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280,402,500,000,000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15,597,264,000,000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20,534,632,000,000</w:t>
            </w:r>
          </w:p>
        </w:tc>
        <w:tc>
          <w:tcPr>
            <w:tcW w:w="0" w:type="auto"/>
            <w:tcBorders/>
            <w:noWrap/>
            <w:vAlign w:val="center"/>
            <w:hideMark/>
          </w:tcPr>
          <w:p>
            <w:pPr>
              <w:pStyle w:val="style0"/>
              <w:tabs>
                <w:tab w:val="left" w:leader="none" w:pos="720"/>
              </w:tabs>
              <w:ind w:left="-81" w:right="-93"/>
              <w:jc w:val="center"/>
              <w:rPr>
                <w:rFonts w:cs="Times New Roman" w:eastAsia="宋体"/>
                <w:sz w:val="18"/>
                <w:szCs w:val="18"/>
              </w:rPr>
            </w:pPr>
            <w:r>
              <w:rPr>
                <w:rFonts w:cs="Times New Roman" w:eastAsia="宋体"/>
                <w:sz w:val="18"/>
                <w:szCs w:val="18"/>
              </w:rPr>
              <w:t>14.415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156,796,500,000,000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14,747,263,000,000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19,068,532,000,000</w:t>
            </w:r>
          </w:p>
        </w:tc>
        <w:tc>
          <w:tcPr>
            <w:tcW w:w="0" w:type="auto"/>
            <w:tcBorders/>
            <w:noWrap/>
            <w:vAlign w:val="center"/>
            <w:hideMark/>
          </w:tcPr>
          <w:p>
            <w:pPr>
              <w:pStyle w:val="style0"/>
              <w:tabs>
                <w:tab w:val="left" w:leader="none" w:pos="720"/>
              </w:tabs>
              <w:ind w:left="-81" w:right="-93"/>
              <w:jc w:val="center"/>
              <w:rPr>
                <w:rFonts w:cs="Times New Roman" w:eastAsia="宋体"/>
                <w:sz w:val="18"/>
                <w:szCs w:val="18"/>
              </w:rPr>
            </w:pPr>
            <w:r>
              <w:rPr>
                <w:rFonts w:cs="Times New Roman" w:eastAsia="宋体"/>
                <w:sz w:val="18"/>
                <w:szCs w:val="18"/>
              </w:rPr>
              <w:t>8.996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179,305,000,000,000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14,320,858,000,000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18,318,114,000,000</w:t>
            </w:r>
          </w:p>
        </w:tc>
        <w:tc>
          <w:tcPr>
            <w:tcW w:w="0" w:type="auto"/>
            <w:tcBorders/>
            <w:noWrap/>
            <w:vAlign w:val="center"/>
            <w:hideMark/>
          </w:tcPr>
          <w:p>
            <w:pPr>
              <w:pStyle w:val="style0"/>
              <w:tabs>
                <w:tab w:val="left" w:leader="none" w:pos="720"/>
              </w:tabs>
              <w:ind w:left="-81" w:right="-93"/>
              <w:jc w:val="center"/>
              <w:rPr>
                <w:rFonts w:cs="Times New Roman" w:eastAsia="宋体"/>
                <w:sz w:val="18"/>
                <w:szCs w:val="18"/>
              </w:rPr>
            </w:pPr>
            <w:r>
              <w:rPr>
                <w:rFonts w:cs="Times New Roman" w:eastAsia="宋体"/>
                <w:sz w:val="18"/>
                <w:szCs w:val="18"/>
              </w:rPr>
              <w:t>10.570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134,669,500,000,000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13,282,848,000,000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16,664,086,000,000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8.879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KINO</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3,750,387,408,000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2,640,416,103,721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5,254,478,060,618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1.216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2,799,002,367,000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2,657,618,889,987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5,346,062,152,770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1.021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2,116,487,011,500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3,142,551,744,669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4,676,372,045,095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1.125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1,744,205,908,500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3,027,648,359,660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4,646,378,817,802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1.027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ZINC</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1,777,270,000,000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125,161,736,940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1,086,873,666,641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1.750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1,706,650,000,000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119,786,398,572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1,146,235,578,463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1.593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1,800,810,000,000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133,323,429,397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1,074,777,460,412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1.800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2,365,770,000,000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136,086,922,155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1,088,726,193,209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2.298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GOOD</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9,372,066,969,570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3,702,404,632,151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6,670,943,518,686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1.960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19,371,398,263,875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3,724,365,876,731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6,766,602,280,143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3.413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19,371,398,263,875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3,975,927,432,106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7,327,371,934,290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3.186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15,866,097,625,650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3,518,496,516,469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7,427,707,902,688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2.610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FOOD</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67,600,000,000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56,950,719,933</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113,192,236,191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1.100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86,450,000,000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62,754,664,235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106,495,352,963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1.401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72,150,000,000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60,641,748,902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102,297,196,494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1.298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66,950,000,000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29,567,169,865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50,993,895,743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1.893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ITIC</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178,139,000,000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225,250,911,830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505,077,168,839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0.799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75,092,440,000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202,024,664,317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526,704,173,504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0.526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71,803,720,000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188,886,108,964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553,207,312,282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0.471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82,218,000,000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162,422,114,987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560,353,325,935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0.437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DMND</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8,710,890,280,000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1,025,042,000,000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5,680,638,000,000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1.714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8,568,864,895,000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1,277,906,000,000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6,297,287,000,000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1.564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7,716,712,585,000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1,467,035,000,000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6,878,297,000,000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1.335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7,716,712,585,000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1,335,148,000,000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7,166,880,000,000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1.263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IKAN</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122,499,951,000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63,404,922,846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132,538,615,751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1.403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79,166,635,000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58,357,126,496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129,081,871,589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1.065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49,166,647,000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52,878,769,446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125,635,186,707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0.812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41,666,650,000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67,502,137,313</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141,188,309,682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0.773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VICI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2,092,896,000,000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329,538,379,535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959,769,030,280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2.524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3,454,620,000,000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247,640,173,947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997,797,006,411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3.710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3,421,080,000,000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349,890,773,766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1,150,904,222,886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3.277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4,360,200,000,000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229,498,076,801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1,148,235,338,153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3.997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KLBF</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69,371,961,722,800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4,288,218,173,294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22,564,300,317,374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3.264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75,699,809,582,650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4,400,757,363,148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25,666,635,156,271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3.121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96,674,290,546,900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5,143,984,823,285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27,241,313,025,674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3.738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74,471,582,670,100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3,937,546,172,108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27,057,568,182,323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2.898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PEHA</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1,423,800,000,000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1,175,080,321,000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1,915,989,375,000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1.356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928,200,000,000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1,097,562,036,000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1,838,539,299,000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1.102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575,400,000,000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1,034,464,891,000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1,806,280,965,000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0.891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537,600,000,000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995,560,359,000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1,765,887,592,000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0.868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AMIN</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276,480,000,000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209,059,609,099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350,375,482,319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1.386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205,200,000,000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165,028,829,275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311,496,780,738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1.189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113,400,000,000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168,880,405,973</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323,052,524,991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0.874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172,800,000,000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180,745,978,416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349,831,869,426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1.011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ARNA</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4,992,173,063,680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665,401,637,797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1,970,340,289,520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2.871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5,873,144,780,800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670,353,190,326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2,243,523,072,803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2.917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7,304,723,821,120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745,695,258,308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2,578,868,615,545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3.122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4,882,051,599,040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765,455,201,158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2,620,491,657,384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2.155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ASII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260,106,828,924,500</w:t>
            </w:r>
          </w:p>
        </w:tc>
        <w:tc>
          <w:tcPr>
            <w:tcW w:w="0" w:type="auto"/>
            <w:tcBorders/>
            <w:noWrap/>
            <w:vAlign w:val="center"/>
            <w:hideMark/>
          </w:tcPr>
          <w:p>
            <w:pPr>
              <w:pStyle w:val="style0"/>
              <w:tabs>
                <w:tab w:val="left" w:leader="none" w:pos="720"/>
              </w:tabs>
              <w:ind w:left="-28" w:right="-77"/>
              <w:jc w:val="center"/>
              <w:rPr>
                <w:rFonts w:cs="Times New Roman" w:eastAsia="宋体"/>
                <w:sz w:val="18"/>
                <w:szCs w:val="18"/>
              </w:rPr>
            </w:pPr>
            <w:r>
              <w:rPr>
                <w:rFonts w:cs="Times New Roman" w:eastAsia="宋体"/>
                <w:sz w:val="18"/>
                <w:szCs w:val="18"/>
              </w:rPr>
              <w:t>142,749,000,000,000</w:t>
            </w:r>
          </w:p>
        </w:tc>
        <w:tc>
          <w:tcPr>
            <w:tcW w:w="0" w:type="auto"/>
            <w:tcBorders/>
            <w:noWrap/>
            <w:vAlign w:val="center"/>
            <w:hideMark/>
          </w:tcPr>
          <w:p>
            <w:pPr>
              <w:pStyle w:val="style0"/>
              <w:tabs>
                <w:tab w:val="left" w:leader="none" w:pos="720"/>
              </w:tabs>
              <w:ind w:left="-75" w:right="-43"/>
              <w:jc w:val="center"/>
              <w:rPr>
                <w:rFonts w:cs="Times New Roman" w:eastAsia="宋体"/>
                <w:sz w:val="18"/>
                <w:szCs w:val="18"/>
              </w:rPr>
            </w:pPr>
            <w:r>
              <w:rPr>
                <w:rFonts w:cs="Times New Roman" w:eastAsia="宋体"/>
                <w:sz w:val="18"/>
                <w:szCs w:val="18"/>
              </w:rPr>
              <w:t>338,203,000,000,000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1.191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230,756,252,898,000</w:t>
            </w:r>
          </w:p>
        </w:tc>
        <w:tc>
          <w:tcPr>
            <w:tcW w:w="0" w:type="auto"/>
            <w:tcBorders/>
            <w:noWrap/>
            <w:vAlign w:val="center"/>
            <w:hideMark/>
          </w:tcPr>
          <w:p>
            <w:pPr>
              <w:pStyle w:val="style0"/>
              <w:tabs>
                <w:tab w:val="left" w:leader="none" w:pos="720"/>
              </w:tabs>
              <w:ind w:left="-28" w:right="-77"/>
              <w:jc w:val="center"/>
              <w:rPr>
                <w:rFonts w:cs="Times New Roman" w:eastAsia="宋体"/>
                <w:sz w:val="18"/>
                <w:szCs w:val="18"/>
              </w:rPr>
            </w:pPr>
            <w:r>
              <w:rPr>
                <w:rFonts w:cs="Times New Roman" w:eastAsia="宋体"/>
                <w:sz w:val="18"/>
                <w:szCs w:val="18"/>
              </w:rPr>
              <w:t>151,696,000,000,000</w:t>
            </w:r>
          </w:p>
        </w:tc>
        <w:tc>
          <w:tcPr>
            <w:tcW w:w="0" w:type="auto"/>
            <w:tcBorders/>
            <w:noWrap/>
            <w:vAlign w:val="center"/>
            <w:hideMark/>
          </w:tcPr>
          <w:p>
            <w:pPr>
              <w:pStyle w:val="style0"/>
              <w:tabs>
                <w:tab w:val="left" w:leader="none" w:pos="720"/>
              </w:tabs>
              <w:ind w:left="-75" w:right="-43"/>
              <w:jc w:val="center"/>
              <w:rPr>
                <w:rFonts w:cs="Times New Roman" w:eastAsia="宋体"/>
                <w:sz w:val="18"/>
                <w:szCs w:val="18"/>
              </w:rPr>
            </w:pPr>
            <w:r>
              <w:rPr>
                <w:rFonts w:cs="Times New Roman" w:eastAsia="宋体"/>
                <w:sz w:val="18"/>
                <w:szCs w:val="18"/>
              </w:rPr>
              <w:t>367,311,000,000,000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1.041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230,756,252,898,000</w:t>
            </w:r>
          </w:p>
        </w:tc>
        <w:tc>
          <w:tcPr>
            <w:tcW w:w="0" w:type="auto"/>
            <w:tcBorders/>
            <w:noWrap/>
            <w:vAlign w:val="center"/>
            <w:hideMark/>
          </w:tcPr>
          <w:p>
            <w:pPr>
              <w:pStyle w:val="style0"/>
              <w:tabs>
                <w:tab w:val="left" w:leader="none" w:pos="720"/>
              </w:tabs>
              <w:ind w:left="-28" w:right="-77"/>
              <w:jc w:val="center"/>
              <w:rPr>
                <w:rFonts w:cs="Times New Roman" w:eastAsia="宋体"/>
                <w:sz w:val="18"/>
                <w:szCs w:val="18"/>
              </w:rPr>
            </w:pPr>
            <w:r>
              <w:rPr>
                <w:rFonts w:cs="Times New Roman" w:eastAsia="宋体"/>
                <w:sz w:val="18"/>
                <w:szCs w:val="18"/>
              </w:rPr>
              <w:t>169,577,000,000,000</w:t>
            </w:r>
          </w:p>
        </w:tc>
        <w:tc>
          <w:tcPr>
            <w:tcW w:w="0" w:type="auto"/>
            <w:tcBorders/>
            <w:noWrap/>
            <w:vAlign w:val="center"/>
            <w:hideMark/>
          </w:tcPr>
          <w:p>
            <w:pPr>
              <w:pStyle w:val="style0"/>
              <w:tabs>
                <w:tab w:val="left" w:leader="none" w:pos="720"/>
              </w:tabs>
              <w:ind w:left="-75" w:right="-43"/>
              <w:jc w:val="center"/>
              <w:rPr>
                <w:rFonts w:cs="Times New Roman" w:eastAsia="宋体"/>
                <w:sz w:val="18"/>
                <w:szCs w:val="18"/>
              </w:rPr>
            </w:pPr>
            <w:r>
              <w:rPr>
                <w:rFonts w:cs="Times New Roman" w:eastAsia="宋体"/>
                <w:sz w:val="18"/>
                <w:szCs w:val="18"/>
              </w:rPr>
              <w:t>413,297,000,000,000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0.969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228,732,075,241,000</w:t>
            </w:r>
          </w:p>
        </w:tc>
        <w:tc>
          <w:tcPr>
            <w:tcW w:w="0" w:type="auto"/>
            <w:tcBorders/>
            <w:noWrap/>
            <w:vAlign w:val="center"/>
            <w:hideMark/>
          </w:tcPr>
          <w:p>
            <w:pPr>
              <w:pStyle w:val="style0"/>
              <w:tabs>
                <w:tab w:val="left" w:leader="none" w:pos="720"/>
              </w:tabs>
              <w:ind w:left="-28" w:right="-77"/>
              <w:jc w:val="center"/>
              <w:rPr>
                <w:rFonts w:cs="Times New Roman" w:eastAsia="宋体"/>
                <w:sz w:val="18"/>
                <w:szCs w:val="18"/>
              </w:rPr>
            </w:pPr>
            <w:r>
              <w:rPr>
                <w:rFonts w:cs="Times New Roman" w:eastAsia="宋体"/>
                <w:sz w:val="18"/>
                <w:szCs w:val="18"/>
              </w:rPr>
              <w:t>195,261,000,000,000</w:t>
            </w:r>
          </w:p>
        </w:tc>
        <w:tc>
          <w:tcPr>
            <w:tcW w:w="0" w:type="auto"/>
            <w:tcBorders/>
            <w:noWrap/>
            <w:vAlign w:val="center"/>
            <w:hideMark/>
          </w:tcPr>
          <w:p>
            <w:pPr>
              <w:pStyle w:val="style0"/>
              <w:tabs>
                <w:tab w:val="left" w:leader="none" w:pos="720"/>
              </w:tabs>
              <w:ind w:left="-75" w:right="-43"/>
              <w:jc w:val="center"/>
              <w:rPr>
                <w:rFonts w:cs="Times New Roman" w:eastAsia="宋体"/>
                <w:sz w:val="18"/>
                <w:szCs w:val="18"/>
              </w:rPr>
            </w:pPr>
            <w:r>
              <w:rPr>
                <w:rFonts w:cs="Times New Roman" w:eastAsia="宋体"/>
                <w:sz w:val="18"/>
                <w:szCs w:val="18"/>
              </w:rPr>
              <w:t>445,679,000,000,000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0.951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BNBR</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1,043,152,674,000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12,533,801,000,000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13,980,166,000,000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0.971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1,058,043,263,050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13,923,865,000,000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15,218,706,000,000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0.984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1,722,589,768,302</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15,936,576,000,000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17,462,824,000,000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1.011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8,002,872,875,450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4,440,943,000,000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7,101,606,000,000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1.752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CTTH</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67,696,190,155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463,947,458,544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693,600,593,453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0.766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61,541,991,050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485,369,802,098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689,921,046,453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0.793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61,541,991,050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539,457,360,678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712,262,467,657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0.844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18,462,597,315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540,348,546,178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751,633,765,958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0.743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IKBI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281,520,000,000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27,865,847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94,808,906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0.498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274,176,000,000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44,365,306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111,511,393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0.570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266,832,000,000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48,693,361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118,691,279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0.561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740,520,000,000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30,798,537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107,067,717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0.741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IMPC</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6,404,387,500,000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1,181,431,998,848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2,687,654,792,585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2.822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12,325,425,000,000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1,169,803,527,245</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2,858,166,022,131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4.722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17,365,920,000,000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1,210,746,099,447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3,435,475,875,401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5.407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21,056,178,000,000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1,109,391,606,073</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3,597,041,437,692</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6.162</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53</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JTPE</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1,730,142,625,000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267,681,176,266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1,038,097,010,616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1.925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1,807,228,187,500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301,750,608,990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1,212,589,829,191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1.739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1,808,941,200,000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541,571,305,569</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1,563,637,707,080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1.503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2,110,431,400,000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704,654,618,041</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1,789,774,127,224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1.573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LION</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179,975,360,000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178,394,836,823</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648,353,241,060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0.553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177,894,720,000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220,983,822,452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686,806,547,986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0.581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439,535,200,000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209,683,140,222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684,497,878,481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0.948</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299,092,000,000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251,503,203,972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742,886,859,560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0.741</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55</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SCCO</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2,158,625,700,000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457,937,096,534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3,740,287,399,660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0.700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2,138,067,360,000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287,129,440,938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4,696,875,916,384</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0.516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1,778,296,410,000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397,471,639,920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5,128,133,329,237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0.424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1,685,783,880,000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392,506,174,822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5,329,800,918,271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0.390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MARK</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3,990,000,325,500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310,254,413,728</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719,726,855,599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5.975</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4,598,000,375,100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334,818,456,747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1,078,458,868,349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4.574</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4,047,000,330,150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161,587,275,147</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1,005,368,365,991</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4.186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2,432,000,198,400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111,449,183,332</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951,550,724,256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2.673</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CAKK</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64,978,211,826</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126,647,643,816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354,695,318,657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0.540</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117,923,421,462</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198,462,402,663</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441,223,941,897</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0.717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243,066,644,238</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195,448,110,526</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447,970,072,779</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0.979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222,610,540,515</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265,347,844,044</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466,022,798,636</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1.047</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58</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CCSI</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2020</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242,000,000,000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161,596,052,000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500,778,546,000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0.806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2021</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869,999,998,550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159,131,850,000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523,443,664,000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1.966</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2022</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833,999,998,610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358,189,369,000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795,180,378,000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1.499</w:t>
            </w:r>
          </w:p>
        </w:tc>
      </w:tr>
      <w:tr>
        <w:tblPrEx/>
        <w:trPr>
          <w:trHeight w:val="290" w:hRule="atLeast"/>
        </w:trPr>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2023</w:t>
            </w:r>
          </w:p>
        </w:tc>
        <w:tc>
          <w:tcPr>
            <w:tcW w:w="0" w:type="auto"/>
            <w:tcBorders/>
            <w:noWrap/>
            <w:vAlign w:val="center"/>
            <w:hideMark/>
          </w:tcPr>
          <w:p>
            <w:pPr>
              <w:pStyle w:val="style0"/>
              <w:tabs>
                <w:tab w:val="left" w:leader="none" w:pos="720"/>
              </w:tabs>
              <w:ind w:left="-77" w:right="-59"/>
              <w:jc w:val="center"/>
              <w:rPr>
                <w:rFonts w:cs="Times New Roman" w:eastAsia="宋体"/>
                <w:sz w:val="18"/>
                <w:szCs w:val="18"/>
              </w:rPr>
            </w:pPr>
            <w:r>
              <w:rPr>
                <w:rFonts w:cs="Times New Roman" w:eastAsia="宋体"/>
                <w:sz w:val="18"/>
                <w:szCs w:val="18"/>
              </w:rPr>
              <w:t>563,999,999,060</w:t>
            </w:r>
          </w:p>
        </w:tc>
        <w:tc>
          <w:tcPr>
            <w:tcW w:w="0" w:type="auto"/>
            <w:tcBorders/>
            <w:noWrap/>
            <w:vAlign w:val="center"/>
            <w:hideMark/>
          </w:tcPr>
          <w:p>
            <w:pPr>
              <w:pStyle w:val="style0"/>
              <w:tabs>
                <w:tab w:val="left" w:leader="none" w:pos="720"/>
              </w:tabs>
              <w:ind w:right="-63"/>
              <w:jc w:val="center"/>
              <w:rPr>
                <w:rFonts w:cs="Times New Roman" w:eastAsia="宋体"/>
                <w:sz w:val="18"/>
                <w:szCs w:val="18"/>
              </w:rPr>
            </w:pPr>
            <w:r>
              <w:rPr>
                <w:rFonts w:cs="Times New Roman" w:eastAsia="宋体"/>
                <w:sz w:val="18"/>
                <w:szCs w:val="18"/>
              </w:rPr>
              <w:t>342,720,672,000</w:t>
            </w:r>
          </w:p>
        </w:tc>
        <w:tc>
          <w:tcPr>
            <w:tcW w:w="0" w:type="auto"/>
            <w:tcBorders/>
            <w:noWrap/>
            <w:vAlign w:val="center"/>
            <w:hideMark/>
          </w:tcPr>
          <w:p>
            <w:pPr>
              <w:pStyle w:val="style0"/>
              <w:tabs>
                <w:tab w:val="left" w:leader="none" w:pos="720"/>
              </w:tabs>
              <w:ind w:right="-71"/>
              <w:jc w:val="center"/>
              <w:rPr>
                <w:rFonts w:cs="Times New Roman" w:eastAsia="宋体"/>
                <w:sz w:val="18"/>
                <w:szCs w:val="18"/>
              </w:rPr>
            </w:pPr>
            <w:r>
              <w:rPr>
                <w:rFonts w:cs="Times New Roman" w:eastAsia="宋体"/>
                <w:sz w:val="18"/>
                <w:szCs w:val="18"/>
              </w:rPr>
              <w:t>751,953,677,000</w:t>
            </w:r>
          </w:p>
        </w:tc>
        <w:tc>
          <w:tcPr>
            <w:tcW w:w="0" w:type="auto"/>
            <w:tcBorders/>
            <w:noWrap/>
            <w:vAlign w:val="center"/>
            <w:hideMark/>
          </w:tcPr>
          <w:p>
            <w:pPr>
              <w:pStyle w:val="style0"/>
              <w:tabs>
                <w:tab w:val="left" w:leader="none" w:pos="720"/>
              </w:tabs>
              <w:jc w:val="center"/>
              <w:rPr>
                <w:rFonts w:cs="Times New Roman" w:eastAsia="宋体"/>
                <w:sz w:val="18"/>
                <w:szCs w:val="18"/>
              </w:rPr>
            </w:pPr>
            <w:r>
              <w:rPr>
                <w:rFonts w:cs="Times New Roman" w:eastAsia="宋体"/>
                <w:sz w:val="18"/>
                <w:szCs w:val="18"/>
              </w:rPr>
              <w:t>1.206</w:t>
            </w:r>
          </w:p>
        </w:tc>
      </w:tr>
      <w:bookmarkStart w:id="129" w:name="_Toc216242930"/>
    </w:tbl>
    <w:p>
      <w:pPr>
        <w:pStyle w:val="style34"/>
        <w:spacing w:before="240"/>
        <w:rPr/>
      </w:pPr>
    </w:p>
    <w:bookmarkStart w:id="130" w:name="_Toc224085872"/>
    <w:p>
      <w:pPr>
        <w:pStyle w:val="style34"/>
        <w:spacing w:before="240" w:after="0"/>
        <w:rPr/>
      </w:pPr>
      <w:r>
        <w:t xml:space="preserve">Lampiran </w:t>
      </w:r>
      <w:r>
        <w:rPr/>
        <w:fldChar w:fldCharType="begin"/>
      </w:r>
      <w:r>
        <w:instrText xml:space="preserve"> SEQ Lampiran \* ARABIC </w:instrText>
      </w:r>
      <w:r>
        <w:rPr/>
        <w:fldChar w:fldCharType="separate"/>
      </w:r>
      <w:r>
        <w:rPr>
          <w:noProof/>
        </w:rPr>
        <w:t>5</w:t>
      </w:r>
      <w:r>
        <w:rPr/>
        <w:fldChar w:fldCharType="end"/>
      </w:r>
      <w:r>
        <w:t xml:space="preserve">: </w:t>
      </w:r>
      <w:r>
        <w:t>Hasil Pen</w:t>
      </w:r>
      <w:r>
        <w:t>gujian Analisis Data Output SPSS Versi 30</w:t>
      </w:r>
      <w:bookmarkEnd w:id="129"/>
      <w:bookmarkEnd w:id="130"/>
    </w:p>
    <w:p>
      <w:pPr>
        <w:pStyle w:val="style4152"/>
        <w:spacing w:before="0" w:after="0"/>
        <w:rPr>
          <w:b/>
          <w:bCs w:val="false"/>
          <w:i w:val="false"/>
          <w:iCs/>
        </w:rPr>
      </w:pPr>
      <w:r>
        <w:rPr>
          <w:b/>
          <w:bCs w:val="false"/>
          <w:i w:val="false"/>
          <w:iCs/>
        </w:rPr>
        <w:t>1. Analisis Statistik Deskriptif</w:t>
      </w:r>
    </w:p>
    <w:tbl>
      <w:tblPr>
        <w:tblStyle w:val="style154"/>
        <w:tblW w:w="8005" w:type="dxa"/>
        <w:tblLook w:val="04A0" w:firstRow="1" w:lastRow="0" w:firstColumn="1" w:lastColumn="0" w:noHBand="0" w:noVBand="1"/>
      </w:tblPr>
      <w:tblGrid>
        <w:gridCol w:w="2605"/>
        <w:gridCol w:w="630"/>
        <w:gridCol w:w="1170"/>
        <w:gridCol w:w="1170"/>
        <w:gridCol w:w="900"/>
        <w:gridCol w:w="1530"/>
      </w:tblGrid>
      <w:tr>
        <w:trPr>
          <w:trHeight w:val="269" w:hRule="atLeast"/>
        </w:trPr>
        <w:tc>
          <w:tcPr>
            <w:tcW w:w="8005" w:type="dxa"/>
            <w:gridSpan w:val="6"/>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Descriptive Statistics</w:t>
            </w:r>
          </w:p>
        </w:tc>
      </w:tr>
      <w:tr>
        <w:tblPrEx/>
        <w:trPr>
          <w:trHeight w:val="260" w:hRule="atLeast"/>
        </w:trPr>
        <w:tc>
          <w:tcPr>
            <w:tcW w:w="26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Variabel</w:t>
            </w:r>
          </w:p>
        </w:tc>
        <w:tc>
          <w:tcPr>
            <w:tcW w:w="63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N</w:t>
            </w:r>
          </w:p>
        </w:tc>
        <w:tc>
          <w:tcPr>
            <w:tcW w:w="117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Minimum</w:t>
            </w:r>
          </w:p>
        </w:tc>
        <w:tc>
          <w:tcPr>
            <w:tcW w:w="117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Maximum</w:t>
            </w:r>
          </w:p>
        </w:tc>
        <w:tc>
          <w:tcPr>
            <w:tcW w:w="90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Mean</w:t>
            </w:r>
          </w:p>
        </w:tc>
        <w:tc>
          <w:tcPr>
            <w:tcW w:w="153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Std. Deviation</w:t>
            </w:r>
          </w:p>
        </w:tc>
      </w:tr>
      <w:tr>
        <w:tblPrEx/>
        <w:trPr>
          <w:trHeight w:val="233" w:hRule="atLeast"/>
        </w:trPr>
        <w:tc>
          <w:tcPr>
            <w:tcW w:w="26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xml:space="preserve">Firm Value </w:t>
            </w:r>
          </w:p>
        </w:tc>
        <w:tc>
          <w:tcPr>
            <w:tcW w:w="63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0.341</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14.415</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1.524</w:t>
            </w:r>
          </w:p>
        </w:tc>
        <w:tc>
          <w:tcPr>
            <w:tcW w:w="153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1.587</w:t>
            </w:r>
          </w:p>
        </w:tc>
      </w:tr>
      <w:tr>
        <w:tblPrEx/>
        <w:trPr>
          <w:trHeight w:val="215" w:hRule="atLeast"/>
        </w:trPr>
        <w:tc>
          <w:tcPr>
            <w:tcW w:w="26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xml:space="preserve">Enterprise Risk Management </w:t>
            </w:r>
          </w:p>
        </w:tc>
        <w:tc>
          <w:tcPr>
            <w:tcW w:w="63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0.250</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1.000</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0.594</w:t>
            </w:r>
          </w:p>
        </w:tc>
        <w:tc>
          <w:tcPr>
            <w:tcW w:w="153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0.165</w:t>
            </w:r>
          </w:p>
        </w:tc>
      </w:tr>
      <w:tr>
        <w:tblPrEx/>
        <w:trPr>
          <w:trHeight w:val="170" w:hRule="atLeast"/>
        </w:trPr>
        <w:tc>
          <w:tcPr>
            <w:tcW w:w="26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xml:space="preserve">Managerial Ownership </w:t>
            </w:r>
          </w:p>
        </w:tc>
        <w:tc>
          <w:tcPr>
            <w:tcW w:w="63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0.649</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0.102</w:t>
            </w:r>
          </w:p>
        </w:tc>
        <w:tc>
          <w:tcPr>
            <w:tcW w:w="153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0.145</w:t>
            </w:r>
          </w:p>
        </w:tc>
      </w:tr>
      <w:tr>
        <w:tblPrEx/>
        <w:trPr>
          <w:trHeight w:val="197" w:hRule="atLeast"/>
        </w:trPr>
        <w:tc>
          <w:tcPr>
            <w:tcW w:w="26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xml:space="preserve">Institutional Ownership </w:t>
            </w:r>
          </w:p>
        </w:tc>
        <w:tc>
          <w:tcPr>
            <w:tcW w:w="63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c>
          <w:tcPr>
            <w:tcW w:w="117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1.563</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0.653</w:t>
            </w:r>
          </w:p>
        </w:tc>
        <w:tc>
          <w:tcPr>
            <w:tcW w:w="153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0.277</w:t>
            </w:r>
          </w:p>
        </w:tc>
      </w:tr>
      <w:tr>
        <w:tblPrEx/>
        <w:trPr>
          <w:trHeight w:val="197" w:hRule="atLeast"/>
        </w:trPr>
        <w:tc>
          <w:tcPr>
            <w:tcW w:w="2605"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Valid N (listwise)</w:t>
            </w:r>
          </w:p>
        </w:tc>
        <w:tc>
          <w:tcPr>
            <w:tcW w:w="63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c>
          <w:tcPr>
            <w:tcW w:w="1170" w:type="dxa"/>
            <w:tcBorders/>
            <w:hideMark/>
          </w:tcPr>
          <w:p>
            <w:pPr>
              <w:pStyle w:val="style0"/>
              <w:jc w:val="center"/>
              <w:rPr>
                <w:rFonts w:cs="Times New Roman" w:eastAsia="Times New Roman"/>
                <w:kern w:val="0"/>
                <w:sz w:val="20"/>
                <w:szCs w:val="20"/>
                <w14:ligatures xmlns:w14="http://schemas.microsoft.com/office/word/2010/wordml" w14:val="none"/>
              </w:rPr>
            </w:pPr>
          </w:p>
        </w:tc>
        <w:tc>
          <w:tcPr>
            <w:tcW w:w="1170" w:type="dxa"/>
            <w:tcBorders/>
            <w:hideMark/>
          </w:tcPr>
          <w:p>
            <w:pPr>
              <w:pStyle w:val="style0"/>
              <w:jc w:val="center"/>
              <w:rPr>
                <w:rFonts w:cs="Times New Roman" w:eastAsia="Times New Roman"/>
                <w:kern w:val="0"/>
                <w:sz w:val="20"/>
                <w:szCs w:val="20"/>
                <w14:ligatures xmlns:w14="http://schemas.microsoft.com/office/word/2010/wordml" w14:val="none"/>
              </w:rPr>
            </w:pPr>
          </w:p>
        </w:tc>
        <w:tc>
          <w:tcPr>
            <w:tcW w:w="900" w:type="dxa"/>
            <w:tcBorders/>
            <w:hideMark/>
          </w:tcPr>
          <w:p>
            <w:pPr>
              <w:pStyle w:val="style0"/>
              <w:jc w:val="center"/>
              <w:rPr>
                <w:rFonts w:cs="Times New Roman" w:eastAsia="Times New Roman"/>
                <w:kern w:val="0"/>
                <w:sz w:val="20"/>
                <w:szCs w:val="20"/>
                <w14:ligatures xmlns:w14="http://schemas.microsoft.com/office/word/2010/wordml" w14:val="none"/>
              </w:rPr>
            </w:pPr>
          </w:p>
        </w:tc>
        <w:tc>
          <w:tcPr>
            <w:tcW w:w="1530" w:type="dxa"/>
            <w:tcBorders/>
            <w:hideMark/>
          </w:tcPr>
          <w:p>
            <w:pPr>
              <w:pStyle w:val="style0"/>
              <w:jc w:val="center"/>
              <w:rPr>
                <w:rFonts w:cs="Times New Roman" w:eastAsia="Times New Roman"/>
                <w:kern w:val="0"/>
                <w:sz w:val="20"/>
                <w:szCs w:val="20"/>
                <w14:ligatures xmlns:w14="http://schemas.microsoft.com/office/word/2010/wordml" w14:val="none"/>
              </w:rPr>
            </w:pPr>
          </w:p>
        </w:tc>
      </w:tr>
    </w:tbl>
    <w:p>
      <w:pPr>
        <w:pStyle w:val="style0"/>
        <w:tabs>
          <w:tab w:val="left" w:leader="none" w:pos="360"/>
        </w:tabs>
        <w:spacing w:before="240" w:after="0" w:lineRule="auto" w:line="240"/>
        <w:rPr>
          <w:rFonts w:cs="Times New Roman" w:eastAsia="宋体"/>
          <w:b/>
          <w:bCs/>
          <w:szCs w:val="24"/>
        </w:rPr>
      </w:pPr>
      <w:r>
        <w:rPr>
          <w:rFonts w:cs="Times New Roman" w:eastAsia="宋体"/>
          <w:b/>
          <w:bCs/>
          <w:szCs w:val="24"/>
        </w:rPr>
        <w:t xml:space="preserve">2. </w:t>
      </w:r>
      <w:r>
        <w:rPr>
          <w:rFonts w:cs="Times New Roman" w:eastAsia="宋体"/>
          <w:b/>
          <w:bCs/>
          <w:szCs w:val="24"/>
        </w:rPr>
        <w:tab/>
      </w:r>
      <w:r>
        <w:rPr>
          <w:rFonts w:cs="Times New Roman" w:eastAsia="宋体"/>
          <w:b/>
          <w:bCs/>
          <w:szCs w:val="24"/>
        </w:rPr>
        <w:t>Uji Asumsi Klasik</w:t>
      </w:r>
    </w:p>
    <w:p>
      <w:pPr>
        <w:pStyle w:val="style0"/>
        <w:tabs>
          <w:tab w:val="left" w:leader="none" w:pos="720"/>
        </w:tabs>
        <w:spacing w:after="0" w:lineRule="auto" w:line="240"/>
        <w:ind w:left="360"/>
        <w:rPr>
          <w:rFonts w:cs="Times New Roman" w:eastAsia="宋体"/>
          <w:b/>
          <w:bCs/>
          <w:sz w:val="22"/>
        </w:rPr>
      </w:pPr>
      <w:r>
        <w:rPr>
          <w:rFonts w:cs="Times New Roman" w:eastAsia="宋体"/>
          <w:b/>
          <w:bCs/>
          <w:szCs w:val="24"/>
        </w:rPr>
        <w:t>a. Uji Normalitas</w:t>
      </w:r>
    </w:p>
    <w:tbl>
      <w:tblPr>
        <w:tblStyle w:val="style154"/>
        <w:tblW w:w="8005" w:type="dxa"/>
        <w:tblLook w:val="04A0" w:firstRow="1" w:lastRow="0" w:firstColumn="1" w:lastColumn="0" w:noHBand="0" w:noVBand="1"/>
      </w:tblPr>
      <w:tblGrid>
        <w:gridCol w:w="2423"/>
        <w:gridCol w:w="1979"/>
        <w:gridCol w:w="1259"/>
        <w:gridCol w:w="2344"/>
      </w:tblGrid>
      <w:tr>
        <w:trPr>
          <w:trHeight w:val="332" w:hRule="atLeast"/>
        </w:trPr>
        <w:tc>
          <w:tcPr>
            <w:tcW w:w="5661" w:type="dxa"/>
            <w:gridSpan w:val="3"/>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w:t>
            </w:r>
          </w:p>
        </w:tc>
        <w:tc>
          <w:tcPr>
            <w:tcW w:w="2344" w:type="dxa"/>
            <w:tcBorders/>
            <w:hideMark/>
          </w:tcPr>
          <w:p>
            <w:pPr>
              <w:pStyle w:val="style0"/>
              <w:ind w:left="-100" w:right="-93"/>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Unstandardized Residual</w:t>
            </w:r>
          </w:p>
        </w:tc>
      </w:tr>
      <w:tr>
        <w:tblPrEx/>
        <w:trPr>
          <w:trHeight w:val="310" w:hRule="atLeast"/>
        </w:trPr>
        <w:tc>
          <w:tcPr>
            <w:tcW w:w="5661" w:type="dxa"/>
            <w:gridSpan w:val="3"/>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N</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232</w:t>
            </w:r>
          </w:p>
        </w:tc>
      </w:tr>
      <w:tr>
        <w:tblPrEx/>
        <w:trPr>
          <w:trHeight w:val="197" w:hRule="atLeast"/>
        </w:trPr>
        <w:tc>
          <w:tcPr>
            <w:tcW w:w="2425" w:type="dxa"/>
            <w:vMerge w:val="restart"/>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Normal Parameters</w:t>
            </w:r>
            <w:r>
              <w:rPr>
                <w:rFonts w:cs="Times New Roman" w:eastAsia="Times New Roman"/>
                <w:kern w:val="0"/>
                <w:sz w:val="20"/>
                <w:szCs w:val="20"/>
                <w:vertAlign w:val="superscript"/>
                <w14:ligatures xmlns:w14="http://schemas.microsoft.com/office/word/2010/wordml" w14:val="none"/>
              </w:rPr>
              <w:t>a,b</w:t>
            </w: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Mean</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r>
      <w:tr>
        <w:tblPrEx/>
        <w:trPr>
          <w:trHeight w:val="224" w:hRule="atLeast"/>
        </w:trPr>
        <w:tc>
          <w:tcPr>
            <w:tcW w:w="242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Std. Deviation</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0.965</w:t>
            </w:r>
          </w:p>
        </w:tc>
      </w:tr>
      <w:tr>
        <w:tblPrEx/>
        <w:trPr>
          <w:trHeight w:val="251" w:hRule="atLeast"/>
        </w:trPr>
        <w:tc>
          <w:tcPr>
            <w:tcW w:w="2425" w:type="dxa"/>
            <w:vMerge w:val="restart"/>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Most Extreme Differences</w:t>
            </w: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Absolute</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0.055</w:t>
            </w:r>
          </w:p>
        </w:tc>
      </w:tr>
      <w:tr>
        <w:tblPrEx/>
        <w:trPr>
          <w:trHeight w:val="80" w:hRule="atLeast"/>
        </w:trPr>
        <w:tc>
          <w:tcPr>
            <w:tcW w:w="242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Positive</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0.055</w:t>
            </w:r>
          </w:p>
        </w:tc>
      </w:tr>
      <w:tr>
        <w:tblPrEx/>
        <w:trPr>
          <w:trHeight w:val="116" w:hRule="atLeast"/>
        </w:trPr>
        <w:tc>
          <w:tcPr>
            <w:tcW w:w="242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Negative</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-0.035</w:t>
            </w:r>
          </w:p>
        </w:tc>
      </w:tr>
      <w:tr>
        <w:tblPrEx/>
        <w:trPr>
          <w:trHeight w:val="310" w:hRule="atLeast"/>
        </w:trPr>
        <w:tc>
          <w:tcPr>
            <w:tcW w:w="5661" w:type="dxa"/>
            <w:gridSpan w:val="3"/>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Test Statistic</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0.055</w:t>
            </w:r>
          </w:p>
        </w:tc>
      </w:tr>
      <w:tr>
        <w:tblPrEx/>
        <w:trPr>
          <w:trHeight w:val="310" w:hRule="atLeast"/>
        </w:trPr>
        <w:tc>
          <w:tcPr>
            <w:tcW w:w="5661" w:type="dxa"/>
            <w:gridSpan w:val="3"/>
            <w:tcBorders>
              <w:bottom w:val="single" w:sz="4" w:space="0" w:color="auto"/>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Asymp. Sig. (2-tailed)</w:t>
            </w:r>
            <w:r>
              <w:rPr>
                <w:rFonts w:cs="Times New Roman" w:eastAsia="Times New Roman"/>
                <w:kern w:val="0"/>
                <w:sz w:val="20"/>
                <w:szCs w:val="20"/>
                <w:vertAlign w:val="superscript"/>
                <w14:ligatures xmlns:w14="http://schemas.microsoft.com/office/word/2010/wordml" w14:val="none"/>
              </w:rPr>
              <w:t>c</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0.091</w:t>
            </w:r>
          </w:p>
        </w:tc>
      </w:tr>
      <w:tr>
        <w:tblPrEx/>
        <w:trPr>
          <w:trHeight w:val="310" w:hRule="atLeast"/>
        </w:trPr>
        <w:tc>
          <w:tcPr>
            <w:tcW w:w="2425" w:type="dxa"/>
            <w:vMerge w:val="restart"/>
            <w:tcBorders/>
            <w:hideMark/>
          </w:tcPr>
          <w:p>
            <w:pPr>
              <w:pStyle w:val="style0"/>
              <w:ind w:right="-106"/>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Monte Carlo Sig. (2-tailed)</w:t>
            </w:r>
            <w:r>
              <w:rPr>
                <w:rFonts w:cs="Times New Roman" w:eastAsia="Times New Roman"/>
                <w:kern w:val="0"/>
                <w:sz w:val="20"/>
                <w:szCs w:val="20"/>
                <w:vertAlign w:val="superscript"/>
                <w14:ligatures xmlns:w14="http://schemas.microsoft.com/office/word/2010/wordml" w14:val="none"/>
              </w:rPr>
              <w:t>d</w:t>
            </w:r>
          </w:p>
        </w:tc>
        <w:tc>
          <w:tcPr>
            <w:tcW w:w="3236" w:type="dxa"/>
            <w:gridSpan w:val="2"/>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Sig.</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0.095</w:t>
            </w:r>
          </w:p>
        </w:tc>
      </w:tr>
      <w:tr>
        <w:tblPrEx/>
        <w:trPr>
          <w:trHeight w:val="251" w:hRule="atLeast"/>
        </w:trPr>
        <w:tc>
          <w:tcPr>
            <w:tcW w:w="2425" w:type="dxa"/>
            <w:vMerge w:val="continue"/>
            <w:tcBorders>
              <w:right w:val="single" w:sz="4" w:space="0" w:color="auto"/>
            </w:tcBorders>
            <w:hideMark/>
          </w:tcPr>
          <w:p>
            <w:pPr>
              <w:pStyle w:val="style0"/>
              <w:rPr>
                <w:rFonts w:cs="Times New Roman" w:eastAsia="Times New Roman"/>
                <w:kern w:val="0"/>
                <w:sz w:val="20"/>
                <w:szCs w:val="20"/>
                <w14:ligatures xmlns:w14="http://schemas.microsoft.com/office/word/2010/wordml" w14:val="none"/>
              </w:rPr>
            </w:pPr>
          </w:p>
        </w:tc>
        <w:tc>
          <w:tcPr>
            <w:tcW w:w="1976" w:type="dxa"/>
            <w:tcBorders>
              <w:top w:val="nil"/>
              <w:left w:val="single" w:sz="4" w:space="0" w:color="auto"/>
              <w:bottom w:val="nil"/>
              <w:right w:val="single" w:sz="4" w:space="0" w:color="auto"/>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 xml:space="preserve">99% Confidence </w:t>
            </w:r>
          </w:p>
        </w:tc>
        <w:tc>
          <w:tcPr>
            <w:tcW w:w="1260" w:type="dxa"/>
            <w:tcBorders>
              <w:left w:val="single" w:sz="4" w:space="0" w:color="auto"/>
            </w:tcBorders>
            <w:hideMark/>
          </w:tcPr>
          <w:p>
            <w:pPr>
              <w:pStyle w:val="style0"/>
              <w:ind w:left="-15" w:right="-116"/>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Lower Bound</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0.088</w:t>
            </w:r>
          </w:p>
        </w:tc>
      </w:tr>
      <w:tr>
        <w:tblPrEx/>
        <w:trPr>
          <w:trHeight w:val="188" w:hRule="atLeast"/>
        </w:trPr>
        <w:tc>
          <w:tcPr>
            <w:tcW w:w="2425" w:type="dxa"/>
            <w:vMerge w:val="continue"/>
            <w:tcBorders/>
            <w:hideMark/>
          </w:tcPr>
          <w:p>
            <w:pPr>
              <w:pStyle w:val="style0"/>
              <w:rPr>
                <w:rFonts w:cs="Times New Roman" w:eastAsia="Times New Roman"/>
                <w:kern w:val="0"/>
                <w:sz w:val="20"/>
                <w:szCs w:val="20"/>
                <w14:ligatures xmlns:w14="http://schemas.microsoft.com/office/word/2010/wordml" w14:val="none"/>
              </w:rPr>
            </w:pPr>
          </w:p>
        </w:tc>
        <w:tc>
          <w:tcPr>
            <w:tcW w:w="1980" w:type="dxa"/>
            <w:tcBorders>
              <w:top w:val="nil"/>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Interval</w:t>
            </w:r>
          </w:p>
        </w:tc>
        <w:tc>
          <w:tcPr>
            <w:tcW w:w="1256" w:type="dxa"/>
            <w:tcBorders/>
            <w:hideMark/>
          </w:tcPr>
          <w:p>
            <w:pPr>
              <w:pStyle w:val="style0"/>
              <w:ind w:left="-15" w:right="-116"/>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Upper Bound</w:t>
            </w:r>
          </w:p>
        </w:tc>
        <w:tc>
          <w:tcPr>
            <w:tcW w:w="2344"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0.103</w:t>
            </w:r>
          </w:p>
        </w:tc>
      </w:tr>
    </w:tbl>
    <w:p>
      <w:pPr>
        <w:pStyle w:val="style0"/>
        <w:tabs>
          <w:tab w:val="left" w:leader="none" w:pos="720"/>
        </w:tabs>
        <w:spacing w:before="240" w:after="0" w:lineRule="auto" w:line="240"/>
        <w:ind w:left="360"/>
        <w:rPr>
          <w:rFonts w:cs="Times New Roman" w:eastAsia="宋体"/>
          <w:b/>
          <w:bCs/>
          <w:szCs w:val="24"/>
        </w:rPr>
      </w:pPr>
      <w:r>
        <w:rPr>
          <w:rFonts w:cs="Times New Roman" w:eastAsia="宋体"/>
          <w:b/>
          <w:bCs/>
          <w:szCs w:val="24"/>
        </w:rPr>
        <w:t>b. Uji Multikolinearitas</w:t>
      </w:r>
    </w:p>
    <w:tbl>
      <w:tblPr>
        <w:tblStyle w:val="style154"/>
        <w:tblW w:w="0" w:type="auto"/>
        <w:tblLook w:val="04A0" w:firstRow="1" w:lastRow="0" w:firstColumn="1" w:lastColumn="0" w:noHBand="0" w:noVBand="1"/>
      </w:tblPr>
      <w:tblGrid>
        <w:gridCol w:w="324"/>
        <w:gridCol w:w="1545"/>
        <w:gridCol w:w="810"/>
        <w:gridCol w:w="900"/>
        <w:gridCol w:w="1224"/>
        <w:gridCol w:w="756"/>
        <w:gridCol w:w="666"/>
        <w:gridCol w:w="1016"/>
        <w:gridCol w:w="686"/>
      </w:tblGrid>
      <w:tr>
        <w:trPr>
          <w:trHeight w:val="249" w:hRule="atLeast"/>
        </w:trPr>
        <w:tc>
          <w:tcPr>
            <w:tcW w:w="7927" w:type="dxa"/>
            <w:gridSpan w:val="9"/>
            <w:tcBorders/>
            <w:hideMark/>
          </w:tcPr>
          <w:p>
            <w:pPr>
              <w:pStyle w:val="style0"/>
              <w:jc w:val="center"/>
              <w:rPr>
                <w:rFonts w:cs="Times New Roman" w:eastAsia="Times New Roman"/>
                <w:b/>
                <w:bCs/>
                <w:kern w:val="0"/>
                <w:sz w:val="20"/>
                <w:szCs w:val="20"/>
                <w14:ligatures xmlns:w14="http://schemas.microsoft.com/office/word/2010/wordml" w14:val="none"/>
              </w:rPr>
            </w:pPr>
            <w:r>
              <w:rPr>
                <w:rFonts w:cs="Times New Roman" w:eastAsia="Times New Roman"/>
                <w:b/>
                <w:bCs/>
                <w:kern w:val="0"/>
                <w:sz w:val="20"/>
                <w:szCs w:val="20"/>
                <w14:ligatures xmlns:w14="http://schemas.microsoft.com/office/word/2010/wordml" w14:val="none"/>
              </w:rPr>
              <w:t>Coefficients</w:t>
            </w:r>
            <w:r>
              <w:rPr>
                <w:rFonts w:cs="Times New Roman" w:eastAsia="Times New Roman"/>
                <w:b/>
                <w:bCs/>
                <w:kern w:val="0"/>
                <w:sz w:val="20"/>
                <w:szCs w:val="20"/>
                <w:vertAlign w:val="superscript"/>
                <w14:ligatures xmlns:w14="http://schemas.microsoft.com/office/word/2010/wordml" w14:val="none"/>
              </w:rPr>
              <w:t>a</w:t>
            </w:r>
          </w:p>
        </w:tc>
      </w:tr>
      <w:tr>
        <w:tblPrEx/>
        <w:trPr>
          <w:trHeight w:val="441" w:hRule="atLeast"/>
        </w:trPr>
        <w:tc>
          <w:tcPr>
            <w:tcW w:w="1885" w:type="dxa"/>
            <w:gridSpan w:val="2"/>
            <w:vMerge w:val="restart"/>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Model</w:t>
            </w:r>
          </w:p>
        </w:tc>
        <w:tc>
          <w:tcPr>
            <w:tcW w:w="1710" w:type="dxa"/>
            <w:gridSpan w:val="2"/>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Unstandardized Coefficients</w:t>
            </w:r>
          </w:p>
        </w:tc>
        <w:tc>
          <w:tcPr>
            <w:tcW w:w="1224" w:type="dxa"/>
            <w:tcBorders/>
            <w:hideMark/>
          </w:tcPr>
          <w:p>
            <w:pPr>
              <w:pStyle w:val="style0"/>
              <w:ind w:left="-105" w:right="-114"/>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Standardized Coefficients</w:t>
            </w:r>
          </w:p>
        </w:tc>
        <w:tc>
          <w:tcPr>
            <w:tcW w:w="756" w:type="dxa"/>
            <w:vMerge w:val="restart"/>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t</w:t>
            </w:r>
          </w:p>
        </w:tc>
        <w:tc>
          <w:tcPr>
            <w:tcW w:w="650" w:type="dxa"/>
            <w:vMerge w:val="restart"/>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Sig.</w:t>
            </w:r>
          </w:p>
        </w:tc>
        <w:tc>
          <w:tcPr>
            <w:tcW w:w="1702" w:type="dxa"/>
            <w:gridSpan w:val="2"/>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Collinearity Statistics</w:t>
            </w:r>
          </w:p>
        </w:tc>
      </w:tr>
      <w:tr>
        <w:tblPrEx/>
        <w:trPr>
          <w:trHeight w:val="188" w:hRule="atLeast"/>
        </w:trPr>
        <w:tc>
          <w:tcPr>
            <w:tcW w:w="1885" w:type="dxa"/>
            <w:gridSpan w:val="2"/>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81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B</w:t>
            </w:r>
          </w:p>
        </w:tc>
        <w:tc>
          <w:tcPr>
            <w:tcW w:w="90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Std. Error</w:t>
            </w:r>
          </w:p>
        </w:tc>
        <w:tc>
          <w:tcPr>
            <w:tcW w:w="1224"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Beta</w:t>
            </w:r>
          </w:p>
        </w:tc>
        <w:tc>
          <w:tcPr>
            <w:tcW w:w="756" w:type="dxa"/>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650" w:type="dxa"/>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1016" w:type="dxa"/>
            <w:tcBorders/>
            <w:hideMark/>
          </w:tcPr>
          <w:p>
            <w:pPr>
              <w:pStyle w:val="style0"/>
              <w:ind w:right="-85"/>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Tolerance</w:t>
            </w:r>
          </w:p>
        </w:tc>
        <w:tc>
          <w:tcPr>
            <w:tcW w:w="686"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VIF</w:t>
            </w:r>
          </w:p>
        </w:tc>
      </w:tr>
      <w:tr>
        <w:tblPrEx/>
        <w:trPr>
          <w:trHeight w:val="152" w:hRule="atLeast"/>
        </w:trPr>
        <w:tc>
          <w:tcPr>
            <w:tcW w:w="324" w:type="dxa"/>
            <w:vMerge w:val="restart"/>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w:t>
            </w:r>
          </w:p>
        </w:tc>
        <w:tc>
          <w:tcPr>
            <w:tcW w:w="1561"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(Constant)</w:t>
            </w:r>
          </w:p>
        </w:tc>
        <w:tc>
          <w:tcPr>
            <w:tcW w:w="81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0.000</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0.064</w:t>
            </w:r>
          </w:p>
        </w:tc>
        <w:tc>
          <w:tcPr>
            <w:tcW w:w="1224" w:type="dxa"/>
            <w:tcBorders/>
            <w:hideMark/>
          </w:tcPr>
          <w:p>
            <w:pPr>
              <w:pStyle w:val="style0"/>
              <w:jc w:val="center"/>
              <w:rPr>
                <w:rFonts w:cs="Times New Roman" w:eastAsia="Times New Roman"/>
                <w:kern w:val="0"/>
                <w:sz w:val="20"/>
                <w:szCs w:val="20"/>
                <w14:ligatures xmlns:w14="http://schemas.microsoft.com/office/word/2010/wordml" w14:val="none"/>
              </w:rPr>
            </w:pPr>
          </w:p>
        </w:tc>
        <w:tc>
          <w:tcPr>
            <w:tcW w:w="75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0.006</w:t>
            </w:r>
          </w:p>
        </w:tc>
        <w:tc>
          <w:tcPr>
            <w:tcW w:w="65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0.996</w:t>
            </w:r>
          </w:p>
        </w:tc>
        <w:tc>
          <w:tcPr>
            <w:tcW w:w="1016" w:type="dxa"/>
            <w:tcBorders/>
            <w:hideMark/>
          </w:tcPr>
          <w:p>
            <w:pPr>
              <w:pStyle w:val="style0"/>
              <w:jc w:val="center"/>
              <w:rPr>
                <w:rFonts w:cs="Times New Roman" w:eastAsia="Times New Roman"/>
                <w:kern w:val="0"/>
                <w:sz w:val="20"/>
                <w:szCs w:val="20"/>
                <w14:ligatures xmlns:w14="http://schemas.microsoft.com/office/word/2010/wordml" w14:val="none"/>
              </w:rPr>
            </w:pPr>
          </w:p>
        </w:tc>
        <w:tc>
          <w:tcPr>
            <w:tcW w:w="686" w:type="dxa"/>
            <w:tcBorders/>
            <w:hideMark/>
          </w:tcPr>
          <w:p>
            <w:pPr>
              <w:pStyle w:val="style0"/>
              <w:jc w:val="center"/>
              <w:rPr>
                <w:rFonts w:cs="Times New Roman" w:eastAsia="Times New Roman"/>
                <w:kern w:val="0"/>
                <w:sz w:val="20"/>
                <w:szCs w:val="20"/>
                <w14:ligatures xmlns:w14="http://schemas.microsoft.com/office/word/2010/wordml" w14:val="none"/>
              </w:rPr>
            </w:pPr>
          </w:p>
        </w:tc>
      </w:tr>
      <w:tr>
        <w:tblPrEx/>
        <w:trPr>
          <w:trHeight w:val="461" w:hRule="atLeast"/>
        </w:trPr>
        <w:tc>
          <w:tcPr>
            <w:tcW w:w="324" w:type="dxa"/>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1561"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Enterprise Risk Management</w:t>
            </w:r>
          </w:p>
        </w:tc>
        <w:tc>
          <w:tcPr>
            <w:tcW w:w="81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0.121</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0.068</w:t>
            </w:r>
          </w:p>
        </w:tc>
        <w:tc>
          <w:tcPr>
            <w:tcW w:w="1224"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0.118</w:t>
            </w:r>
          </w:p>
        </w:tc>
        <w:tc>
          <w:tcPr>
            <w:tcW w:w="75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1.787</w:t>
            </w:r>
          </w:p>
        </w:tc>
        <w:tc>
          <w:tcPr>
            <w:tcW w:w="65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0.075</w:t>
            </w:r>
          </w:p>
        </w:tc>
        <w:tc>
          <w:tcPr>
            <w:tcW w:w="101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0.941</w:t>
            </w:r>
          </w:p>
        </w:tc>
        <w:tc>
          <w:tcPr>
            <w:tcW w:w="68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1.063</w:t>
            </w:r>
          </w:p>
        </w:tc>
      </w:tr>
      <w:tr>
        <w:tblPrEx/>
        <w:trPr>
          <w:trHeight w:val="467" w:hRule="atLeast"/>
        </w:trPr>
        <w:tc>
          <w:tcPr>
            <w:tcW w:w="324" w:type="dxa"/>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1561"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Managerial Ownership</w:t>
            </w:r>
          </w:p>
        </w:tc>
        <w:tc>
          <w:tcPr>
            <w:tcW w:w="81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-0.016</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0.082</w:t>
            </w:r>
          </w:p>
        </w:tc>
        <w:tc>
          <w:tcPr>
            <w:tcW w:w="1224"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-0.016</w:t>
            </w:r>
          </w:p>
        </w:tc>
        <w:tc>
          <w:tcPr>
            <w:tcW w:w="75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-0.200</w:t>
            </w:r>
          </w:p>
        </w:tc>
        <w:tc>
          <w:tcPr>
            <w:tcW w:w="65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0.842</w:t>
            </w:r>
          </w:p>
        </w:tc>
        <w:tc>
          <w:tcPr>
            <w:tcW w:w="101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0.681</w:t>
            </w:r>
          </w:p>
        </w:tc>
        <w:tc>
          <w:tcPr>
            <w:tcW w:w="68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1.469</w:t>
            </w:r>
          </w:p>
        </w:tc>
      </w:tr>
      <w:tr>
        <w:tblPrEx/>
        <w:trPr>
          <w:trHeight w:val="440" w:hRule="atLeast"/>
        </w:trPr>
        <w:tc>
          <w:tcPr>
            <w:tcW w:w="324" w:type="dxa"/>
            <w:vMerge w:val="continue"/>
            <w:tcBorders/>
            <w:hideMark/>
          </w:tcPr>
          <w:p>
            <w:pPr>
              <w:pStyle w:val="style0"/>
              <w:jc w:val="center"/>
              <w:rPr>
                <w:rFonts w:cs="Times New Roman" w:eastAsia="Times New Roman"/>
                <w:kern w:val="0"/>
                <w:sz w:val="20"/>
                <w:szCs w:val="20"/>
                <w14:ligatures xmlns:w14="http://schemas.microsoft.com/office/word/2010/wordml" w14:val="none"/>
              </w:rPr>
            </w:pPr>
          </w:p>
        </w:tc>
        <w:tc>
          <w:tcPr>
            <w:tcW w:w="1561"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Institutional Ownership</w:t>
            </w:r>
          </w:p>
        </w:tc>
        <w:tc>
          <w:tcPr>
            <w:tcW w:w="81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0.188</w:t>
            </w:r>
          </w:p>
        </w:tc>
        <w:tc>
          <w:tcPr>
            <w:tcW w:w="90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0.076</w:t>
            </w:r>
          </w:p>
        </w:tc>
        <w:tc>
          <w:tcPr>
            <w:tcW w:w="1224"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0.188</w:t>
            </w:r>
          </w:p>
        </w:tc>
        <w:tc>
          <w:tcPr>
            <w:tcW w:w="75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2.468</w:t>
            </w:r>
          </w:p>
        </w:tc>
        <w:tc>
          <w:tcPr>
            <w:tcW w:w="650"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0.014</w:t>
            </w:r>
          </w:p>
        </w:tc>
        <w:tc>
          <w:tcPr>
            <w:tcW w:w="101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0.715</w:t>
            </w:r>
          </w:p>
        </w:tc>
        <w:tc>
          <w:tcPr>
            <w:tcW w:w="686" w:type="dxa"/>
            <w:tcBorders/>
            <w:noWrap/>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1.399</w:t>
            </w:r>
          </w:p>
        </w:tc>
      </w:tr>
    </w:tbl>
    <w:p>
      <w:pPr>
        <w:pStyle w:val="style0"/>
        <w:tabs>
          <w:tab w:val="left" w:leader="none" w:pos="720"/>
        </w:tabs>
        <w:spacing w:before="240" w:after="0" w:lineRule="auto" w:line="240"/>
        <w:ind w:left="360"/>
        <w:rPr>
          <w:rFonts w:cs="Times New Roman" w:eastAsia="宋体"/>
          <w:b/>
          <w:bCs/>
          <w:szCs w:val="24"/>
        </w:rPr>
      </w:pPr>
      <w:r>
        <w:rPr>
          <w:rFonts w:cs="Times New Roman" w:eastAsia="宋体"/>
          <w:b/>
          <w:bCs/>
          <w:szCs w:val="24"/>
        </w:rPr>
        <w:t xml:space="preserve">c. Uji </w:t>
      </w:r>
      <w:r>
        <w:rPr>
          <w:rFonts w:cs="Times New Roman" w:eastAsia="宋体"/>
          <w:b/>
          <w:bCs/>
          <w:szCs w:val="24"/>
        </w:rPr>
        <w:t xml:space="preserve">Heteroskedastisitas </w:t>
      </w:r>
    </w:p>
    <w:tbl>
      <w:tblPr>
        <w:tblStyle w:val="style154"/>
        <w:tblW w:w="0" w:type="auto"/>
        <w:tblLayout w:type="fixed"/>
        <w:tblLook w:val="04A0" w:firstRow="1" w:lastRow="0" w:firstColumn="1" w:lastColumn="0" w:noHBand="0" w:noVBand="1"/>
      </w:tblPr>
      <w:tblGrid>
        <w:gridCol w:w="316"/>
        <w:gridCol w:w="2199"/>
        <w:gridCol w:w="810"/>
        <w:gridCol w:w="1260"/>
        <w:gridCol w:w="1824"/>
        <w:gridCol w:w="797"/>
        <w:gridCol w:w="721"/>
      </w:tblGrid>
      <w:tr>
        <w:trPr>
          <w:trHeight w:val="360" w:hRule="atLeast"/>
        </w:trPr>
        <w:tc>
          <w:tcPr>
            <w:tcW w:w="7927" w:type="dxa"/>
            <w:gridSpan w:val="7"/>
            <w:tcBorders/>
            <w:hideMark/>
          </w:tcPr>
          <w:p>
            <w:pPr>
              <w:pStyle w:val="style0"/>
              <w:jc w:val="center"/>
              <w:rPr>
                <w:rFonts w:cs="Times New Roman"/>
                <w:b/>
                <w:bCs/>
                <w:iCs/>
                <w:sz w:val="20"/>
                <w:szCs w:val="20"/>
              </w:rPr>
            </w:pPr>
            <w:r>
              <w:rPr>
                <w:rFonts w:cs="Times New Roman"/>
                <w:b/>
                <w:bCs/>
                <w:iCs/>
                <w:sz w:val="20"/>
                <w:szCs w:val="20"/>
              </w:rPr>
              <w:t>Coefficients</w:t>
            </w:r>
            <w:r>
              <w:rPr>
                <w:rFonts w:cs="Times New Roman"/>
                <w:b/>
                <w:bCs/>
                <w:iCs/>
                <w:sz w:val="20"/>
                <w:szCs w:val="20"/>
                <w:vertAlign w:val="superscript"/>
              </w:rPr>
              <w:t>a</w:t>
            </w:r>
          </w:p>
        </w:tc>
      </w:tr>
      <w:tr>
        <w:tblPrEx/>
        <w:trPr>
          <w:trHeight w:val="449" w:hRule="atLeast"/>
        </w:trPr>
        <w:tc>
          <w:tcPr>
            <w:tcW w:w="2515" w:type="dxa"/>
            <w:gridSpan w:val="2"/>
            <w:vMerge w:val="restart"/>
            <w:tcBorders/>
            <w:hideMark/>
          </w:tcPr>
          <w:p>
            <w:pPr>
              <w:pStyle w:val="style0"/>
              <w:jc w:val="both"/>
              <w:rPr>
                <w:rFonts w:cs="Times New Roman"/>
                <w:iCs/>
                <w:sz w:val="20"/>
                <w:szCs w:val="20"/>
              </w:rPr>
            </w:pPr>
            <w:r>
              <w:rPr>
                <w:rFonts w:cs="Times New Roman"/>
                <w:iCs/>
                <w:sz w:val="20"/>
                <w:szCs w:val="20"/>
              </w:rPr>
              <w:t>Model</w:t>
            </w:r>
          </w:p>
        </w:tc>
        <w:tc>
          <w:tcPr>
            <w:tcW w:w="2070" w:type="dxa"/>
            <w:gridSpan w:val="2"/>
            <w:tcBorders/>
            <w:hideMark/>
          </w:tcPr>
          <w:p>
            <w:pPr>
              <w:pStyle w:val="style0"/>
              <w:jc w:val="both"/>
              <w:rPr>
                <w:rFonts w:cs="Times New Roman"/>
                <w:iCs/>
                <w:sz w:val="20"/>
                <w:szCs w:val="20"/>
              </w:rPr>
            </w:pPr>
            <w:r>
              <w:rPr>
                <w:rFonts w:cs="Times New Roman"/>
                <w:iCs/>
                <w:sz w:val="20"/>
                <w:szCs w:val="20"/>
              </w:rPr>
              <w:t>Unstandardized Coefficients</w:t>
            </w:r>
          </w:p>
        </w:tc>
        <w:tc>
          <w:tcPr>
            <w:tcW w:w="1824" w:type="dxa"/>
            <w:tcBorders/>
            <w:hideMark/>
          </w:tcPr>
          <w:p>
            <w:pPr>
              <w:pStyle w:val="style0"/>
              <w:jc w:val="both"/>
              <w:rPr>
                <w:rFonts w:cs="Times New Roman"/>
                <w:iCs/>
                <w:sz w:val="20"/>
                <w:szCs w:val="20"/>
              </w:rPr>
            </w:pPr>
            <w:r>
              <w:rPr>
                <w:rFonts w:cs="Times New Roman"/>
                <w:iCs/>
                <w:sz w:val="20"/>
                <w:szCs w:val="20"/>
              </w:rPr>
              <w:t>Standardized Coefficients</w:t>
            </w:r>
          </w:p>
        </w:tc>
        <w:tc>
          <w:tcPr>
            <w:tcW w:w="797" w:type="dxa"/>
            <w:vMerge w:val="restart"/>
            <w:tcBorders/>
            <w:hideMark/>
          </w:tcPr>
          <w:p>
            <w:pPr>
              <w:pStyle w:val="style0"/>
              <w:jc w:val="both"/>
              <w:rPr>
                <w:rFonts w:cs="Times New Roman"/>
                <w:iCs/>
                <w:sz w:val="20"/>
                <w:szCs w:val="20"/>
              </w:rPr>
            </w:pPr>
            <w:r>
              <w:rPr>
                <w:rFonts w:cs="Times New Roman"/>
                <w:iCs/>
                <w:sz w:val="20"/>
                <w:szCs w:val="20"/>
              </w:rPr>
              <w:t>t</w:t>
            </w:r>
          </w:p>
        </w:tc>
        <w:tc>
          <w:tcPr>
            <w:tcW w:w="721" w:type="dxa"/>
            <w:vMerge w:val="restart"/>
            <w:tcBorders/>
            <w:hideMark/>
          </w:tcPr>
          <w:p>
            <w:pPr>
              <w:pStyle w:val="style0"/>
              <w:jc w:val="both"/>
              <w:rPr>
                <w:rFonts w:cs="Times New Roman"/>
                <w:iCs/>
                <w:sz w:val="20"/>
                <w:szCs w:val="20"/>
              </w:rPr>
            </w:pPr>
            <w:r>
              <w:rPr>
                <w:rFonts w:cs="Times New Roman"/>
                <w:iCs/>
                <w:sz w:val="20"/>
                <w:szCs w:val="20"/>
              </w:rPr>
              <w:t>Sig.</w:t>
            </w:r>
          </w:p>
        </w:tc>
      </w:tr>
      <w:tr>
        <w:tblPrEx/>
        <w:trPr>
          <w:trHeight w:val="310" w:hRule="atLeast"/>
        </w:trPr>
        <w:tc>
          <w:tcPr>
            <w:tcW w:w="2515" w:type="dxa"/>
            <w:gridSpan w:val="2"/>
            <w:vMerge w:val="continue"/>
            <w:tcBorders/>
            <w:hideMark/>
          </w:tcPr>
          <w:p>
            <w:pPr>
              <w:pStyle w:val="style0"/>
              <w:jc w:val="both"/>
              <w:rPr>
                <w:rFonts w:cs="Times New Roman"/>
                <w:iCs/>
                <w:sz w:val="20"/>
                <w:szCs w:val="20"/>
              </w:rPr>
            </w:pPr>
          </w:p>
        </w:tc>
        <w:tc>
          <w:tcPr>
            <w:tcW w:w="810" w:type="dxa"/>
            <w:tcBorders/>
            <w:hideMark/>
          </w:tcPr>
          <w:p>
            <w:pPr>
              <w:pStyle w:val="style0"/>
              <w:jc w:val="center"/>
              <w:rPr>
                <w:rFonts w:cs="Times New Roman"/>
                <w:iCs/>
                <w:sz w:val="20"/>
                <w:szCs w:val="20"/>
              </w:rPr>
            </w:pPr>
            <w:r>
              <w:rPr>
                <w:rFonts w:cs="Times New Roman"/>
                <w:iCs/>
                <w:sz w:val="20"/>
                <w:szCs w:val="20"/>
              </w:rPr>
              <w:t>B</w:t>
            </w:r>
          </w:p>
        </w:tc>
        <w:tc>
          <w:tcPr>
            <w:tcW w:w="1260" w:type="dxa"/>
            <w:tcBorders/>
            <w:hideMark/>
          </w:tcPr>
          <w:p>
            <w:pPr>
              <w:pStyle w:val="style0"/>
              <w:jc w:val="center"/>
              <w:rPr>
                <w:rFonts w:cs="Times New Roman"/>
                <w:iCs/>
                <w:sz w:val="20"/>
                <w:szCs w:val="20"/>
              </w:rPr>
            </w:pPr>
            <w:r>
              <w:rPr>
                <w:rFonts w:cs="Times New Roman"/>
                <w:iCs/>
                <w:sz w:val="20"/>
                <w:szCs w:val="20"/>
              </w:rPr>
              <w:t>Std. Error</w:t>
            </w:r>
          </w:p>
        </w:tc>
        <w:tc>
          <w:tcPr>
            <w:tcW w:w="1824" w:type="dxa"/>
            <w:tcBorders/>
            <w:hideMark/>
          </w:tcPr>
          <w:p>
            <w:pPr>
              <w:pStyle w:val="style0"/>
              <w:jc w:val="center"/>
              <w:rPr>
                <w:rFonts w:cs="Times New Roman"/>
                <w:iCs/>
                <w:sz w:val="20"/>
                <w:szCs w:val="20"/>
              </w:rPr>
            </w:pPr>
            <w:r>
              <w:rPr>
                <w:rFonts w:cs="Times New Roman"/>
                <w:iCs/>
                <w:sz w:val="20"/>
                <w:szCs w:val="20"/>
              </w:rPr>
              <w:t>Beta</w:t>
            </w:r>
          </w:p>
        </w:tc>
        <w:tc>
          <w:tcPr>
            <w:tcW w:w="797" w:type="dxa"/>
            <w:vMerge w:val="continue"/>
            <w:tcBorders/>
            <w:hideMark/>
          </w:tcPr>
          <w:p>
            <w:pPr>
              <w:pStyle w:val="style0"/>
              <w:jc w:val="both"/>
              <w:rPr>
                <w:rFonts w:cs="Times New Roman"/>
                <w:iCs/>
                <w:sz w:val="20"/>
                <w:szCs w:val="20"/>
              </w:rPr>
            </w:pPr>
          </w:p>
        </w:tc>
        <w:tc>
          <w:tcPr>
            <w:tcW w:w="721" w:type="dxa"/>
            <w:vMerge w:val="continue"/>
            <w:tcBorders/>
            <w:hideMark/>
          </w:tcPr>
          <w:p>
            <w:pPr>
              <w:pStyle w:val="style0"/>
              <w:jc w:val="both"/>
              <w:rPr>
                <w:rFonts w:cs="Times New Roman"/>
                <w:iCs/>
                <w:sz w:val="20"/>
                <w:szCs w:val="20"/>
              </w:rPr>
            </w:pPr>
          </w:p>
        </w:tc>
      </w:tr>
      <w:tr>
        <w:tblPrEx/>
        <w:trPr>
          <w:trHeight w:val="233" w:hRule="atLeast"/>
        </w:trPr>
        <w:tc>
          <w:tcPr>
            <w:tcW w:w="316" w:type="dxa"/>
            <w:vMerge w:val="restart"/>
            <w:tcBorders/>
            <w:noWrap/>
            <w:hideMark/>
          </w:tcPr>
          <w:p>
            <w:pPr>
              <w:pStyle w:val="style0"/>
              <w:jc w:val="both"/>
              <w:rPr>
                <w:rFonts w:cs="Times New Roman"/>
                <w:iCs/>
                <w:sz w:val="20"/>
                <w:szCs w:val="20"/>
              </w:rPr>
            </w:pPr>
            <w:r>
              <w:rPr>
                <w:rFonts w:cs="Times New Roman"/>
                <w:iCs/>
                <w:sz w:val="20"/>
                <w:szCs w:val="20"/>
              </w:rPr>
              <w:t>1</w:t>
            </w:r>
          </w:p>
        </w:tc>
        <w:tc>
          <w:tcPr>
            <w:tcW w:w="2199" w:type="dxa"/>
            <w:tcBorders/>
            <w:hideMark/>
          </w:tcPr>
          <w:p>
            <w:pPr>
              <w:pStyle w:val="style0"/>
              <w:jc w:val="both"/>
              <w:rPr>
                <w:rFonts w:cs="Times New Roman"/>
                <w:iCs/>
                <w:sz w:val="20"/>
                <w:szCs w:val="20"/>
              </w:rPr>
            </w:pPr>
            <w:r>
              <w:rPr>
                <w:rFonts w:cs="Times New Roman"/>
                <w:iCs/>
                <w:sz w:val="20"/>
                <w:szCs w:val="20"/>
              </w:rPr>
              <w:t>(Constant)</w:t>
            </w:r>
          </w:p>
        </w:tc>
        <w:tc>
          <w:tcPr>
            <w:tcW w:w="810" w:type="dxa"/>
            <w:tcBorders/>
            <w:noWrap/>
            <w:hideMark/>
          </w:tcPr>
          <w:p>
            <w:pPr>
              <w:pStyle w:val="style0"/>
              <w:jc w:val="center"/>
              <w:rPr>
                <w:rFonts w:cs="Times New Roman"/>
                <w:iCs/>
                <w:sz w:val="20"/>
                <w:szCs w:val="20"/>
              </w:rPr>
            </w:pPr>
            <w:r>
              <w:rPr>
                <w:rFonts w:cs="Times New Roman"/>
                <w:iCs/>
                <w:sz w:val="20"/>
                <w:szCs w:val="20"/>
              </w:rPr>
              <w:t>0.621</w:t>
            </w:r>
          </w:p>
        </w:tc>
        <w:tc>
          <w:tcPr>
            <w:tcW w:w="1260" w:type="dxa"/>
            <w:tcBorders/>
            <w:noWrap/>
            <w:hideMark/>
          </w:tcPr>
          <w:p>
            <w:pPr>
              <w:pStyle w:val="style0"/>
              <w:jc w:val="both"/>
              <w:rPr>
                <w:rFonts w:cs="Times New Roman"/>
                <w:iCs/>
                <w:sz w:val="20"/>
                <w:szCs w:val="20"/>
              </w:rPr>
            </w:pPr>
            <w:r>
              <w:rPr>
                <w:rFonts w:cs="Times New Roman"/>
                <w:iCs/>
                <w:sz w:val="20"/>
                <w:szCs w:val="20"/>
              </w:rPr>
              <w:t>0.337</w:t>
            </w:r>
          </w:p>
        </w:tc>
        <w:tc>
          <w:tcPr>
            <w:tcW w:w="1824" w:type="dxa"/>
            <w:tcBorders/>
            <w:hideMark/>
          </w:tcPr>
          <w:p>
            <w:pPr>
              <w:pStyle w:val="style0"/>
              <w:jc w:val="both"/>
              <w:rPr>
                <w:rFonts w:cs="Times New Roman"/>
                <w:iCs/>
                <w:sz w:val="20"/>
                <w:szCs w:val="20"/>
              </w:rPr>
            </w:pPr>
            <w:r>
              <w:rPr>
                <w:rFonts w:cs="Times New Roman"/>
                <w:iCs/>
                <w:sz w:val="20"/>
                <w:szCs w:val="20"/>
              </w:rPr>
              <w:t> </w:t>
            </w:r>
          </w:p>
        </w:tc>
        <w:tc>
          <w:tcPr>
            <w:tcW w:w="797" w:type="dxa"/>
            <w:tcBorders/>
            <w:noWrap/>
            <w:hideMark/>
          </w:tcPr>
          <w:p>
            <w:pPr>
              <w:pStyle w:val="style0"/>
              <w:jc w:val="both"/>
              <w:rPr>
                <w:rFonts w:cs="Times New Roman"/>
                <w:iCs/>
                <w:sz w:val="20"/>
                <w:szCs w:val="20"/>
              </w:rPr>
            </w:pPr>
            <w:r>
              <w:rPr>
                <w:rFonts w:cs="Times New Roman"/>
                <w:iCs/>
                <w:sz w:val="20"/>
                <w:szCs w:val="20"/>
              </w:rPr>
              <w:t>1.845</w:t>
            </w:r>
          </w:p>
        </w:tc>
        <w:tc>
          <w:tcPr>
            <w:tcW w:w="721" w:type="dxa"/>
            <w:tcBorders/>
            <w:noWrap/>
            <w:hideMark/>
          </w:tcPr>
          <w:p>
            <w:pPr>
              <w:pStyle w:val="style0"/>
              <w:jc w:val="both"/>
              <w:rPr>
                <w:rFonts w:cs="Times New Roman"/>
                <w:iCs/>
                <w:sz w:val="20"/>
                <w:szCs w:val="20"/>
              </w:rPr>
            </w:pPr>
            <w:r>
              <w:rPr>
                <w:rFonts w:cs="Times New Roman"/>
                <w:iCs/>
                <w:sz w:val="20"/>
                <w:szCs w:val="20"/>
              </w:rPr>
              <w:t>0.066</w:t>
            </w:r>
          </w:p>
        </w:tc>
      </w:tr>
      <w:tr>
        <w:tblPrEx/>
        <w:trPr>
          <w:trHeight w:val="440" w:hRule="atLeast"/>
        </w:trPr>
        <w:tc>
          <w:tcPr>
            <w:tcW w:w="316" w:type="dxa"/>
            <w:vMerge w:val="continue"/>
            <w:tcBorders/>
            <w:hideMark/>
          </w:tcPr>
          <w:p>
            <w:pPr>
              <w:pStyle w:val="style0"/>
              <w:jc w:val="both"/>
              <w:rPr>
                <w:rFonts w:cs="Times New Roman"/>
                <w:iCs/>
                <w:sz w:val="20"/>
                <w:szCs w:val="20"/>
              </w:rPr>
            </w:pPr>
          </w:p>
        </w:tc>
        <w:tc>
          <w:tcPr>
            <w:tcW w:w="2199" w:type="dxa"/>
            <w:tcBorders/>
            <w:hideMark/>
          </w:tcPr>
          <w:p>
            <w:pPr>
              <w:pStyle w:val="style0"/>
              <w:rPr>
                <w:rFonts w:cs="Times New Roman"/>
                <w:iCs/>
                <w:sz w:val="20"/>
                <w:szCs w:val="20"/>
              </w:rPr>
            </w:pPr>
            <w:r>
              <w:rPr>
                <w:rFonts w:cs="Times New Roman"/>
                <w:iCs/>
                <w:sz w:val="20"/>
                <w:szCs w:val="20"/>
              </w:rPr>
              <w:t>Enterprise Risk Management</w:t>
            </w:r>
          </w:p>
        </w:tc>
        <w:tc>
          <w:tcPr>
            <w:tcW w:w="810" w:type="dxa"/>
            <w:tcBorders/>
            <w:noWrap/>
            <w:hideMark/>
          </w:tcPr>
          <w:p>
            <w:pPr>
              <w:pStyle w:val="style0"/>
              <w:jc w:val="center"/>
              <w:rPr>
                <w:rFonts w:cs="Times New Roman"/>
                <w:iCs/>
                <w:sz w:val="20"/>
                <w:szCs w:val="20"/>
              </w:rPr>
            </w:pPr>
            <w:r>
              <w:rPr>
                <w:rFonts w:cs="Times New Roman"/>
                <w:iCs/>
                <w:sz w:val="20"/>
                <w:szCs w:val="20"/>
              </w:rPr>
              <w:t>0.710</w:t>
            </w:r>
          </w:p>
        </w:tc>
        <w:tc>
          <w:tcPr>
            <w:tcW w:w="1260" w:type="dxa"/>
            <w:tcBorders/>
            <w:noWrap/>
            <w:hideMark/>
          </w:tcPr>
          <w:p>
            <w:pPr>
              <w:pStyle w:val="style0"/>
              <w:jc w:val="both"/>
              <w:rPr>
                <w:rFonts w:cs="Times New Roman"/>
                <w:iCs/>
                <w:sz w:val="20"/>
                <w:szCs w:val="20"/>
              </w:rPr>
            </w:pPr>
            <w:r>
              <w:rPr>
                <w:rFonts w:cs="Times New Roman"/>
                <w:iCs/>
                <w:sz w:val="20"/>
                <w:szCs w:val="20"/>
              </w:rPr>
              <w:t>0.517</w:t>
            </w:r>
          </w:p>
        </w:tc>
        <w:tc>
          <w:tcPr>
            <w:tcW w:w="1824" w:type="dxa"/>
            <w:tcBorders/>
            <w:noWrap/>
            <w:hideMark/>
          </w:tcPr>
          <w:p>
            <w:pPr>
              <w:pStyle w:val="style0"/>
              <w:jc w:val="both"/>
              <w:rPr>
                <w:rFonts w:cs="Times New Roman"/>
                <w:iCs/>
                <w:sz w:val="20"/>
                <w:szCs w:val="20"/>
              </w:rPr>
            </w:pPr>
            <w:r>
              <w:rPr>
                <w:rFonts w:cs="Times New Roman"/>
                <w:iCs/>
                <w:sz w:val="20"/>
                <w:szCs w:val="20"/>
              </w:rPr>
              <w:t>0.092</w:t>
            </w:r>
          </w:p>
        </w:tc>
        <w:tc>
          <w:tcPr>
            <w:tcW w:w="797" w:type="dxa"/>
            <w:tcBorders/>
            <w:noWrap/>
            <w:hideMark/>
          </w:tcPr>
          <w:p>
            <w:pPr>
              <w:pStyle w:val="style0"/>
              <w:jc w:val="both"/>
              <w:rPr>
                <w:rFonts w:cs="Times New Roman"/>
                <w:iCs/>
                <w:sz w:val="20"/>
                <w:szCs w:val="20"/>
              </w:rPr>
            </w:pPr>
            <w:r>
              <w:rPr>
                <w:rFonts w:cs="Times New Roman"/>
                <w:iCs/>
                <w:sz w:val="20"/>
                <w:szCs w:val="20"/>
              </w:rPr>
              <w:t>1.373</w:t>
            </w:r>
          </w:p>
        </w:tc>
        <w:tc>
          <w:tcPr>
            <w:tcW w:w="721" w:type="dxa"/>
            <w:tcBorders/>
            <w:noWrap/>
            <w:hideMark/>
          </w:tcPr>
          <w:p>
            <w:pPr>
              <w:pStyle w:val="style0"/>
              <w:jc w:val="both"/>
              <w:rPr>
                <w:rFonts w:cs="Times New Roman"/>
                <w:iCs/>
                <w:sz w:val="20"/>
                <w:szCs w:val="20"/>
              </w:rPr>
            </w:pPr>
            <w:r>
              <w:rPr>
                <w:rFonts w:cs="Times New Roman"/>
                <w:iCs/>
                <w:sz w:val="20"/>
                <w:szCs w:val="20"/>
              </w:rPr>
              <w:t>0.171</w:t>
            </w:r>
          </w:p>
        </w:tc>
      </w:tr>
      <w:tr>
        <w:tblPrEx/>
        <w:trPr>
          <w:trHeight w:val="310" w:hRule="atLeast"/>
        </w:trPr>
        <w:tc>
          <w:tcPr>
            <w:tcW w:w="316" w:type="dxa"/>
            <w:vMerge w:val="continue"/>
            <w:tcBorders/>
            <w:hideMark/>
          </w:tcPr>
          <w:p>
            <w:pPr>
              <w:pStyle w:val="style0"/>
              <w:jc w:val="both"/>
              <w:rPr>
                <w:rFonts w:cs="Times New Roman"/>
                <w:iCs/>
                <w:sz w:val="20"/>
                <w:szCs w:val="20"/>
              </w:rPr>
            </w:pPr>
          </w:p>
        </w:tc>
        <w:tc>
          <w:tcPr>
            <w:tcW w:w="2199" w:type="dxa"/>
            <w:tcBorders/>
            <w:hideMark/>
          </w:tcPr>
          <w:p>
            <w:pPr>
              <w:pStyle w:val="style0"/>
              <w:jc w:val="both"/>
              <w:rPr>
                <w:rFonts w:cs="Times New Roman"/>
                <w:iCs/>
                <w:sz w:val="20"/>
                <w:szCs w:val="20"/>
              </w:rPr>
            </w:pPr>
            <w:r>
              <w:rPr>
                <w:rFonts w:cs="Times New Roman"/>
                <w:iCs/>
                <w:sz w:val="20"/>
                <w:szCs w:val="20"/>
              </w:rPr>
              <w:t>Managerial Ownership</w:t>
            </w:r>
          </w:p>
        </w:tc>
        <w:tc>
          <w:tcPr>
            <w:tcW w:w="810" w:type="dxa"/>
            <w:tcBorders/>
            <w:noWrap/>
            <w:hideMark/>
          </w:tcPr>
          <w:p>
            <w:pPr>
              <w:pStyle w:val="style0"/>
              <w:jc w:val="center"/>
              <w:rPr>
                <w:rFonts w:cs="Times New Roman"/>
                <w:iCs/>
                <w:sz w:val="20"/>
                <w:szCs w:val="20"/>
              </w:rPr>
            </w:pPr>
            <w:r>
              <w:rPr>
                <w:rFonts w:cs="Times New Roman"/>
                <w:iCs/>
                <w:sz w:val="20"/>
                <w:szCs w:val="20"/>
              </w:rPr>
              <w:t>-0.610</w:t>
            </w:r>
          </w:p>
        </w:tc>
        <w:tc>
          <w:tcPr>
            <w:tcW w:w="1260" w:type="dxa"/>
            <w:tcBorders/>
            <w:noWrap/>
            <w:hideMark/>
          </w:tcPr>
          <w:p>
            <w:pPr>
              <w:pStyle w:val="style0"/>
              <w:jc w:val="both"/>
              <w:rPr>
                <w:rFonts w:cs="Times New Roman"/>
                <w:iCs/>
                <w:sz w:val="20"/>
                <w:szCs w:val="20"/>
              </w:rPr>
            </w:pPr>
            <w:r>
              <w:rPr>
                <w:rFonts w:cs="Times New Roman"/>
                <w:iCs/>
                <w:sz w:val="20"/>
                <w:szCs w:val="20"/>
              </w:rPr>
              <w:t>0.679</w:t>
            </w:r>
          </w:p>
        </w:tc>
        <w:tc>
          <w:tcPr>
            <w:tcW w:w="1824" w:type="dxa"/>
            <w:tcBorders/>
            <w:noWrap/>
            <w:hideMark/>
          </w:tcPr>
          <w:p>
            <w:pPr>
              <w:pStyle w:val="style0"/>
              <w:jc w:val="both"/>
              <w:rPr>
                <w:rFonts w:cs="Times New Roman"/>
                <w:iCs/>
                <w:sz w:val="20"/>
                <w:szCs w:val="20"/>
              </w:rPr>
            </w:pPr>
            <w:r>
              <w:rPr>
                <w:rFonts w:cs="Times New Roman"/>
                <w:iCs/>
                <w:sz w:val="20"/>
                <w:szCs w:val="20"/>
              </w:rPr>
              <w:t>-0.069</w:t>
            </w:r>
          </w:p>
        </w:tc>
        <w:tc>
          <w:tcPr>
            <w:tcW w:w="797" w:type="dxa"/>
            <w:tcBorders/>
            <w:noWrap/>
            <w:hideMark/>
          </w:tcPr>
          <w:p>
            <w:pPr>
              <w:pStyle w:val="style0"/>
              <w:jc w:val="both"/>
              <w:rPr>
                <w:rFonts w:cs="Times New Roman"/>
                <w:iCs/>
                <w:sz w:val="20"/>
                <w:szCs w:val="20"/>
              </w:rPr>
            </w:pPr>
            <w:r>
              <w:rPr>
                <w:rFonts w:cs="Times New Roman"/>
                <w:iCs/>
                <w:sz w:val="20"/>
                <w:szCs w:val="20"/>
              </w:rPr>
              <w:t>-0.898</w:t>
            </w:r>
          </w:p>
        </w:tc>
        <w:tc>
          <w:tcPr>
            <w:tcW w:w="721" w:type="dxa"/>
            <w:tcBorders/>
            <w:noWrap/>
            <w:hideMark/>
          </w:tcPr>
          <w:p>
            <w:pPr>
              <w:pStyle w:val="style0"/>
              <w:jc w:val="both"/>
              <w:rPr>
                <w:rFonts w:cs="Times New Roman"/>
                <w:iCs/>
                <w:sz w:val="20"/>
                <w:szCs w:val="20"/>
              </w:rPr>
            </w:pPr>
            <w:r>
              <w:rPr>
                <w:rFonts w:cs="Times New Roman"/>
                <w:iCs/>
                <w:sz w:val="20"/>
                <w:szCs w:val="20"/>
              </w:rPr>
              <w:t>0.370</w:t>
            </w:r>
          </w:p>
        </w:tc>
      </w:tr>
      <w:tr>
        <w:tblPrEx/>
        <w:trPr>
          <w:trHeight w:val="278" w:hRule="atLeast"/>
        </w:trPr>
        <w:tc>
          <w:tcPr>
            <w:tcW w:w="316" w:type="dxa"/>
            <w:vMerge w:val="continue"/>
            <w:tcBorders/>
            <w:hideMark/>
          </w:tcPr>
          <w:p>
            <w:pPr>
              <w:pStyle w:val="style0"/>
              <w:jc w:val="both"/>
              <w:rPr>
                <w:rFonts w:cs="Times New Roman"/>
                <w:iCs/>
                <w:sz w:val="20"/>
                <w:szCs w:val="20"/>
              </w:rPr>
            </w:pPr>
          </w:p>
        </w:tc>
        <w:tc>
          <w:tcPr>
            <w:tcW w:w="2199" w:type="dxa"/>
            <w:tcBorders/>
            <w:hideMark/>
          </w:tcPr>
          <w:p>
            <w:pPr>
              <w:pStyle w:val="style0"/>
              <w:jc w:val="both"/>
              <w:rPr>
                <w:rFonts w:cs="Times New Roman"/>
                <w:iCs/>
                <w:sz w:val="20"/>
                <w:szCs w:val="20"/>
              </w:rPr>
            </w:pPr>
            <w:r>
              <w:rPr>
                <w:rFonts w:cs="Times New Roman"/>
                <w:iCs/>
                <w:sz w:val="20"/>
                <w:szCs w:val="20"/>
              </w:rPr>
              <w:t>Institutional Ownership</w:t>
            </w:r>
          </w:p>
        </w:tc>
        <w:tc>
          <w:tcPr>
            <w:tcW w:w="810" w:type="dxa"/>
            <w:tcBorders/>
            <w:noWrap/>
            <w:hideMark/>
          </w:tcPr>
          <w:p>
            <w:pPr>
              <w:pStyle w:val="style0"/>
              <w:jc w:val="center"/>
              <w:rPr>
                <w:rFonts w:cs="Times New Roman"/>
                <w:iCs/>
                <w:sz w:val="20"/>
                <w:szCs w:val="20"/>
              </w:rPr>
            </w:pPr>
            <w:r>
              <w:rPr>
                <w:rFonts w:cs="Times New Roman"/>
                <w:iCs/>
                <w:sz w:val="20"/>
                <w:szCs w:val="20"/>
              </w:rPr>
              <w:t>0.120</w:t>
            </w:r>
          </w:p>
        </w:tc>
        <w:tc>
          <w:tcPr>
            <w:tcW w:w="1260" w:type="dxa"/>
            <w:tcBorders/>
            <w:noWrap/>
            <w:hideMark/>
          </w:tcPr>
          <w:p>
            <w:pPr>
              <w:pStyle w:val="style0"/>
              <w:jc w:val="both"/>
              <w:rPr>
                <w:rFonts w:cs="Times New Roman"/>
                <w:iCs/>
                <w:sz w:val="20"/>
                <w:szCs w:val="20"/>
              </w:rPr>
            </w:pPr>
            <w:r>
              <w:rPr>
                <w:rFonts w:cs="Times New Roman"/>
                <w:iCs/>
                <w:sz w:val="20"/>
                <w:szCs w:val="20"/>
              </w:rPr>
              <w:t>0.091</w:t>
            </w:r>
          </w:p>
        </w:tc>
        <w:tc>
          <w:tcPr>
            <w:tcW w:w="1824" w:type="dxa"/>
            <w:tcBorders/>
            <w:noWrap/>
            <w:hideMark/>
          </w:tcPr>
          <w:p>
            <w:pPr>
              <w:pStyle w:val="style0"/>
              <w:jc w:val="both"/>
              <w:rPr>
                <w:rFonts w:cs="Times New Roman"/>
                <w:iCs/>
                <w:sz w:val="20"/>
                <w:szCs w:val="20"/>
              </w:rPr>
            </w:pPr>
            <w:r>
              <w:rPr>
                <w:rFonts w:cs="Times New Roman"/>
                <w:iCs/>
                <w:sz w:val="20"/>
                <w:szCs w:val="20"/>
              </w:rPr>
              <w:t>0.099</w:t>
            </w:r>
          </w:p>
        </w:tc>
        <w:tc>
          <w:tcPr>
            <w:tcW w:w="797" w:type="dxa"/>
            <w:tcBorders/>
            <w:noWrap/>
            <w:hideMark/>
          </w:tcPr>
          <w:p>
            <w:pPr>
              <w:pStyle w:val="style0"/>
              <w:jc w:val="both"/>
              <w:rPr>
                <w:rFonts w:cs="Times New Roman"/>
                <w:iCs/>
                <w:sz w:val="20"/>
                <w:szCs w:val="20"/>
              </w:rPr>
            </w:pPr>
            <w:r>
              <w:rPr>
                <w:rFonts w:cs="Times New Roman"/>
                <w:iCs/>
                <w:sz w:val="20"/>
                <w:szCs w:val="20"/>
              </w:rPr>
              <w:t>1.314</w:t>
            </w:r>
          </w:p>
        </w:tc>
        <w:tc>
          <w:tcPr>
            <w:tcW w:w="721" w:type="dxa"/>
            <w:tcBorders/>
            <w:noWrap/>
            <w:hideMark/>
          </w:tcPr>
          <w:p>
            <w:pPr>
              <w:pStyle w:val="style0"/>
              <w:jc w:val="both"/>
              <w:rPr>
                <w:rFonts w:cs="Times New Roman"/>
                <w:iCs/>
                <w:sz w:val="20"/>
                <w:szCs w:val="20"/>
              </w:rPr>
            </w:pPr>
            <w:r>
              <w:rPr>
                <w:rFonts w:cs="Times New Roman"/>
                <w:iCs/>
                <w:sz w:val="20"/>
                <w:szCs w:val="20"/>
              </w:rPr>
              <w:t>0.190</w:t>
            </w:r>
          </w:p>
        </w:tc>
      </w:tr>
    </w:tbl>
    <w:p>
      <w:pPr>
        <w:pStyle w:val="style0"/>
        <w:tabs>
          <w:tab w:val="left" w:leader="none" w:pos="720"/>
        </w:tabs>
        <w:spacing w:before="240" w:after="0" w:lineRule="auto" w:line="240"/>
        <w:ind w:left="360"/>
        <w:rPr>
          <w:rFonts w:cs="Times New Roman" w:eastAsia="宋体"/>
          <w:b/>
          <w:bCs/>
          <w:szCs w:val="24"/>
        </w:rPr>
      </w:pPr>
      <w:r>
        <w:rPr>
          <w:rFonts w:cs="Times New Roman" w:eastAsia="宋体"/>
          <w:b/>
          <w:bCs/>
          <w:szCs w:val="24"/>
        </w:rPr>
        <w:t>d. Uji Autokorelasi</w:t>
      </w:r>
    </w:p>
    <w:tbl>
      <w:tblPr>
        <w:tblStyle w:val="style154"/>
        <w:tblW w:w="0" w:type="auto"/>
        <w:jc w:val="center"/>
        <w:tblLook w:val="04A0" w:firstRow="1" w:lastRow="0" w:firstColumn="1" w:lastColumn="0" w:noHBand="0" w:noVBand="1"/>
      </w:tblPr>
      <w:tblGrid>
        <w:gridCol w:w="1709"/>
        <w:gridCol w:w="1256"/>
        <w:gridCol w:w="977"/>
        <w:gridCol w:w="1562"/>
        <w:gridCol w:w="1270"/>
        <w:gridCol w:w="1153"/>
      </w:tblGrid>
      <w:tr>
        <w:trPr>
          <w:trHeight w:val="360" w:hRule="atLeast"/>
          <w:jc w:val="center"/>
        </w:trPr>
        <w:tc>
          <w:tcPr>
            <w:tcW w:w="7927" w:type="dxa"/>
            <w:gridSpan w:val="6"/>
            <w:tcBorders/>
            <w:hideMark/>
          </w:tcPr>
          <w:p>
            <w:pPr>
              <w:pStyle w:val="style0"/>
              <w:tabs>
                <w:tab w:val="left" w:leader="none" w:pos="810"/>
              </w:tabs>
              <w:jc w:val="center"/>
              <w:rPr>
                <w:rFonts w:cs="Times New Roman"/>
                <w:b/>
                <w:bCs/>
                <w:iCs/>
                <w:sz w:val="20"/>
                <w:szCs w:val="20"/>
              </w:rPr>
            </w:pPr>
            <w:r>
              <w:rPr>
                <w:rFonts w:cs="Times New Roman"/>
                <w:b/>
                <w:bCs/>
                <w:iCs/>
                <w:sz w:val="20"/>
                <w:szCs w:val="20"/>
              </w:rPr>
              <w:t>Model Summary</w:t>
            </w:r>
            <w:r>
              <w:rPr>
                <w:rFonts w:cs="Times New Roman"/>
                <w:b/>
                <w:bCs/>
                <w:iCs/>
                <w:sz w:val="20"/>
                <w:szCs w:val="20"/>
                <w:vertAlign w:val="superscript"/>
              </w:rPr>
              <w:t>b</w:t>
            </w:r>
          </w:p>
        </w:tc>
      </w:tr>
      <w:tr>
        <w:tblPrEx/>
        <w:trPr>
          <w:trHeight w:val="620" w:hRule="atLeast"/>
          <w:jc w:val="center"/>
        </w:trPr>
        <w:tc>
          <w:tcPr>
            <w:tcW w:w="1709" w:type="dxa"/>
            <w:tcBorders/>
            <w:hideMark/>
          </w:tcPr>
          <w:p>
            <w:pPr>
              <w:pStyle w:val="style0"/>
              <w:tabs>
                <w:tab w:val="left" w:leader="none" w:pos="810"/>
              </w:tabs>
              <w:jc w:val="center"/>
              <w:rPr>
                <w:rFonts w:cs="Times New Roman"/>
                <w:iCs/>
                <w:sz w:val="20"/>
                <w:szCs w:val="20"/>
              </w:rPr>
            </w:pPr>
            <w:r>
              <w:rPr>
                <w:rFonts w:cs="Times New Roman"/>
                <w:iCs/>
                <w:sz w:val="20"/>
                <w:szCs w:val="20"/>
              </w:rPr>
              <w:t>Model</w:t>
            </w:r>
          </w:p>
        </w:tc>
        <w:tc>
          <w:tcPr>
            <w:tcW w:w="1256" w:type="dxa"/>
            <w:tcBorders/>
            <w:hideMark/>
          </w:tcPr>
          <w:p>
            <w:pPr>
              <w:pStyle w:val="style0"/>
              <w:tabs>
                <w:tab w:val="left" w:leader="none" w:pos="810"/>
              </w:tabs>
              <w:jc w:val="center"/>
              <w:rPr>
                <w:rFonts w:cs="Times New Roman"/>
                <w:iCs/>
                <w:sz w:val="20"/>
                <w:szCs w:val="20"/>
              </w:rPr>
            </w:pPr>
            <w:r>
              <w:rPr>
                <w:rFonts w:cs="Times New Roman"/>
                <w:iCs/>
                <w:sz w:val="20"/>
                <w:szCs w:val="20"/>
              </w:rPr>
              <w:t>R</w:t>
            </w:r>
          </w:p>
        </w:tc>
        <w:tc>
          <w:tcPr>
            <w:tcW w:w="977" w:type="dxa"/>
            <w:tcBorders/>
            <w:hideMark/>
          </w:tcPr>
          <w:p>
            <w:pPr>
              <w:pStyle w:val="style0"/>
              <w:tabs>
                <w:tab w:val="left" w:leader="none" w:pos="810"/>
              </w:tabs>
              <w:jc w:val="center"/>
              <w:rPr>
                <w:rFonts w:cs="Times New Roman"/>
                <w:iCs/>
                <w:sz w:val="20"/>
                <w:szCs w:val="20"/>
              </w:rPr>
            </w:pPr>
            <w:r>
              <w:rPr>
                <w:rFonts w:cs="Times New Roman"/>
                <w:iCs/>
                <w:sz w:val="20"/>
                <w:szCs w:val="20"/>
              </w:rPr>
              <w:t>R Square</w:t>
            </w:r>
          </w:p>
        </w:tc>
        <w:tc>
          <w:tcPr>
            <w:tcW w:w="1562" w:type="dxa"/>
            <w:tcBorders/>
            <w:hideMark/>
          </w:tcPr>
          <w:p>
            <w:pPr>
              <w:pStyle w:val="style0"/>
              <w:tabs>
                <w:tab w:val="left" w:leader="none" w:pos="810"/>
              </w:tabs>
              <w:jc w:val="center"/>
              <w:rPr>
                <w:rFonts w:cs="Times New Roman"/>
                <w:iCs/>
                <w:sz w:val="20"/>
                <w:szCs w:val="20"/>
              </w:rPr>
            </w:pPr>
            <w:r>
              <w:rPr>
                <w:rFonts w:cs="Times New Roman"/>
                <w:iCs/>
                <w:sz w:val="20"/>
                <w:szCs w:val="20"/>
              </w:rPr>
              <w:t>Adjusted R Square</w:t>
            </w:r>
          </w:p>
        </w:tc>
        <w:tc>
          <w:tcPr>
            <w:tcW w:w="1270" w:type="dxa"/>
            <w:tcBorders/>
            <w:hideMark/>
          </w:tcPr>
          <w:p>
            <w:pPr>
              <w:pStyle w:val="style0"/>
              <w:tabs>
                <w:tab w:val="left" w:leader="none" w:pos="810"/>
              </w:tabs>
              <w:jc w:val="center"/>
              <w:rPr>
                <w:rFonts w:cs="Times New Roman"/>
                <w:iCs/>
                <w:sz w:val="20"/>
                <w:szCs w:val="20"/>
              </w:rPr>
            </w:pPr>
            <w:r>
              <w:rPr>
                <w:rFonts w:cs="Times New Roman"/>
                <w:iCs/>
                <w:sz w:val="20"/>
                <w:szCs w:val="20"/>
              </w:rPr>
              <w:t>Std. Error of the Estimate</w:t>
            </w:r>
          </w:p>
        </w:tc>
        <w:tc>
          <w:tcPr>
            <w:tcW w:w="1153" w:type="dxa"/>
            <w:tcBorders/>
            <w:hideMark/>
          </w:tcPr>
          <w:p>
            <w:pPr>
              <w:pStyle w:val="style0"/>
              <w:tabs>
                <w:tab w:val="left" w:leader="none" w:pos="810"/>
              </w:tabs>
              <w:jc w:val="center"/>
              <w:rPr>
                <w:rFonts w:cs="Times New Roman"/>
                <w:iCs/>
                <w:sz w:val="20"/>
                <w:szCs w:val="20"/>
              </w:rPr>
            </w:pPr>
            <w:r>
              <w:rPr>
                <w:rFonts w:cs="Times New Roman"/>
                <w:iCs/>
                <w:sz w:val="20"/>
                <w:szCs w:val="20"/>
              </w:rPr>
              <w:t>Durbin-Watson</w:t>
            </w:r>
          </w:p>
        </w:tc>
      </w:tr>
      <w:tr>
        <w:tblPrEx/>
        <w:trPr>
          <w:trHeight w:val="370" w:hRule="atLeast"/>
          <w:jc w:val="center"/>
        </w:trPr>
        <w:tc>
          <w:tcPr>
            <w:tcW w:w="1709" w:type="dxa"/>
            <w:tcBorders/>
            <w:noWrap/>
            <w:hideMark/>
          </w:tcPr>
          <w:p>
            <w:pPr>
              <w:pStyle w:val="style0"/>
              <w:tabs>
                <w:tab w:val="left" w:leader="none" w:pos="810"/>
              </w:tabs>
              <w:jc w:val="both"/>
              <w:rPr>
                <w:rFonts w:cs="Times New Roman"/>
                <w:iCs/>
                <w:sz w:val="20"/>
                <w:szCs w:val="20"/>
              </w:rPr>
            </w:pPr>
            <w:r>
              <w:rPr>
                <w:rFonts w:cs="Times New Roman"/>
                <w:iCs/>
                <w:sz w:val="20"/>
                <w:szCs w:val="20"/>
              </w:rPr>
              <w:t>1</w:t>
            </w:r>
          </w:p>
        </w:tc>
        <w:tc>
          <w:tcPr>
            <w:tcW w:w="1256" w:type="dxa"/>
            <w:tcBorders/>
            <w:noWrap/>
            <w:hideMark/>
          </w:tcPr>
          <w:p>
            <w:pPr>
              <w:pStyle w:val="style0"/>
              <w:tabs>
                <w:tab w:val="left" w:leader="none" w:pos="810"/>
              </w:tabs>
              <w:jc w:val="center"/>
              <w:rPr>
                <w:rFonts w:cs="Times New Roman"/>
                <w:iCs/>
                <w:sz w:val="20"/>
                <w:szCs w:val="20"/>
              </w:rPr>
            </w:pPr>
            <w:r>
              <w:rPr>
                <w:rFonts w:cs="Times New Roman" w:eastAsia="Times New Roman"/>
                <w:kern w:val="0"/>
                <w:sz w:val="20"/>
                <w:szCs w:val="20"/>
                <w14:ligatures xmlns:w14="http://schemas.microsoft.com/office/word/2010/wordml" w14:val="none"/>
              </w:rPr>
              <w:t>.175</w:t>
            </w:r>
            <w:r>
              <w:rPr>
                <w:rFonts w:cs="Times New Roman" w:eastAsia="Times New Roman"/>
                <w:kern w:val="0"/>
                <w:sz w:val="20"/>
                <w:szCs w:val="20"/>
                <w:vertAlign w:val="superscript"/>
                <w14:ligatures xmlns:w14="http://schemas.microsoft.com/office/word/2010/wordml" w14:val="none"/>
              </w:rPr>
              <w:t>a</w:t>
            </w:r>
          </w:p>
        </w:tc>
        <w:tc>
          <w:tcPr>
            <w:tcW w:w="977" w:type="dxa"/>
            <w:tcBorders/>
            <w:noWrap/>
            <w:hideMark/>
          </w:tcPr>
          <w:p>
            <w:pPr>
              <w:pStyle w:val="style0"/>
              <w:tabs>
                <w:tab w:val="left" w:leader="none" w:pos="810"/>
              </w:tabs>
              <w:jc w:val="center"/>
              <w:rPr>
                <w:rFonts w:cs="Times New Roman"/>
                <w:iCs/>
                <w:sz w:val="20"/>
                <w:szCs w:val="20"/>
              </w:rPr>
            </w:pPr>
            <w:r>
              <w:rPr>
                <w:rFonts w:cs="Times New Roman" w:eastAsia="Times New Roman"/>
                <w:kern w:val="0"/>
                <w:sz w:val="20"/>
                <w:szCs w:val="20"/>
                <w14:ligatures xmlns:w14="http://schemas.microsoft.com/office/word/2010/wordml" w14:val="none"/>
              </w:rPr>
              <w:t>0.031</w:t>
            </w:r>
          </w:p>
        </w:tc>
        <w:tc>
          <w:tcPr>
            <w:tcW w:w="1562" w:type="dxa"/>
            <w:tcBorders/>
            <w:noWrap/>
            <w:hideMark/>
          </w:tcPr>
          <w:p>
            <w:pPr>
              <w:pStyle w:val="style0"/>
              <w:tabs>
                <w:tab w:val="left" w:leader="none" w:pos="810"/>
              </w:tabs>
              <w:jc w:val="center"/>
              <w:rPr>
                <w:rFonts w:cs="Times New Roman"/>
                <w:iCs/>
                <w:sz w:val="20"/>
                <w:szCs w:val="20"/>
              </w:rPr>
            </w:pPr>
            <w:r>
              <w:rPr>
                <w:rFonts w:cs="Times New Roman" w:eastAsia="Times New Roman"/>
                <w:kern w:val="0"/>
                <w:sz w:val="20"/>
                <w:szCs w:val="20"/>
                <w14:ligatures xmlns:w14="http://schemas.microsoft.com/office/word/2010/wordml" w14:val="none"/>
              </w:rPr>
              <w:t>0.018</w:t>
            </w:r>
          </w:p>
        </w:tc>
        <w:tc>
          <w:tcPr>
            <w:tcW w:w="1270" w:type="dxa"/>
            <w:tcBorders/>
            <w:noWrap/>
            <w:hideMark/>
          </w:tcPr>
          <w:p>
            <w:pPr>
              <w:pStyle w:val="style0"/>
              <w:tabs>
                <w:tab w:val="left" w:leader="none" w:pos="810"/>
              </w:tabs>
              <w:jc w:val="center"/>
              <w:rPr>
                <w:rFonts w:cs="Times New Roman"/>
                <w:iCs/>
                <w:sz w:val="20"/>
                <w:szCs w:val="20"/>
              </w:rPr>
            </w:pPr>
            <w:r>
              <w:rPr>
                <w:rFonts w:cs="Times New Roman" w:eastAsia="Times New Roman"/>
                <w:kern w:val="0"/>
                <w:sz w:val="20"/>
                <w:szCs w:val="20"/>
                <w14:ligatures xmlns:w14="http://schemas.microsoft.com/office/word/2010/wordml" w14:val="none"/>
              </w:rPr>
              <w:t>1.169</w:t>
            </w:r>
          </w:p>
        </w:tc>
        <w:tc>
          <w:tcPr>
            <w:tcW w:w="1153" w:type="dxa"/>
            <w:tcBorders/>
            <w:noWrap/>
            <w:hideMark/>
          </w:tcPr>
          <w:p>
            <w:pPr>
              <w:pStyle w:val="style0"/>
              <w:tabs>
                <w:tab w:val="left" w:leader="none" w:pos="810"/>
              </w:tabs>
              <w:jc w:val="center"/>
              <w:rPr>
                <w:rFonts w:cs="Times New Roman"/>
                <w:iCs/>
                <w:sz w:val="20"/>
                <w:szCs w:val="20"/>
              </w:rPr>
            </w:pPr>
            <w:r>
              <w:rPr>
                <w:rFonts w:cs="Times New Roman" w:eastAsia="Times New Roman"/>
                <w:kern w:val="0"/>
                <w:sz w:val="20"/>
                <w:szCs w:val="20"/>
                <w14:ligatures xmlns:w14="http://schemas.microsoft.com/office/word/2010/wordml" w14:val="none"/>
              </w:rPr>
              <w:t>1.984</w:t>
            </w:r>
          </w:p>
        </w:tc>
      </w:tr>
    </w:tbl>
    <w:p>
      <w:pPr>
        <w:pStyle w:val="style0"/>
        <w:tabs>
          <w:tab w:val="left" w:leader="none" w:pos="720"/>
        </w:tabs>
        <w:spacing w:before="240" w:lineRule="auto" w:line="240"/>
        <w:rPr>
          <w:rFonts w:cs="Times New Roman" w:eastAsia="宋体"/>
          <w:b/>
          <w:bCs/>
          <w:szCs w:val="24"/>
        </w:rPr>
      </w:pPr>
      <w:r>
        <w:rPr>
          <w:rFonts w:cs="Times New Roman" w:eastAsia="宋体"/>
          <w:b/>
          <w:bCs/>
          <w:szCs w:val="24"/>
        </w:rPr>
        <w:t>3.  Uji Regresi Linear Berganda</w:t>
      </w:r>
    </w:p>
    <w:tbl>
      <w:tblPr>
        <w:tblStyle w:val="style154"/>
        <w:tblW w:w="0" w:type="auto"/>
        <w:tblLook w:val="04A0" w:firstRow="1" w:lastRow="0" w:firstColumn="1" w:lastColumn="0" w:noHBand="0" w:noVBand="1"/>
      </w:tblPr>
      <w:tblGrid>
        <w:gridCol w:w="335"/>
        <w:gridCol w:w="1550"/>
        <w:gridCol w:w="1080"/>
        <w:gridCol w:w="1350"/>
        <w:gridCol w:w="1530"/>
        <w:gridCol w:w="896"/>
        <w:gridCol w:w="1186"/>
      </w:tblGrid>
      <w:tr>
        <w:trPr>
          <w:trHeight w:val="360" w:hRule="atLeast"/>
        </w:trPr>
        <w:tc>
          <w:tcPr>
            <w:tcW w:w="7927" w:type="dxa"/>
            <w:gridSpan w:val="7"/>
            <w:tcBorders/>
            <w:hideMark/>
          </w:tcPr>
          <w:p>
            <w:pPr>
              <w:pStyle w:val="style0"/>
              <w:tabs>
                <w:tab w:val="left" w:leader="none" w:pos="810"/>
              </w:tabs>
              <w:jc w:val="center"/>
              <w:rPr>
                <w:rFonts w:cs="Times New Roman"/>
                <w:b/>
                <w:bCs/>
                <w:iCs/>
                <w:sz w:val="20"/>
                <w:szCs w:val="20"/>
              </w:rPr>
            </w:pPr>
            <w:r>
              <w:rPr>
                <w:rFonts w:cs="Times New Roman"/>
                <w:b/>
                <w:bCs/>
                <w:iCs/>
                <w:sz w:val="20"/>
                <w:szCs w:val="20"/>
              </w:rPr>
              <w:t>Coefficients</w:t>
            </w:r>
            <w:r>
              <w:rPr>
                <w:rFonts w:cs="Times New Roman"/>
                <w:b/>
                <w:bCs/>
                <w:iCs/>
                <w:sz w:val="20"/>
                <w:szCs w:val="20"/>
                <w:vertAlign w:val="superscript"/>
              </w:rPr>
              <w:t>a</w:t>
            </w:r>
          </w:p>
        </w:tc>
      </w:tr>
      <w:tr>
        <w:tblPrEx/>
        <w:trPr>
          <w:trHeight w:val="620" w:hRule="atLeast"/>
        </w:trPr>
        <w:tc>
          <w:tcPr>
            <w:tcW w:w="1885" w:type="dxa"/>
            <w:gridSpan w:val="2"/>
            <w:vMerge w:val="restart"/>
            <w:tcBorders/>
            <w:hideMark/>
          </w:tcPr>
          <w:p>
            <w:pPr>
              <w:pStyle w:val="style0"/>
              <w:tabs>
                <w:tab w:val="left" w:leader="none" w:pos="810"/>
              </w:tabs>
              <w:jc w:val="both"/>
              <w:rPr>
                <w:rFonts w:cs="Times New Roman"/>
                <w:iCs/>
                <w:sz w:val="20"/>
                <w:szCs w:val="20"/>
              </w:rPr>
            </w:pPr>
            <w:r>
              <w:rPr>
                <w:rFonts w:cs="Times New Roman"/>
                <w:iCs/>
                <w:sz w:val="20"/>
                <w:szCs w:val="20"/>
              </w:rPr>
              <w:t>Model</w:t>
            </w:r>
          </w:p>
        </w:tc>
        <w:tc>
          <w:tcPr>
            <w:tcW w:w="2430" w:type="dxa"/>
            <w:gridSpan w:val="2"/>
            <w:tcBorders/>
            <w:hideMark/>
          </w:tcPr>
          <w:p>
            <w:pPr>
              <w:pStyle w:val="style0"/>
              <w:tabs>
                <w:tab w:val="left" w:leader="none" w:pos="810"/>
              </w:tabs>
              <w:jc w:val="both"/>
              <w:rPr>
                <w:rFonts w:cs="Times New Roman"/>
                <w:iCs/>
                <w:sz w:val="20"/>
                <w:szCs w:val="20"/>
              </w:rPr>
            </w:pPr>
            <w:r>
              <w:rPr>
                <w:rFonts w:cs="Times New Roman"/>
                <w:iCs/>
                <w:sz w:val="20"/>
                <w:szCs w:val="20"/>
              </w:rPr>
              <w:t>Unstandardized Coefficients</w:t>
            </w:r>
          </w:p>
        </w:tc>
        <w:tc>
          <w:tcPr>
            <w:tcW w:w="1530" w:type="dxa"/>
            <w:tcBorders/>
            <w:hideMark/>
          </w:tcPr>
          <w:p>
            <w:pPr>
              <w:pStyle w:val="style0"/>
              <w:tabs>
                <w:tab w:val="left" w:leader="none" w:pos="810"/>
              </w:tabs>
              <w:jc w:val="both"/>
              <w:rPr>
                <w:rFonts w:cs="Times New Roman"/>
                <w:iCs/>
                <w:sz w:val="20"/>
                <w:szCs w:val="20"/>
              </w:rPr>
            </w:pPr>
            <w:r>
              <w:rPr>
                <w:rFonts w:cs="Times New Roman"/>
                <w:iCs/>
                <w:sz w:val="20"/>
                <w:szCs w:val="20"/>
              </w:rPr>
              <w:t>Standardized Coefficients</w:t>
            </w:r>
          </w:p>
        </w:tc>
        <w:tc>
          <w:tcPr>
            <w:tcW w:w="896" w:type="dxa"/>
            <w:vMerge w:val="restart"/>
            <w:tcBorders/>
            <w:hideMark/>
          </w:tcPr>
          <w:p>
            <w:pPr>
              <w:pStyle w:val="style0"/>
              <w:tabs>
                <w:tab w:val="left" w:leader="none" w:pos="810"/>
              </w:tabs>
              <w:jc w:val="both"/>
              <w:rPr>
                <w:rFonts w:cs="Times New Roman"/>
                <w:iCs/>
                <w:sz w:val="20"/>
                <w:szCs w:val="20"/>
              </w:rPr>
            </w:pPr>
            <w:r>
              <w:rPr>
                <w:rFonts w:cs="Times New Roman"/>
                <w:iCs/>
                <w:sz w:val="20"/>
                <w:szCs w:val="20"/>
              </w:rPr>
              <w:t>t</w:t>
            </w:r>
          </w:p>
        </w:tc>
        <w:tc>
          <w:tcPr>
            <w:tcW w:w="1186" w:type="dxa"/>
            <w:vMerge w:val="restart"/>
            <w:tcBorders/>
            <w:hideMark/>
          </w:tcPr>
          <w:p>
            <w:pPr>
              <w:pStyle w:val="style0"/>
              <w:tabs>
                <w:tab w:val="left" w:leader="none" w:pos="810"/>
              </w:tabs>
              <w:jc w:val="both"/>
              <w:rPr>
                <w:rFonts w:cs="Times New Roman"/>
                <w:iCs/>
                <w:sz w:val="20"/>
                <w:szCs w:val="20"/>
              </w:rPr>
            </w:pPr>
            <w:r>
              <w:rPr>
                <w:rFonts w:cs="Times New Roman"/>
                <w:iCs/>
                <w:sz w:val="20"/>
                <w:szCs w:val="20"/>
              </w:rPr>
              <w:t>Sig.</w:t>
            </w:r>
          </w:p>
        </w:tc>
      </w:tr>
      <w:tr>
        <w:tblPrEx/>
        <w:trPr>
          <w:trHeight w:val="310" w:hRule="atLeast"/>
        </w:trPr>
        <w:tc>
          <w:tcPr>
            <w:tcW w:w="1885" w:type="dxa"/>
            <w:gridSpan w:val="2"/>
            <w:vMerge w:val="continue"/>
            <w:tcBorders/>
            <w:hideMark/>
          </w:tcPr>
          <w:p>
            <w:pPr>
              <w:pStyle w:val="style0"/>
              <w:tabs>
                <w:tab w:val="left" w:leader="none" w:pos="810"/>
              </w:tabs>
              <w:jc w:val="both"/>
              <w:rPr>
                <w:rFonts w:cs="Times New Roman"/>
                <w:iCs/>
                <w:sz w:val="20"/>
                <w:szCs w:val="20"/>
              </w:rPr>
            </w:pPr>
          </w:p>
        </w:tc>
        <w:tc>
          <w:tcPr>
            <w:tcW w:w="1080" w:type="dxa"/>
            <w:tcBorders/>
            <w:hideMark/>
          </w:tcPr>
          <w:p>
            <w:pPr>
              <w:pStyle w:val="style0"/>
              <w:tabs>
                <w:tab w:val="left" w:leader="none" w:pos="810"/>
              </w:tabs>
              <w:jc w:val="both"/>
              <w:rPr>
                <w:rFonts w:cs="Times New Roman"/>
                <w:iCs/>
                <w:sz w:val="20"/>
                <w:szCs w:val="20"/>
              </w:rPr>
            </w:pPr>
            <w:r>
              <w:rPr>
                <w:rFonts w:cs="Times New Roman"/>
                <w:iCs/>
                <w:sz w:val="20"/>
                <w:szCs w:val="20"/>
              </w:rPr>
              <w:t>B</w:t>
            </w:r>
          </w:p>
        </w:tc>
        <w:tc>
          <w:tcPr>
            <w:tcW w:w="1350" w:type="dxa"/>
            <w:tcBorders/>
            <w:hideMark/>
          </w:tcPr>
          <w:p>
            <w:pPr>
              <w:pStyle w:val="style0"/>
              <w:tabs>
                <w:tab w:val="left" w:leader="none" w:pos="810"/>
              </w:tabs>
              <w:jc w:val="both"/>
              <w:rPr>
                <w:rFonts w:cs="Times New Roman"/>
                <w:iCs/>
                <w:sz w:val="20"/>
                <w:szCs w:val="20"/>
              </w:rPr>
            </w:pPr>
            <w:r>
              <w:rPr>
                <w:rFonts w:cs="Times New Roman"/>
                <w:iCs/>
                <w:sz w:val="20"/>
                <w:szCs w:val="20"/>
              </w:rPr>
              <w:t>Std. Error</w:t>
            </w:r>
          </w:p>
        </w:tc>
        <w:tc>
          <w:tcPr>
            <w:tcW w:w="1530" w:type="dxa"/>
            <w:tcBorders/>
            <w:hideMark/>
          </w:tcPr>
          <w:p>
            <w:pPr>
              <w:pStyle w:val="style0"/>
              <w:tabs>
                <w:tab w:val="left" w:leader="none" w:pos="810"/>
              </w:tabs>
              <w:jc w:val="both"/>
              <w:rPr>
                <w:rFonts w:cs="Times New Roman"/>
                <w:iCs/>
                <w:sz w:val="20"/>
                <w:szCs w:val="20"/>
              </w:rPr>
            </w:pPr>
            <w:r>
              <w:rPr>
                <w:rFonts w:cs="Times New Roman"/>
                <w:iCs/>
                <w:sz w:val="20"/>
                <w:szCs w:val="20"/>
              </w:rPr>
              <w:t>Beta</w:t>
            </w:r>
          </w:p>
        </w:tc>
        <w:tc>
          <w:tcPr>
            <w:tcW w:w="896" w:type="dxa"/>
            <w:vMerge w:val="continue"/>
            <w:tcBorders/>
            <w:hideMark/>
          </w:tcPr>
          <w:p>
            <w:pPr>
              <w:pStyle w:val="style0"/>
              <w:tabs>
                <w:tab w:val="left" w:leader="none" w:pos="810"/>
              </w:tabs>
              <w:jc w:val="both"/>
              <w:rPr>
                <w:rFonts w:cs="Times New Roman"/>
                <w:iCs/>
                <w:sz w:val="20"/>
                <w:szCs w:val="20"/>
              </w:rPr>
            </w:pPr>
          </w:p>
        </w:tc>
        <w:tc>
          <w:tcPr>
            <w:tcW w:w="1186" w:type="dxa"/>
            <w:vMerge w:val="continue"/>
            <w:tcBorders/>
            <w:hideMark/>
          </w:tcPr>
          <w:p>
            <w:pPr>
              <w:pStyle w:val="style0"/>
              <w:tabs>
                <w:tab w:val="left" w:leader="none" w:pos="810"/>
              </w:tabs>
              <w:jc w:val="both"/>
              <w:rPr>
                <w:rFonts w:cs="Times New Roman"/>
                <w:iCs/>
                <w:sz w:val="20"/>
                <w:szCs w:val="20"/>
              </w:rPr>
            </w:pPr>
          </w:p>
        </w:tc>
      </w:tr>
      <w:tr>
        <w:tblPrEx/>
        <w:trPr>
          <w:trHeight w:val="310" w:hRule="atLeast"/>
        </w:trPr>
        <w:tc>
          <w:tcPr>
            <w:tcW w:w="335" w:type="dxa"/>
            <w:vMerge w:val="restart"/>
            <w:tcBorders/>
            <w:noWrap/>
            <w:hideMark/>
          </w:tcPr>
          <w:p>
            <w:pPr>
              <w:pStyle w:val="style0"/>
              <w:tabs>
                <w:tab w:val="left" w:leader="none" w:pos="810"/>
              </w:tabs>
              <w:jc w:val="both"/>
              <w:rPr>
                <w:rFonts w:cs="Times New Roman"/>
                <w:iCs/>
                <w:sz w:val="20"/>
                <w:szCs w:val="20"/>
              </w:rPr>
            </w:pPr>
            <w:r>
              <w:rPr>
                <w:rFonts w:cs="Times New Roman"/>
                <w:iCs/>
                <w:sz w:val="20"/>
                <w:szCs w:val="20"/>
              </w:rPr>
              <w:t>1</w:t>
            </w:r>
          </w:p>
        </w:tc>
        <w:tc>
          <w:tcPr>
            <w:tcW w:w="1550" w:type="dxa"/>
            <w:tcBorders/>
            <w:hideMark/>
          </w:tcPr>
          <w:p>
            <w:pPr>
              <w:pStyle w:val="style0"/>
              <w:tabs>
                <w:tab w:val="left" w:leader="none" w:pos="810"/>
              </w:tabs>
              <w:jc w:val="both"/>
              <w:rPr>
                <w:rFonts w:cs="Times New Roman"/>
                <w:iCs/>
                <w:sz w:val="20"/>
                <w:szCs w:val="20"/>
              </w:rPr>
            </w:pPr>
            <w:r>
              <w:rPr>
                <w:rFonts w:cs="Times New Roman"/>
                <w:iCs/>
                <w:sz w:val="20"/>
                <w:szCs w:val="20"/>
              </w:rPr>
              <w:t>(Constant)</w:t>
            </w:r>
          </w:p>
        </w:tc>
        <w:tc>
          <w:tcPr>
            <w:tcW w:w="1080" w:type="dxa"/>
            <w:tcBorders/>
            <w:noWrap/>
            <w:hideMark/>
          </w:tcPr>
          <w:p>
            <w:pPr>
              <w:pStyle w:val="style0"/>
              <w:tabs>
                <w:tab w:val="left" w:leader="none" w:pos="810"/>
              </w:tabs>
              <w:jc w:val="center"/>
              <w:rPr>
                <w:rFonts w:cs="Times New Roman"/>
                <w:iCs/>
                <w:sz w:val="20"/>
                <w:szCs w:val="20"/>
              </w:rPr>
            </w:pPr>
            <w:r>
              <w:rPr>
                <w:rFonts w:cs="Times New Roman"/>
                <w:sz w:val="20"/>
                <w:szCs w:val="20"/>
              </w:rPr>
              <w:t>-0.058</w:t>
            </w:r>
          </w:p>
        </w:tc>
        <w:tc>
          <w:tcPr>
            <w:tcW w:w="1350" w:type="dxa"/>
            <w:tcBorders/>
            <w:noWrap/>
            <w:hideMark/>
          </w:tcPr>
          <w:p>
            <w:pPr>
              <w:pStyle w:val="style0"/>
              <w:tabs>
                <w:tab w:val="left" w:leader="none" w:pos="810"/>
              </w:tabs>
              <w:jc w:val="center"/>
              <w:rPr>
                <w:rFonts w:cs="Times New Roman"/>
                <w:iCs/>
                <w:sz w:val="20"/>
                <w:szCs w:val="20"/>
              </w:rPr>
            </w:pPr>
            <w:r>
              <w:rPr>
                <w:rFonts w:cs="Times New Roman"/>
                <w:sz w:val="20"/>
                <w:szCs w:val="20"/>
              </w:rPr>
              <w:t>0.566</w:t>
            </w:r>
          </w:p>
        </w:tc>
        <w:tc>
          <w:tcPr>
            <w:tcW w:w="1530" w:type="dxa"/>
            <w:tcBorders/>
            <w:hideMark/>
          </w:tcPr>
          <w:p>
            <w:pPr>
              <w:pStyle w:val="style0"/>
              <w:tabs>
                <w:tab w:val="left" w:leader="none" w:pos="810"/>
              </w:tabs>
              <w:jc w:val="center"/>
              <w:rPr>
                <w:rFonts w:cs="Times New Roman"/>
                <w:iCs/>
                <w:sz w:val="20"/>
                <w:szCs w:val="20"/>
              </w:rPr>
            </w:pPr>
          </w:p>
        </w:tc>
        <w:tc>
          <w:tcPr>
            <w:tcW w:w="896" w:type="dxa"/>
            <w:tcBorders/>
            <w:noWrap/>
            <w:hideMark/>
          </w:tcPr>
          <w:p>
            <w:pPr>
              <w:pStyle w:val="style0"/>
              <w:tabs>
                <w:tab w:val="left" w:leader="none" w:pos="810"/>
              </w:tabs>
              <w:jc w:val="center"/>
              <w:rPr>
                <w:rFonts w:cs="Times New Roman"/>
                <w:iCs/>
                <w:sz w:val="20"/>
                <w:szCs w:val="20"/>
              </w:rPr>
            </w:pPr>
            <w:r>
              <w:rPr>
                <w:rFonts w:cs="Times New Roman"/>
                <w:sz w:val="20"/>
                <w:szCs w:val="20"/>
              </w:rPr>
              <w:t>-0.103</w:t>
            </w:r>
          </w:p>
        </w:tc>
        <w:tc>
          <w:tcPr>
            <w:tcW w:w="1186" w:type="dxa"/>
            <w:tcBorders/>
            <w:noWrap/>
            <w:hideMark/>
          </w:tcPr>
          <w:p>
            <w:pPr>
              <w:pStyle w:val="style0"/>
              <w:tabs>
                <w:tab w:val="left" w:leader="none" w:pos="810"/>
              </w:tabs>
              <w:jc w:val="center"/>
              <w:rPr>
                <w:rFonts w:cs="Times New Roman"/>
                <w:iCs/>
                <w:sz w:val="20"/>
                <w:szCs w:val="20"/>
              </w:rPr>
            </w:pPr>
            <w:r>
              <w:rPr>
                <w:rFonts w:cs="Times New Roman"/>
                <w:sz w:val="20"/>
                <w:szCs w:val="20"/>
              </w:rPr>
              <w:t>0.918</w:t>
            </w:r>
          </w:p>
        </w:tc>
      </w:tr>
      <w:tr>
        <w:tblPrEx/>
        <w:trPr>
          <w:trHeight w:val="310" w:hRule="atLeast"/>
        </w:trPr>
        <w:tc>
          <w:tcPr>
            <w:tcW w:w="335" w:type="dxa"/>
            <w:vMerge w:val="continue"/>
            <w:tcBorders/>
            <w:hideMark/>
          </w:tcPr>
          <w:p>
            <w:pPr>
              <w:pStyle w:val="style0"/>
              <w:tabs>
                <w:tab w:val="left" w:leader="none" w:pos="810"/>
              </w:tabs>
              <w:jc w:val="both"/>
              <w:rPr>
                <w:rFonts w:cs="Times New Roman"/>
                <w:iCs/>
                <w:sz w:val="20"/>
                <w:szCs w:val="20"/>
              </w:rPr>
            </w:pPr>
          </w:p>
        </w:tc>
        <w:tc>
          <w:tcPr>
            <w:tcW w:w="1550" w:type="dxa"/>
            <w:tcBorders/>
            <w:hideMark/>
          </w:tcPr>
          <w:p>
            <w:pPr>
              <w:pStyle w:val="style0"/>
              <w:tabs>
                <w:tab w:val="left" w:leader="none" w:pos="810"/>
              </w:tabs>
              <w:jc w:val="both"/>
              <w:rPr>
                <w:rFonts w:cs="Times New Roman"/>
                <w:iCs/>
                <w:sz w:val="20"/>
                <w:szCs w:val="20"/>
              </w:rPr>
            </w:pPr>
            <w:r>
              <w:rPr>
                <w:rFonts w:cs="Times New Roman"/>
                <w:iCs/>
                <w:sz w:val="20"/>
                <w:szCs w:val="20"/>
              </w:rPr>
              <w:t>Enterprise Risk Management</w:t>
            </w:r>
          </w:p>
        </w:tc>
        <w:tc>
          <w:tcPr>
            <w:tcW w:w="1080" w:type="dxa"/>
            <w:tcBorders/>
            <w:noWrap/>
            <w:hideMark/>
          </w:tcPr>
          <w:p>
            <w:pPr>
              <w:pStyle w:val="style0"/>
              <w:tabs>
                <w:tab w:val="left" w:leader="none" w:pos="810"/>
              </w:tabs>
              <w:jc w:val="center"/>
              <w:rPr>
                <w:rFonts w:cs="Times New Roman"/>
                <w:iCs/>
                <w:sz w:val="20"/>
                <w:szCs w:val="20"/>
              </w:rPr>
            </w:pPr>
            <w:r>
              <w:rPr>
                <w:rFonts w:cs="Times New Roman"/>
                <w:sz w:val="20"/>
                <w:szCs w:val="20"/>
              </w:rPr>
              <w:t>0.984</w:t>
            </w:r>
          </w:p>
        </w:tc>
        <w:tc>
          <w:tcPr>
            <w:tcW w:w="1350" w:type="dxa"/>
            <w:tcBorders/>
            <w:noWrap/>
            <w:hideMark/>
          </w:tcPr>
          <w:p>
            <w:pPr>
              <w:pStyle w:val="style0"/>
              <w:tabs>
                <w:tab w:val="left" w:leader="none" w:pos="810"/>
              </w:tabs>
              <w:jc w:val="center"/>
              <w:rPr>
                <w:rFonts w:cs="Times New Roman"/>
                <w:iCs/>
                <w:sz w:val="20"/>
                <w:szCs w:val="20"/>
              </w:rPr>
            </w:pPr>
            <w:r>
              <w:rPr>
                <w:rFonts w:cs="Times New Roman"/>
                <w:sz w:val="20"/>
                <w:szCs w:val="20"/>
              </w:rPr>
              <w:t>0.635</w:t>
            </w:r>
          </w:p>
        </w:tc>
        <w:tc>
          <w:tcPr>
            <w:tcW w:w="1530" w:type="dxa"/>
            <w:tcBorders/>
            <w:noWrap/>
            <w:hideMark/>
          </w:tcPr>
          <w:p>
            <w:pPr>
              <w:pStyle w:val="style0"/>
              <w:tabs>
                <w:tab w:val="left" w:leader="none" w:pos="810"/>
              </w:tabs>
              <w:jc w:val="center"/>
              <w:rPr>
                <w:rFonts w:cs="Times New Roman"/>
                <w:iCs/>
                <w:sz w:val="20"/>
                <w:szCs w:val="20"/>
              </w:rPr>
            </w:pPr>
            <w:r>
              <w:rPr>
                <w:rFonts w:cs="Times New Roman"/>
                <w:sz w:val="20"/>
                <w:szCs w:val="20"/>
              </w:rPr>
              <w:t>0.103</w:t>
            </w:r>
          </w:p>
        </w:tc>
        <w:tc>
          <w:tcPr>
            <w:tcW w:w="896" w:type="dxa"/>
            <w:tcBorders/>
            <w:noWrap/>
            <w:hideMark/>
          </w:tcPr>
          <w:p>
            <w:pPr>
              <w:pStyle w:val="style0"/>
              <w:tabs>
                <w:tab w:val="left" w:leader="none" w:pos="810"/>
              </w:tabs>
              <w:jc w:val="center"/>
              <w:rPr>
                <w:rFonts w:cs="Times New Roman"/>
                <w:iCs/>
                <w:sz w:val="20"/>
                <w:szCs w:val="20"/>
              </w:rPr>
            </w:pPr>
            <w:r>
              <w:rPr>
                <w:rFonts w:cs="Times New Roman"/>
                <w:sz w:val="20"/>
                <w:szCs w:val="20"/>
              </w:rPr>
              <w:t>1.551</w:t>
            </w:r>
          </w:p>
        </w:tc>
        <w:tc>
          <w:tcPr>
            <w:tcW w:w="1186" w:type="dxa"/>
            <w:tcBorders/>
            <w:noWrap/>
            <w:hideMark/>
          </w:tcPr>
          <w:p>
            <w:pPr>
              <w:pStyle w:val="style0"/>
              <w:tabs>
                <w:tab w:val="left" w:leader="none" w:pos="810"/>
              </w:tabs>
              <w:jc w:val="center"/>
              <w:rPr>
                <w:rFonts w:cs="Times New Roman"/>
                <w:iCs/>
                <w:sz w:val="20"/>
                <w:szCs w:val="20"/>
              </w:rPr>
            </w:pPr>
            <w:r>
              <w:rPr>
                <w:rFonts w:cs="Times New Roman"/>
                <w:sz w:val="20"/>
                <w:szCs w:val="20"/>
              </w:rPr>
              <w:t>0.122</w:t>
            </w:r>
          </w:p>
        </w:tc>
      </w:tr>
      <w:tr>
        <w:tblPrEx/>
        <w:trPr>
          <w:trHeight w:val="310" w:hRule="atLeast"/>
        </w:trPr>
        <w:tc>
          <w:tcPr>
            <w:tcW w:w="335" w:type="dxa"/>
            <w:vMerge w:val="continue"/>
            <w:tcBorders/>
            <w:hideMark/>
          </w:tcPr>
          <w:p>
            <w:pPr>
              <w:pStyle w:val="style0"/>
              <w:tabs>
                <w:tab w:val="left" w:leader="none" w:pos="810"/>
              </w:tabs>
              <w:jc w:val="both"/>
              <w:rPr>
                <w:rFonts w:cs="Times New Roman"/>
                <w:iCs/>
                <w:sz w:val="20"/>
                <w:szCs w:val="20"/>
              </w:rPr>
            </w:pPr>
          </w:p>
        </w:tc>
        <w:tc>
          <w:tcPr>
            <w:tcW w:w="1550" w:type="dxa"/>
            <w:tcBorders/>
            <w:hideMark/>
          </w:tcPr>
          <w:p>
            <w:pPr>
              <w:pStyle w:val="style0"/>
              <w:tabs>
                <w:tab w:val="left" w:leader="none" w:pos="810"/>
              </w:tabs>
              <w:jc w:val="both"/>
              <w:rPr>
                <w:rFonts w:cs="Times New Roman"/>
                <w:iCs/>
                <w:sz w:val="20"/>
                <w:szCs w:val="20"/>
              </w:rPr>
            </w:pPr>
            <w:r>
              <w:rPr>
                <w:rFonts w:cs="Times New Roman"/>
                <w:iCs/>
                <w:sz w:val="20"/>
                <w:szCs w:val="20"/>
              </w:rPr>
              <w:t>Managerial Ownership</w:t>
            </w:r>
          </w:p>
        </w:tc>
        <w:tc>
          <w:tcPr>
            <w:tcW w:w="1080" w:type="dxa"/>
            <w:tcBorders/>
            <w:noWrap/>
            <w:hideMark/>
          </w:tcPr>
          <w:p>
            <w:pPr>
              <w:pStyle w:val="style0"/>
              <w:tabs>
                <w:tab w:val="left" w:leader="none" w:pos="810"/>
              </w:tabs>
              <w:jc w:val="center"/>
              <w:rPr>
                <w:rFonts w:cs="Times New Roman"/>
                <w:iCs/>
                <w:sz w:val="20"/>
                <w:szCs w:val="20"/>
              </w:rPr>
            </w:pPr>
            <w:r>
              <w:rPr>
                <w:rFonts w:cs="Times New Roman"/>
                <w:sz w:val="20"/>
                <w:szCs w:val="20"/>
              </w:rPr>
              <w:t>0.956</w:t>
            </w:r>
          </w:p>
        </w:tc>
        <w:tc>
          <w:tcPr>
            <w:tcW w:w="1350" w:type="dxa"/>
            <w:tcBorders/>
            <w:noWrap/>
            <w:hideMark/>
          </w:tcPr>
          <w:p>
            <w:pPr>
              <w:pStyle w:val="style0"/>
              <w:tabs>
                <w:tab w:val="left" w:leader="none" w:pos="810"/>
              </w:tabs>
              <w:jc w:val="center"/>
              <w:rPr>
                <w:rFonts w:cs="Times New Roman"/>
                <w:iCs/>
                <w:sz w:val="20"/>
                <w:szCs w:val="20"/>
              </w:rPr>
            </w:pPr>
            <w:r>
              <w:rPr>
                <w:rFonts w:cs="Times New Roman"/>
                <w:sz w:val="20"/>
                <w:szCs w:val="20"/>
              </w:rPr>
              <w:t>0.921</w:t>
            </w:r>
          </w:p>
        </w:tc>
        <w:tc>
          <w:tcPr>
            <w:tcW w:w="1530" w:type="dxa"/>
            <w:tcBorders/>
            <w:noWrap/>
            <w:hideMark/>
          </w:tcPr>
          <w:p>
            <w:pPr>
              <w:pStyle w:val="style0"/>
              <w:tabs>
                <w:tab w:val="left" w:leader="none" w:pos="810"/>
              </w:tabs>
              <w:jc w:val="center"/>
              <w:rPr>
                <w:rFonts w:cs="Times New Roman"/>
                <w:iCs/>
                <w:sz w:val="20"/>
                <w:szCs w:val="20"/>
              </w:rPr>
            </w:pPr>
            <w:r>
              <w:rPr>
                <w:rFonts w:cs="Times New Roman"/>
                <w:sz w:val="20"/>
                <w:szCs w:val="20"/>
              </w:rPr>
              <w:t>0.088</w:t>
            </w:r>
          </w:p>
        </w:tc>
        <w:tc>
          <w:tcPr>
            <w:tcW w:w="896" w:type="dxa"/>
            <w:tcBorders/>
            <w:noWrap/>
            <w:hideMark/>
          </w:tcPr>
          <w:p>
            <w:pPr>
              <w:pStyle w:val="style0"/>
              <w:tabs>
                <w:tab w:val="left" w:leader="none" w:pos="810"/>
              </w:tabs>
              <w:jc w:val="center"/>
              <w:rPr>
                <w:rFonts w:cs="Times New Roman"/>
                <w:iCs/>
                <w:sz w:val="20"/>
                <w:szCs w:val="20"/>
              </w:rPr>
            </w:pPr>
            <w:r>
              <w:rPr>
                <w:rFonts w:cs="Times New Roman"/>
                <w:sz w:val="20"/>
                <w:szCs w:val="20"/>
              </w:rPr>
              <w:t>1.038</w:t>
            </w:r>
          </w:p>
        </w:tc>
        <w:tc>
          <w:tcPr>
            <w:tcW w:w="1186" w:type="dxa"/>
            <w:tcBorders/>
            <w:noWrap/>
            <w:hideMark/>
          </w:tcPr>
          <w:p>
            <w:pPr>
              <w:pStyle w:val="style0"/>
              <w:tabs>
                <w:tab w:val="left" w:leader="none" w:pos="810"/>
              </w:tabs>
              <w:jc w:val="center"/>
              <w:rPr>
                <w:rFonts w:cs="Times New Roman"/>
                <w:iCs/>
                <w:sz w:val="20"/>
                <w:szCs w:val="20"/>
              </w:rPr>
            </w:pPr>
            <w:r>
              <w:rPr>
                <w:rFonts w:cs="Times New Roman"/>
                <w:sz w:val="20"/>
                <w:szCs w:val="20"/>
              </w:rPr>
              <w:t>0.300</w:t>
            </w:r>
          </w:p>
        </w:tc>
      </w:tr>
      <w:tr>
        <w:tblPrEx/>
        <w:trPr>
          <w:trHeight w:val="310" w:hRule="atLeast"/>
        </w:trPr>
        <w:tc>
          <w:tcPr>
            <w:tcW w:w="335" w:type="dxa"/>
            <w:vMerge w:val="continue"/>
            <w:tcBorders/>
            <w:hideMark/>
          </w:tcPr>
          <w:p>
            <w:pPr>
              <w:pStyle w:val="style0"/>
              <w:tabs>
                <w:tab w:val="left" w:leader="none" w:pos="810"/>
              </w:tabs>
              <w:jc w:val="both"/>
              <w:rPr>
                <w:rFonts w:cs="Times New Roman"/>
                <w:iCs/>
                <w:sz w:val="20"/>
                <w:szCs w:val="20"/>
              </w:rPr>
            </w:pPr>
          </w:p>
        </w:tc>
        <w:tc>
          <w:tcPr>
            <w:tcW w:w="1550" w:type="dxa"/>
            <w:tcBorders/>
            <w:hideMark/>
          </w:tcPr>
          <w:p>
            <w:pPr>
              <w:pStyle w:val="style0"/>
              <w:tabs>
                <w:tab w:val="left" w:leader="none" w:pos="810"/>
              </w:tabs>
              <w:jc w:val="both"/>
              <w:rPr>
                <w:rFonts w:cs="Times New Roman"/>
                <w:iCs/>
                <w:sz w:val="20"/>
                <w:szCs w:val="20"/>
              </w:rPr>
            </w:pPr>
            <w:r>
              <w:rPr>
                <w:rFonts w:cs="Times New Roman"/>
                <w:iCs/>
                <w:sz w:val="20"/>
                <w:szCs w:val="20"/>
              </w:rPr>
              <w:t>Institutional Ownership</w:t>
            </w:r>
          </w:p>
        </w:tc>
        <w:tc>
          <w:tcPr>
            <w:tcW w:w="1080" w:type="dxa"/>
            <w:tcBorders/>
            <w:noWrap/>
            <w:hideMark/>
          </w:tcPr>
          <w:p>
            <w:pPr>
              <w:pStyle w:val="style0"/>
              <w:tabs>
                <w:tab w:val="left" w:leader="none" w:pos="810"/>
              </w:tabs>
              <w:jc w:val="center"/>
              <w:rPr>
                <w:rFonts w:cs="Times New Roman"/>
                <w:iCs/>
                <w:sz w:val="20"/>
                <w:szCs w:val="20"/>
              </w:rPr>
            </w:pPr>
            <w:r>
              <w:rPr>
                <w:rFonts w:cs="Times New Roman"/>
                <w:sz w:val="20"/>
                <w:szCs w:val="20"/>
              </w:rPr>
              <w:t>1.376</w:t>
            </w:r>
          </w:p>
        </w:tc>
        <w:tc>
          <w:tcPr>
            <w:tcW w:w="1350" w:type="dxa"/>
            <w:tcBorders/>
            <w:noWrap/>
            <w:hideMark/>
          </w:tcPr>
          <w:p>
            <w:pPr>
              <w:pStyle w:val="style0"/>
              <w:tabs>
                <w:tab w:val="left" w:leader="none" w:pos="810"/>
              </w:tabs>
              <w:jc w:val="center"/>
              <w:rPr>
                <w:rFonts w:cs="Times New Roman"/>
                <w:iCs/>
                <w:sz w:val="20"/>
                <w:szCs w:val="20"/>
              </w:rPr>
            </w:pPr>
            <w:r>
              <w:rPr>
                <w:rFonts w:cs="Times New Roman"/>
                <w:sz w:val="20"/>
                <w:szCs w:val="20"/>
              </w:rPr>
              <w:t>0.473</w:t>
            </w:r>
          </w:p>
        </w:tc>
        <w:tc>
          <w:tcPr>
            <w:tcW w:w="1530" w:type="dxa"/>
            <w:tcBorders/>
            <w:noWrap/>
            <w:hideMark/>
          </w:tcPr>
          <w:p>
            <w:pPr>
              <w:pStyle w:val="style0"/>
              <w:tabs>
                <w:tab w:val="left" w:leader="none" w:pos="810"/>
              </w:tabs>
              <w:jc w:val="center"/>
              <w:rPr>
                <w:rFonts w:cs="Times New Roman"/>
                <w:iCs/>
                <w:sz w:val="20"/>
                <w:szCs w:val="20"/>
              </w:rPr>
            </w:pPr>
            <w:r>
              <w:rPr>
                <w:rFonts w:cs="Times New Roman"/>
                <w:sz w:val="20"/>
                <w:szCs w:val="20"/>
              </w:rPr>
              <w:t>0.241</w:t>
            </w:r>
          </w:p>
        </w:tc>
        <w:tc>
          <w:tcPr>
            <w:tcW w:w="896" w:type="dxa"/>
            <w:tcBorders/>
            <w:noWrap/>
            <w:hideMark/>
          </w:tcPr>
          <w:p>
            <w:pPr>
              <w:pStyle w:val="style0"/>
              <w:tabs>
                <w:tab w:val="left" w:leader="none" w:pos="810"/>
              </w:tabs>
              <w:jc w:val="center"/>
              <w:rPr>
                <w:rFonts w:cs="Times New Roman"/>
                <w:iCs/>
                <w:sz w:val="20"/>
                <w:szCs w:val="20"/>
              </w:rPr>
            </w:pPr>
            <w:r>
              <w:rPr>
                <w:rFonts w:cs="Times New Roman"/>
                <w:sz w:val="20"/>
                <w:szCs w:val="20"/>
              </w:rPr>
              <w:t>2.911</w:t>
            </w:r>
          </w:p>
        </w:tc>
        <w:tc>
          <w:tcPr>
            <w:tcW w:w="1186" w:type="dxa"/>
            <w:tcBorders/>
            <w:noWrap/>
            <w:hideMark/>
          </w:tcPr>
          <w:p>
            <w:pPr>
              <w:pStyle w:val="style0"/>
              <w:tabs>
                <w:tab w:val="left" w:leader="none" w:pos="810"/>
              </w:tabs>
              <w:jc w:val="center"/>
              <w:rPr>
                <w:rFonts w:cs="Times New Roman"/>
                <w:iCs/>
                <w:sz w:val="20"/>
                <w:szCs w:val="20"/>
              </w:rPr>
            </w:pPr>
            <w:r>
              <w:rPr>
                <w:rFonts w:cs="Times New Roman"/>
                <w:sz w:val="20"/>
                <w:szCs w:val="20"/>
              </w:rPr>
              <w:t>0.004</w:t>
            </w:r>
          </w:p>
        </w:tc>
      </w:tr>
    </w:tbl>
    <w:p>
      <w:pPr>
        <w:pStyle w:val="style0"/>
        <w:tabs>
          <w:tab w:val="left" w:leader="none" w:pos="360"/>
        </w:tabs>
        <w:spacing w:before="240" w:after="0" w:lineRule="auto" w:line="240"/>
        <w:rPr>
          <w:rFonts w:cs="Times New Roman" w:eastAsia="宋体"/>
          <w:b/>
          <w:bCs/>
          <w:szCs w:val="24"/>
        </w:rPr>
      </w:pPr>
      <w:r>
        <w:rPr>
          <w:rFonts w:cs="Times New Roman" w:eastAsia="宋体"/>
          <w:b/>
          <w:bCs/>
          <w:szCs w:val="24"/>
        </w:rPr>
        <w:t xml:space="preserve">4. </w:t>
      </w:r>
      <w:r>
        <w:rPr>
          <w:rFonts w:cs="Times New Roman" w:eastAsia="宋体"/>
          <w:b/>
          <w:bCs/>
          <w:szCs w:val="24"/>
        </w:rPr>
        <w:tab/>
      </w:r>
      <w:r>
        <w:rPr>
          <w:rFonts w:cs="Times New Roman" w:eastAsia="宋体"/>
          <w:b/>
          <w:bCs/>
          <w:szCs w:val="24"/>
        </w:rPr>
        <w:t xml:space="preserve">Uji Kelayakan Model </w:t>
      </w:r>
    </w:p>
    <w:p>
      <w:pPr>
        <w:pStyle w:val="style0"/>
        <w:tabs>
          <w:tab w:val="left" w:leader="none" w:pos="360"/>
        </w:tabs>
        <w:spacing w:after="0" w:lineRule="auto" w:line="240"/>
        <w:ind w:left="180"/>
        <w:rPr>
          <w:rFonts w:cs="Times New Roman" w:eastAsia="宋体"/>
          <w:b/>
          <w:bCs/>
          <w:szCs w:val="24"/>
        </w:rPr>
      </w:pPr>
      <w:r>
        <w:rPr>
          <w:rFonts w:cs="Times New Roman" w:eastAsia="宋体"/>
          <w:b/>
          <w:bCs/>
          <w:szCs w:val="24"/>
        </w:rPr>
        <w:tab/>
      </w:r>
      <w:r>
        <w:rPr>
          <w:rFonts w:cs="Times New Roman" w:eastAsia="宋体"/>
          <w:b/>
          <w:bCs/>
          <w:szCs w:val="24"/>
        </w:rPr>
        <w:t>a. Uji F</w:t>
      </w:r>
    </w:p>
    <w:tbl>
      <w:tblPr>
        <w:tblStyle w:val="style154"/>
        <w:tblW w:w="0" w:type="auto"/>
        <w:tblLook w:val="04A0" w:firstRow="1" w:lastRow="0" w:firstColumn="1" w:lastColumn="0" w:noHBand="0" w:noVBand="1"/>
      </w:tblPr>
      <w:tblGrid>
        <w:gridCol w:w="336"/>
        <w:gridCol w:w="1549"/>
        <w:gridCol w:w="1620"/>
        <w:gridCol w:w="990"/>
        <w:gridCol w:w="1440"/>
        <w:gridCol w:w="990"/>
        <w:gridCol w:w="1002"/>
      </w:tblGrid>
      <w:tr>
        <w:trPr>
          <w:trHeight w:val="360" w:hRule="atLeast"/>
        </w:trPr>
        <w:tc>
          <w:tcPr>
            <w:tcW w:w="7927" w:type="dxa"/>
            <w:gridSpan w:val="7"/>
            <w:tcBorders/>
            <w:hideMark/>
          </w:tcPr>
          <w:p>
            <w:pPr>
              <w:pStyle w:val="style0"/>
              <w:jc w:val="center"/>
              <w:rPr>
                <w:rFonts w:cs="Times New Roman"/>
                <w:b/>
                <w:bCs/>
                <w:iCs/>
                <w:sz w:val="20"/>
                <w:szCs w:val="20"/>
              </w:rPr>
            </w:pPr>
            <w:r>
              <w:rPr>
                <w:rFonts w:cs="Times New Roman"/>
                <w:b/>
                <w:bCs/>
                <w:iCs/>
                <w:sz w:val="20"/>
                <w:szCs w:val="20"/>
              </w:rPr>
              <w:t>ANOVA</w:t>
            </w:r>
            <w:r>
              <w:rPr>
                <w:rFonts w:cs="Times New Roman"/>
                <w:b/>
                <w:bCs/>
                <w:iCs/>
                <w:sz w:val="20"/>
                <w:szCs w:val="20"/>
                <w:vertAlign w:val="superscript"/>
              </w:rPr>
              <w:t>a</w:t>
            </w:r>
          </w:p>
        </w:tc>
      </w:tr>
      <w:tr>
        <w:tblPrEx/>
        <w:trPr>
          <w:trHeight w:val="350" w:hRule="atLeast"/>
        </w:trPr>
        <w:tc>
          <w:tcPr>
            <w:tcW w:w="1885" w:type="dxa"/>
            <w:gridSpan w:val="2"/>
            <w:tcBorders/>
            <w:hideMark/>
          </w:tcPr>
          <w:p>
            <w:pPr>
              <w:pStyle w:val="style0"/>
              <w:jc w:val="both"/>
              <w:rPr>
                <w:rFonts w:cs="Times New Roman"/>
                <w:iCs/>
                <w:sz w:val="20"/>
                <w:szCs w:val="20"/>
              </w:rPr>
            </w:pPr>
            <w:r>
              <w:rPr>
                <w:rFonts w:cs="Times New Roman"/>
                <w:iCs/>
                <w:sz w:val="20"/>
                <w:szCs w:val="20"/>
              </w:rPr>
              <w:t>Model</w:t>
            </w:r>
          </w:p>
        </w:tc>
        <w:tc>
          <w:tcPr>
            <w:tcW w:w="1620" w:type="dxa"/>
            <w:tcBorders/>
            <w:hideMark/>
          </w:tcPr>
          <w:p>
            <w:pPr>
              <w:pStyle w:val="style0"/>
              <w:jc w:val="both"/>
              <w:rPr>
                <w:rFonts w:cs="Times New Roman"/>
                <w:iCs/>
                <w:sz w:val="20"/>
                <w:szCs w:val="20"/>
              </w:rPr>
            </w:pPr>
            <w:r>
              <w:rPr>
                <w:rFonts w:cs="Times New Roman"/>
                <w:iCs/>
                <w:sz w:val="20"/>
                <w:szCs w:val="20"/>
              </w:rPr>
              <w:t>Sum of Squares</w:t>
            </w:r>
          </w:p>
        </w:tc>
        <w:tc>
          <w:tcPr>
            <w:tcW w:w="990" w:type="dxa"/>
            <w:tcBorders/>
            <w:hideMark/>
          </w:tcPr>
          <w:p>
            <w:pPr>
              <w:pStyle w:val="style0"/>
              <w:jc w:val="center"/>
              <w:rPr>
                <w:rFonts w:cs="Times New Roman"/>
                <w:iCs/>
                <w:sz w:val="20"/>
                <w:szCs w:val="20"/>
              </w:rPr>
            </w:pPr>
            <w:r>
              <w:rPr>
                <w:rFonts w:cs="Times New Roman"/>
                <w:iCs/>
                <w:sz w:val="20"/>
                <w:szCs w:val="20"/>
              </w:rPr>
              <w:t>df</w:t>
            </w:r>
          </w:p>
        </w:tc>
        <w:tc>
          <w:tcPr>
            <w:tcW w:w="1440" w:type="dxa"/>
            <w:tcBorders/>
            <w:hideMark/>
          </w:tcPr>
          <w:p>
            <w:pPr>
              <w:pStyle w:val="style0"/>
              <w:jc w:val="center"/>
              <w:rPr>
                <w:rFonts w:cs="Times New Roman"/>
                <w:iCs/>
                <w:sz w:val="20"/>
                <w:szCs w:val="20"/>
              </w:rPr>
            </w:pPr>
            <w:r>
              <w:rPr>
                <w:rFonts w:cs="Times New Roman"/>
                <w:iCs/>
                <w:sz w:val="20"/>
                <w:szCs w:val="20"/>
              </w:rPr>
              <w:t>Mean Square</w:t>
            </w:r>
          </w:p>
        </w:tc>
        <w:tc>
          <w:tcPr>
            <w:tcW w:w="990" w:type="dxa"/>
            <w:tcBorders/>
            <w:hideMark/>
          </w:tcPr>
          <w:p>
            <w:pPr>
              <w:pStyle w:val="style0"/>
              <w:jc w:val="center"/>
              <w:rPr>
                <w:rFonts w:cs="Times New Roman"/>
                <w:iCs/>
                <w:sz w:val="20"/>
                <w:szCs w:val="20"/>
              </w:rPr>
            </w:pPr>
            <w:r>
              <w:rPr>
                <w:rFonts w:cs="Times New Roman"/>
                <w:iCs/>
                <w:sz w:val="20"/>
                <w:szCs w:val="20"/>
              </w:rPr>
              <w:t>F</w:t>
            </w:r>
          </w:p>
        </w:tc>
        <w:tc>
          <w:tcPr>
            <w:tcW w:w="1002" w:type="dxa"/>
            <w:tcBorders/>
            <w:hideMark/>
          </w:tcPr>
          <w:p>
            <w:pPr>
              <w:pStyle w:val="style0"/>
              <w:jc w:val="center"/>
              <w:rPr>
                <w:rFonts w:cs="Times New Roman"/>
                <w:iCs/>
                <w:sz w:val="20"/>
                <w:szCs w:val="20"/>
              </w:rPr>
            </w:pPr>
            <w:r>
              <w:rPr>
                <w:rFonts w:cs="Times New Roman"/>
                <w:iCs/>
                <w:sz w:val="20"/>
                <w:szCs w:val="20"/>
              </w:rPr>
              <w:t>Sig.</w:t>
            </w:r>
          </w:p>
        </w:tc>
      </w:tr>
      <w:tr>
        <w:tblPrEx/>
        <w:trPr>
          <w:trHeight w:val="370" w:hRule="atLeast"/>
        </w:trPr>
        <w:tc>
          <w:tcPr>
            <w:tcW w:w="336" w:type="dxa"/>
            <w:vMerge w:val="restart"/>
            <w:tcBorders/>
            <w:noWrap/>
            <w:hideMark/>
          </w:tcPr>
          <w:p>
            <w:pPr>
              <w:pStyle w:val="style0"/>
              <w:jc w:val="both"/>
              <w:rPr>
                <w:rFonts w:cs="Times New Roman"/>
                <w:iCs/>
                <w:sz w:val="20"/>
                <w:szCs w:val="20"/>
              </w:rPr>
            </w:pPr>
            <w:r>
              <w:rPr>
                <w:rFonts w:cs="Times New Roman"/>
                <w:iCs/>
                <w:sz w:val="20"/>
                <w:szCs w:val="20"/>
              </w:rPr>
              <w:t>1</w:t>
            </w:r>
          </w:p>
        </w:tc>
        <w:tc>
          <w:tcPr>
            <w:tcW w:w="1549" w:type="dxa"/>
            <w:tcBorders/>
            <w:hideMark/>
          </w:tcPr>
          <w:p>
            <w:pPr>
              <w:pStyle w:val="style0"/>
              <w:jc w:val="both"/>
              <w:rPr>
                <w:rFonts w:cs="Times New Roman"/>
                <w:iCs/>
                <w:sz w:val="20"/>
                <w:szCs w:val="20"/>
              </w:rPr>
            </w:pPr>
            <w:r>
              <w:rPr>
                <w:rFonts w:cs="Times New Roman"/>
                <w:iCs/>
                <w:sz w:val="20"/>
                <w:szCs w:val="20"/>
              </w:rPr>
              <w:t>Regression</w:t>
            </w:r>
          </w:p>
        </w:tc>
        <w:tc>
          <w:tcPr>
            <w:tcW w:w="1620" w:type="dxa"/>
            <w:tcBorders/>
            <w:noWrap/>
            <w:hideMark/>
          </w:tcPr>
          <w:p>
            <w:pPr>
              <w:pStyle w:val="style0"/>
              <w:jc w:val="both"/>
              <w:rPr>
                <w:rFonts w:cs="Times New Roman"/>
                <w:iCs/>
                <w:sz w:val="20"/>
                <w:szCs w:val="20"/>
              </w:rPr>
            </w:pPr>
            <w:r>
              <w:rPr>
                <w:rFonts w:cs="Times New Roman"/>
                <w:iCs/>
                <w:sz w:val="20"/>
                <w:szCs w:val="20"/>
              </w:rPr>
              <w:t>29.526</w:t>
            </w:r>
          </w:p>
        </w:tc>
        <w:tc>
          <w:tcPr>
            <w:tcW w:w="990" w:type="dxa"/>
            <w:tcBorders/>
            <w:noWrap/>
            <w:hideMark/>
          </w:tcPr>
          <w:p>
            <w:pPr>
              <w:pStyle w:val="style0"/>
              <w:jc w:val="both"/>
              <w:rPr>
                <w:rFonts w:cs="Times New Roman"/>
                <w:iCs/>
                <w:sz w:val="20"/>
                <w:szCs w:val="20"/>
              </w:rPr>
            </w:pPr>
            <w:r>
              <w:rPr>
                <w:rFonts w:cs="Times New Roman"/>
                <w:iCs/>
                <w:sz w:val="20"/>
                <w:szCs w:val="20"/>
              </w:rPr>
              <w:t>3</w:t>
            </w:r>
          </w:p>
        </w:tc>
        <w:tc>
          <w:tcPr>
            <w:tcW w:w="1440" w:type="dxa"/>
            <w:tcBorders/>
            <w:noWrap/>
            <w:hideMark/>
          </w:tcPr>
          <w:p>
            <w:pPr>
              <w:pStyle w:val="style0"/>
              <w:jc w:val="both"/>
              <w:rPr>
                <w:rFonts w:cs="Times New Roman"/>
                <w:iCs/>
                <w:sz w:val="20"/>
                <w:szCs w:val="20"/>
              </w:rPr>
            </w:pPr>
            <w:r>
              <w:rPr>
                <w:rFonts w:cs="Times New Roman"/>
                <w:iCs/>
                <w:sz w:val="20"/>
                <w:szCs w:val="20"/>
              </w:rPr>
              <w:t>9.842</w:t>
            </w:r>
          </w:p>
        </w:tc>
        <w:tc>
          <w:tcPr>
            <w:tcW w:w="990" w:type="dxa"/>
            <w:tcBorders/>
            <w:noWrap/>
            <w:hideMark/>
          </w:tcPr>
          <w:p>
            <w:pPr>
              <w:pStyle w:val="style0"/>
              <w:jc w:val="both"/>
              <w:rPr>
                <w:rFonts w:cs="Times New Roman"/>
                <w:iCs/>
                <w:sz w:val="20"/>
                <w:szCs w:val="20"/>
              </w:rPr>
            </w:pPr>
            <w:r>
              <w:rPr>
                <w:rFonts w:cs="Times New Roman"/>
                <w:iCs/>
                <w:sz w:val="20"/>
                <w:szCs w:val="20"/>
              </w:rPr>
              <w:t>4.059</w:t>
            </w:r>
          </w:p>
        </w:tc>
        <w:tc>
          <w:tcPr>
            <w:tcW w:w="1002" w:type="dxa"/>
            <w:tcBorders/>
            <w:noWrap/>
            <w:hideMark/>
          </w:tcPr>
          <w:p>
            <w:pPr>
              <w:pStyle w:val="style0"/>
              <w:jc w:val="both"/>
              <w:rPr>
                <w:rFonts w:cs="Times New Roman"/>
                <w:iCs/>
                <w:sz w:val="20"/>
                <w:szCs w:val="20"/>
              </w:rPr>
            </w:pPr>
            <w:r>
              <w:rPr>
                <w:rFonts w:cs="Times New Roman"/>
                <w:iCs/>
                <w:sz w:val="20"/>
                <w:szCs w:val="20"/>
              </w:rPr>
              <w:t>.008</w:t>
            </w:r>
            <w:r>
              <w:rPr>
                <w:rFonts w:cs="Times New Roman"/>
                <w:iCs/>
                <w:sz w:val="20"/>
                <w:szCs w:val="20"/>
                <w:vertAlign w:val="superscript"/>
              </w:rPr>
              <w:t>b</w:t>
            </w:r>
          </w:p>
        </w:tc>
      </w:tr>
      <w:tr>
        <w:tblPrEx/>
        <w:trPr>
          <w:trHeight w:val="310" w:hRule="atLeast"/>
        </w:trPr>
        <w:tc>
          <w:tcPr>
            <w:tcW w:w="336" w:type="dxa"/>
            <w:vMerge w:val="continue"/>
            <w:tcBorders/>
            <w:hideMark/>
          </w:tcPr>
          <w:p>
            <w:pPr>
              <w:pStyle w:val="style0"/>
              <w:jc w:val="both"/>
              <w:rPr>
                <w:rFonts w:cs="Times New Roman"/>
                <w:iCs/>
                <w:sz w:val="20"/>
                <w:szCs w:val="20"/>
              </w:rPr>
            </w:pPr>
          </w:p>
        </w:tc>
        <w:tc>
          <w:tcPr>
            <w:tcW w:w="1549" w:type="dxa"/>
            <w:tcBorders/>
            <w:hideMark/>
          </w:tcPr>
          <w:p>
            <w:pPr>
              <w:pStyle w:val="style0"/>
              <w:jc w:val="both"/>
              <w:rPr>
                <w:rFonts w:cs="Times New Roman"/>
                <w:iCs/>
                <w:sz w:val="20"/>
                <w:szCs w:val="20"/>
              </w:rPr>
            </w:pPr>
            <w:r>
              <w:rPr>
                <w:rFonts w:cs="Times New Roman"/>
                <w:iCs/>
                <w:sz w:val="20"/>
                <w:szCs w:val="20"/>
              </w:rPr>
              <w:t>Residual</w:t>
            </w:r>
          </w:p>
        </w:tc>
        <w:tc>
          <w:tcPr>
            <w:tcW w:w="1620" w:type="dxa"/>
            <w:tcBorders/>
            <w:noWrap/>
            <w:hideMark/>
          </w:tcPr>
          <w:p>
            <w:pPr>
              <w:pStyle w:val="style0"/>
              <w:jc w:val="both"/>
              <w:rPr>
                <w:rFonts w:cs="Times New Roman"/>
                <w:iCs/>
                <w:sz w:val="20"/>
                <w:szCs w:val="20"/>
              </w:rPr>
            </w:pPr>
            <w:r>
              <w:rPr>
                <w:rFonts w:cs="Times New Roman"/>
                <w:iCs/>
                <w:sz w:val="20"/>
                <w:szCs w:val="20"/>
              </w:rPr>
              <w:t>552.787</w:t>
            </w:r>
          </w:p>
        </w:tc>
        <w:tc>
          <w:tcPr>
            <w:tcW w:w="990" w:type="dxa"/>
            <w:tcBorders/>
            <w:noWrap/>
            <w:hideMark/>
          </w:tcPr>
          <w:p>
            <w:pPr>
              <w:pStyle w:val="style0"/>
              <w:jc w:val="both"/>
              <w:rPr>
                <w:rFonts w:cs="Times New Roman"/>
                <w:iCs/>
                <w:sz w:val="20"/>
                <w:szCs w:val="20"/>
              </w:rPr>
            </w:pPr>
            <w:r>
              <w:rPr>
                <w:rFonts w:cs="Times New Roman"/>
                <w:iCs/>
                <w:sz w:val="20"/>
                <w:szCs w:val="20"/>
              </w:rPr>
              <w:t>228</w:t>
            </w:r>
          </w:p>
        </w:tc>
        <w:tc>
          <w:tcPr>
            <w:tcW w:w="1440" w:type="dxa"/>
            <w:tcBorders/>
            <w:noWrap/>
            <w:hideMark/>
          </w:tcPr>
          <w:p>
            <w:pPr>
              <w:pStyle w:val="style0"/>
              <w:jc w:val="both"/>
              <w:rPr>
                <w:rFonts w:cs="Times New Roman"/>
                <w:iCs/>
                <w:sz w:val="20"/>
                <w:szCs w:val="20"/>
              </w:rPr>
            </w:pPr>
            <w:r>
              <w:rPr>
                <w:rFonts w:cs="Times New Roman"/>
                <w:iCs/>
                <w:sz w:val="20"/>
                <w:szCs w:val="20"/>
              </w:rPr>
              <w:t>2.425</w:t>
            </w:r>
          </w:p>
        </w:tc>
        <w:tc>
          <w:tcPr>
            <w:tcW w:w="990" w:type="dxa"/>
            <w:tcBorders/>
            <w:hideMark/>
          </w:tcPr>
          <w:p>
            <w:pPr>
              <w:pStyle w:val="style0"/>
              <w:jc w:val="both"/>
              <w:rPr>
                <w:rFonts w:cs="Times New Roman"/>
                <w:iCs/>
                <w:sz w:val="20"/>
                <w:szCs w:val="20"/>
              </w:rPr>
            </w:pPr>
            <w:r>
              <w:rPr>
                <w:rFonts w:cs="Times New Roman"/>
                <w:iCs/>
                <w:sz w:val="20"/>
                <w:szCs w:val="20"/>
              </w:rPr>
              <w:t> </w:t>
            </w:r>
          </w:p>
        </w:tc>
        <w:tc>
          <w:tcPr>
            <w:tcW w:w="1002" w:type="dxa"/>
            <w:tcBorders/>
            <w:hideMark/>
          </w:tcPr>
          <w:p>
            <w:pPr>
              <w:pStyle w:val="style0"/>
              <w:jc w:val="both"/>
              <w:rPr>
                <w:rFonts w:cs="Times New Roman"/>
                <w:iCs/>
                <w:sz w:val="20"/>
                <w:szCs w:val="20"/>
              </w:rPr>
            </w:pPr>
            <w:r>
              <w:rPr>
                <w:rFonts w:cs="Times New Roman"/>
                <w:iCs/>
                <w:sz w:val="20"/>
                <w:szCs w:val="20"/>
              </w:rPr>
              <w:t> </w:t>
            </w:r>
          </w:p>
        </w:tc>
      </w:tr>
      <w:tr>
        <w:tblPrEx/>
        <w:trPr>
          <w:trHeight w:val="310" w:hRule="atLeast"/>
        </w:trPr>
        <w:tc>
          <w:tcPr>
            <w:tcW w:w="336" w:type="dxa"/>
            <w:vMerge w:val="continue"/>
            <w:tcBorders/>
            <w:hideMark/>
          </w:tcPr>
          <w:p>
            <w:pPr>
              <w:pStyle w:val="style0"/>
              <w:jc w:val="both"/>
              <w:rPr>
                <w:rFonts w:cs="Times New Roman"/>
                <w:iCs/>
                <w:sz w:val="20"/>
                <w:szCs w:val="20"/>
              </w:rPr>
            </w:pPr>
          </w:p>
        </w:tc>
        <w:tc>
          <w:tcPr>
            <w:tcW w:w="1549" w:type="dxa"/>
            <w:tcBorders/>
            <w:hideMark/>
          </w:tcPr>
          <w:p>
            <w:pPr>
              <w:pStyle w:val="style0"/>
              <w:jc w:val="both"/>
              <w:rPr>
                <w:rFonts w:cs="Times New Roman"/>
                <w:iCs/>
                <w:sz w:val="20"/>
                <w:szCs w:val="20"/>
              </w:rPr>
            </w:pPr>
            <w:r>
              <w:rPr>
                <w:rFonts w:cs="Times New Roman"/>
                <w:iCs/>
                <w:sz w:val="20"/>
                <w:szCs w:val="20"/>
              </w:rPr>
              <w:t>Total</w:t>
            </w:r>
          </w:p>
        </w:tc>
        <w:tc>
          <w:tcPr>
            <w:tcW w:w="1620" w:type="dxa"/>
            <w:tcBorders/>
            <w:noWrap/>
            <w:hideMark/>
          </w:tcPr>
          <w:p>
            <w:pPr>
              <w:pStyle w:val="style0"/>
              <w:jc w:val="both"/>
              <w:rPr>
                <w:rFonts w:cs="Times New Roman"/>
                <w:iCs/>
                <w:sz w:val="20"/>
                <w:szCs w:val="20"/>
              </w:rPr>
            </w:pPr>
            <w:r>
              <w:rPr>
                <w:rFonts w:cs="Times New Roman"/>
                <w:iCs/>
                <w:sz w:val="20"/>
                <w:szCs w:val="20"/>
              </w:rPr>
              <w:t>582.312</w:t>
            </w:r>
          </w:p>
        </w:tc>
        <w:tc>
          <w:tcPr>
            <w:tcW w:w="990" w:type="dxa"/>
            <w:tcBorders/>
            <w:noWrap/>
            <w:hideMark/>
          </w:tcPr>
          <w:p>
            <w:pPr>
              <w:pStyle w:val="style0"/>
              <w:jc w:val="both"/>
              <w:rPr>
                <w:rFonts w:cs="Times New Roman"/>
                <w:iCs/>
                <w:sz w:val="20"/>
                <w:szCs w:val="20"/>
              </w:rPr>
            </w:pPr>
            <w:r>
              <w:rPr>
                <w:rFonts w:cs="Times New Roman"/>
                <w:iCs/>
                <w:sz w:val="20"/>
                <w:szCs w:val="20"/>
              </w:rPr>
              <w:t>231</w:t>
            </w:r>
          </w:p>
        </w:tc>
        <w:tc>
          <w:tcPr>
            <w:tcW w:w="1440" w:type="dxa"/>
            <w:tcBorders/>
            <w:hideMark/>
          </w:tcPr>
          <w:p>
            <w:pPr>
              <w:pStyle w:val="style0"/>
              <w:jc w:val="both"/>
              <w:rPr>
                <w:rFonts w:cs="Times New Roman"/>
                <w:iCs/>
                <w:sz w:val="20"/>
                <w:szCs w:val="20"/>
              </w:rPr>
            </w:pPr>
            <w:r>
              <w:rPr>
                <w:rFonts w:cs="Times New Roman"/>
                <w:iCs/>
                <w:sz w:val="20"/>
                <w:szCs w:val="20"/>
              </w:rPr>
              <w:t> </w:t>
            </w:r>
          </w:p>
        </w:tc>
        <w:tc>
          <w:tcPr>
            <w:tcW w:w="990" w:type="dxa"/>
            <w:tcBorders/>
            <w:hideMark/>
          </w:tcPr>
          <w:p>
            <w:pPr>
              <w:pStyle w:val="style0"/>
              <w:jc w:val="both"/>
              <w:rPr>
                <w:rFonts w:cs="Times New Roman"/>
                <w:iCs/>
                <w:sz w:val="20"/>
                <w:szCs w:val="20"/>
              </w:rPr>
            </w:pPr>
            <w:r>
              <w:rPr>
                <w:rFonts w:cs="Times New Roman"/>
                <w:iCs/>
                <w:sz w:val="20"/>
                <w:szCs w:val="20"/>
              </w:rPr>
              <w:t> </w:t>
            </w:r>
          </w:p>
        </w:tc>
        <w:tc>
          <w:tcPr>
            <w:tcW w:w="1002" w:type="dxa"/>
            <w:tcBorders/>
            <w:hideMark/>
          </w:tcPr>
          <w:p>
            <w:pPr>
              <w:pStyle w:val="style0"/>
              <w:jc w:val="both"/>
              <w:rPr>
                <w:rFonts w:cs="Times New Roman"/>
                <w:iCs/>
                <w:sz w:val="20"/>
                <w:szCs w:val="20"/>
              </w:rPr>
            </w:pPr>
            <w:r>
              <w:rPr>
                <w:rFonts w:cs="Times New Roman"/>
                <w:iCs/>
                <w:sz w:val="20"/>
                <w:szCs w:val="20"/>
              </w:rPr>
              <w:t> </w:t>
            </w:r>
          </w:p>
        </w:tc>
      </w:tr>
    </w:tbl>
    <w:p>
      <w:pPr>
        <w:pStyle w:val="style0"/>
        <w:tabs>
          <w:tab w:val="left" w:leader="none" w:pos="720"/>
        </w:tabs>
        <w:spacing w:before="240" w:after="0" w:lineRule="auto" w:line="240"/>
        <w:ind w:left="360"/>
        <w:rPr>
          <w:rFonts w:cs="Times New Roman" w:eastAsia="宋体"/>
          <w:b/>
          <w:bCs/>
          <w:szCs w:val="24"/>
        </w:rPr>
      </w:pPr>
      <w:r>
        <w:rPr>
          <w:rFonts w:cs="Times New Roman" w:eastAsia="宋体"/>
          <w:b/>
          <w:bCs/>
          <w:szCs w:val="24"/>
        </w:rPr>
        <w:t>b. Uji Koefisien Determinasi (</w:t>
      </w:r>
      <m:oMath>
        <m:sSup>
          <m:sSupPr>
            <m:ctrlPr>
              <w:rPr>
                <w:rFonts w:ascii="Cambria Math" w:cs="Times New Roman" w:hAnsi="Cambria Math"/>
                <w:iCs/>
                <w:szCs w:val="24"/>
              </w:rPr>
            </m:ctrlPr>
          </m:sSupPr>
          <m:e>
            <m:r>
              <m:rPr>
                <m:sty m:val="b"/>
              </m:rPr>
              <w:rPr>
                <w:rFonts w:ascii="Cambria Math" w:cs="Times New Roman" w:hAnsi="Cambria Math"/>
                <w:szCs w:val="24"/>
              </w:rPr>
              <m:t>R</m:t>
            </m:r>
          </m:e>
          <m:sup>
            <m:r>
              <m:rPr>
                <m:sty m:val="b"/>
              </m:rPr>
              <w:rPr>
                <w:rFonts w:ascii="Cambria Math" w:cs="Times New Roman" w:hAnsi="Cambria Math"/>
                <w:szCs w:val="24"/>
              </w:rPr>
              <m:t>2</m:t>
            </m:r>
          </m:sup>
        </m:sSup>
      </m:oMath>
      <w:r>
        <w:rPr>
          <w:rFonts w:cs="Times New Roman" w:eastAsia="宋体"/>
          <w:b/>
          <w:bCs/>
          <w:szCs w:val="24"/>
        </w:rPr>
        <w:t>)</w:t>
      </w:r>
    </w:p>
    <w:tbl>
      <w:tblPr>
        <w:tblStyle w:val="style154"/>
        <w:tblpPr w:leftFromText="180" w:rightFromText="180" w:topFromText="0" w:bottomFromText="0" w:vertAnchor="text" w:horzAnchor="margin" w:tblpXSpec="left" w:tblpY="23"/>
        <w:tblW w:w="7915" w:type="dxa"/>
        <w:tblLook w:val="04A0" w:firstRow="1" w:lastRow="0" w:firstColumn="1" w:lastColumn="0" w:noHBand="0" w:noVBand="1"/>
      </w:tblPr>
      <w:tblGrid>
        <w:gridCol w:w="1350"/>
        <w:gridCol w:w="1345"/>
        <w:gridCol w:w="1620"/>
        <w:gridCol w:w="1890"/>
        <w:gridCol w:w="1710"/>
      </w:tblGrid>
      <w:tr>
        <w:trPr>
          <w:trHeight w:val="392" w:hRule="atLeast"/>
        </w:trPr>
        <w:tc>
          <w:tcPr>
            <w:tcW w:w="7915" w:type="dxa"/>
            <w:gridSpan w:val="5"/>
            <w:tcBorders/>
            <w:hideMark/>
          </w:tcPr>
          <w:p>
            <w:pPr>
              <w:pStyle w:val="style0"/>
              <w:jc w:val="center"/>
              <w:rPr>
                <w:rFonts w:cs="Times New Roman" w:eastAsia="Times New Roman"/>
                <w:b/>
                <w:bCs/>
                <w:kern w:val="0"/>
                <w:sz w:val="20"/>
                <w:szCs w:val="20"/>
                <w14:ligatures xmlns:w14="http://schemas.microsoft.com/office/word/2010/wordml" w14:val="none"/>
              </w:rPr>
            </w:pPr>
            <w:r>
              <w:rPr>
                <w:rFonts w:cs="Times New Roman" w:eastAsia="Times New Roman"/>
                <w:b/>
                <w:bCs/>
                <w:kern w:val="0"/>
                <w:sz w:val="20"/>
                <w:szCs w:val="20"/>
                <w14:ligatures xmlns:w14="http://schemas.microsoft.com/office/word/2010/wordml" w14:val="none"/>
              </w:rPr>
              <w:t>Model Summary</w:t>
            </w:r>
            <w:r>
              <w:rPr>
                <w:rFonts w:cs="Times New Roman" w:eastAsia="Times New Roman"/>
                <w:b/>
                <w:bCs/>
                <w:kern w:val="0"/>
                <w:sz w:val="20"/>
                <w:szCs w:val="20"/>
                <w:vertAlign w:val="superscript"/>
                <w14:ligatures xmlns:w14="http://schemas.microsoft.com/office/word/2010/wordml" w14:val="none"/>
              </w:rPr>
              <w:t>b</w:t>
            </w:r>
          </w:p>
        </w:tc>
      </w:tr>
      <w:tr>
        <w:tblPrEx/>
        <w:trPr>
          <w:trHeight w:val="440" w:hRule="atLeast"/>
        </w:trPr>
        <w:tc>
          <w:tcPr>
            <w:tcW w:w="1350" w:type="dxa"/>
            <w:tcBorders/>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Model</w:t>
            </w:r>
          </w:p>
        </w:tc>
        <w:tc>
          <w:tcPr>
            <w:tcW w:w="1345"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R</w:t>
            </w:r>
          </w:p>
        </w:tc>
        <w:tc>
          <w:tcPr>
            <w:tcW w:w="162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R Square</w:t>
            </w:r>
          </w:p>
        </w:tc>
        <w:tc>
          <w:tcPr>
            <w:tcW w:w="189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Adjusted R Square</w:t>
            </w:r>
          </w:p>
        </w:tc>
        <w:tc>
          <w:tcPr>
            <w:tcW w:w="1710" w:type="dxa"/>
            <w:tcBorders/>
            <w:hideMark/>
          </w:tcPr>
          <w:p>
            <w:pPr>
              <w:pStyle w:val="style0"/>
              <w:jc w:val="center"/>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Std. Error of the Estimate</w:t>
            </w:r>
          </w:p>
        </w:tc>
      </w:tr>
      <w:tr>
        <w:tblPrEx/>
        <w:trPr>
          <w:trHeight w:val="55" w:hRule="atLeast"/>
        </w:trPr>
        <w:tc>
          <w:tcPr>
            <w:tcW w:w="1350" w:type="dxa"/>
            <w:tcBorders/>
            <w:noWrap/>
            <w:hideMark/>
          </w:tcPr>
          <w:p>
            <w:pPr>
              <w:pStyle w:val="style0"/>
              <w:rPr>
                <w:rFonts w:cs="Times New Roman" w:eastAsia="Times New Roman"/>
                <w:kern w:val="0"/>
                <w:sz w:val="20"/>
                <w:szCs w:val="20"/>
                <w14:ligatures xmlns:w14="http://schemas.microsoft.com/office/word/2010/wordml" w14:val="none"/>
              </w:rPr>
            </w:pPr>
            <w:r>
              <w:rPr>
                <w:rFonts w:cs="Times New Roman" w:eastAsia="Times New Roman"/>
                <w:kern w:val="0"/>
                <w:sz w:val="20"/>
                <w:szCs w:val="20"/>
                <w14:ligatures xmlns:w14="http://schemas.microsoft.com/office/word/2010/wordml" w14:val="none"/>
              </w:rPr>
              <w:t>1</w:t>
            </w:r>
          </w:p>
        </w:tc>
        <w:tc>
          <w:tcPr>
            <w:tcW w:w="1345"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sz w:val="20"/>
                <w:szCs w:val="20"/>
              </w:rPr>
              <w:t>.225</w:t>
            </w:r>
            <w:r>
              <w:rPr>
                <w:rFonts w:cs="Times New Roman"/>
                <w:sz w:val="20"/>
                <w:szCs w:val="20"/>
                <w:vertAlign w:val="superscript"/>
              </w:rPr>
              <w:t>a</w:t>
            </w:r>
          </w:p>
        </w:tc>
        <w:tc>
          <w:tcPr>
            <w:tcW w:w="162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sz w:val="20"/>
                <w:szCs w:val="20"/>
              </w:rPr>
              <w:t>0.051</w:t>
            </w:r>
          </w:p>
        </w:tc>
        <w:tc>
          <w:tcPr>
            <w:tcW w:w="189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sz w:val="20"/>
                <w:szCs w:val="20"/>
              </w:rPr>
              <w:t>0.038</w:t>
            </w:r>
          </w:p>
        </w:tc>
        <w:tc>
          <w:tcPr>
            <w:tcW w:w="1710" w:type="dxa"/>
            <w:tcBorders/>
            <w:noWrap/>
            <w:hideMark/>
          </w:tcPr>
          <w:p>
            <w:pPr>
              <w:pStyle w:val="style0"/>
              <w:jc w:val="right"/>
              <w:rPr>
                <w:rFonts w:cs="Times New Roman" w:eastAsia="Times New Roman"/>
                <w:kern w:val="0"/>
                <w:sz w:val="20"/>
                <w:szCs w:val="20"/>
                <w14:ligatures xmlns:w14="http://schemas.microsoft.com/office/word/2010/wordml" w14:val="none"/>
              </w:rPr>
            </w:pPr>
            <w:r>
              <w:rPr>
                <w:rFonts w:cs="Times New Roman"/>
                <w:sz w:val="20"/>
                <w:szCs w:val="20"/>
              </w:rPr>
              <w:t>1.557</w:t>
            </w:r>
          </w:p>
        </w:tc>
      </w:tr>
    </w:tbl>
    <w:p>
      <w:pPr>
        <w:pStyle w:val="style0"/>
        <w:tabs>
          <w:tab w:val="left" w:leader="none" w:pos="720"/>
        </w:tabs>
        <w:spacing w:before="240" w:after="0" w:lineRule="auto" w:line="240"/>
        <w:ind w:left="180"/>
        <w:rPr>
          <w:rFonts w:cs="Times New Roman" w:eastAsia="宋体"/>
          <w:b/>
          <w:bCs/>
          <w:szCs w:val="24"/>
        </w:rPr>
      </w:pPr>
      <w:r>
        <w:rPr>
          <w:rFonts w:cs="Times New Roman" w:eastAsia="宋体"/>
          <w:b/>
          <w:bCs/>
          <w:szCs w:val="24"/>
        </w:rPr>
        <w:t>c. Uji t</w:t>
      </w:r>
    </w:p>
    <w:tbl>
      <w:tblPr>
        <w:tblStyle w:val="style154"/>
        <w:tblW w:w="0" w:type="auto"/>
        <w:tblLook w:val="04A0" w:firstRow="1" w:lastRow="0" w:firstColumn="1" w:lastColumn="0" w:noHBand="0" w:noVBand="1"/>
      </w:tblPr>
      <w:tblGrid>
        <w:gridCol w:w="335"/>
        <w:gridCol w:w="2630"/>
        <w:gridCol w:w="810"/>
        <w:gridCol w:w="1080"/>
        <w:gridCol w:w="1350"/>
        <w:gridCol w:w="816"/>
        <w:gridCol w:w="906"/>
      </w:tblGrid>
      <w:tr>
        <w:trPr>
          <w:trHeight w:val="360" w:hRule="atLeast"/>
        </w:trPr>
        <w:tc>
          <w:tcPr>
            <w:tcW w:w="7927" w:type="dxa"/>
            <w:gridSpan w:val="7"/>
            <w:tcBorders/>
            <w:hideMark/>
          </w:tcPr>
          <w:p>
            <w:pPr>
              <w:pStyle w:val="style0"/>
              <w:jc w:val="center"/>
              <w:rPr>
                <w:b/>
                <w:bCs/>
                <w:sz w:val="20"/>
                <w:szCs w:val="20"/>
              </w:rPr>
            </w:pPr>
            <w:r>
              <w:rPr>
                <w:b/>
                <w:bCs/>
                <w:sz w:val="20"/>
                <w:szCs w:val="20"/>
              </w:rPr>
              <w:t>Coefficients</w:t>
            </w:r>
            <w:r>
              <w:rPr>
                <w:b/>
                <w:bCs/>
                <w:sz w:val="20"/>
                <w:szCs w:val="20"/>
                <w:vertAlign w:val="superscript"/>
              </w:rPr>
              <w:t>a</w:t>
            </w:r>
          </w:p>
        </w:tc>
      </w:tr>
      <w:tr>
        <w:tblPrEx/>
        <w:trPr>
          <w:trHeight w:val="620" w:hRule="atLeast"/>
        </w:trPr>
        <w:tc>
          <w:tcPr>
            <w:tcW w:w="2965" w:type="dxa"/>
            <w:gridSpan w:val="2"/>
            <w:vMerge w:val="restart"/>
            <w:tcBorders/>
            <w:hideMark/>
          </w:tcPr>
          <w:p>
            <w:pPr>
              <w:pStyle w:val="style0"/>
              <w:jc w:val="center"/>
              <w:rPr>
                <w:sz w:val="20"/>
                <w:szCs w:val="20"/>
              </w:rPr>
            </w:pPr>
            <w:r>
              <w:rPr>
                <w:sz w:val="20"/>
                <w:szCs w:val="20"/>
              </w:rPr>
              <w:t>Model</w:t>
            </w:r>
          </w:p>
        </w:tc>
        <w:tc>
          <w:tcPr>
            <w:tcW w:w="1890" w:type="dxa"/>
            <w:gridSpan w:val="2"/>
            <w:tcBorders/>
            <w:hideMark/>
          </w:tcPr>
          <w:p>
            <w:pPr>
              <w:pStyle w:val="style0"/>
              <w:jc w:val="center"/>
              <w:rPr>
                <w:sz w:val="20"/>
                <w:szCs w:val="20"/>
              </w:rPr>
            </w:pPr>
            <w:r>
              <w:rPr>
                <w:sz w:val="20"/>
                <w:szCs w:val="20"/>
              </w:rPr>
              <w:t>Unstandardized Coefficients</w:t>
            </w:r>
          </w:p>
        </w:tc>
        <w:tc>
          <w:tcPr>
            <w:tcW w:w="1350" w:type="dxa"/>
            <w:tcBorders/>
            <w:hideMark/>
          </w:tcPr>
          <w:p>
            <w:pPr>
              <w:pStyle w:val="style0"/>
              <w:jc w:val="center"/>
              <w:rPr>
                <w:sz w:val="20"/>
                <w:szCs w:val="20"/>
              </w:rPr>
            </w:pPr>
            <w:r>
              <w:rPr>
                <w:sz w:val="20"/>
                <w:szCs w:val="20"/>
              </w:rPr>
              <w:t>Standardized Coefficients</w:t>
            </w:r>
          </w:p>
        </w:tc>
        <w:tc>
          <w:tcPr>
            <w:tcW w:w="816" w:type="dxa"/>
            <w:vMerge w:val="restart"/>
            <w:tcBorders/>
            <w:hideMark/>
          </w:tcPr>
          <w:p>
            <w:pPr>
              <w:pStyle w:val="style0"/>
              <w:jc w:val="center"/>
              <w:rPr>
                <w:sz w:val="20"/>
                <w:szCs w:val="20"/>
              </w:rPr>
            </w:pPr>
            <w:r>
              <w:rPr>
                <w:sz w:val="20"/>
                <w:szCs w:val="20"/>
              </w:rPr>
              <w:t>t</w:t>
            </w:r>
          </w:p>
        </w:tc>
        <w:tc>
          <w:tcPr>
            <w:tcW w:w="906" w:type="dxa"/>
            <w:vMerge w:val="restart"/>
            <w:tcBorders/>
            <w:hideMark/>
          </w:tcPr>
          <w:p>
            <w:pPr>
              <w:pStyle w:val="style0"/>
              <w:jc w:val="center"/>
              <w:rPr>
                <w:sz w:val="20"/>
                <w:szCs w:val="20"/>
              </w:rPr>
            </w:pPr>
            <w:r>
              <w:rPr>
                <w:sz w:val="20"/>
                <w:szCs w:val="20"/>
              </w:rPr>
              <w:t>Sig.</w:t>
            </w:r>
          </w:p>
        </w:tc>
      </w:tr>
      <w:tr>
        <w:tblPrEx/>
        <w:trPr>
          <w:trHeight w:val="310" w:hRule="atLeast"/>
        </w:trPr>
        <w:tc>
          <w:tcPr>
            <w:tcW w:w="2965" w:type="dxa"/>
            <w:gridSpan w:val="2"/>
            <w:vMerge w:val="continue"/>
            <w:tcBorders/>
            <w:hideMark/>
          </w:tcPr>
          <w:p>
            <w:pPr>
              <w:pStyle w:val="style0"/>
              <w:jc w:val="center"/>
              <w:rPr>
                <w:sz w:val="20"/>
                <w:szCs w:val="20"/>
              </w:rPr>
            </w:pPr>
          </w:p>
        </w:tc>
        <w:tc>
          <w:tcPr>
            <w:tcW w:w="810" w:type="dxa"/>
            <w:tcBorders/>
            <w:hideMark/>
          </w:tcPr>
          <w:p>
            <w:pPr>
              <w:pStyle w:val="style0"/>
              <w:jc w:val="center"/>
              <w:rPr>
                <w:sz w:val="20"/>
                <w:szCs w:val="20"/>
              </w:rPr>
            </w:pPr>
            <w:r>
              <w:rPr>
                <w:sz w:val="20"/>
                <w:szCs w:val="20"/>
              </w:rPr>
              <w:t>B</w:t>
            </w:r>
          </w:p>
        </w:tc>
        <w:tc>
          <w:tcPr>
            <w:tcW w:w="1080" w:type="dxa"/>
            <w:tcBorders/>
            <w:hideMark/>
          </w:tcPr>
          <w:p>
            <w:pPr>
              <w:pStyle w:val="style0"/>
              <w:jc w:val="center"/>
              <w:rPr>
                <w:sz w:val="20"/>
                <w:szCs w:val="20"/>
              </w:rPr>
            </w:pPr>
            <w:r>
              <w:rPr>
                <w:sz w:val="20"/>
                <w:szCs w:val="20"/>
              </w:rPr>
              <w:t>Std. Error</w:t>
            </w:r>
          </w:p>
        </w:tc>
        <w:tc>
          <w:tcPr>
            <w:tcW w:w="1350" w:type="dxa"/>
            <w:tcBorders/>
            <w:hideMark/>
          </w:tcPr>
          <w:p>
            <w:pPr>
              <w:pStyle w:val="style0"/>
              <w:jc w:val="center"/>
              <w:rPr>
                <w:sz w:val="20"/>
                <w:szCs w:val="20"/>
              </w:rPr>
            </w:pPr>
            <w:r>
              <w:rPr>
                <w:sz w:val="20"/>
                <w:szCs w:val="20"/>
              </w:rPr>
              <w:t>Beta</w:t>
            </w:r>
          </w:p>
        </w:tc>
        <w:tc>
          <w:tcPr>
            <w:tcW w:w="816" w:type="dxa"/>
            <w:vMerge w:val="continue"/>
            <w:tcBorders/>
            <w:hideMark/>
          </w:tcPr>
          <w:p>
            <w:pPr>
              <w:pStyle w:val="style0"/>
              <w:jc w:val="center"/>
              <w:rPr>
                <w:sz w:val="20"/>
                <w:szCs w:val="20"/>
              </w:rPr>
            </w:pPr>
          </w:p>
        </w:tc>
        <w:tc>
          <w:tcPr>
            <w:tcW w:w="906" w:type="dxa"/>
            <w:vMerge w:val="continue"/>
            <w:tcBorders/>
            <w:hideMark/>
          </w:tcPr>
          <w:p>
            <w:pPr>
              <w:pStyle w:val="style0"/>
              <w:jc w:val="center"/>
              <w:rPr>
                <w:sz w:val="20"/>
                <w:szCs w:val="20"/>
              </w:rPr>
            </w:pPr>
          </w:p>
        </w:tc>
      </w:tr>
      <w:tr>
        <w:tblPrEx/>
        <w:trPr>
          <w:trHeight w:val="310" w:hRule="atLeast"/>
        </w:trPr>
        <w:tc>
          <w:tcPr>
            <w:tcW w:w="335" w:type="dxa"/>
            <w:vMerge w:val="restart"/>
            <w:tcBorders/>
            <w:noWrap/>
            <w:hideMark/>
          </w:tcPr>
          <w:p>
            <w:pPr>
              <w:pStyle w:val="style0"/>
              <w:jc w:val="center"/>
              <w:rPr>
                <w:sz w:val="20"/>
                <w:szCs w:val="20"/>
              </w:rPr>
            </w:pPr>
            <w:r>
              <w:rPr>
                <w:sz w:val="20"/>
                <w:szCs w:val="20"/>
              </w:rPr>
              <w:t>1</w:t>
            </w:r>
          </w:p>
        </w:tc>
        <w:tc>
          <w:tcPr>
            <w:tcW w:w="2630" w:type="dxa"/>
            <w:tcBorders/>
            <w:hideMark/>
          </w:tcPr>
          <w:p>
            <w:pPr>
              <w:pStyle w:val="style0"/>
              <w:rPr>
                <w:sz w:val="20"/>
                <w:szCs w:val="20"/>
              </w:rPr>
            </w:pPr>
            <w:r>
              <w:rPr>
                <w:sz w:val="20"/>
                <w:szCs w:val="20"/>
              </w:rPr>
              <w:t>(Constant)</w:t>
            </w:r>
          </w:p>
        </w:tc>
        <w:tc>
          <w:tcPr>
            <w:tcW w:w="810" w:type="dxa"/>
            <w:tcBorders/>
            <w:noWrap/>
            <w:hideMark/>
          </w:tcPr>
          <w:p>
            <w:pPr>
              <w:pStyle w:val="style0"/>
              <w:jc w:val="center"/>
              <w:rPr>
                <w:rFonts w:cs="Times New Roman"/>
                <w:sz w:val="20"/>
                <w:szCs w:val="20"/>
              </w:rPr>
            </w:pPr>
            <w:r>
              <w:rPr>
                <w:rFonts w:cs="Times New Roman"/>
                <w:sz w:val="20"/>
                <w:szCs w:val="20"/>
              </w:rPr>
              <w:t>-0.058</w:t>
            </w:r>
          </w:p>
        </w:tc>
        <w:tc>
          <w:tcPr>
            <w:tcW w:w="1080" w:type="dxa"/>
            <w:tcBorders/>
            <w:noWrap/>
            <w:hideMark/>
          </w:tcPr>
          <w:p>
            <w:pPr>
              <w:pStyle w:val="style0"/>
              <w:jc w:val="center"/>
              <w:rPr>
                <w:rFonts w:cs="Times New Roman"/>
                <w:sz w:val="20"/>
                <w:szCs w:val="20"/>
              </w:rPr>
            </w:pPr>
            <w:r>
              <w:rPr>
                <w:rFonts w:cs="Times New Roman"/>
                <w:sz w:val="20"/>
                <w:szCs w:val="20"/>
              </w:rPr>
              <w:t>0.566</w:t>
            </w:r>
          </w:p>
        </w:tc>
        <w:tc>
          <w:tcPr>
            <w:tcW w:w="1350" w:type="dxa"/>
            <w:tcBorders/>
            <w:hideMark/>
          </w:tcPr>
          <w:p>
            <w:pPr>
              <w:pStyle w:val="style0"/>
              <w:jc w:val="center"/>
              <w:rPr>
                <w:rFonts w:cs="Times New Roman"/>
                <w:sz w:val="20"/>
                <w:szCs w:val="20"/>
              </w:rPr>
            </w:pPr>
            <w:r>
              <w:rPr>
                <w:rFonts w:cs="Times New Roman"/>
                <w:sz w:val="20"/>
                <w:szCs w:val="20"/>
              </w:rPr>
              <w:t> </w:t>
            </w:r>
          </w:p>
        </w:tc>
        <w:tc>
          <w:tcPr>
            <w:tcW w:w="816" w:type="dxa"/>
            <w:tcBorders/>
            <w:noWrap/>
            <w:hideMark/>
          </w:tcPr>
          <w:p>
            <w:pPr>
              <w:pStyle w:val="style0"/>
              <w:jc w:val="center"/>
              <w:rPr>
                <w:rFonts w:cs="Times New Roman"/>
                <w:sz w:val="20"/>
                <w:szCs w:val="20"/>
              </w:rPr>
            </w:pPr>
            <w:r>
              <w:rPr>
                <w:rFonts w:cs="Times New Roman"/>
                <w:sz w:val="20"/>
                <w:szCs w:val="20"/>
              </w:rPr>
              <w:t>-0.103</w:t>
            </w:r>
          </w:p>
        </w:tc>
        <w:tc>
          <w:tcPr>
            <w:tcW w:w="906" w:type="dxa"/>
            <w:tcBorders/>
            <w:noWrap/>
            <w:hideMark/>
          </w:tcPr>
          <w:p>
            <w:pPr>
              <w:pStyle w:val="style0"/>
              <w:jc w:val="center"/>
              <w:rPr>
                <w:rFonts w:cs="Times New Roman"/>
                <w:sz w:val="20"/>
                <w:szCs w:val="20"/>
              </w:rPr>
            </w:pPr>
            <w:r>
              <w:rPr>
                <w:rFonts w:cs="Times New Roman"/>
                <w:sz w:val="20"/>
                <w:szCs w:val="20"/>
              </w:rPr>
              <w:t>0.918</w:t>
            </w:r>
          </w:p>
        </w:tc>
      </w:tr>
      <w:tr>
        <w:tblPrEx/>
        <w:trPr>
          <w:trHeight w:val="310" w:hRule="atLeast"/>
        </w:trPr>
        <w:tc>
          <w:tcPr>
            <w:tcW w:w="335" w:type="dxa"/>
            <w:vMerge w:val="continue"/>
            <w:tcBorders/>
            <w:hideMark/>
          </w:tcPr>
          <w:p>
            <w:pPr>
              <w:pStyle w:val="style0"/>
              <w:jc w:val="center"/>
              <w:rPr>
                <w:sz w:val="20"/>
                <w:szCs w:val="20"/>
              </w:rPr>
            </w:pPr>
          </w:p>
        </w:tc>
        <w:tc>
          <w:tcPr>
            <w:tcW w:w="2630" w:type="dxa"/>
            <w:tcBorders/>
            <w:hideMark/>
          </w:tcPr>
          <w:p>
            <w:pPr>
              <w:pStyle w:val="style0"/>
              <w:ind w:right="-106"/>
              <w:rPr>
                <w:sz w:val="20"/>
                <w:szCs w:val="20"/>
              </w:rPr>
            </w:pPr>
            <w:r>
              <w:rPr>
                <w:sz w:val="20"/>
                <w:szCs w:val="20"/>
              </w:rPr>
              <w:t>Enterprise Risk Management</w:t>
            </w:r>
          </w:p>
        </w:tc>
        <w:tc>
          <w:tcPr>
            <w:tcW w:w="810" w:type="dxa"/>
            <w:tcBorders/>
            <w:noWrap/>
            <w:hideMark/>
          </w:tcPr>
          <w:p>
            <w:pPr>
              <w:pStyle w:val="style0"/>
              <w:jc w:val="center"/>
              <w:rPr>
                <w:rFonts w:cs="Times New Roman"/>
                <w:sz w:val="20"/>
                <w:szCs w:val="20"/>
              </w:rPr>
            </w:pPr>
            <w:r>
              <w:rPr>
                <w:rFonts w:cs="Times New Roman"/>
                <w:sz w:val="20"/>
                <w:szCs w:val="20"/>
              </w:rPr>
              <w:t>0.984</w:t>
            </w:r>
          </w:p>
        </w:tc>
        <w:tc>
          <w:tcPr>
            <w:tcW w:w="1080" w:type="dxa"/>
            <w:tcBorders/>
            <w:noWrap/>
            <w:hideMark/>
          </w:tcPr>
          <w:p>
            <w:pPr>
              <w:pStyle w:val="style0"/>
              <w:jc w:val="center"/>
              <w:rPr>
                <w:rFonts w:cs="Times New Roman"/>
                <w:sz w:val="20"/>
                <w:szCs w:val="20"/>
              </w:rPr>
            </w:pPr>
            <w:r>
              <w:rPr>
                <w:rFonts w:cs="Times New Roman"/>
                <w:sz w:val="20"/>
                <w:szCs w:val="20"/>
              </w:rPr>
              <w:t>0.635</w:t>
            </w:r>
          </w:p>
        </w:tc>
        <w:tc>
          <w:tcPr>
            <w:tcW w:w="1350" w:type="dxa"/>
            <w:tcBorders/>
            <w:noWrap/>
            <w:hideMark/>
          </w:tcPr>
          <w:p>
            <w:pPr>
              <w:pStyle w:val="style0"/>
              <w:jc w:val="center"/>
              <w:rPr>
                <w:rFonts w:cs="Times New Roman"/>
                <w:sz w:val="20"/>
                <w:szCs w:val="20"/>
              </w:rPr>
            </w:pPr>
            <w:r>
              <w:rPr>
                <w:rFonts w:cs="Times New Roman"/>
                <w:sz w:val="20"/>
                <w:szCs w:val="20"/>
              </w:rPr>
              <w:t>0.103</w:t>
            </w:r>
          </w:p>
        </w:tc>
        <w:tc>
          <w:tcPr>
            <w:tcW w:w="816" w:type="dxa"/>
            <w:tcBorders/>
            <w:noWrap/>
            <w:hideMark/>
          </w:tcPr>
          <w:p>
            <w:pPr>
              <w:pStyle w:val="style0"/>
              <w:jc w:val="center"/>
              <w:rPr>
                <w:rFonts w:cs="Times New Roman"/>
                <w:sz w:val="20"/>
                <w:szCs w:val="20"/>
              </w:rPr>
            </w:pPr>
            <w:r>
              <w:rPr>
                <w:rFonts w:cs="Times New Roman"/>
                <w:sz w:val="20"/>
                <w:szCs w:val="20"/>
              </w:rPr>
              <w:t>1.551</w:t>
            </w:r>
          </w:p>
        </w:tc>
        <w:tc>
          <w:tcPr>
            <w:tcW w:w="906" w:type="dxa"/>
            <w:tcBorders/>
            <w:noWrap/>
            <w:hideMark/>
          </w:tcPr>
          <w:p>
            <w:pPr>
              <w:pStyle w:val="style0"/>
              <w:jc w:val="center"/>
              <w:rPr>
                <w:rFonts w:cs="Times New Roman"/>
                <w:sz w:val="20"/>
                <w:szCs w:val="20"/>
              </w:rPr>
            </w:pPr>
            <w:r>
              <w:rPr>
                <w:rFonts w:cs="Times New Roman"/>
                <w:sz w:val="20"/>
                <w:szCs w:val="20"/>
              </w:rPr>
              <w:t>0.122</w:t>
            </w:r>
          </w:p>
        </w:tc>
      </w:tr>
      <w:tr>
        <w:tblPrEx/>
        <w:trPr>
          <w:trHeight w:val="310" w:hRule="atLeast"/>
        </w:trPr>
        <w:tc>
          <w:tcPr>
            <w:tcW w:w="335" w:type="dxa"/>
            <w:vMerge w:val="continue"/>
            <w:tcBorders/>
            <w:hideMark/>
          </w:tcPr>
          <w:p>
            <w:pPr>
              <w:pStyle w:val="style0"/>
              <w:jc w:val="center"/>
              <w:rPr>
                <w:sz w:val="20"/>
                <w:szCs w:val="20"/>
              </w:rPr>
            </w:pPr>
          </w:p>
        </w:tc>
        <w:tc>
          <w:tcPr>
            <w:tcW w:w="2630" w:type="dxa"/>
            <w:tcBorders/>
            <w:hideMark/>
          </w:tcPr>
          <w:p>
            <w:pPr>
              <w:pStyle w:val="style0"/>
              <w:rPr>
                <w:sz w:val="20"/>
                <w:szCs w:val="20"/>
              </w:rPr>
            </w:pPr>
            <w:r>
              <w:rPr>
                <w:sz w:val="20"/>
                <w:szCs w:val="20"/>
              </w:rPr>
              <w:t>Managerial Ownership</w:t>
            </w:r>
          </w:p>
        </w:tc>
        <w:tc>
          <w:tcPr>
            <w:tcW w:w="810" w:type="dxa"/>
            <w:tcBorders/>
            <w:noWrap/>
            <w:hideMark/>
          </w:tcPr>
          <w:p>
            <w:pPr>
              <w:pStyle w:val="style0"/>
              <w:jc w:val="center"/>
              <w:rPr>
                <w:rFonts w:cs="Times New Roman"/>
                <w:sz w:val="20"/>
                <w:szCs w:val="20"/>
              </w:rPr>
            </w:pPr>
            <w:r>
              <w:rPr>
                <w:rFonts w:cs="Times New Roman"/>
                <w:sz w:val="20"/>
                <w:szCs w:val="20"/>
              </w:rPr>
              <w:t>0.956</w:t>
            </w:r>
          </w:p>
        </w:tc>
        <w:tc>
          <w:tcPr>
            <w:tcW w:w="1080" w:type="dxa"/>
            <w:tcBorders/>
            <w:noWrap/>
            <w:hideMark/>
          </w:tcPr>
          <w:p>
            <w:pPr>
              <w:pStyle w:val="style0"/>
              <w:jc w:val="center"/>
              <w:rPr>
                <w:rFonts w:cs="Times New Roman"/>
                <w:sz w:val="20"/>
                <w:szCs w:val="20"/>
              </w:rPr>
            </w:pPr>
            <w:r>
              <w:rPr>
                <w:rFonts w:cs="Times New Roman"/>
                <w:sz w:val="20"/>
                <w:szCs w:val="20"/>
              </w:rPr>
              <w:t>0.921</w:t>
            </w:r>
          </w:p>
        </w:tc>
        <w:tc>
          <w:tcPr>
            <w:tcW w:w="1350" w:type="dxa"/>
            <w:tcBorders/>
            <w:noWrap/>
            <w:hideMark/>
          </w:tcPr>
          <w:p>
            <w:pPr>
              <w:pStyle w:val="style0"/>
              <w:jc w:val="center"/>
              <w:rPr>
                <w:rFonts w:cs="Times New Roman"/>
                <w:sz w:val="20"/>
                <w:szCs w:val="20"/>
              </w:rPr>
            </w:pPr>
            <w:r>
              <w:rPr>
                <w:rFonts w:cs="Times New Roman"/>
                <w:sz w:val="20"/>
                <w:szCs w:val="20"/>
              </w:rPr>
              <w:t>0.088</w:t>
            </w:r>
          </w:p>
        </w:tc>
        <w:tc>
          <w:tcPr>
            <w:tcW w:w="816" w:type="dxa"/>
            <w:tcBorders/>
            <w:noWrap/>
            <w:hideMark/>
          </w:tcPr>
          <w:p>
            <w:pPr>
              <w:pStyle w:val="style0"/>
              <w:jc w:val="center"/>
              <w:rPr>
                <w:rFonts w:cs="Times New Roman"/>
                <w:sz w:val="20"/>
                <w:szCs w:val="20"/>
              </w:rPr>
            </w:pPr>
            <w:r>
              <w:rPr>
                <w:rFonts w:cs="Times New Roman"/>
                <w:sz w:val="20"/>
                <w:szCs w:val="20"/>
              </w:rPr>
              <w:t>1.038</w:t>
            </w:r>
          </w:p>
        </w:tc>
        <w:tc>
          <w:tcPr>
            <w:tcW w:w="906" w:type="dxa"/>
            <w:tcBorders/>
            <w:noWrap/>
            <w:hideMark/>
          </w:tcPr>
          <w:p>
            <w:pPr>
              <w:pStyle w:val="style0"/>
              <w:jc w:val="center"/>
              <w:rPr>
                <w:rFonts w:cs="Times New Roman"/>
                <w:sz w:val="20"/>
                <w:szCs w:val="20"/>
              </w:rPr>
            </w:pPr>
            <w:r>
              <w:rPr>
                <w:rFonts w:cs="Times New Roman"/>
                <w:sz w:val="20"/>
                <w:szCs w:val="20"/>
              </w:rPr>
              <w:t>0.300</w:t>
            </w:r>
          </w:p>
        </w:tc>
      </w:tr>
      <w:tr>
        <w:tblPrEx/>
        <w:trPr>
          <w:trHeight w:val="310" w:hRule="atLeast"/>
        </w:trPr>
        <w:tc>
          <w:tcPr>
            <w:tcW w:w="335" w:type="dxa"/>
            <w:vMerge w:val="continue"/>
            <w:tcBorders/>
            <w:hideMark/>
          </w:tcPr>
          <w:p>
            <w:pPr>
              <w:pStyle w:val="style0"/>
              <w:jc w:val="center"/>
              <w:rPr>
                <w:sz w:val="20"/>
                <w:szCs w:val="20"/>
              </w:rPr>
            </w:pPr>
          </w:p>
        </w:tc>
        <w:tc>
          <w:tcPr>
            <w:tcW w:w="2630" w:type="dxa"/>
            <w:tcBorders/>
            <w:hideMark/>
          </w:tcPr>
          <w:p>
            <w:pPr>
              <w:pStyle w:val="style0"/>
              <w:rPr>
                <w:sz w:val="20"/>
                <w:szCs w:val="20"/>
              </w:rPr>
            </w:pPr>
            <w:r>
              <w:rPr>
                <w:sz w:val="20"/>
                <w:szCs w:val="20"/>
              </w:rPr>
              <w:t>Institutional Ownership</w:t>
            </w:r>
          </w:p>
        </w:tc>
        <w:tc>
          <w:tcPr>
            <w:tcW w:w="810" w:type="dxa"/>
            <w:tcBorders/>
            <w:noWrap/>
            <w:hideMark/>
          </w:tcPr>
          <w:p>
            <w:pPr>
              <w:pStyle w:val="style0"/>
              <w:jc w:val="center"/>
              <w:rPr>
                <w:rFonts w:cs="Times New Roman"/>
                <w:sz w:val="20"/>
                <w:szCs w:val="20"/>
              </w:rPr>
            </w:pPr>
            <w:r>
              <w:rPr>
                <w:rFonts w:cs="Times New Roman"/>
                <w:sz w:val="20"/>
                <w:szCs w:val="20"/>
              </w:rPr>
              <w:t>1.376</w:t>
            </w:r>
          </w:p>
        </w:tc>
        <w:tc>
          <w:tcPr>
            <w:tcW w:w="1080" w:type="dxa"/>
            <w:tcBorders/>
            <w:noWrap/>
            <w:hideMark/>
          </w:tcPr>
          <w:p>
            <w:pPr>
              <w:pStyle w:val="style0"/>
              <w:jc w:val="center"/>
              <w:rPr>
                <w:rFonts w:cs="Times New Roman"/>
                <w:sz w:val="20"/>
                <w:szCs w:val="20"/>
              </w:rPr>
            </w:pPr>
            <w:r>
              <w:rPr>
                <w:rFonts w:cs="Times New Roman"/>
                <w:sz w:val="20"/>
                <w:szCs w:val="20"/>
              </w:rPr>
              <w:t>0.473</w:t>
            </w:r>
          </w:p>
        </w:tc>
        <w:tc>
          <w:tcPr>
            <w:tcW w:w="1350" w:type="dxa"/>
            <w:tcBorders/>
            <w:noWrap/>
            <w:hideMark/>
          </w:tcPr>
          <w:p>
            <w:pPr>
              <w:pStyle w:val="style0"/>
              <w:jc w:val="center"/>
              <w:rPr>
                <w:rFonts w:cs="Times New Roman"/>
                <w:sz w:val="20"/>
                <w:szCs w:val="20"/>
              </w:rPr>
            </w:pPr>
            <w:r>
              <w:rPr>
                <w:rFonts w:cs="Times New Roman"/>
                <w:sz w:val="20"/>
                <w:szCs w:val="20"/>
              </w:rPr>
              <w:t>0.241</w:t>
            </w:r>
          </w:p>
        </w:tc>
        <w:tc>
          <w:tcPr>
            <w:tcW w:w="816" w:type="dxa"/>
            <w:tcBorders/>
            <w:noWrap/>
            <w:hideMark/>
          </w:tcPr>
          <w:p>
            <w:pPr>
              <w:pStyle w:val="style0"/>
              <w:jc w:val="center"/>
              <w:rPr>
                <w:rFonts w:cs="Times New Roman"/>
                <w:sz w:val="20"/>
                <w:szCs w:val="20"/>
              </w:rPr>
            </w:pPr>
            <w:r>
              <w:rPr>
                <w:rFonts w:cs="Times New Roman"/>
                <w:sz w:val="20"/>
                <w:szCs w:val="20"/>
              </w:rPr>
              <w:t>2.911</w:t>
            </w:r>
          </w:p>
        </w:tc>
        <w:tc>
          <w:tcPr>
            <w:tcW w:w="906" w:type="dxa"/>
            <w:tcBorders/>
            <w:noWrap/>
            <w:hideMark/>
          </w:tcPr>
          <w:p>
            <w:pPr>
              <w:pStyle w:val="style0"/>
              <w:jc w:val="center"/>
              <w:rPr>
                <w:rFonts w:cs="Times New Roman"/>
                <w:sz w:val="20"/>
                <w:szCs w:val="20"/>
              </w:rPr>
            </w:pPr>
            <w:r>
              <w:rPr>
                <w:rFonts w:cs="Times New Roman"/>
                <w:sz w:val="20"/>
                <w:szCs w:val="20"/>
              </w:rPr>
              <w:t>0.004</w:t>
            </w:r>
          </w:p>
        </w:tc>
      </w:tr>
      <w:bookmarkStart w:id="131" w:name="_Toc216242931"/>
      <w:bookmarkStart w:id="132" w:name="_Toc224085873"/>
    </w:tbl>
    <w:p>
      <w:pPr>
        <w:pStyle w:val="style34"/>
        <w:spacing w:after="0"/>
        <w:rPr/>
      </w:pPr>
      <w:r>
        <w:t xml:space="preserve">Lampiran </w:t>
      </w:r>
      <w:r>
        <w:rPr/>
        <w:fldChar w:fldCharType="begin"/>
      </w:r>
      <w:r>
        <w:instrText xml:space="preserve"> SEQ Lampiran \* ARABIC </w:instrText>
      </w:r>
      <w:r>
        <w:rPr/>
        <w:fldChar w:fldCharType="separate"/>
      </w:r>
      <w:r>
        <w:rPr>
          <w:noProof/>
        </w:rPr>
        <w:t>6</w:t>
      </w:r>
      <w:r>
        <w:rPr/>
        <w:fldChar w:fldCharType="end"/>
      </w:r>
      <w:r>
        <w:t xml:space="preserve">: </w:t>
      </w:r>
      <w:r>
        <w:t xml:space="preserve">Tabel </w:t>
      </w:r>
      <w:r>
        <w:rPr>
          <w:i/>
        </w:rPr>
        <w:t>Durbin-Watson</w:t>
      </w:r>
      <w:bookmarkEnd w:id="131"/>
      <w:bookmarkEnd w:id="132"/>
    </w:p>
    <w:tbl>
      <w:tblPr>
        <w:tblStyle w:val="style154"/>
        <w:tblpPr w:leftFromText="180" w:rightFromText="180" w:topFromText="0" w:bottomFromText="0" w:vertAnchor="text" w:horzAnchor="margin" w:tblpXSpec="center" w:tblpY="280"/>
        <w:tblW w:w="10165" w:type="dxa"/>
        <w:tblLayout w:type="fixed"/>
        <w:tblLook w:val="01E0" w:firstRow="1" w:lastRow="1" w:firstColumn="1" w:lastColumn="1" w:noHBand="0" w:noVBand="0"/>
      </w:tblPr>
      <w:tblGrid>
        <w:gridCol w:w="2515"/>
        <w:gridCol w:w="2430"/>
        <w:gridCol w:w="2520"/>
        <w:gridCol w:w="2700"/>
      </w:tblGrid>
      <w:tr>
        <w:trPr>
          <w:trHeight w:val="595" w:hRule="atLeast"/>
        </w:trPr>
        <w:tc>
          <w:tcPr>
            <w:tcW w:w="2515" w:type="dxa"/>
            <w:tcBorders/>
            <w:vAlign w:val="center"/>
          </w:tcPr>
          <w:p>
            <w:pPr>
              <w:pStyle w:val="style4151"/>
              <w:spacing w:before="0"/>
              <w:ind w:left="12" w:right="1"/>
              <w:jc w:val="center"/>
              <w:rPr>
                <w:b/>
                <w:sz w:val="24"/>
                <w:szCs w:val="24"/>
              </w:rPr>
            </w:pPr>
            <w:r>
              <w:rPr>
                <w:b/>
                <w:sz w:val="24"/>
                <w:szCs w:val="24"/>
              </w:rPr>
              <w:t xml:space="preserve">T=6 to 100, K=2 to 21 </w:t>
            </w:r>
            <w:r>
              <w:rPr>
                <w:b/>
                <w:spacing w:val="-5"/>
                <w:sz w:val="24"/>
                <w:szCs w:val="24"/>
              </w:rPr>
              <w:t>(K</w:t>
            </w:r>
            <w:r>
              <w:rPr>
                <w:b/>
                <w:sz w:val="24"/>
                <w:szCs w:val="24"/>
              </w:rPr>
              <w:t xml:space="preserve"> &lt;=</w:t>
            </w:r>
            <w:r>
              <w:rPr>
                <w:b/>
                <w:spacing w:val="-1"/>
                <w:sz w:val="24"/>
                <w:szCs w:val="24"/>
              </w:rPr>
              <w:t xml:space="preserve"> </w:t>
            </w:r>
            <w:r>
              <w:rPr>
                <w:b/>
                <w:sz w:val="24"/>
                <w:szCs w:val="24"/>
              </w:rPr>
              <w:t>T-</w:t>
            </w:r>
            <w:r>
              <w:rPr>
                <w:b/>
                <w:spacing w:val="-5"/>
                <w:sz w:val="24"/>
                <w:szCs w:val="24"/>
              </w:rPr>
              <w:t>4)</w:t>
            </w:r>
          </w:p>
        </w:tc>
        <w:tc>
          <w:tcPr>
            <w:tcW w:w="2430" w:type="dxa"/>
            <w:tcBorders/>
            <w:vAlign w:val="center"/>
          </w:tcPr>
          <w:p>
            <w:pPr>
              <w:pStyle w:val="style4151"/>
              <w:spacing w:before="0"/>
              <w:ind w:left="70"/>
              <w:jc w:val="center"/>
              <w:rPr>
                <w:b/>
                <w:spacing w:val="-1"/>
                <w:sz w:val="24"/>
                <w:szCs w:val="24"/>
              </w:rPr>
            </w:pPr>
            <w:r>
              <w:rPr>
                <w:b/>
                <w:sz w:val="24"/>
                <w:szCs w:val="24"/>
              </w:rPr>
              <w:t>T=100</w:t>
            </w:r>
            <w:r>
              <w:rPr>
                <w:b/>
                <w:spacing w:val="-1"/>
                <w:sz w:val="24"/>
                <w:szCs w:val="24"/>
              </w:rPr>
              <w:t xml:space="preserve"> </w:t>
            </w:r>
            <w:r>
              <w:rPr>
                <w:b/>
                <w:sz w:val="24"/>
                <w:szCs w:val="24"/>
              </w:rPr>
              <w:t>to 200,</w:t>
            </w:r>
          </w:p>
          <w:p>
            <w:pPr>
              <w:pStyle w:val="style4151"/>
              <w:spacing w:before="0"/>
              <w:ind w:left="217"/>
              <w:jc w:val="center"/>
              <w:rPr>
                <w:b/>
                <w:sz w:val="24"/>
                <w:szCs w:val="24"/>
              </w:rPr>
            </w:pPr>
            <w:r>
              <w:rPr>
                <w:b/>
                <w:sz w:val="24"/>
                <w:szCs w:val="24"/>
              </w:rPr>
              <w:t>K=2</w:t>
            </w:r>
          </w:p>
        </w:tc>
        <w:tc>
          <w:tcPr>
            <w:tcW w:w="2520" w:type="dxa"/>
            <w:tcBorders/>
            <w:vAlign w:val="center"/>
          </w:tcPr>
          <w:p>
            <w:pPr>
              <w:pStyle w:val="style4151"/>
              <w:spacing w:before="0"/>
              <w:ind w:left="12" w:right="3"/>
              <w:jc w:val="center"/>
              <w:rPr>
                <w:b/>
                <w:spacing w:val="-1"/>
                <w:sz w:val="24"/>
                <w:szCs w:val="24"/>
              </w:rPr>
            </w:pPr>
            <w:r>
              <w:rPr>
                <w:b/>
                <w:sz w:val="24"/>
                <w:szCs w:val="24"/>
              </w:rPr>
              <w:t>T=200,210,220,...,500,</w:t>
            </w:r>
          </w:p>
          <w:p>
            <w:pPr>
              <w:pStyle w:val="style4151"/>
              <w:spacing w:before="0"/>
              <w:ind w:left="12" w:right="3"/>
              <w:jc w:val="center"/>
              <w:rPr>
                <w:b/>
                <w:sz w:val="24"/>
                <w:szCs w:val="24"/>
              </w:rPr>
            </w:pPr>
            <w:r>
              <w:rPr>
                <w:b/>
                <w:spacing w:val="-5"/>
                <w:sz w:val="24"/>
                <w:szCs w:val="24"/>
              </w:rPr>
              <w:t>K=2</w:t>
            </w:r>
          </w:p>
        </w:tc>
        <w:tc>
          <w:tcPr>
            <w:tcW w:w="2700" w:type="dxa"/>
            <w:tcBorders/>
            <w:vAlign w:val="center"/>
          </w:tcPr>
          <w:p>
            <w:pPr>
              <w:pStyle w:val="style4151"/>
              <w:spacing w:before="0"/>
              <w:ind w:left="12" w:right="4"/>
              <w:jc w:val="center"/>
              <w:rPr>
                <w:b/>
                <w:sz w:val="24"/>
                <w:szCs w:val="24"/>
              </w:rPr>
            </w:pPr>
            <w:r>
              <w:rPr>
                <w:b/>
                <w:sz w:val="24"/>
                <w:szCs w:val="24"/>
              </w:rPr>
              <w:t>T=500,550,600,...,2000,</w:t>
            </w:r>
            <w:r>
              <w:rPr>
                <w:b/>
                <w:spacing w:val="-1"/>
                <w:sz w:val="24"/>
                <w:szCs w:val="24"/>
              </w:rPr>
              <w:t xml:space="preserve"> </w:t>
            </w:r>
            <w:r>
              <w:rPr>
                <w:b/>
                <w:spacing w:val="-5"/>
                <w:sz w:val="24"/>
                <w:szCs w:val="24"/>
              </w:rPr>
              <w:t>K=2</w:t>
            </w:r>
          </w:p>
        </w:tc>
      </w:tr>
      <w:tr>
        <w:tblPrEx/>
        <w:trPr>
          <w:trHeight w:val="290" w:hRule="atLeast"/>
        </w:trPr>
        <w:tc>
          <w:tcPr>
            <w:tcW w:w="2515" w:type="dxa"/>
            <w:tcBorders/>
          </w:tcPr>
          <w:p>
            <w:pPr>
              <w:pStyle w:val="style4151"/>
              <w:spacing w:before="8" w:lineRule="exact" w:line="261"/>
              <w:ind w:left="70"/>
              <w:jc w:val="center"/>
              <w:rPr>
                <w:sz w:val="23"/>
              </w:rPr>
            </w:pPr>
            <w:r>
              <w:rPr>
                <w:sz w:val="23"/>
              </w:rPr>
              <w:t>K</w:t>
            </w:r>
            <w:r>
              <w:rPr>
                <w:spacing w:val="-4"/>
                <w:sz w:val="23"/>
              </w:rPr>
              <w:t xml:space="preserve"> </w:t>
            </w:r>
            <w:r>
              <w:rPr>
                <w:sz w:val="23"/>
              </w:rPr>
              <w:t>includes</w:t>
            </w:r>
            <w:r>
              <w:rPr>
                <w:spacing w:val="-3"/>
                <w:sz w:val="23"/>
              </w:rPr>
              <w:t xml:space="preserve"> </w:t>
            </w:r>
            <w:r>
              <w:rPr>
                <w:spacing w:val="-2"/>
                <w:sz w:val="23"/>
              </w:rPr>
              <w:t>intercept</w:t>
            </w:r>
          </w:p>
        </w:tc>
        <w:tc>
          <w:tcPr>
            <w:tcW w:w="2430" w:type="dxa"/>
            <w:tcBorders/>
          </w:tcPr>
          <w:p>
            <w:pPr>
              <w:pStyle w:val="style4151"/>
              <w:spacing w:before="8" w:lineRule="exact" w:line="261"/>
              <w:ind w:left="0"/>
              <w:jc w:val="center"/>
              <w:rPr>
                <w:sz w:val="23"/>
              </w:rPr>
            </w:pPr>
            <w:r>
              <w:rPr>
                <w:sz w:val="23"/>
              </w:rPr>
              <w:t>K</w:t>
            </w:r>
            <w:r>
              <w:rPr>
                <w:spacing w:val="-4"/>
                <w:sz w:val="23"/>
              </w:rPr>
              <w:t xml:space="preserve"> </w:t>
            </w:r>
            <w:r>
              <w:rPr>
                <w:sz w:val="23"/>
              </w:rPr>
              <w:t>includes</w:t>
            </w:r>
            <w:r>
              <w:rPr>
                <w:spacing w:val="-3"/>
                <w:sz w:val="23"/>
              </w:rPr>
              <w:t xml:space="preserve"> </w:t>
            </w:r>
            <w:r>
              <w:rPr>
                <w:spacing w:val="-2"/>
                <w:sz w:val="23"/>
              </w:rPr>
              <w:t>intercept</w:t>
            </w:r>
          </w:p>
        </w:tc>
        <w:tc>
          <w:tcPr>
            <w:tcW w:w="2520" w:type="dxa"/>
            <w:tcBorders/>
          </w:tcPr>
          <w:p>
            <w:pPr>
              <w:pStyle w:val="style4151"/>
              <w:spacing w:before="8" w:lineRule="exact" w:line="261"/>
              <w:ind w:left="70"/>
              <w:jc w:val="center"/>
              <w:rPr>
                <w:sz w:val="23"/>
              </w:rPr>
            </w:pPr>
            <w:r>
              <w:rPr>
                <w:sz w:val="23"/>
              </w:rPr>
              <w:t>K</w:t>
            </w:r>
            <w:r>
              <w:rPr>
                <w:spacing w:val="-4"/>
                <w:sz w:val="23"/>
              </w:rPr>
              <w:t xml:space="preserve"> </w:t>
            </w:r>
            <w:r>
              <w:rPr>
                <w:sz w:val="23"/>
              </w:rPr>
              <w:t>includes</w:t>
            </w:r>
            <w:r>
              <w:rPr>
                <w:spacing w:val="-3"/>
                <w:sz w:val="23"/>
              </w:rPr>
              <w:t xml:space="preserve"> </w:t>
            </w:r>
            <w:r>
              <w:rPr>
                <w:spacing w:val="-2"/>
                <w:sz w:val="23"/>
              </w:rPr>
              <w:t>intercept</w:t>
            </w:r>
          </w:p>
        </w:tc>
        <w:tc>
          <w:tcPr>
            <w:tcW w:w="2700" w:type="dxa"/>
            <w:tcBorders/>
          </w:tcPr>
          <w:p>
            <w:pPr>
              <w:pStyle w:val="style4151"/>
              <w:spacing w:before="8" w:lineRule="exact" w:line="261"/>
              <w:ind w:left="-20"/>
              <w:jc w:val="center"/>
              <w:rPr>
                <w:sz w:val="23"/>
              </w:rPr>
            </w:pPr>
            <w:r>
              <w:rPr>
                <w:sz w:val="23"/>
              </w:rPr>
              <w:t>K</w:t>
            </w:r>
            <w:r>
              <w:rPr>
                <w:spacing w:val="-4"/>
                <w:sz w:val="23"/>
              </w:rPr>
              <w:t xml:space="preserve"> </w:t>
            </w:r>
            <w:r>
              <w:rPr>
                <w:sz w:val="23"/>
              </w:rPr>
              <w:t>includes</w:t>
            </w:r>
            <w:r>
              <w:rPr>
                <w:spacing w:val="-3"/>
                <w:sz w:val="23"/>
              </w:rPr>
              <w:t xml:space="preserve"> </w:t>
            </w:r>
            <w:r>
              <w:rPr>
                <w:spacing w:val="-2"/>
                <w:sz w:val="23"/>
              </w:rPr>
              <w:t>intercept</w:t>
            </w:r>
          </w:p>
        </w:tc>
      </w:tr>
      <w:tr>
        <w:tblPrEx/>
        <w:trPr>
          <w:trHeight w:val="275" w:hRule="atLeast"/>
        </w:trPr>
        <w:tc>
          <w:tcPr>
            <w:tcW w:w="2515" w:type="dxa"/>
            <w:tcBorders/>
          </w:tcPr>
          <w:p>
            <w:pPr>
              <w:pStyle w:val="style4151"/>
              <w:tabs>
                <w:tab w:val="left" w:leader="none" w:pos="805"/>
                <w:tab w:val="left" w:leader="none" w:pos="1356"/>
              </w:tabs>
              <w:ind w:left="115"/>
              <w:rPr>
                <w:sz w:val="19"/>
              </w:rPr>
            </w:pPr>
            <w:r>
              <w:rPr>
                <w:sz w:val="19"/>
              </w:rPr>
              <w:t>T</w:t>
            </w:r>
            <w:r>
              <w:rPr>
                <w:spacing w:val="48"/>
                <w:sz w:val="19"/>
              </w:rPr>
              <w:t xml:space="preserve">  </w:t>
            </w:r>
            <w:r>
              <w:rPr>
                <w:spacing w:val="-10"/>
                <w:sz w:val="19"/>
              </w:rPr>
              <w:t>K</w:t>
            </w:r>
            <w:r>
              <w:rPr>
                <w:sz w:val="19"/>
              </w:rPr>
              <w:tab/>
            </w:r>
            <w:r>
              <w:rPr>
                <w:spacing w:val="-5"/>
                <w:sz w:val="19"/>
              </w:rPr>
              <w:t>dL</w:t>
            </w:r>
            <w:r>
              <w:rPr>
                <w:sz w:val="19"/>
              </w:rPr>
              <w:tab/>
            </w:r>
            <w:r>
              <w:rPr>
                <w:spacing w:val="-5"/>
                <w:sz w:val="19"/>
              </w:rPr>
              <w:t>dU</w:t>
            </w:r>
          </w:p>
        </w:tc>
        <w:tc>
          <w:tcPr>
            <w:tcW w:w="2430" w:type="dxa"/>
            <w:tcBorders/>
          </w:tcPr>
          <w:p>
            <w:pPr>
              <w:pStyle w:val="style4151"/>
              <w:tabs>
                <w:tab w:val="left" w:leader="none" w:pos="804"/>
                <w:tab w:val="left" w:leader="none" w:pos="1356"/>
              </w:tabs>
              <w:ind w:left="114"/>
              <w:rPr>
                <w:sz w:val="19"/>
              </w:rPr>
            </w:pPr>
            <w:r>
              <w:rPr>
                <w:sz w:val="19"/>
              </w:rPr>
              <w:t>T</w:t>
            </w:r>
            <w:r>
              <w:rPr>
                <w:spacing w:val="48"/>
                <w:sz w:val="19"/>
              </w:rPr>
              <w:t xml:space="preserve">  </w:t>
            </w:r>
            <w:r>
              <w:rPr>
                <w:spacing w:val="-10"/>
                <w:sz w:val="19"/>
              </w:rPr>
              <w:t>K</w:t>
            </w:r>
            <w:r>
              <w:rPr>
                <w:sz w:val="19"/>
              </w:rPr>
              <w:tab/>
            </w:r>
            <w:r>
              <w:rPr>
                <w:spacing w:val="-5"/>
                <w:sz w:val="19"/>
              </w:rPr>
              <w:t>dL</w:t>
            </w:r>
            <w:r>
              <w:rPr>
                <w:sz w:val="19"/>
              </w:rPr>
              <w:tab/>
            </w:r>
            <w:r>
              <w:rPr>
                <w:spacing w:val="-5"/>
                <w:sz w:val="19"/>
              </w:rPr>
              <w:t>dU</w:t>
            </w:r>
          </w:p>
        </w:tc>
        <w:tc>
          <w:tcPr>
            <w:tcW w:w="2520" w:type="dxa"/>
            <w:tcBorders/>
          </w:tcPr>
          <w:p>
            <w:pPr>
              <w:pStyle w:val="style4151"/>
              <w:tabs>
                <w:tab w:val="left" w:leader="none" w:pos="804"/>
                <w:tab w:val="left" w:leader="none" w:pos="1355"/>
              </w:tabs>
              <w:ind w:left="114"/>
              <w:rPr>
                <w:sz w:val="19"/>
              </w:rPr>
            </w:pPr>
            <w:r>
              <w:rPr>
                <w:sz w:val="19"/>
              </w:rPr>
              <w:t>T</w:t>
            </w:r>
            <w:r>
              <w:rPr>
                <w:spacing w:val="48"/>
                <w:sz w:val="19"/>
              </w:rPr>
              <w:t xml:space="preserve">  </w:t>
            </w:r>
            <w:r>
              <w:rPr>
                <w:spacing w:val="-10"/>
                <w:sz w:val="19"/>
              </w:rPr>
              <w:t>K</w:t>
            </w:r>
            <w:r>
              <w:rPr>
                <w:sz w:val="19"/>
              </w:rPr>
              <w:tab/>
            </w:r>
            <w:r>
              <w:rPr>
                <w:spacing w:val="-5"/>
                <w:sz w:val="19"/>
              </w:rPr>
              <w:t>dL</w:t>
            </w:r>
            <w:r>
              <w:rPr>
                <w:sz w:val="19"/>
              </w:rPr>
              <w:tab/>
            </w:r>
            <w:r>
              <w:rPr>
                <w:spacing w:val="-5"/>
                <w:sz w:val="19"/>
              </w:rPr>
              <w:t>dU</w:t>
            </w:r>
          </w:p>
        </w:tc>
        <w:tc>
          <w:tcPr>
            <w:tcW w:w="2700" w:type="dxa"/>
            <w:tcBorders/>
          </w:tcPr>
          <w:p>
            <w:pPr>
              <w:pStyle w:val="style4151"/>
              <w:tabs>
                <w:tab w:val="left" w:leader="none" w:pos="851"/>
                <w:tab w:val="left" w:leader="none" w:pos="1403"/>
              </w:tabs>
              <w:ind w:left="161"/>
              <w:rPr>
                <w:sz w:val="19"/>
              </w:rPr>
            </w:pPr>
            <w:r>
              <w:rPr>
                <w:sz w:val="19"/>
              </w:rPr>
              <w:t>T</w:t>
            </w:r>
            <w:r>
              <w:rPr>
                <w:spacing w:val="48"/>
                <w:sz w:val="19"/>
              </w:rPr>
              <w:t xml:space="preserve">  </w:t>
            </w:r>
            <w:r>
              <w:rPr>
                <w:spacing w:val="-10"/>
                <w:sz w:val="19"/>
              </w:rPr>
              <w:t>K</w:t>
            </w:r>
            <w:r>
              <w:rPr>
                <w:sz w:val="19"/>
              </w:rPr>
              <w:tab/>
            </w:r>
            <w:r>
              <w:rPr>
                <w:spacing w:val="-5"/>
                <w:sz w:val="19"/>
              </w:rPr>
              <w:t>dL</w:t>
            </w:r>
            <w:r>
              <w:rPr>
                <w:sz w:val="19"/>
              </w:rPr>
              <w:tab/>
            </w:r>
            <w:r>
              <w:rPr>
                <w:spacing w:val="-5"/>
                <w:sz w:val="19"/>
              </w:rPr>
              <w:t>dU</w:t>
            </w:r>
          </w:p>
        </w:tc>
      </w:tr>
      <w:tr>
        <w:tblPrEx/>
        <w:trPr>
          <w:trHeight w:val="275" w:hRule="atLeast"/>
        </w:trPr>
        <w:tc>
          <w:tcPr>
            <w:tcW w:w="2515" w:type="dxa"/>
            <w:tcBorders/>
          </w:tcPr>
          <w:p>
            <w:pPr>
              <w:pStyle w:val="style4151"/>
              <w:ind w:left="115"/>
              <w:rPr>
                <w:sz w:val="19"/>
              </w:rPr>
            </w:pPr>
            <w:r>
              <w:rPr>
                <w:sz w:val="19"/>
              </w:rPr>
              <w:t>6.</w:t>
            </w:r>
            <w:r>
              <w:rPr>
                <w:spacing w:val="78"/>
                <w:w w:val="150"/>
                <w:sz w:val="19"/>
              </w:rPr>
              <w:t xml:space="preserve"> </w:t>
            </w:r>
            <w:r>
              <w:rPr>
                <w:sz w:val="19"/>
              </w:rPr>
              <w:t>2.</w:t>
            </w:r>
            <w:r>
              <w:rPr>
                <w:spacing w:val="52"/>
                <w:sz w:val="19"/>
              </w:rPr>
              <w:t xml:space="preserve"> </w:t>
            </w:r>
            <w:r>
              <w:rPr>
                <w:sz w:val="19"/>
              </w:rPr>
              <w:t>0.61018</w:t>
            </w:r>
            <w:r>
              <w:rPr>
                <w:spacing w:val="53"/>
                <w:sz w:val="19"/>
              </w:rPr>
              <w:t xml:space="preserve"> </w:t>
            </w:r>
            <w:r>
              <w:rPr>
                <w:spacing w:val="-2"/>
                <w:sz w:val="19"/>
              </w:rPr>
              <w:t>1.40015</w:t>
            </w:r>
          </w:p>
        </w:tc>
        <w:tc>
          <w:tcPr>
            <w:tcW w:w="2430" w:type="dxa"/>
            <w:tcBorders/>
          </w:tcPr>
          <w:p>
            <w:pPr>
              <w:pStyle w:val="style4151"/>
              <w:ind w:left="19"/>
              <w:rPr>
                <w:sz w:val="19"/>
              </w:rPr>
            </w:pPr>
            <w:r>
              <w:rPr>
                <w:sz w:val="19"/>
              </w:rPr>
              <w:t>100.</w:t>
            </w:r>
            <w:r>
              <w:rPr>
                <w:spacing w:val="28"/>
                <w:sz w:val="19"/>
              </w:rPr>
              <w:t xml:space="preserve">  </w:t>
            </w:r>
            <w:r>
              <w:rPr>
                <w:sz w:val="19"/>
              </w:rPr>
              <w:t>2.</w:t>
            </w:r>
            <w:r>
              <w:rPr>
                <w:spacing w:val="53"/>
                <w:sz w:val="19"/>
              </w:rPr>
              <w:t xml:space="preserve"> </w:t>
            </w:r>
            <w:r>
              <w:rPr>
                <w:sz w:val="19"/>
              </w:rPr>
              <w:t>1.65404</w:t>
            </w:r>
            <w:r>
              <w:rPr>
                <w:spacing w:val="54"/>
                <w:sz w:val="19"/>
              </w:rPr>
              <w:t xml:space="preserve"> </w:t>
            </w:r>
            <w:r>
              <w:rPr>
                <w:spacing w:val="-2"/>
                <w:sz w:val="19"/>
              </w:rPr>
              <w:t>1.69439</w:t>
            </w:r>
          </w:p>
        </w:tc>
        <w:tc>
          <w:tcPr>
            <w:tcW w:w="2520" w:type="dxa"/>
            <w:tcBorders/>
          </w:tcPr>
          <w:p>
            <w:pPr>
              <w:pStyle w:val="style4151"/>
              <w:rPr>
                <w:sz w:val="19"/>
              </w:rPr>
            </w:pPr>
            <w:r>
              <w:rPr>
                <w:sz w:val="19"/>
              </w:rPr>
              <w:t>200.</w:t>
            </w:r>
            <w:r>
              <w:rPr>
                <w:spacing w:val="28"/>
                <w:sz w:val="19"/>
              </w:rPr>
              <w:t xml:space="preserve">  </w:t>
            </w:r>
            <w:r>
              <w:rPr>
                <w:sz w:val="19"/>
              </w:rPr>
              <w:t>2.</w:t>
            </w:r>
            <w:r>
              <w:rPr>
                <w:spacing w:val="53"/>
                <w:sz w:val="19"/>
              </w:rPr>
              <w:t xml:space="preserve"> </w:t>
            </w:r>
            <w:r>
              <w:rPr>
                <w:sz w:val="19"/>
              </w:rPr>
              <w:t>1.75844</w:t>
            </w:r>
            <w:r>
              <w:rPr>
                <w:spacing w:val="54"/>
                <w:sz w:val="19"/>
              </w:rPr>
              <w:t xml:space="preserve"> </w:t>
            </w:r>
            <w:r>
              <w:rPr>
                <w:spacing w:val="-2"/>
                <w:sz w:val="19"/>
              </w:rPr>
              <w:t>1.77852</w:t>
            </w:r>
          </w:p>
        </w:tc>
        <w:tc>
          <w:tcPr>
            <w:tcW w:w="2700" w:type="dxa"/>
            <w:tcBorders/>
          </w:tcPr>
          <w:p>
            <w:pPr>
              <w:pStyle w:val="style4151"/>
              <w:ind w:left="66"/>
              <w:rPr>
                <w:sz w:val="19"/>
              </w:rPr>
            </w:pPr>
            <w:r>
              <w:rPr>
                <w:sz w:val="19"/>
              </w:rPr>
              <w:t>500.</w:t>
            </w:r>
            <w:r>
              <w:rPr>
                <w:spacing w:val="28"/>
                <w:sz w:val="19"/>
              </w:rPr>
              <w:t xml:space="preserve">  </w:t>
            </w:r>
            <w:r>
              <w:rPr>
                <w:sz w:val="19"/>
              </w:rPr>
              <w:t>2.</w:t>
            </w:r>
            <w:r>
              <w:rPr>
                <w:spacing w:val="53"/>
                <w:sz w:val="19"/>
              </w:rPr>
              <w:t xml:space="preserve"> </w:t>
            </w:r>
            <w:r>
              <w:rPr>
                <w:sz w:val="19"/>
              </w:rPr>
              <w:t>1.84914</w:t>
            </w:r>
            <w:r>
              <w:rPr>
                <w:spacing w:val="54"/>
                <w:sz w:val="19"/>
              </w:rPr>
              <w:t xml:space="preserve"> </w:t>
            </w:r>
            <w:r>
              <w:rPr>
                <w:spacing w:val="-2"/>
                <w:sz w:val="19"/>
              </w:rPr>
              <w:t>1.85716</w:t>
            </w:r>
          </w:p>
        </w:tc>
      </w:tr>
      <w:tr>
        <w:tblPrEx/>
        <w:trPr>
          <w:trHeight w:val="275" w:hRule="atLeast"/>
        </w:trPr>
        <w:tc>
          <w:tcPr>
            <w:tcW w:w="2515" w:type="dxa"/>
            <w:tcBorders/>
          </w:tcPr>
          <w:p>
            <w:pPr>
              <w:pStyle w:val="style4151"/>
              <w:ind w:left="115"/>
              <w:rPr>
                <w:sz w:val="19"/>
              </w:rPr>
            </w:pPr>
            <w:r>
              <w:rPr>
                <w:sz w:val="19"/>
              </w:rPr>
              <w:t>7.</w:t>
            </w:r>
            <w:r>
              <w:rPr>
                <w:spacing w:val="78"/>
                <w:w w:val="150"/>
                <w:sz w:val="19"/>
              </w:rPr>
              <w:t xml:space="preserve"> </w:t>
            </w:r>
            <w:r>
              <w:rPr>
                <w:sz w:val="19"/>
              </w:rPr>
              <w:t>2.</w:t>
            </w:r>
            <w:r>
              <w:rPr>
                <w:spacing w:val="52"/>
                <w:sz w:val="19"/>
              </w:rPr>
              <w:t xml:space="preserve"> </w:t>
            </w:r>
            <w:r>
              <w:rPr>
                <w:sz w:val="19"/>
              </w:rPr>
              <w:t>0.69955</w:t>
            </w:r>
            <w:r>
              <w:rPr>
                <w:spacing w:val="53"/>
                <w:sz w:val="19"/>
              </w:rPr>
              <w:t xml:space="preserve"> </w:t>
            </w:r>
            <w:r>
              <w:rPr>
                <w:spacing w:val="-2"/>
                <w:sz w:val="19"/>
              </w:rPr>
              <w:t>1.35635</w:t>
            </w:r>
          </w:p>
        </w:tc>
        <w:tc>
          <w:tcPr>
            <w:tcW w:w="2430" w:type="dxa"/>
            <w:tcBorders/>
          </w:tcPr>
          <w:p>
            <w:pPr>
              <w:pStyle w:val="style4151"/>
              <w:ind w:left="19"/>
              <w:rPr>
                <w:sz w:val="19"/>
              </w:rPr>
            </w:pPr>
            <w:r>
              <w:rPr>
                <w:sz w:val="19"/>
              </w:rPr>
              <w:t>100.</w:t>
            </w:r>
            <w:r>
              <w:rPr>
                <w:spacing w:val="28"/>
                <w:sz w:val="19"/>
              </w:rPr>
              <w:t xml:space="preserve">  </w:t>
            </w:r>
            <w:r>
              <w:rPr>
                <w:sz w:val="19"/>
              </w:rPr>
              <w:t>3.</w:t>
            </w:r>
            <w:r>
              <w:rPr>
                <w:spacing w:val="53"/>
                <w:sz w:val="19"/>
              </w:rPr>
              <w:t xml:space="preserve"> </w:t>
            </w:r>
            <w:r>
              <w:rPr>
                <w:sz w:val="19"/>
              </w:rPr>
              <w:t>1.63369</w:t>
            </w:r>
            <w:r>
              <w:rPr>
                <w:spacing w:val="54"/>
                <w:sz w:val="19"/>
              </w:rPr>
              <w:t xml:space="preserve"> </w:t>
            </w:r>
            <w:r>
              <w:rPr>
                <w:spacing w:val="-2"/>
                <w:sz w:val="19"/>
              </w:rPr>
              <w:t>1.71517</w:t>
            </w:r>
          </w:p>
        </w:tc>
        <w:tc>
          <w:tcPr>
            <w:tcW w:w="2520" w:type="dxa"/>
            <w:tcBorders/>
          </w:tcPr>
          <w:p>
            <w:pPr>
              <w:pStyle w:val="style4151"/>
              <w:rPr>
                <w:sz w:val="19"/>
              </w:rPr>
            </w:pPr>
            <w:r>
              <w:rPr>
                <w:sz w:val="19"/>
              </w:rPr>
              <w:t>200.</w:t>
            </w:r>
            <w:r>
              <w:rPr>
                <w:spacing w:val="28"/>
                <w:sz w:val="19"/>
              </w:rPr>
              <w:t xml:space="preserve">  </w:t>
            </w:r>
            <w:r>
              <w:rPr>
                <w:sz w:val="19"/>
              </w:rPr>
              <w:t>3.</w:t>
            </w:r>
            <w:r>
              <w:rPr>
                <w:spacing w:val="53"/>
                <w:sz w:val="19"/>
              </w:rPr>
              <w:t xml:space="preserve"> </w:t>
            </w:r>
            <w:r>
              <w:rPr>
                <w:sz w:val="19"/>
              </w:rPr>
              <w:t>1.74833</w:t>
            </w:r>
            <w:r>
              <w:rPr>
                <w:spacing w:val="54"/>
                <w:sz w:val="19"/>
              </w:rPr>
              <w:t xml:space="preserve"> </w:t>
            </w:r>
            <w:r>
              <w:rPr>
                <w:spacing w:val="-2"/>
                <w:sz w:val="19"/>
              </w:rPr>
              <w:t>1.78871</w:t>
            </w:r>
          </w:p>
        </w:tc>
        <w:tc>
          <w:tcPr>
            <w:tcW w:w="2700" w:type="dxa"/>
            <w:tcBorders/>
          </w:tcPr>
          <w:p>
            <w:pPr>
              <w:pStyle w:val="style4151"/>
              <w:ind w:left="66"/>
              <w:rPr>
                <w:sz w:val="19"/>
              </w:rPr>
            </w:pPr>
            <w:r>
              <w:rPr>
                <w:sz w:val="19"/>
              </w:rPr>
              <w:t>500.</w:t>
            </w:r>
            <w:r>
              <w:rPr>
                <w:spacing w:val="28"/>
                <w:sz w:val="19"/>
              </w:rPr>
              <w:t xml:space="preserve">  </w:t>
            </w:r>
            <w:r>
              <w:rPr>
                <w:sz w:val="19"/>
              </w:rPr>
              <w:t>3.</w:t>
            </w:r>
            <w:r>
              <w:rPr>
                <w:spacing w:val="53"/>
                <w:sz w:val="19"/>
              </w:rPr>
              <w:t xml:space="preserve"> </w:t>
            </w:r>
            <w:r>
              <w:rPr>
                <w:sz w:val="19"/>
              </w:rPr>
              <w:t>1.84513</w:t>
            </w:r>
            <w:r>
              <w:rPr>
                <w:spacing w:val="54"/>
                <w:sz w:val="19"/>
              </w:rPr>
              <w:t xml:space="preserve"> </w:t>
            </w:r>
            <w:r>
              <w:rPr>
                <w:spacing w:val="-2"/>
                <w:sz w:val="19"/>
              </w:rPr>
              <w:t>1.86119</w:t>
            </w:r>
          </w:p>
        </w:tc>
      </w:tr>
      <w:tr>
        <w:tblPrEx/>
        <w:trPr>
          <w:trHeight w:val="275" w:hRule="atLeast"/>
        </w:trPr>
        <w:tc>
          <w:tcPr>
            <w:tcW w:w="2515" w:type="dxa"/>
            <w:tcBorders/>
          </w:tcPr>
          <w:p>
            <w:pPr>
              <w:pStyle w:val="style4151"/>
              <w:ind w:left="115"/>
              <w:rPr>
                <w:sz w:val="19"/>
              </w:rPr>
            </w:pPr>
            <w:r>
              <w:rPr>
                <w:sz w:val="19"/>
              </w:rPr>
              <w:t>7.</w:t>
            </w:r>
            <w:r>
              <w:rPr>
                <w:spacing w:val="78"/>
                <w:w w:val="150"/>
                <w:sz w:val="19"/>
              </w:rPr>
              <w:t xml:space="preserve"> </w:t>
            </w:r>
            <w:r>
              <w:rPr>
                <w:sz w:val="19"/>
              </w:rPr>
              <w:t>3.</w:t>
            </w:r>
            <w:r>
              <w:rPr>
                <w:spacing w:val="52"/>
                <w:sz w:val="19"/>
              </w:rPr>
              <w:t xml:space="preserve"> </w:t>
            </w:r>
            <w:r>
              <w:rPr>
                <w:sz w:val="19"/>
              </w:rPr>
              <w:t>0.46723</w:t>
            </w:r>
            <w:r>
              <w:rPr>
                <w:spacing w:val="53"/>
                <w:sz w:val="19"/>
              </w:rPr>
              <w:t xml:space="preserve"> </w:t>
            </w:r>
            <w:r>
              <w:rPr>
                <w:spacing w:val="-2"/>
                <w:sz w:val="19"/>
              </w:rPr>
              <w:t>1.89636</w:t>
            </w:r>
          </w:p>
        </w:tc>
        <w:tc>
          <w:tcPr>
            <w:tcW w:w="2430" w:type="dxa"/>
            <w:tcBorders/>
          </w:tcPr>
          <w:p>
            <w:pPr>
              <w:pStyle w:val="style4151"/>
              <w:ind w:left="19"/>
              <w:rPr>
                <w:sz w:val="19"/>
              </w:rPr>
            </w:pPr>
            <w:r>
              <w:rPr>
                <w:sz w:val="19"/>
              </w:rPr>
              <w:t>100.</w:t>
            </w:r>
            <w:r>
              <w:rPr>
                <w:spacing w:val="28"/>
                <w:sz w:val="19"/>
              </w:rPr>
              <w:t xml:space="preserve">  </w:t>
            </w:r>
            <w:r>
              <w:rPr>
                <w:sz w:val="19"/>
              </w:rPr>
              <w:t>4.</w:t>
            </w:r>
            <w:r>
              <w:rPr>
                <w:spacing w:val="53"/>
                <w:sz w:val="19"/>
              </w:rPr>
              <w:t xml:space="preserve"> </w:t>
            </w:r>
            <w:r>
              <w:rPr>
                <w:sz w:val="19"/>
              </w:rPr>
              <w:t>1.61306</w:t>
            </w:r>
            <w:r>
              <w:rPr>
                <w:spacing w:val="54"/>
                <w:sz w:val="19"/>
              </w:rPr>
              <w:t xml:space="preserve"> </w:t>
            </w:r>
            <w:r>
              <w:rPr>
                <w:spacing w:val="-2"/>
                <w:sz w:val="19"/>
              </w:rPr>
              <w:t>1.73643</w:t>
            </w:r>
          </w:p>
        </w:tc>
        <w:tc>
          <w:tcPr>
            <w:tcW w:w="2520" w:type="dxa"/>
            <w:tcBorders/>
          </w:tcPr>
          <w:p>
            <w:pPr>
              <w:pStyle w:val="style4151"/>
              <w:rPr>
                <w:sz w:val="19"/>
              </w:rPr>
            </w:pPr>
            <w:r>
              <w:rPr>
                <w:sz w:val="19"/>
              </w:rPr>
              <w:t>200.</w:t>
            </w:r>
            <w:r>
              <w:rPr>
                <w:spacing w:val="28"/>
                <w:sz w:val="19"/>
              </w:rPr>
              <w:t xml:space="preserve">  </w:t>
            </w:r>
            <w:r>
              <w:rPr>
                <w:sz w:val="19"/>
              </w:rPr>
              <w:t>4.</w:t>
            </w:r>
            <w:r>
              <w:rPr>
                <w:spacing w:val="53"/>
                <w:sz w:val="19"/>
              </w:rPr>
              <w:t xml:space="preserve"> </w:t>
            </w:r>
            <w:r>
              <w:rPr>
                <w:sz w:val="19"/>
              </w:rPr>
              <w:t>1.73815</w:t>
            </w:r>
            <w:r>
              <w:rPr>
                <w:spacing w:val="54"/>
                <w:sz w:val="19"/>
              </w:rPr>
              <w:t xml:space="preserve"> </w:t>
            </w:r>
            <w:r>
              <w:rPr>
                <w:spacing w:val="-2"/>
                <w:sz w:val="19"/>
              </w:rPr>
              <w:t>1.79901</w:t>
            </w:r>
          </w:p>
        </w:tc>
        <w:tc>
          <w:tcPr>
            <w:tcW w:w="2700" w:type="dxa"/>
            <w:tcBorders/>
          </w:tcPr>
          <w:p>
            <w:pPr>
              <w:pStyle w:val="style4151"/>
              <w:ind w:left="66"/>
              <w:rPr>
                <w:sz w:val="19"/>
              </w:rPr>
            </w:pPr>
            <w:r>
              <w:rPr>
                <w:sz w:val="19"/>
              </w:rPr>
              <w:t>500.</w:t>
            </w:r>
            <w:r>
              <w:rPr>
                <w:spacing w:val="28"/>
                <w:sz w:val="19"/>
              </w:rPr>
              <w:t xml:space="preserve">  </w:t>
            </w:r>
            <w:r>
              <w:rPr>
                <w:sz w:val="19"/>
              </w:rPr>
              <w:t>4.</w:t>
            </w:r>
            <w:r>
              <w:rPr>
                <w:spacing w:val="53"/>
                <w:sz w:val="19"/>
              </w:rPr>
              <w:t xml:space="preserve"> </w:t>
            </w:r>
            <w:r>
              <w:rPr>
                <w:sz w:val="19"/>
              </w:rPr>
              <w:t>1.84110</w:t>
            </w:r>
            <w:r>
              <w:rPr>
                <w:spacing w:val="54"/>
                <w:sz w:val="19"/>
              </w:rPr>
              <w:t xml:space="preserve"> </w:t>
            </w:r>
            <w:r>
              <w:rPr>
                <w:spacing w:val="-2"/>
                <w:sz w:val="19"/>
              </w:rPr>
              <w:t>1.86523</w:t>
            </w:r>
          </w:p>
        </w:tc>
      </w:tr>
      <w:tr>
        <w:tblPrEx/>
        <w:trPr>
          <w:trHeight w:val="275" w:hRule="atLeast"/>
        </w:trPr>
        <w:tc>
          <w:tcPr>
            <w:tcW w:w="2515" w:type="dxa"/>
            <w:tcBorders/>
          </w:tcPr>
          <w:p>
            <w:pPr>
              <w:pStyle w:val="style4151"/>
              <w:ind w:left="115"/>
              <w:rPr>
                <w:sz w:val="19"/>
              </w:rPr>
            </w:pPr>
            <w:r>
              <w:rPr>
                <w:sz w:val="19"/>
              </w:rPr>
              <w:t>8.</w:t>
            </w:r>
            <w:r>
              <w:rPr>
                <w:spacing w:val="78"/>
                <w:w w:val="150"/>
                <w:sz w:val="19"/>
              </w:rPr>
              <w:t xml:space="preserve"> </w:t>
            </w:r>
            <w:r>
              <w:rPr>
                <w:sz w:val="19"/>
              </w:rPr>
              <w:t>2.</w:t>
            </w:r>
            <w:r>
              <w:rPr>
                <w:spacing w:val="52"/>
                <w:sz w:val="19"/>
              </w:rPr>
              <w:t xml:space="preserve"> </w:t>
            </w:r>
            <w:r>
              <w:rPr>
                <w:sz w:val="19"/>
              </w:rPr>
              <w:t>0.76290</w:t>
            </w:r>
            <w:r>
              <w:rPr>
                <w:spacing w:val="53"/>
                <w:sz w:val="19"/>
              </w:rPr>
              <w:t xml:space="preserve"> </w:t>
            </w:r>
            <w:r>
              <w:rPr>
                <w:spacing w:val="-2"/>
                <w:sz w:val="19"/>
              </w:rPr>
              <w:t>1.33238</w:t>
            </w:r>
          </w:p>
        </w:tc>
        <w:tc>
          <w:tcPr>
            <w:tcW w:w="2430" w:type="dxa"/>
            <w:tcBorders/>
          </w:tcPr>
          <w:p>
            <w:pPr>
              <w:pStyle w:val="style4151"/>
              <w:ind w:left="19"/>
              <w:rPr>
                <w:sz w:val="19"/>
              </w:rPr>
            </w:pPr>
            <w:r>
              <w:rPr>
                <w:sz w:val="19"/>
              </w:rPr>
              <w:t>100.</w:t>
            </w:r>
            <w:r>
              <w:rPr>
                <w:spacing w:val="28"/>
                <w:sz w:val="19"/>
              </w:rPr>
              <w:t xml:space="preserve">  </w:t>
            </w:r>
            <w:r>
              <w:rPr>
                <w:sz w:val="19"/>
              </w:rPr>
              <w:t>5.</w:t>
            </w:r>
            <w:r>
              <w:rPr>
                <w:spacing w:val="53"/>
                <w:sz w:val="19"/>
              </w:rPr>
              <w:t xml:space="preserve"> </w:t>
            </w:r>
            <w:r>
              <w:rPr>
                <w:sz w:val="19"/>
              </w:rPr>
              <w:t>1.59216</w:t>
            </w:r>
            <w:r>
              <w:rPr>
                <w:spacing w:val="54"/>
                <w:sz w:val="19"/>
              </w:rPr>
              <w:t xml:space="preserve"> </w:t>
            </w:r>
            <w:r>
              <w:rPr>
                <w:spacing w:val="-2"/>
                <w:sz w:val="19"/>
              </w:rPr>
              <w:t>1.75818</w:t>
            </w:r>
          </w:p>
        </w:tc>
        <w:tc>
          <w:tcPr>
            <w:tcW w:w="2520" w:type="dxa"/>
            <w:tcBorders/>
          </w:tcPr>
          <w:p>
            <w:pPr>
              <w:pStyle w:val="style4151"/>
              <w:rPr>
                <w:sz w:val="19"/>
              </w:rPr>
            </w:pPr>
            <w:r>
              <w:rPr>
                <w:sz w:val="19"/>
              </w:rPr>
              <w:t>200.</w:t>
            </w:r>
            <w:r>
              <w:rPr>
                <w:spacing w:val="28"/>
                <w:sz w:val="19"/>
              </w:rPr>
              <w:t xml:space="preserve">  </w:t>
            </w:r>
            <w:r>
              <w:rPr>
                <w:sz w:val="19"/>
              </w:rPr>
              <w:t>5.</w:t>
            </w:r>
            <w:r>
              <w:rPr>
                <w:spacing w:val="53"/>
                <w:sz w:val="19"/>
              </w:rPr>
              <w:t xml:space="preserve"> </w:t>
            </w:r>
            <w:r>
              <w:rPr>
                <w:sz w:val="19"/>
              </w:rPr>
              <w:t>1.72789</w:t>
            </w:r>
            <w:r>
              <w:rPr>
                <w:spacing w:val="54"/>
                <w:sz w:val="19"/>
              </w:rPr>
              <w:t xml:space="preserve"> </w:t>
            </w:r>
            <w:r>
              <w:rPr>
                <w:spacing w:val="-2"/>
                <w:sz w:val="19"/>
              </w:rPr>
              <w:t>1.80942</w:t>
            </w:r>
          </w:p>
        </w:tc>
        <w:tc>
          <w:tcPr>
            <w:tcW w:w="2700" w:type="dxa"/>
            <w:tcBorders/>
          </w:tcPr>
          <w:p>
            <w:pPr>
              <w:pStyle w:val="style4151"/>
              <w:ind w:left="66"/>
              <w:rPr>
                <w:sz w:val="19"/>
              </w:rPr>
            </w:pPr>
            <w:r>
              <w:rPr>
                <w:sz w:val="19"/>
              </w:rPr>
              <w:t>500.</w:t>
            </w:r>
            <w:r>
              <w:rPr>
                <w:spacing w:val="28"/>
                <w:sz w:val="19"/>
              </w:rPr>
              <w:t xml:space="preserve">  </w:t>
            </w:r>
            <w:r>
              <w:rPr>
                <w:sz w:val="19"/>
              </w:rPr>
              <w:t>5.</w:t>
            </w:r>
            <w:r>
              <w:rPr>
                <w:spacing w:val="53"/>
                <w:sz w:val="19"/>
              </w:rPr>
              <w:t xml:space="preserve"> </w:t>
            </w:r>
            <w:r>
              <w:rPr>
                <w:sz w:val="19"/>
              </w:rPr>
              <w:t>1.83705</w:t>
            </w:r>
            <w:r>
              <w:rPr>
                <w:spacing w:val="54"/>
                <w:sz w:val="19"/>
              </w:rPr>
              <w:t xml:space="preserve"> </w:t>
            </w:r>
            <w:r>
              <w:rPr>
                <w:spacing w:val="-2"/>
                <w:sz w:val="19"/>
              </w:rPr>
              <w:t>1.86929</w:t>
            </w:r>
          </w:p>
        </w:tc>
      </w:tr>
      <w:tr>
        <w:tblPrEx/>
        <w:trPr>
          <w:trHeight w:val="275" w:hRule="atLeast"/>
        </w:trPr>
        <w:tc>
          <w:tcPr>
            <w:tcW w:w="2515" w:type="dxa"/>
            <w:tcBorders/>
          </w:tcPr>
          <w:p>
            <w:pPr>
              <w:pStyle w:val="style4151"/>
              <w:ind w:left="115"/>
              <w:rPr>
                <w:sz w:val="19"/>
              </w:rPr>
            </w:pPr>
            <w:r>
              <w:rPr>
                <w:sz w:val="19"/>
              </w:rPr>
              <w:t>8.</w:t>
            </w:r>
            <w:r>
              <w:rPr>
                <w:spacing w:val="78"/>
                <w:w w:val="150"/>
                <w:sz w:val="19"/>
              </w:rPr>
              <w:t xml:space="preserve"> </w:t>
            </w:r>
            <w:r>
              <w:rPr>
                <w:sz w:val="19"/>
              </w:rPr>
              <w:t>3.</w:t>
            </w:r>
            <w:r>
              <w:rPr>
                <w:spacing w:val="52"/>
                <w:sz w:val="19"/>
              </w:rPr>
              <w:t xml:space="preserve"> </w:t>
            </w:r>
            <w:r>
              <w:rPr>
                <w:sz w:val="19"/>
              </w:rPr>
              <w:t>0.55907</w:t>
            </w:r>
            <w:r>
              <w:rPr>
                <w:spacing w:val="53"/>
                <w:sz w:val="19"/>
              </w:rPr>
              <w:t xml:space="preserve"> </w:t>
            </w:r>
            <w:r>
              <w:rPr>
                <w:spacing w:val="-2"/>
                <w:sz w:val="19"/>
              </w:rPr>
              <w:t>1.77711</w:t>
            </w:r>
          </w:p>
        </w:tc>
        <w:tc>
          <w:tcPr>
            <w:tcW w:w="2430" w:type="dxa"/>
            <w:tcBorders/>
          </w:tcPr>
          <w:p>
            <w:pPr>
              <w:pStyle w:val="style4151"/>
              <w:ind w:left="19"/>
              <w:rPr>
                <w:sz w:val="19"/>
              </w:rPr>
            </w:pPr>
            <w:r>
              <w:rPr>
                <w:sz w:val="19"/>
              </w:rPr>
              <w:t>100.</w:t>
            </w:r>
            <w:r>
              <w:rPr>
                <w:spacing w:val="28"/>
                <w:sz w:val="19"/>
              </w:rPr>
              <w:t xml:space="preserve">  </w:t>
            </w:r>
            <w:r>
              <w:rPr>
                <w:sz w:val="19"/>
              </w:rPr>
              <w:t>6.</w:t>
            </w:r>
            <w:r>
              <w:rPr>
                <w:spacing w:val="53"/>
                <w:sz w:val="19"/>
              </w:rPr>
              <w:t xml:space="preserve"> </w:t>
            </w:r>
            <w:r>
              <w:rPr>
                <w:sz w:val="19"/>
              </w:rPr>
              <w:t>1.57100</w:t>
            </w:r>
            <w:r>
              <w:rPr>
                <w:spacing w:val="54"/>
                <w:sz w:val="19"/>
              </w:rPr>
              <w:t xml:space="preserve"> </w:t>
            </w:r>
            <w:r>
              <w:rPr>
                <w:spacing w:val="-2"/>
                <w:sz w:val="19"/>
              </w:rPr>
              <w:t>1.78039</w:t>
            </w:r>
          </w:p>
        </w:tc>
        <w:tc>
          <w:tcPr>
            <w:tcW w:w="2520" w:type="dxa"/>
            <w:tcBorders/>
          </w:tcPr>
          <w:p>
            <w:pPr>
              <w:pStyle w:val="style4151"/>
              <w:rPr>
                <w:sz w:val="19"/>
              </w:rPr>
            </w:pPr>
            <w:r>
              <w:rPr>
                <w:sz w:val="19"/>
              </w:rPr>
              <w:t>200.</w:t>
            </w:r>
            <w:r>
              <w:rPr>
                <w:spacing w:val="28"/>
                <w:sz w:val="19"/>
              </w:rPr>
              <w:t xml:space="preserve">  </w:t>
            </w:r>
            <w:r>
              <w:rPr>
                <w:sz w:val="19"/>
              </w:rPr>
              <w:t>6.</w:t>
            </w:r>
            <w:r>
              <w:rPr>
                <w:spacing w:val="53"/>
                <w:sz w:val="19"/>
              </w:rPr>
              <w:t xml:space="preserve"> </w:t>
            </w:r>
            <w:r>
              <w:rPr>
                <w:sz w:val="19"/>
              </w:rPr>
              <w:t>1.71755</w:t>
            </w:r>
            <w:r>
              <w:rPr>
                <w:spacing w:val="54"/>
                <w:sz w:val="19"/>
              </w:rPr>
              <w:t xml:space="preserve"> </w:t>
            </w:r>
            <w:r>
              <w:rPr>
                <w:spacing w:val="-2"/>
                <w:sz w:val="19"/>
              </w:rPr>
              <w:t>1.81994</w:t>
            </w:r>
          </w:p>
        </w:tc>
        <w:tc>
          <w:tcPr>
            <w:tcW w:w="2700" w:type="dxa"/>
            <w:tcBorders/>
          </w:tcPr>
          <w:p>
            <w:pPr>
              <w:pStyle w:val="style4151"/>
              <w:ind w:left="66"/>
              <w:rPr>
                <w:sz w:val="19"/>
              </w:rPr>
            </w:pPr>
            <w:r>
              <w:rPr>
                <w:sz w:val="19"/>
              </w:rPr>
              <w:t>500.</w:t>
            </w:r>
            <w:r>
              <w:rPr>
                <w:spacing w:val="28"/>
                <w:sz w:val="19"/>
              </w:rPr>
              <w:t xml:space="preserve">  </w:t>
            </w:r>
            <w:r>
              <w:rPr>
                <w:sz w:val="19"/>
              </w:rPr>
              <w:t>6.</w:t>
            </w:r>
            <w:r>
              <w:rPr>
                <w:spacing w:val="53"/>
                <w:sz w:val="19"/>
              </w:rPr>
              <w:t xml:space="preserve"> </w:t>
            </w:r>
            <w:r>
              <w:rPr>
                <w:sz w:val="19"/>
              </w:rPr>
              <w:t>1.83298</w:t>
            </w:r>
            <w:r>
              <w:rPr>
                <w:spacing w:val="54"/>
                <w:sz w:val="19"/>
              </w:rPr>
              <w:t xml:space="preserve"> </w:t>
            </w:r>
            <w:r>
              <w:rPr>
                <w:spacing w:val="-2"/>
                <w:sz w:val="19"/>
              </w:rPr>
              <w:t>1.87337</w:t>
            </w:r>
          </w:p>
        </w:tc>
      </w:tr>
      <w:tr>
        <w:tblPrEx/>
        <w:trPr>
          <w:trHeight w:val="275" w:hRule="atLeast"/>
        </w:trPr>
        <w:tc>
          <w:tcPr>
            <w:tcW w:w="2515" w:type="dxa"/>
            <w:tcBorders/>
          </w:tcPr>
          <w:p>
            <w:pPr>
              <w:pStyle w:val="style4151"/>
              <w:ind w:left="115"/>
              <w:rPr>
                <w:sz w:val="19"/>
              </w:rPr>
            </w:pPr>
            <w:r>
              <w:rPr>
                <w:sz w:val="19"/>
              </w:rPr>
              <w:t>8.</w:t>
            </w:r>
            <w:r>
              <w:rPr>
                <w:spacing w:val="78"/>
                <w:w w:val="150"/>
                <w:sz w:val="19"/>
              </w:rPr>
              <w:t xml:space="preserve"> </w:t>
            </w:r>
            <w:r>
              <w:rPr>
                <w:sz w:val="19"/>
              </w:rPr>
              <w:t>4.</w:t>
            </w:r>
            <w:r>
              <w:rPr>
                <w:spacing w:val="52"/>
                <w:sz w:val="19"/>
              </w:rPr>
              <w:t xml:space="preserve"> </w:t>
            </w:r>
            <w:r>
              <w:rPr>
                <w:sz w:val="19"/>
              </w:rPr>
              <w:t>0.36744</w:t>
            </w:r>
            <w:r>
              <w:rPr>
                <w:spacing w:val="53"/>
                <w:sz w:val="19"/>
              </w:rPr>
              <w:t xml:space="preserve"> </w:t>
            </w:r>
            <w:r>
              <w:rPr>
                <w:spacing w:val="-2"/>
                <w:sz w:val="19"/>
              </w:rPr>
              <w:t>2.28664</w:t>
            </w:r>
          </w:p>
        </w:tc>
        <w:tc>
          <w:tcPr>
            <w:tcW w:w="2430" w:type="dxa"/>
            <w:tcBorders/>
          </w:tcPr>
          <w:p>
            <w:pPr>
              <w:pStyle w:val="style4151"/>
              <w:ind w:left="19"/>
              <w:rPr>
                <w:sz w:val="19"/>
              </w:rPr>
            </w:pPr>
            <w:r>
              <w:rPr>
                <w:sz w:val="19"/>
              </w:rPr>
              <w:t>100.</w:t>
            </w:r>
            <w:r>
              <w:rPr>
                <w:spacing w:val="28"/>
                <w:sz w:val="19"/>
              </w:rPr>
              <w:t xml:space="preserve">  </w:t>
            </w:r>
            <w:r>
              <w:rPr>
                <w:sz w:val="19"/>
              </w:rPr>
              <w:t>7.</w:t>
            </w:r>
            <w:r>
              <w:rPr>
                <w:spacing w:val="53"/>
                <w:sz w:val="19"/>
              </w:rPr>
              <w:t xml:space="preserve"> </w:t>
            </w:r>
            <w:r>
              <w:rPr>
                <w:sz w:val="19"/>
              </w:rPr>
              <w:t>1.54958</w:t>
            </w:r>
            <w:r>
              <w:rPr>
                <w:spacing w:val="54"/>
                <w:sz w:val="19"/>
              </w:rPr>
              <w:t xml:space="preserve"> </w:t>
            </w:r>
            <w:r>
              <w:rPr>
                <w:spacing w:val="-2"/>
                <w:sz w:val="19"/>
              </w:rPr>
              <w:t>1.80306</w:t>
            </w:r>
          </w:p>
        </w:tc>
        <w:tc>
          <w:tcPr>
            <w:tcW w:w="2520" w:type="dxa"/>
            <w:tcBorders/>
          </w:tcPr>
          <w:p>
            <w:pPr>
              <w:pStyle w:val="style4151"/>
              <w:rPr>
                <w:sz w:val="19"/>
              </w:rPr>
            </w:pPr>
            <w:r>
              <w:rPr>
                <w:sz w:val="19"/>
              </w:rPr>
              <w:t>200.</w:t>
            </w:r>
            <w:r>
              <w:rPr>
                <w:spacing w:val="28"/>
                <w:sz w:val="19"/>
              </w:rPr>
              <w:t xml:space="preserve">  </w:t>
            </w:r>
            <w:r>
              <w:rPr>
                <w:sz w:val="19"/>
              </w:rPr>
              <w:t>7.</w:t>
            </w:r>
            <w:r>
              <w:rPr>
                <w:spacing w:val="53"/>
                <w:sz w:val="19"/>
              </w:rPr>
              <w:t xml:space="preserve"> </w:t>
            </w:r>
            <w:r>
              <w:rPr>
                <w:sz w:val="19"/>
              </w:rPr>
              <w:t>1.70713</w:t>
            </w:r>
            <w:r>
              <w:rPr>
                <w:spacing w:val="54"/>
                <w:sz w:val="19"/>
              </w:rPr>
              <w:t xml:space="preserve"> </w:t>
            </w:r>
            <w:r>
              <w:rPr>
                <w:spacing w:val="-2"/>
                <w:sz w:val="19"/>
              </w:rPr>
              <w:t>1.83057</w:t>
            </w:r>
          </w:p>
        </w:tc>
        <w:tc>
          <w:tcPr>
            <w:tcW w:w="2700" w:type="dxa"/>
            <w:tcBorders/>
          </w:tcPr>
          <w:p>
            <w:pPr>
              <w:pStyle w:val="style4151"/>
              <w:ind w:left="66"/>
              <w:rPr>
                <w:sz w:val="19"/>
              </w:rPr>
            </w:pPr>
            <w:r>
              <w:rPr>
                <w:sz w:val="19"/>
              </w:rPr>
              <w:t>500.</w:t>
            </w:r>
            <w:r>
              <w:rPr>
                <w:spacing w:val="28"/>
                <w:sz w:val="19"/>
              </w:rPr>
              <w:t xml:space="preserve">  </w:t>
            </w:r>
            <w:r>
              <w:rPr>
                <w:sz w:val="19"/>
              </w:rPr>
              <w:t>7.</w:t>
            </w:r>
            <w:r>
              <w:rPr>
                <w:spacing w:val="53"/>
                <w:sz w:val="19"/>
              </w:rPr>
              <w:t xml:space="preserve"> </w:t>
            </w:r>
            <w:r>
              <w:rPr>
                <w:sz w:val="19"/>
              </w:rPr>
              <w:t>1.82892</w:t>
            </w:r>
            <w:r>
              <w:rPr>
                <w:spacing w:val="54"/>
                <w:sz w:val="19"/>
              </w:rPr>
              <w:t xml:space="preserve"> </w:t>
            </w:r>
            <w:r>
              <w:rPr>
                <w:spacing w:val="-2"/>
                <w:sz w:val="19"/>
              </w:rPr>
              <w:t>1.87747</w:t>
            </w:r>
          </w:p>
        </w:tc>
      </w:tr>
      <w:tr>
        <w:tblPrEx/>
        <w:trPr>
          <w:trHeight w:val="275" w:hRule="atLeast"/>
        </w:trPr>
        <w:tc>
          <w:tcPr>
            <w:tcW w:w="2515" w:type="dxa"/>
            <w:tcBorders/>
          </w:tcPr>
          <w:p>
            <w:pPr>
              <w:pStyle w:val="style4151"/>
              <w:ind w:left="115"/>
              <w:rPr>
                <w:sz w:val="19"/>
              </w:rPr>
            </w:pPr>
            <w:r>
              <w:rPr>
                <w:sz w:val="19"/>
              </w:rPr>
              <w:t>9.</w:t>
            </w:r>
            <w:r>
              <w:rPr>
                <w:spacing w:val="78"/>
                <w:w w:val="150"/>
                <w:sz w:val="19"/>
              </w:rPr>
              <w:t xml:space="preserve"> </w:t>
            </w:r>
            <w:r>
              <w:rPr>
                <w:sz w:val="19"/>
              </w:rPr>
              <w:t>2.</w:t>
            </w:r>
            <w:r>
              <w:rPr>
                <w:spacing w:val="52"/>
                <w:sz w:val="19"/>
              </w:rPr>
              <w:t xml:space="preserve"> </w:t>
            </w:r>
            <w:r>
              <w:rPr>
                <w:sz w:val="19"/>
              </w:rPr>
              <w:t>0.82428</w:t>
            </w:r>
            <w:r>
              <w:rPr>
                <w:spacing w:val="53"/>
                <w:sz w:val="19"/>
              </w:rPr>
              <w:t xml:space="preserve"> </w:t>
            </w:r>
            <w:r>
              <w:rPr>
                <w:spacing w:val="-2"/>
                <w:sz w:val="19"/>
              </w:rPr>
              <w:t>1.31988</w:t>
            </w:r>
          </w:p>
        </w:tc>
        <w:tc>
          <w:tcPr>
            <w:tcW w:w="2430" w:type="dxa"/>
            <w:tcBorders/>
          </w:tcPr>
          <w:p>
            <w:pPr>
              <w:pStyle w:val="style4151"/>
              <w:ind w:left="19"/>
              <w:rPr>
                <w:sz w:val="19"/>
              </w:rPr>
            </w:pPr>
            <w:r>
              <w:rPr>
                <w:sz w:val="19"/>
              </w:rPr>
              <w:t>100.</w:t>
            </w:r>
            <w:r>
              <w:rPr>
                <w:spacing w:val="28"/>
                <w:sz w:val="19"/>
              </w:rPr>
              <w:t xml:space="preserve">  </w:t>
            </w:r>
            <w:r>
              <w:rPr>
                <w:sz w:val="19"/>
              </w:rPr>
              <w:t>8.</w:t>
            </w:r>
            <w:r>
              <w:rPr>
                <w:spacing w:val="53"/>
                <w:sz w:val="19"/>
              </w:rPr>
              <w:t xml:space="preserve"> </w:t>
            </w:r>
            <w:r>
              <w:rPr>
                <w:sz w:val="19"/>
              </w:rPr>
              <w:t>1.52793</w:t>
            </w:r>
            <w:r>
              <w:rPr>
                <w:spacing w:val="54"/>
                <w:sz w:val="19"/>
              </w:rPr>
              <w:t xml:space="preserve"> </w:t>
            </w:r>
            <w:r>
              <w:rPr>
                <w:spacing w:val="-2"/>
                <w:sz w:val="19"/>
              </w:rPr>
              <w:t>1.82619</w:t>
            </w:r>
          </w:p>
        </w:tc>
        <w:tc>
          <w:tcPr>
            <w:tcW w:w="2520" w:type="dxa"/>
            <w:tcBorders/>
          </w:tcPr>
          <w:p>
            <w:pPr>
              <w:pStyle w:val="style4151"/>
              <w:rPr>
                <w:sz w:val="19"/>
              </w:rPr>
            </w:pPr>
            <w:r>
              <w:rPr>
                <w:sz w:val="19"/>
              </w:rPr>
              <w:t>200.</w:t>
            </w:r>
            <w:r>
              <w:rPr>
                <w:spacing w:val="28"/>
                <w:sz w:val="19"/>
              </w:rPr>
              <w:t xml:space="preserve">  </w:t>
            </w:r>
            <w:r>
              <w:rPr>
                <w:sz w:val="19"/>
              </w:rPr>
              <w:t>8.</w:t>
            </w:r>
            <w:r>
              <w:rPr>
                <w:spacing w:val="53"/>
                <w:sz w:val="19"/>
              </w:rPr>
              <w:t xml:space="preserve"> </w:t>
            </w:r>
            <w:r>
              <w:rPr>
                <w:sz w:val="19"/>
              </w:rPr>
              <w:t>1.69663</w:t>
            </w:r>
            <w:r>
              <w:rPr>
                <w:spacing w:val="54"/>
                <w:sz w:val="19"/>
              </w:rPr>
              <w:t xml:space="preserve"> </w:t>
            </w:r>
            <w:r>
              <w:rPr>
                <w:spacing w:val="-2"/>
                <w:sz w:val="19"/>
              </w:rPr>
              <w:t>1.84133</w:t>
            </w:r>
          </w:p>
        </w:tc>
        <w:tc>
          <w:tcPr>
            <w:tcW w:w="2700" w:type="dxa"/>
            <w:tcBorders/>
          </w:tcPr>
          <w:p>
            <w:pPr>
              <w:pStyle w:val="style4151"/>
              <w:ind w:left="66"/>
              <w:rPr>
                <w:sz w:val="19"/>
              </w:rPr>
            </w:pPr>
            <w:r>
              <w:rPr>
                <w:sz w:val="19"/>
              </w:rPr>
              <w:t>500.</w:t>
            </w:r>
            <w:r>
              <w:rPr>
                <w:spacing w:val="28"/>
                <w:sz w:val="19"/>
              </w:rPr>
              <w:t xml:space="preserve">  </w:t>
            </w:r>
            <w:r>
              <w:rPr>
                <w:sz w:val="19"/>
              </w:rPr>
              <w:t>8.</w:t>
            </w:r>
            <w:r>
              <w:rPr>
                <w:spacing w:val="53"/>
                <w:sz w:val="19"/>
              </w:rPr>
              <w:t xml:space="preserve"> </w:t>
            </w:r>
            <w:r>
              <w:rPr>
                <w:sz w:val="19"/>
              </w:rPr>
              <w:t>1.82482</w:t>
            </w:r>
            <w:r>
              <w:rPr>
                <w:spacing w:val="54"/>
                <w:sz w:val="19"/>
              </w:rPr>
              <w:t xml:space="preserve"> </w:t>
            </w:r>
            <w:r>
              <w:rPr>
                <w:spacing w:val="-2"/>
                <w:sz w:val="19"/>
              </w:rPr>
              <w:t>1.88158</w:t>
            </w:r>
          </w:p>
        </w:tc>
      </w:tr>
      <w:tr>
        <w:tblPrEx/>
        <w:trPr>
          <w:trHeight w:val="275" w:hRule="atLeast"/>
        </w:trPr>
        <w:tc>
          <w:tcPr>
            <w:tcW w:w="2515" w:type="dxa"/>
            <w:tcBorders/>
          </w:tcPr>
          <w:p>
            <w:pPr>
              <w:pStyle w:val="style4151"/>
              <w:ind w:left="115"/>
              <w:rPr>
                <w:sz w:val="19"/>
              </w:rPr>
            </w:pPr>
            <w:r>
              <w:rPr>
                <w:sz w:val="19"/>
              </w:rPr>
              <w:t>9.</w:t>
            </w:r>
            <w:r>
              <w:rPr>
                <w:spacing w:val="78"/>
                <w:w w:val="150"/>
                <w:sz w:val="19"/>
              </w:rPr>
              <w:t xml:space="preserve"> </w:t>
            </w:r>
            <w:r>
              <w:rPr>
                <w:sz w:val="19"/>
              </w:rPr>
              <w:t>3.</w:t>
            </w:r>
            <w:r>
              <w:rPr>
                <w:spacing w:val="52"/>
                <w:sz w:val="19"/>
              </w:rPr>
              <w:t xml:space="preserve"> </w:t>
            </w:r>
            <w:r>
              <w:rPr>
                <w:sz w:val="19"/>
              </w:rPr>
              <w:t>0.62910</w:t>
            </w:r>
            <w:r>
              <w:rPr>
                <w:spacing w:val="53"/>
                <w:sz w:val="19"/>
              </w:rPr>
              <w:t xml:space="preserve"> </w:t>
            </w:r>
            <w:r>
              <w:rPr>
                <w:spacing w:val="-2"/>
                <w:sz w:val="19"/>
              </w:rPr>
              <w:t>1.69926</w:t>
            </w:r>
          </w:p>
        </w:tc>
        <w:tc>
          <w:tcPr>
            <w:tcW w:w="2430" w:type="dxa"/>
            <w:tcBorders/>
          </w:tcPr>
          <w:p>
            <w:pPr>
              <w:pStyle w:val="style4151"/>
              <w:ind w:left="19"/>
              <w:rPr>
                <w:sz w:val="19"/>
              </w:rPr>
            </w:pPr>
            <w:r>
              <w:rPr>
                <w:sz w:val="19"/>
              </w:rPr>
              <w:t>100.</w:t>
            </w:r>
            <w:r>
              <w:rPr>
                <w:spacing w:val="28"/>
                <w:sz w:val="19"/>
              </w:rPr>
              <w:t xml:space="preserve">  </w:t>
            </w:r>
            <w:r>
              <w:rPr>
                <w:sz w:val="19"/>
              </w:rPr>
              <w:t>9.</w:t>
            </w:r>
            <w:r>
              <w:rPr>
                <w:spacing w:val="53"/>
                <w:sz w:val="19"/>
              </w:rPr>
              <w:t xml:space="preserve"> </w:t>
            </w:r>
            <w:r>
              <w:rPr>
                <w:sz w:val="19"/>
              </w:rPr>
              <w:t>1.50604</w:t>
            </w:r>
            <w:r>
              <w:rPr>
                <w:spacing w:val="54"/>
                <w:sz w:val="19"/>
              </w:rPr>
              <w:t xml:space="preserve"> </w:t>
            </w:r>
            <w:r>
              <w:rPr>
                <w:spacing w:val="-2"/>
                <w:sz w:val="19"/>
              </w:rPr>
              <w:t>1.84976</w:t>
            </w:r>
          </w:p>
        </w:tc>
        <w:tc>
          <w:tcPr>
            <w:tcW w:w="2520" w:type="dxa"/>
            <w:tcBorders/>
          </w:tcPr>
          <w:p>
            <w:pPr>
              <w:pStyle w:val="style4151"/>
              <w:rPr>
                <w:sz w:val="19"/>
              </w:rPr>
            </w:pPr>
            <w:r>
              <w:rPr>
                <w:sz w:val="19"/>
              </w:rPr>
              <w:t>200.</w:t>
            </w:r>
            <w:r>
              <w:rPr>
                <w:spacing w:val="28"/>
                <w:sz w:val="19"/>
              </w:rPr>
              <w:t xml:space="preserve">  </w:t>
            </w:r>
            <w:r>
              <w:rPr>
                <w:sz w:val="19"/>
              </w:rPr>
              <w:t>9.</w:t>
            </w:r>
            <w:r>
              <w:rPr>
                <w:spacing w:val="53"/>
                <w:sz w:val="19"/>
              </w:rPr>
              <w:t xml:space="preserve"> </w:t>
            </w:r>
            <w:r>
              <w:rPr>
                <w:sz w:val="19"/>
              </w:rPr>
              <w:t>1.68607</w:t>
            </w:r>
            <w:r>
              <w:rPr>
                <w:spacing w:val="54"/>
                <w:sz w:val="19"/>
              </w:rPr>
              <w:t xml:space="preserve"> </w:t>
            </w:r>
            <w:r>
              <w:rPr>
                <w:spacing w:val="-2"/>
                <w:sz w:val="19"/>
              </w:rPr>
              <w:t>1.85219</w:t>
            </w:r>
          </w:p>
        </w:tc>
        <w:tc>
          <w:tcPr>
            <w:tcW w:w="2700" w:type="dxa"/>
            <w:tcBorders/>
          </w:tcPr>
          <w:p>
            <w:pPr>
              <w:pStyle w:val="style4151"/>
              <w:ind w:left="66"/>
              <w:rPr>
                <w:sz w:val="19"/>
              </w:rPr>
            </w:pPr>
            <w:r>
              <w:rPr>
                <w:sz w:val="19"/>
              </w:rPr>
              <w:t>500.</w:t>
            </w:r>
            <w:r>
              <w:rPr>
                <w:spacing w:val="28"/>
                <w:sz w:val="19"/>
              </w:rPr>
              <w:t xml:space="preserve">  </w:t>
            </w:r>
            <w:r>
              <w:rPr>
                <w:sz w:val="19"/>
              </w:rPr>
              <w:t>9.</w:t>
            </w:r>
            <w:r>
              <w:rPr>
                <w:spacing w:val="53"/>
                <w:sz w:val="19"/>
              </w:rPr>
              <w:t xml:space="preserve"> </w:t>
            </w:r>
            <w:r>
              <w:rPr>
                <w:sz w:val="19"/>
              </w:rPr>
              <w:t>1.82072</w:t>
            </w:r>
            <w:r>
              <w:rPr>
                <w:spacing w:val="54"/>
                <w:sz w:val="19"/>
              </w:rPr>
              <w:t xml:space="preserve"> </w:t>
            </w:r>
            <w:r>
              <w:rPr>
                <w:spacing w:val="-2"/>
                <w:sz w:val="19"/>
              </w:rPr>
              <w:t>1.88572</w:t>
            </w:r>
          </w:p>
        </w:tc>
      </w:tr>
      <w:tr>
        <w:tblPrEx/>
        <w:trPr>
          <w:trHeight w:val="275" w:hRule="atLeast"/>
        </w:trPr>
        <w:tc>
          <w:tcPr>
            <w:tcW w:w="2515" w:type="dxa"/>
            <w:tcBorders/>
          </w:tcPr>
          <w:p>
            <w:pPr>
              <w:pStyle w:val="style4151"/>
              <w:ind w:left="115"/>
              <w:rPr>
                <w:sz w:val="19"/>
              </w:rPr>
            </w:pPr>
            <w:r>
              <w:rPr>
                <w:sz w:val="19"/>
              </w:rPr>
              <w:t>9.</w:t>
            </w:r>
            <w:r>
              <w:rPr>
                <w:spacing w:val="78"/>
                <w:w w:val="150"/>
                <w:sz w:val="19"/>
              </w:rPr>
              <w:t xml:space="preserve"> </w:t>
            </w:r>
            <w:r>
              <w:rPr>
                <w:sz w:val="19"/>
              </w:rPr>
              <w:t>4.</w:t>
            </w:r>
            <w:r>
              <w:rPr>
                <w:spacing w:val="52"/>
                <w:sz w:val="19"/>
              </w:rPr>
              <w:t xml:space="preserve"> </w:t>
            </w:r>
            <w:r>
              <w:rPr>
                <w:sz w:val="19"/>
              </w:rPr>
              <w:t>0.45476</w:t>
            </w:r>
            <w:r>
              <w:rPr>
                <w:spacing w:val="53"/>
                <w:sz w:val="19"/>
              </w:rPr>
              <w:t xml:space="preserve"> </w:t>
            </w:r>
            <w:r>
              <w:rPr>
                <w:spacing w:val="-2"/>
                <w:sz w:val="19"/>
              </w:rPr>
              <w:t>2.12816</w:t>
            </w:r>
          </w:p>
        </w:tc>
        <w:tc>
          <w:tcPr>
            <w:tcW w:w="2430" w:type="dxa"/>
            <w:tcBorders/>
          </w:tcPr>
          <w:p>
            <w:pPr>
              <w:pStyle w:val="style4151"/>
              <w:ind w:left="19"/>
              <w:rPr>
                <w:sz w:val="19"/>
              </w:rPr>
            </w:pPr>
            <w:r>
              <w:rPr>
                <w:sz w:val="19"/>
              </w:rPr>
              <w:t>100.</w:t>
            </w:r>
            <w:r>
              <w:rPr>
                <w:spacing w:val="55"/>
                <w:sz w:val="19"/>
              </w:rPr>
              <w:t xml:space="preserve"> </w:t>
            </w:r>
            <w:r>
              <w:rPr>
                <w:sz w:val="19"/>
              </w:rPr>
              <w:t>10.</w:t>
            </w:r>
            <w:r>
              <w:rPr>
                <w:spacing w:val="55"/>
                <w:sz w:val="19"/>
              </w:rPr>
              <w:t xml:space="preserve"> </w:t>
            </w:r>
            <w:r>
              <w:rPr>
                <w:sz w:val="19"/>
              </w:rPr>
              <w:t>1.48394</w:t>
            </w:r>
            <w:r>
              <w:rPr>
                <w:spacing w:val="55"/>
                <w:sz w:val="19"/>
              </w:rPr>
              <w:t xml:space="preserve"> </w:t>
            </w:r>
            <w:r>
              <w:rPr>
                <w:spacing w:val="-2"/>
                <w:sz w:val="19"/>
              </w:rPr>
              <w:t>1.87377</w:t>
            </w:r>
          </w:p>
        </w:tc>
        <w:tc>
          <w:tcPr>
            <w:tcW w:w="2520" w:type="dxa"/>
            <w:tcBorders/>
          </w:tcPr>
          <w:p>
            <w:pPr>
              <w:pStyle w:val="style4151"/>
              <w:rPr>
                <w:sz w:val="19"/>
              </w:rPr>
            </w:pPr>
            <w:r>
              <w:rPr>
                <w:sz w:val="19"/>
              </w:rPr>
              <w:t>200.</w:t>
            </w:r>
            <w:r>
              <w:rPr>
                <w:spacing w:val="55"/>
                <w:sz w:val="19"/>
              </w:rPr>
              <w:t xml:space="preserve"> </w:t>
            </w:r>
            <w:r>
              <w:rPr>
                <w:sz w:val="19"/>
              </w:rPr>
              <w:t>10.</w:t>
            </w:r>
            <w:r>
              <w:rPr>
                <w:spacing w:val="55"/>
                <w:sz w:val="19"/>
              </w:rPr>
              <w:t xml:space="preserve"> </w:t>
            </w:r>
            <w:r>
              <w:rPr>
                <w:sz w:val="19"/>
              </w:rPr>
              <w:t>1.67543</w:t>
            </w:r>
            <w:r>
              <w:rPr>
                <w:spacing w:val="55"/>
                <w:sz w:val="19"/>
              </w:rPr>
              <w:t xml:space="preserve"> </w:t>
            </w:r>
            <w:r>
              <w:rPr>
                <w:spacing w:val="-2"/>
                <w:sz w:val="19"/>
              </w:rPr>
              <w:t>1.86316</w:t>
            </w:r>
          </w:p>
        </w:tc>
        <w:tc>
          <w:tcPr>
            <w:tcW w:w="2700" w:type="dxa"/>
            <w:tcBorders/>
          </w:tcPr>
          <w:p>
            <w:pPr>
              <w:pStyle w:val="style4151"/>
              <w:ind w:left="66"/>
              <w:rPr>
                <w:sz w:val="19"/>
              </w:rPr>
            </w:pPr>
            <w:r>
              <w:rPr>
                <w:sz w:val="19"/>
              </w:rPr>
              <w:t>500.</w:t>
            </w:r>
            <w:r>
              <w:rPr>
                <w:spacing w:val="55"/>
                <w:sz w:val="19"/>
              </w:rPr>
              <w:t xml:space="preserve"> </w:t>
            </w:r>
            <w:r>
              <w:rPr>
                <w:sz w:val="19"/>
              </w:rPr>
              <w:t>10.</w:t>
            </w:r>
            <w:r>
              <w:rPr>
                <w:spacing w:val="55"/>
                <w:sz w:val="19"/>
              </w:rPr>
              <w:t xml:space="preserve"> </w:t>
            </w:r>
            <w:r>
              <w:rPr>
                <w:sz w:val="19"/>
              </w:rPr>
              <w:t>1.81661</w:t>
            </w:r>
            <w:r>
              <w:rPr>
                <w:spacing w:val="55"/>
                <w:sz w:val="19"/>
              </w:rPr>
              <w:t xml:space="preserve"> </w:t>
            </w:r>
            <w:r>
              <w:rPr>
                <w:spacing w:val="-2"/>
                <w:sz w:val="19"/>
              </w:rPr>
              <w:t>1.88986</w:t>
            </w:r>
          </w:p>
        </w:tc>
      </w:tr>
      <w:tr>
        <w:tblPrEx/>
        <w:trPr>
          <w:trHeight w:val="275" w:hRule="atLeast"/>
        </w:trPr>
        <w:tc>
          <w:tcPr>
            <w:tcW w:w="2515" w:type="dxa"/>
            <w:tcBorders/>
          </w:tcPr>
          <w:p>
            <w:pPr>
              <w:pStyle w:val="style4151"/>
              <w:ind w:left="115"/>
              <w:rPr>
                <w:sz w:val="19"/>
              </w:rPr>
            </w:pPr>
            <w:r>
              <w:rPr>
                <w:sz w:val="19"/>
              </w:rPr>
              <w:t>9.</w:t>
            </w:r>
            <w:r>
              <w:rPr>
                <w:spacing w:val="78"/>
                <w:w w:val="150"/>
                <w:sz w:val="19"/>
              </w:rPr>
              <w:t xml:space="preserve"> </w:t>
            </w:r>
            <w:r>
              <w:rPr>
                <w:sz w:val="19"/>
              </w:rPr>
              <w:t>5.</w:t>
            </w:r>
            <w:r>
              <w:rPr>
                <w:spacing w:val="52"/>
                <w:sz w:val="19"/>
              </w:rPr>
              <w:t xml:space="preserve"> </w:t>
            </w:r>
            <w:r>
              <w:rPr>
                <w:sz w:val="19"/>
              </w:rPr>
              <w:t>0.29571</w:t>
            </w:r>
            <w:r>
              <w:rPr>
                <w:spacing w:val="53"/>
                <w:sz w:val="19"/>
              </w:rPr>
              <w:t xml:space="preserve"> </w:t>
            </w:r>
            <w:r>
              <w:rPr>
                <w:spacing w:val="-2"/>
                <w:sz w:val="19"/>
              </w:rPr>
              <w:t>2.58810</w:t>
            </w:r>
          </w:p>
        </w:tc>
        <w:tc>
          <w:tcPr>
            <w:tcW w:w="2430" w:type="dxa"/>
            <w:tcBorders/>
          </w:tcPr>
          <w:p>
            <w:pPr>
              <w:pStyle w:val="style4151"/>
              <w:ind w:left="19"/>
              <w:rPr>
                <w:sz w:val="19"/>
              </w:rPr>
            </w:pPr>
            <w:r>
              <w:rPr>
                <w:sz w:val="19"/>
              </w:rPr>
              <w:t>100.</w:t>
            </w:r>
            <w:r>
              <w:rPr>
                <w:spacing w:val="55"/>
                <w:sz w:val="19"/>
              </w:rPr>
              <w:t xml:space="preserve"> </w:t>
            </w:r>
            <w:r>
              <w:rPr>
                <w:sz w:val="19"/>
              </w:rPr>
              <w:t>11.</w:t>
            </w:r>
            <w:r>
              <w:rPr>
                <w:spacing w:val="55"/>
                <w:sz w:val="19"/>
              </w:rPr>
              <w:t xml:space="preserve"> </w:t>
            </w:r>
            <w:r>
              <w:rPr>
                <w:sz w:val="19"/>
              </w:rPr>
              <w:t>1.46162</w:t>
            </w:r>
            <w:r>
              <w:rPr>
                <w:spacing w:val="55"/>
                <w:sz w:val="19"/>
              </w:rPr>
              <w:t xml:space="preserve"> </w:t>
            </w:r>
            <w:r>
              <w:rPr>
                <w:spacing w:val="-2"/>
                <w:sz w:val="19"/>
              </w:rPr>
              <w:t>1.89820</w:t>
            </w:r>
          </w:p>
        </w:tc>
        <w:tc>
          <w:tcPr>
            <w:tcW w:w="2520" w:type="dxa"/>
            <w:tcBorders/>
          </w:tcPr>
          <w:p>
            <w:pPr>
              <w:pStyle w:val="style4151"/>
              <w:rPr>
                <w:sz w:val="19"/>
              </w:rPr>
            </w:pPr>
            <w:r>
              <w:rPr>
                <w:sz w:val="19"/>
              </w:rPr>
              <w:t>200.</w:t>
            </w:r>
            <w:r>
              <w:rPr>
                <w:spacing w:val="55"/>
                <w:sz w:val="19"/>
              </w:rPr>
              <w:t xml:space="preserve"> </w:t>
            </w:r>
            <w:r>
              <w:rPr>
                <w:sz w:val="19"/>
              </w:rPr>
              <w:t>11.</w:t>
            </w:r>
            <w:r>
              <w:rPr>
                <w:spacing w:val="55"/>
                <w:sz w:val="19"/>
              </w:rPr>
              <w:t xml:space="preserve"> </w:t>
            </w:r>
            <w:r>
              <w:rPr>
                <w:sz w:val="19"/>
              </w:rPr>
              <w:t>1.66471</w:t>
            </w:r>
            <w:r>
              <w:rPr>
                <w:spacing w:val="55"/>
                <w:sz w:val="19"/>
              </w:rPr>
              <w:t xml:space="preserve"> </w:t>
            </w:r>
            <w:r>
              <w:rPr>
                <w:spacing w:val="-2"/>
                <w:sz w:val="19"/>
              </w:rPr>
              <w:t>1.87423</w:t>
            </w:r>
          </w:p>
        </w:tc>
        <w:tc>
          <w:tcPr>
            <w:tcW w:w="2700" w:type="dxa"/>
            <w:tcBorders/>
          </w:tcPr>
          <w:p>
            <w:pPr>
              <w:pStyle w:val="style4151"/>
              <w:ind w:left="66"/>
              <w:rPr>
                <w:sz w:val="19"/>
              </w:rPr>
            </w:pPr>
            <w:r>
              <w:rPr>
                <w:sz w:val="19"/>
              </w:rPr>
              <w:t>500.</w:t>
            </w:r>
            <w:r>
              <w:rPr>
                <w:spacing w:val="55"/>
                <w:sz w:val="19"/>
              </w:rPr>
              <w:t xml:space="preserve"> </w:t>
            </w:r>
            <w:r>
              <w:rPr>
                <w:sz w:val="19"/>
              </w:rPr>
              <w:t>11.</w:t>
            </w:r>
            <w:r>
              <w:rPr>
                <w:spacing w:val="55"/>
                <w:sz w:val="19"/>
              </w:rPr>
              <w:t xml:space="preserve"> </w:t>
            </w:r>
            <w:r>
              <w:rPr>
                <w:sz w:val="19"/>
              </w:rPr>
              <w:t>1.81247</w:t>
            </w:r>
            <w:r>
              <w:rPr>
                <w:spacing w:val="55"/>
                <w:sz w:val="19"/>
              </w:rPr>
              <w:t xml:space="preserve"> </w:t>
            </w:r>
            <w:r>
              <w:rPr>
                <w:spacing w:val="-2"/>
                <w:sz w:val="19"/>
              </w:rPr>
              <w:t>1.89403</w:t>
            </w:r>
          </w:p>
        </w:tc>
      </w:tr>
      <w:tr>
        <w:tblPrEx/>
        <w:trPr>
          <w:trHeight w:val="275" w:hRule="atLeast"/>
        </w:trPr>
        <w:tc>
          <w:tcPr>
            <w:tcW w:w="2515" w:type="dxa"/>
            <w:tcBorders/>
          </w:tcPr>
          <w:p>
            <w:pPr>
              <w:pStyle w:val="style4151"/>
              <w:ind w:left="67"/>
              <w:rPr>
                <w:sz w:val="19"/>
              </w:rPr>
            </w:pPr>
            <w:r>
              <w:rPr>
                <w:sz w:val="19"/>
              </w:rPr>
              <w:t>10.</w:t>
            </w:r>
            <w:r>
              <w:rPr>
                <w:spacing w:val="79"/>
                <w:w w:val="150"/>
                <w:sz w:val="19"/>
              </w:rPr>
              <w:t xml:space="preserve"> </w:t>
            </w:r>
            <w:r>
              <w:rPr>
                <w:sz w:val="19"/>
              </w:rPr>
              <w:t>2.</w:t>
            </w:r>
            <w:r>
              <w:rPr>
                <w:spacing w:val="53"/>
                <w:sz w:val="19"/>
              </w:rPr>
              <w:t xml:space="preserve"> </w:t>
            </w:r>
            <w:r>
              <w:rPr>
                <w:sz w:val="19"/>
              </w:rPr>
              <w:t>0.87913</w:t>
            </w:r>
            <w:r>
              <w:rPr>
                <w:spacing w:val="53"/>
                <w:sz w:val="19"/>
              </w:rPr>
              <w:t xml:space="preserve"> </w:t>
            </w:r>
            <w:r>
              <w:rPr>
                <w:spacing w:val="-2"/>
                <w:sz w:val="19"/>
              </w:rPr>
              <w:t>1.31971</w:t>
            </w:r>
          </w:p>
        </w:tc>
        <w:tc>
          <w:tcPr>
            <w:tcW w:w="2430" w:type="dxa"/>
            <w:tcBorders/>
          </w:tcPr>
          <w:p>
            <w:pPr>
              <w:pStyle w:val="style4151"/>
              <w:ind w:left="19"/>
              <w:rPr>
                <w:sz w:val="19"/>
              </w:rPr>
            </w:pPr>
            <w:r>
              <w:rPr>
                <w:sz w:val="19"/>
              </w:rPr>
              <w:t>100.</w:t>
            </w:r>
            <w:r>
              <w:rPr>
                <w:spacing w:val="55"/>
                <w:sz w:val="19"/>
              </w:rPr>
              <w:t xml:space="preserve"> </w:t>
            </w:r>
            <w:r>
              <w:rPr>
                <w:sz w:val="19"/>
              </w:rPr>
              <w:t>12.</w:t>
            </w:r>
            <w:r>
              <w:rPr>
                <w:spacing w:val="55"/>
                <w:sz w:val="19"/>
              </w:rPr>
              <w:t xml:space="preserve"> </w:t>
            </w:r>
            <w:r>
              <w:rPr>
                <w:sz w:val="19"/>
              </w:rPr>
              <w:t>1.43910</w:t>
            </w:r>
            <w:r>
              <w:rPr>
                <w:spacing w:val="55"/>
                <w:sz w:val="19"/>
              </w:rPr>
              <w:t xml:space="preserve"> </w:t>
            </w:r>
            <w:r>
              <w:rPr>
                <w:spacing w:val="-2"/>
                <w:sz w:val="19"/>
              </w:rPr>
              <w:t>1.92305</w:t>
            </w:r>
          </w:p>
        </w:tc>
        <w:tc>
          <w:tcPr>
            <w:tcW w:w="2520" w:type="dxa"/>
            <w:tcBorders/>
          </w:tcPr>
          <w:p>
            <w:pPr>
              <w:pStyle w:val="style4151"/>
              <w:rPr>
                <w:sz w:val="19"/>
              </w:rPr>
            </w:pPr>
            <w:r>
              <w:rPr>
                <w:sz w:val="19"/>
              </w:rPr>
              <w:t>200.</w:t>
            </w:r>
            <w:r>
              <w:rPr>
                <w:spacing w:val="55"/>
                <w:sz w:val="19"/>
              </w:rPr>
              <w:t xml:space="preserve"> </w:t>
            </w:r>
            <w:r>
              <w:rPr>
                <w:sz w:val="19"/>
              </w:rPr>
              <w:t>12.</w:t>
            </w:r>
            <w:r>
              <w:rPr>
                <w:spacing w:val="55"/>
                <w:sz w:val="19"/>
              </w:rPr>
              <w:t xml:space="preserve"> </w:t>
            </w:r>
            <w:r>
              <w:rPr>
                <w:sz w:val="19"/>
              </w:rPr>
              <w:t>1.65394</w:t>
            </w:r>
            <w:r>
              <w:rPr>
                <w:spacing w:val="55"/>
                <w:sz w:val="19"/>
              </w:rPr>
              <w:t xml:space="preserve"> </w:t>
            </w:r>
            <w:r>
              <w:rPr>
                <w:spacing w:val="-2"/>
                <w:sz w:val="19"/>
              </w:rPr>
              <w:t>1.88541</w:t>
            </w:r>
          </w:p>
        </w:tc>
        <w:tc>
          <w:tcPr>
            <w:tcW w:w="2700" w:type="dxa"/>
            <w:tcBorders/>
          </w:tcPr>
          <w:p>
            <w:pPr>
              <w:pStyle w:val="style4151"/>
              <w:ind w:left="66"/>
              <w:rPr>
                <w:sz w:val="19"/>
              </w:rPr>
            </w:pPr>
            <w:r>
              <w:rPr>
                <w:sz w:val="19"/>
              </w:rPr>
              <w:t>500.</w:t>
            </w:r>
            <w:r>
              <w:rPr>
                <w:spacing w:val="55"/>
                <w:sz w:val="19"/>
              </w:rPr>
              <w:t xml:space="preserve"> </w:t>
            </w:r>
            <w:r>
              <w:rPr>
                <w:sz w:val="19"/>
              </w:rPr>
              <w:t>12.</w:t>
            </w:r>
            <w:r>
              <w:rPr>
                <w:spacing w:val="55"/>
                <w:sz w:val="19"/>
              </w:rPr>
              <w:t xml:space="preserve"> </w:t>
            </w:r>
            <w:r>
              <w:rPr>
                <w:sz w:val="19"/>
              </w:rPr>
              <w:t>1.80834</w:t>
            </w:r>
            <w:r>
              <w:rPr>
                <w:spacing w:val="55"/>
                <w:sz w:val="19"/>
              </w:rPr>
              <w:t xml:space="preserve"> </w:t>
            </w:r>
            <w:r>
              <w:rPr>
                <w:spacing w:val="-2"/>
                <w:sz w:val="19"/>
              </w:rPr>
              <w:t>1.89821</w:t>
            </w:r>
          </w:p>
        </w:tc>
      </w:tr>
      <w:tr>
        <w:tblPrEx/>
        <w:trPr>
          <w:trHeight w:val="275" w:hRule="atLeast"/>
        </w:trPr>
        <w:tc>
          <w:tcPr>
            <w:tcW w:w="2515" w:type="dxa"/>
            <w:tcBorders/>
          </w:tcPr>
          <w:p>
            <w:pPr>
              <w:pStyle w:val="style4151"/>
              <w:ind w:left="67"/>
              <w:rPr>
                <w:sz w:val="19"/>
              </w:rPr>
            </w:pPr>
            <w:r>
              <w:rPr>
                <w:sz w:val="19"/>
              </w:rPr>
              <w:t>10.</w:t>
            </w:r>
            <w:r>
              <w:rPr>
                <w:spacing w:val="79"/>
                <w:w w:val="150"/>
                <w:sz w:val="19"/>
              </w:rPr>
              <w:t xml:space="preserve"> </w:t>
            </w:r>
            <w:r>
              <w:rPr>
                <w:sz w:val="19"/>
              </w:rPr>
              <w:t>3.</w:t>
            </w:r>
            <w:r>
              <w:rPr>
                <w:spacing w:val="53"/>
                <w:sz w:val="19"/>
              </w:rPr>
              <w:t xml:space="preserve"> </w:t>
            </w:r>
            <w:r>
              <w:rPr>
                <w:sz w:val="19"/>
              </w:rPr>
              <w:t>0.69715</w:t>
            </w:r>
            <w:r>
              <w:rPr>
                <w:spacing w:val="53"/>
                <w:sz w:val="19"/>
              </w:rPr>
              <w:t xml:space="preserve"> </w:t>
            </w:r>
            <w:r>
              <w:rPr>
                <w:spacing w:val="-2"/>
                <w:sz w:val="19"/>
              </w:rPr>
              <w:t>1.64134</w:t>
            </w:r>
          </w:p>
        </w:tc>
        <w:tc>
          <w:tcPr>
            <w:tcW w:w="2430" w:type="dxa"/>
            <w:tcBorders/>
          </w:tcPr>
          <w:p>
            <w:pPr>
              <w:pStyle w:val="style4151"/>
              <w:ind w:left="19"/>
              <w:rPr>
                <w:sz w:val="19"/>
              </w:rPr>
            </w:pPr>
            <w:r>
              <w:rPr>
                <w:sz w:val="19"/>
              </w:rPr>
              <w:t>100.</w:t>
            </w:r>
            <w:r>
              <w:rPr>
                <w:spacing w:val="55"/>
                <w:sz w:val="19"/>
              </w:rPr>
              <w:t xml:space="preserve"> </w:t>
            </w:r>
            <w:r>
              <w:rPr>
                <w:sz w:val="19"/>
              </w:rPr>
              <w:t>13.</w:t>
            </w:r>
            <w:r>
              <w:rPr>
                <w:spacing w:val="55"/>
                <w:sz w:val="19"/>
              </w:rPr>
              <w:t xml:space="preserve"> </w:t>
            </w:r>
            <w:r>
              <w:rPr>
                <w:sz w:val="19"/>
              </w:rPr>
              <w:t>1.41639</w:t>
            </w:r>
            <w:r>
              <w:rPr>
                <w:spacing w:val="55"/>
                <w:sz w:val="19"/>
              </w:rPr>
              <w:t xml:space="preserve"> </w:t>
            </w:r>
            <w:r>
              <w:rPr>
                <w:spacing w:val="-2"/>
                <w:sz w:val="19"/>
              </w:rPr>
              <w:t>1.94830</w:t>
            </w:r>
          </w:p>
        </w:tc>
        <w:tc>
          <w:tcPr>
            <w:tcW w:w="2520" w:type="dxa"/>
            <w:tcBorders/>
          </w:tcPr>
          <w:p>
            <w:pPr>
              <w:pStyle w:val="style4151"/>
              <w:rPr>
                <w:sz w:val="19"/>
              </w:rPr>
            </w:pPr>
            <w:r>
              <w:rPr>
                <w:sz w:val="19"/>
              </w:rPr>
              <w:t>200.</w:t>
            </w:r>
            <w:r>
              <w:rPr>
                <w:spacing w:val="55"/>
                <w:sz w:val="19"/>
              </w:rPr>
              <w:t xml:space="preserve"> </w:t>
            </w:r>
            <w:r>
              <w:rPr>
                <w:sz w:val="19"/>
              </w:rPr>
              <w:t>13.</w:t>
            </w:r>
            <w:r>
              <w:rPr>
                <w:spacing w:val="55"/>
                <w:sz w:val="19"/>
              </w:rPr>
              <w:t xml:space="preserve"> </w:t>
            </w:r>
            <w:r>
              <w:rPr>
                <w:sz w:val="19"/>
              </w:rPr>
              <w:t>1.64308</w:t>
            </w:r>
            <w:r>
              <w:rPr>
                <w:spacing w:val="55"/>
                <w:sz w:val="19"/>
              </w:rPr>
              <w:t xml:space="preserve"> </w:t>
            </w:r>
            <w:r>
              <w:rPr>
                <w:spacing w:val="-2"/>
                <w:sz w:val="19"/>
              </w:rPr>
              <w:t>1.89671</w:t>
            </w:r>
          </w:p>
        </w:tc>
        <w:tc>
          <w:tcPr>
            <w:tcW w:w="2700" w:type="dxa"/>
            <w:tcBorders/>
          </w:tcPr>
          <w:p>
            <w:pPr>
              <w:pStyle w:val="style4151"/>
              <w:ind w:left="66"/>
              <w:rPr>
                <w:sz w:val="19"/>
              </w:rPr>
            </w:pPr>
            <w:r>
              <w:rPr>
                <w:sz w:val="19"/>
              </w:rPr>
              <w:t>500.</w:t>
            </w:r>
            <w:r>
              <w:rPr>
                <w:spacing w:val="55"/>
                <w:sz w:val="19"/>
              </w:rPr>
              <w:t xml:space="preserve"> </w:t>
            </w:r>
            <w:r>
              <w:rPr>
                <w:sz w:val="19"/>
              </w:rPr>
              <w:t>13.</w:t>
            </w:r>
            <w:r>
              <w:rPr>
                <w:spacing w:val="55"/>
                <w:sz w:val="19"/>
              </w:rPr>
              <w:t xml:space="preserve"> </w:t>
            </w:r>
            <w:r>
              <w:rPr>
                <w:sz w:val="19"/>
              </w:rPr>
              <w:t>1.80417</w:t>
            </w:r>
            <w:r>
              <w:rPr>
                <w:spacing w:val="55"/>
                <w:sz w:val="19"/>
              </w:rPr>
              <w:t xml:space="preserve"> </w:t>
            </w:r>
            <w:r>
              <w:rPr>
                <w:spacing w:val="-2"/>
                <w:sz w:val="19"/>
              </w:rPr>
              <w:t>1.90242</w:t>
            </w:r>
          </w:p>
        </w:tc>
      </w:tr>
      <w:tr>
        <w:tblPrEx/>
        <w:trPr>
          <w:trHeight w:val="275" w:hRule="atLeast"/>
        </w:trPr>
        <w:tc>
          <w:tcPr>
            <w:tcW w:w="2515" w:type="dxa"/>
            <w:tcBorders/>
          </w:tcPr>
          <w:p>
            <w:pPr>
              <w:pStyle w:val="style4151"/>
              <w:ind w:left="67"/>
              <w:rPr>
                <w:sz w:val="19"/>
              </w:rPr>
            </w:pPr>
            <w:r>
              <w:rPr>
                <w:sz w:val="19"/>
              </w:rPr>
              <w:t>10.</w:t>
            </w:r>
            <w:r>
              <w:rPr>
                <w:spacing w:val="79"/>
                <w:w w:val="150"/>
                <w:sz w:val="19"/>
              </w:rPr>
              <w:t xml:space="preserve"> </w:t>
            </w:r>
            <w:r>
              <w:rPr>
                <w:sz w:val="19"/>
              </w:rPr>
              <w:t>4.</w:t>
            </w:r>
            <w:r>
              <w:rPr>
                <w:spacing w:val="53"/>
                <w:sz w:val="19"/>
              </w:rPr>
              <w:t xml:space="preserve"> </w:t>
            </w:r>
            <w:r>
              <w:rPr>
                <w:sz w:val="19"/>
              </w:rPr>
              <w:t>0.52534</w:t>
            </w:r>
            <w:r>
              <w:rPr>
                <w:spacing w:val="53"/>
                <w:sz w:val="19"/>
              </w:rPr>
              <w:t xml:space="preserve"> </w:t>
            </w:r>
            <w:r>
              <w:rPr>
                <w:spacing w:val="-2"/>
                <w:sz w:val="19"/>
              </w:rPr>
              <w:t>2.01632</w:t>
            </w:r>
          </w:p>
        </w:tc>
        <w:tc>
          <w:tcPr>
            <w:tcW w:w="2430" w:type="dxa"/>
            <w:tcBorders/>
          </w:tcPr>
          <w:p>
            <w:pPr>
              <w:pStyle w:val="style4151"/>
              <w:ind w:left="19"/>
              <w:rPr>
                <w:sz w:val="19"/>
              </w:rPr>
            </w:pPr>
            <w:r>
              <w:rPr>
                <w:sz w:val="19"/>
              </w:rPr>
              <w:t>100.</w:t>
            </w:r>
            <w:r>
              <w:rPr>
                <w:spacing w:val="55"/>
                <w:sz w:val="19"/>
              </w:rPr>
              <w:t xml:space="preserve"> </w:t>
            </w:r>
            <w:r>
              <w:rPr>
                <w:sz w:val="19"/>
              </w:rPr>
              <w:t>14.</w:t>
            </w:r>
            <w:r>
              <w:rPr>
                <w:spacing w:val="55"/>
                <w:sz w:val="19"/>
              </w:rPr>
              <w:t xml:space="preserve"> </w:t>
            </w:r>
            <w:r>
              <w:rPr>
                <w:sz w:val="19"/>
              </w:rPr>
              <w:t>1.39350</w:t>
            </w:r>
            <w:r>
              <w:rPr>
                <w:spacing w:val="55"/>
                <w:sz w:val="19"/>
              </w:rPr>
              <w:t xml:space="preserve"> </w:t>
            </w:r>
            <w:r>
              <w:rPr>
                <w:spacing w:val="-2"/>
                <w:sz w:val="19"/>
              </w:rPr>
              <w:t>1.97394</w:t>
            </w:r>
          </w:p>
        </w:tc>
        <w:tc>
          <w:tcPr>
            <w:tcW w:w="2520" w:type="dxa"/>
            <w:tcBorders/>
          </w:tcPr>
          <w:p>
            <w:pPr>
              <w:pStyle w:val="style4151"/>
              <w:rPr>
                <w:sz w:val="19"/>
              </w:rPr>
            </w:pPr>
            <w:r>
              <w:rPr>
                <w:sz w:val="19"/>
              </w:rPr>
              <w:t>200.</w:t>
            </w:r>
            <w:r>
              <w:rPr>
                <w:spacing w:val="55"/>
                <w:sz w:val="19"/>
              </w:rPr>
              <w:t xml:space="preserve"> </w:t>
            </w:r>
            <w:r>
              <w:rPr>
                <w:sz w:val="19"/>
              </w:rPr>
              <w:t>14.</w:t>
            </w:r>
            <w:r>
              <w:rPr>
                <w:spacing w:val="55"/>
                <w:sz w:val="19"/>
              </w:rPr>
              <w:t xml:space="preserve"> </w:t>
            </w:r>
            <w:r>
              <w:rPr>
                <w:sz w:val="19"/>
              </w:rPr>
              <w:t>1.63216</w:t>
            </w:r>
            <w:r>
              <w:rPr>
                <w:spacing w:val="55"/>
                <w:sz w:val="19"/>
              </w:rPr>
              <w:t xml:space="preserve"> </w:t>
            </w:r>
            <w:r>
              <w:rPr>
                <w:spacing w:val="-2"/>
                <w:sz w:val="19"/>
              </w:rPr>
              <w:t>1.90810</w:t>
            </w:r>
          </w:p>
        </w:tc>
        <w:tc>
          <w:tcPr>
            <w:tcW w:w="2700" w:type="dxa"/>
            <w:tcBorders/>
          </w:tcPr>
          <w:p>
            <w:pPr>
              <w:pStyle w:val="style4151"/>
              <w:ind w:left="66"/>
              <w:rPr>
                <w:sz w:val="19"/>
              </w:rPr>
            </w:pPr>
            <w:r>
              <w:rPr>
                <w:sz w:val="19"/>
              </w:rPr>
              <w:t>500.</w:t>
            </w:r>
            <w:r>
              <w:rPr>
                <w:spacing w:val="55"/>
                <w:sz w:val="19"/>
              </w:rPr>
              <w:t xml:space="preserve"> </w:t>
            </w:r>
            <w:r>
              <w:rPr>
                <w:sz w:val="19"/>
              </w:rPr>
              <w:t>14.</w:t>
            </w:r>
            <w:r>
              <w:rPr>
                <w:spacing w:val="55"/>
                <w:sz w:val="19"/>
              </w:rPr>
              <w:t xml:space="preserve"> </w:t>
            </w:r>
            <w:r>
              <w:rPr>
                <w:sz w:val="19"/>
              </w:rPr>
              <w:t>1.80001</w:t>
            </w:r>
            <w:r>
              <w:rPr>
                <w:spacing w:val="55"/>
                <w:sz w:val="19"/>
              </w:rPr>
              <w:t xml:space="preserve"> </w:t>
            </w:r>
            <w:r>
              <w:rPr>
                <w:spacing w:val="-2"/>
                <w:sz w:val="19"/>
              </w:rPr>
              <w:t>1.90663</w:t>
            </w:r>
          </w:p>
        </w:tc>
      </w:tr>
      <w:tr>
        <w:tblPrEx/>
        <w:trPr>
          <w:trHeight w:val="275" w:hRule="atLeast"/>
        </w:trPr>
        <w:tc>
          <w:tcPr>
            <w:tcW w:w="2515" w:type="dxa"/>
            <w:tcBorders/>
          </w:tcPr>
          <w:p>
            <w:pPr>
              <w:pStyle w:val="style4151"/>
              <w:ind w:left="67"/>
              <w:rPr>
                <w:sz w:val="19"/>
              </w:rPr>
            </w:pPr>
            <w:r>
              <w:rPr>
                <w:sz w:val="19"/>
              </w:rPr>
              <w:t>10.</w:t>
            </w:r>
            <w:r>
              <w:rPr>
                <w:spacing w:val="79"/>
                <w:w w:val="150"/>
                <w:sz w:val="19"/>
              </w:rPr>
              <w:t xml:space="preserve"> </w:t>
            </w:r>
            <w:r>
              <w:rPr>
                <w:sz w:val="19"/>
              </w:rPr>
              <w:t>5.</w:t>
            </w:r>
            <w:r>
              <w:rPr>
                <w:spacing w:val="53"/>
                <w:sz w:val="19"/>
              </w:rPr>
              <w:t xml:space="preserve"> </w:t>
            </w:r>
            <w:r>
              <w:rPr>
                <w:sz w:val="19"/>
              </w:rPr>
              <w:t>0.37602</w:t>
            </w:r>
            <w:r>
              <w:rPr>
                <w:spacing w:val="53"/>
                <w:sz w:val="19"/>
              </w:rPr>
              <w:t xml:space="preserve"> </w:t>
            </w:r>
            <w:r>
              <w:rPr>
                <w:spacing w:val="-2"/>
                <w:sz w:val="19"/>
              </w:rPr>
              <w:t>2.41365</w:t>
            </w:r>
          </w:p>
        </w:tc>
        <w:tc>
          <w:tcPr>
            <w:tcW w:w="2430" w:type="dxa"/>
            <w:tcBorders/>
          </w:tcPr>
          <w:p>
            <w:pPr>
              <w:pStyle w:val="style4151"/>
              <w:ind w:left="19"/>
              <w:rPr>
                <w:sz w:val="19"/>
              </w:rPr>
            </w:pPr>
            <w:r>
              <w:rPr>
                <w:sz w:val="19"/>
              </w:rPr>
              <w:t>100.</w:t>
            </w:r>
            <w:r>
              <w:rPr>
                <w:spacing w:val="55"/>
                <w:sz w:val="19"/>
              </w:rPr>
              <w:t xml:space="preserve"> </w:t>
            </w:r>
            <w:r>
              <w:rPr>
                <w:sz w:val="19"/>
              </w:rPr>
              <w:t>15.</w:t>
            </w:r>
            <w:r>
              <w:rPr>
                <w:spacing w:val="55"/>
                <w:sz w:val="19"/>
              </w:rPr>
              <w:t xml:space="preserve"> </w:t>
            </w:r>
            <w:r>
              <w:rPr>
                <w:sz w:val="19"/>
              </w:rPr>
              <w:t>1.37045</w:t>
            </w:r>
            <w:r>
              <w:rPr>
                <w:spacing w:val="55"/>
                <w:sz w:val="19"/>
              </w:rPr>
              <w:t xml:space="preserve"> </w:t>
            </w:r>
            <w:r>
              <w:rPr>
                <w:spacing w:val="-2"/>
                <w:sz w:val="19"/>
              </w:rPr>
              <w:t>1.99997</w:t>
            </w:r>
          </w:p>
        </w:tc>
        <w:tc>
          <w:tcPr>
            <w:tcW w:w="2520" w:type="dxa"/>
            <w:tcBorders/>
          </w:tcPr>
          <w:p>
            <w:pPr>
              <w:pStyle w:val="style4151"/>
              <w:rPr>
                <w:sz w:val="19"/>
              </w:rPr>
            </w:pPr>
            <w:r>
              <w:rPr>
                <w:sz w:val="19"/>
              </w:rPr>
              <w:t>200.</w:t>
            </w:r>
            <w:r>
              <w:rPr>
                <w:spacing w:val="55"/>
                <w:sz w:val="19"/>
              </w:rPr>
              <w:t xml:space="preserve"> </w:t>
            </w:r>
            <w:r>
              <w:rPr>
                <w:sz w:val="19"/>
              </w:rPr>
              <w:t>15.</w:t>
            </w:r>
            <w:r>
              <w:rPr>
                <w:spacing w:val="55"/>
                <w:sz w:val="19"/>
              </w:rPr>
              <w:t xml:space="preserve"> </w:t>
            </w:r>
            <w:r>
              <w:rPr>
                <w:sz w:val="19"/>
              </w:rPr>
              <w:t>1.62117</w:t>
            </w:r>
            <w:r>
              <w:rPr>
                <w:spacing w:val="55"/>
                <w:sz w:val="19"/>
              </w:rPr>
              <w:t xml:space="preserve"> </w:t>
            </w:r>
            <w:r>
              <w:rPr>
                <w:spacing w:val="-2"/>
                <w:sz w:val="19"/>
              </w:rPr>
              <w:t>1.91961</w:t>
            </w:r>
          </w:p>
        </w:tc>
        <w:tc>
          <w:tcPr>
            <w:tcW w:w="2700" w:type="dxa"/>
            <w:tcBorders/>
          </w:tcPr>
          <w:p>
            <w:pPr>
              <w:pStyle w:val="style4151"/>
              <w:ind w:left="66"/>
              <w:rPr>
                <w:sz w:val="19"/>
              </w:rPr>
            </w:pPr>
            <w:r>
              <w:rPr>
                <w:sz w:val="19"/>
              </w:rPr>
              <w:t>500.</w:t>
            </w:r>
            <w:r>
              <w:rPr>
                <w:spacing w:val="55"/>
                <w:sz w:val="19"/>
              </w:rPr>
              <w:t xml:space="preserve"> </w:t>
            </w:r>
            <w:r>
              <w:rPr>
                <w:sz w:val="19"/>
              </w:rPr>
              <w:t>15.</w:t>
            </w:r>
            <w:r>
              <w:rPr>
                <w:spacing w:val="55"/>
                <w:sz w:val="19"/>
              </w:rPr>
              <w:t xml:space="preserve"> </w:t>
            </w:r>
            <w:r>
              <w:rPr>
                <w:sz w:val="19"/>
              </w:rPr>
              <w:t>1.79582</w:t>
            </w:r>
            <w:r>
              <w:rPr>
                <w:spacing w:val="55"/>
                <w:sz w:val="19"/>
              </w:rPr>
              <w:t xml:space="preserve"> </w:t>
            </w:r>
            <w:r>
              <w:rPr>
                <w:spacing w:val="-2"/>
                <w:sz w:val="19"/>
              </w:rPr>
              <w:t>1.91087</w:t>
            </w:r>
          </w:p>
        </w:tc>
      </w:tr>
      <w:tr>
        <w:tblPrEx/>
        <w:trPr>
          <w:trHeight w:val="275" w:hRule="atLeast"/>
        </w:trPr>
        <w:tc>
          <w:tcPr>
            <w:tcW w:w="2515" w:type="dxa"/>
            <w:tcBorders/>
          </w:tcPr>
          <w:p>
            <w:pPr>
              <w:pStyle w:val="style4151"/>
              <w:ind w:left="67"/>
              <w:rPr>
                <w:sz w:val="19"/>
              </w:rPr>
            </w:pPr>
            <w:r>
              <w:rPr>
                <w:sz w:val="19"/>
              </w:rPr>
              <w:t>10.</w:t>
            </w:r>
            <w:r>
              <w:rPr>
                <w:spacing w:val="79"/>
                <w:w w:val="150"/>
                <w:sz w:val="19"/>
              </w:rPr>
              <w:t xml:space="preserve"> </w:t>
            </w:r>
            <w:r>
              <w:rPr>
                <w:sz w:val="19"/>
              </w:rPr>
              <w:t>6.</w:t>
            </w:r>
            <w:r>
              <w:rPr>
                <w:spacing w:val="53"/>
                <w:sz w:val="19"/>
              </w:rPr>
              <w:t xml:space="preserve"> </w:t>
            </w:r>
            <w:r>
              <w:rPr>
                <w:sz w:val="19"/>
              </w:rPr>
              <w:t>0.24269</w:t>
            </w:r>
            <w:r>
              <w:rPr>
                <w:spacing w:val="53"/>
                <w:sz w:val="19"/>
              </w:rPr>
              <w:t xml:space="preserve"> </w:t>
            </w:r>
            <w:r>
              <w:rPr>
                <w:spacing w:val="-2"/>
                <w:sz w:val="19"/>
              </w:rPr>
              <w:t>2.82165</w:t>
            </w:r>
          </w:p>
        </w:tc>
        <w:tc>
          <w:tcPr>
            <w:tcW w:w="2430" w:type="dxa"/>
            <w:tcBorders/>
          </w:tcPr>
          <w:p>
            <w:pPr>
              <w:pStyle w:val="style4151"/>
              <w:ind w:left="19"/>
              <w:rPr>
                <w:sz w:val="19"/>
              </w:rPr>
            </w:pPr>
            <w:r>
              <w:rPr>
                <w:sz w:val="19"/>
              </w:rPr>
              <w:t>100.</w:t>
            </w:r>
            <w:r>
              <w:rPr>
                <w:spacing w:val="55"/>
                <w:sz w:val="19"/>
              </w:rPr>
              <w:t xml:space="preserve"> </w:t>
            </w:r>
            <w:r>
              <w:rPr>
                <w:sz w:val="19"/>
              </w:rPr>
              <w:t>16.</w:t>
            </w:r>
            <w:r>
              <w:rPr>
                <w:spacing w:val="55"/>
                <w:sz w:val="19"/>
              </w:rPr>
              <w:t xml:space="preserve"> </w:t>
            </w:r>
            <w:r>
              <w:rPr>
                <w:sz w:val="19"/>
              </w:rPr>
              <w:t>1.34724</w:t>
            </w:r>
            <w:r>
              <w:rPr>
                <w:spacing w:val="55"/>
                <w:sz w:val="19"/>
              </w:rPr>
              <w:t xml:space="preserve"> </w:t>
            </w:r>
            <w:r>
              <w:rPr>
                <w:spacing w:val="-2"/>
                <w:sz w:val="19"/>
              </w:rPr>
              <w:t>2.02636</w:t>
            </w:r>
          </w:p>
        </w:tc>
        <w:tc>
          <w:tcPr>
            <w:tcW w:w="2520" w:type="dxa"/>
            <w:tcBorders/>
          </w:tcPr>
          <w:p>
            <w:pPr>
              <w:pStyle w:val="style4151"/>
              <w:rPr>
                <w:sz w:val="19"/>
              </w:rPr>
            </w:pPr>
            <w:r>
              <w:rPr>
                <w:sz w:val="19"/>
              </w:rPr>
              <w:t>200.</w:t>
            </w:r>
            <w:r>
              <w:rPr>
                <w:spacing w:val="55"/>
                <w:sz w:val="19"/>
              </w:rPr>
              <w:t xml:space="preserve"> </w:t>
            </w:r>
            <w:r>
              <w:rPr>
                <w:sz w:val="19"/>
              </w:rPr>
              <w:t>16.</w:t>
            </w:r>
            <w:r>
              <w:rPr>
                <w:spacing w:val="55"/>
                <w:sz w:val="19"/>
              </w:rPr>
              <w:t xml:space="preserve"> </w:t>
            </w:r>
            <w:r>
              <w:rPr>
                <w:sz w:val="19"/>
              </w:rPr>
              <w:t>1.61011</w:t>
            </w:r>
            <w:r>
              <w:rPr>
                <w:spacing w:val="55"/>
                <w:sz w:val="19"/>
              </w:rPr>
              <w:t xml:space="preserve"> </w:t>
            </w:r>
            <w:r>
              <w:rPr>
                <w:spacing w:val="-2"/>
                <w:sz w:val="19"/>
              </w:rPr>
              <w:t>1.93122</w:t>
            </w:r>
          </w:p>
        </w:tc>
        <w:tc>
          <w:tcPr>
            <w:tcW w:w="2700" w:type="dxa"/>
            <w:tcBorders/>
          </w:tcPr>
          <w:p>
            <w:pPr>
              <w:pStyle w:val="style4151"/>
              <w:ind w:left="66"/>
              <w:rPr>
                <w:sz w:val="19"/>
              </w:rPr>
            </w:pPr>
            <w:r>
              <w:rPr>
                <w:sz w:val="19"/>
              </w:rPr>
              <w:t>500.</w:t>
            </w:r>
            <w:r>
              <w:rPr>
                <w:spacing w:val="55"/>
                <w:sz w:val="19"/>
              </w:rPr>
              <w:t xml:space="preserve"> </w:t>
            </w:r>
            <w:r>
              <w:rPr>
                <w:sz w:val="19"/>
              </w:rPr>
              <w:t>16.</w:t>
            </w:r>
            <w:r>
              <w:rPr>
                <w:spacing w:val="55"/>
                <w:sz w:val="19"/>
              </w:rPr>
              <w:t xml:space="preserve"> </w:t>
            </w:r>
            <w:r>
              <w:rPr>
                <w:sz w:val="19"/>
              </w:rPr>
              <w:t>1.79163</w:t>
            </w:r>
            <w:r>
              <w:rPr>
                <w:spacing w:val="55"/>
                <w:sz w:val="19"/>
              </w:rPr>
              <w:t xml:space="preserve"> </w:t>
            </w:r>
            <w:r>
              <w:rPr>
                <w:spacing w:val="-2"/>
                <w:sz w:val="19"/>
              </w:rPr>
              <w:t>1.91512</w:t>
            </w:r>
          </w:p>
        </w:tc>
      </w:tr>
      <w:tr>
        <w:tblPrEx/>
        <w:trPr>
          <w:trHeight w:val="275" w:hRule="atLeast"/>
        </w:trPr>
        <w:tc>
          <w:tcPr>
            <w:tcW w:w="2515" w:type="dxa"/>
            <w:tcBorders/>
          </w:tcPr>
          <w:p>
            <w:pPr>
              <w:pStyle w:val="style4151"/>
              <w:ind w:left="67"/>
              <w:rPr>
                <w:sz w:val="19"/>
              </w:rPr>
            </w:pPr>
            <w:r>
              <w:rPr>
                <w:sz w:val="19"/>
              </w:rPr>
              <w:t>11.</w:t>
            </w:r>
            <w:r>
              <w:rPr>
                <w:spacing w:val="79"/>
                <w:w w:val="150"/>
                <w:sz w:val="19"/>
              </w:rPr>
              <w:t xml:space="preserve"> </w:t>
            </w:r>
            <w:r>
              <w:rPr>
                <w:sz w:val="19"/>
              </w:rPr>
              <w:t>2.</w:t>
            </w:r>
            <w:r>
              <w:rPr>
                <w:spacing w:val="53"/>
                <w:sz w:val="19"/>
              </w:rPr>
              <w:t xml:space="preserve"> </w:t>
            </w:r>
            <w:r>
              <w:rPr>
                <w:sz w:val="19"/>
              </w:rPr>
              <w:t>0.92733</w:t>
            </w:r>
            <w:r>
              <w:rPr>
                <w:spacing w:val="53"/>
                <w:sz w:val="19"/>
              </w:rPr>
              <w:t xml:space="preserve"> </w:t>
            </w:r>
            <w:r>
              <w:rPr>
                <w:spacing w:val="-2"/>
                <w:sz w:val="19"/>
              </w:rPr>
              <w:t>1.32409</w:t>
            </w:r>
          </w:p>
        </w:tc>
        <w:tc>
          <w:tcPr>
            <w:tcW w:w="2430" w:type="dxa"/>
            <w:tcBorders/>
          </w:tcPr>
          <w:p>
            <w:pPr>
              <w:pStyle w:val="style4151"/>
              <w:ind w:left="19"/>
              <w:rPr>
                <w:sz w:val="19"/>
              </w:rPr>
            </w:pPr>
            <w:r>
              <w:rPr>
                <w:sz w:val="19"/>
              </w:rPr>
              <w:t>100.</w:t>
            </w:r>
            <w:r>
              <w:rPr>
                <w:spacing w:val="55"/>
                <w:sz w:val="19"/>
              </w:rPr>
              <w:t xml:space="preserve"> </w:t>
            </w:r>
            <w:r>
              <w:rPr>
                <w:sz w:val="19"/>
              </w:rPr>
              <w:t>17.</w:t>
            </w:r>
            <w:r>
              <w:rPr>
                <w:spacing w:val="55"/>
                <w:sz w:val="19"/>
              </w:rPr>
              <w:t xml:space="preserve"> </w:t>
            </w:r>
            <w:r>
              <w:rPr>
                <w:sz w:val="19"/>
              </w:rPr>
              <w:t>1.32390</w:t>
            </w:r>
            <w:r>
              <w:rPr>
                <w:spacing w:val="55"/>
                <w:sz w:val="19"/>
              </w:rPr>
              <w:t xml:space="preserve"> </w:t>
            </w:r>
            <w:r>
              <w:rPr>
                <w:spacing w:val="-2"/>
                <w:sz w:val="19"/>
              </w:rPr>
              <w:t>2.05313</w:t>
            </w:r>
          </w:p>
        </w:tc>
        <w:tc>
          <w:tcPr>
            <w:tcW w:w="2520" w:type="dxa"/>
            <w:tcBorders/>
          </w:tcPr>
          <w:p>
            <w:pPr>
              <w:pStyle w:val="style4151"/>
              <w:rPr>
                <w:sz w:val="19"/>
              </w:rPr>
            </w:pPr>
            <w:r>
              <w:rPr>
                <w:sz w:val="19"/>
              </w:rPr>
              <w:t>200.</w:t>
            </w:r>
            <w:r>
              <w:rPr>
                <w:spacing w:val="55"/>
                <w:sz w:val="19"/>
              </w:rPr>
              <w:t xml:space="preserve"> </w:t>
            </w:r>
            <w:r>
              <w:rPr>
                <w:sz w:val="19"/>
              </w:rPr>
              <w:t>17.</w:t>
            </w:r>
            <w:r>
              <w:rPr>
                <w:spacing w:val="55"/>
                <w:sz w:val="19"/>
              </w:rPr>
              <w:t xml:space="preserve"> </w:t>
            </w:r>
            <w:r>
              <w:rPr>
                <w:sz w:val="19"/>
              </w:rPr>
              <w:t>1.59900</w:t>
            </w:r>
            <w:r>
              <w:rPr>
                <w:spacing w:val="55"/>
                <w:sz w:val="19"/>
              </w:rPr>
              <w:t xml:space="preserve"> </w:t>
            </w:r>
            <w:r>
              <w:rPr>
                <w:spacing w:val="-2"/>
                <w:sz w:val="19"/>
              </w:rPr>
              <w:t>1.94292</w:t>
            </w:r>
          </w:p>
        </w:tc>
        <w:tc>
          <w:tcPr>
            <w:tcW w:w="2700" w:type="dxa"/>
            <w:tcBorders/>
          </w:tcPr>
          <w:p>
            <w:pPr>
              <w:pStyle w:val="style4151"/>
              <w:ind w:left="66"/>
              <w:rPr>
                <w:sz w:val="19"/>
              </w:rPr>
            </w:pPr>
            <w:r>
              <w:rPr>
                <w:sz w:val="19"/>
              </w:rPr>
              <w:t>500.</w:t>
            </w:r>
            <w:r>
              <w:rPr>
                <w:spacing w:val="55"/>
                <w:sz w:val="19"/>
              </w:rPr>
              <w:t xml:space="preserve"> </w:t>
            </w:r>
            <w:r>
              <w:rPr>
                <w:sz w:val="19"/>
              </w:rPr>
              <w:t>17.</w:t>
            </w:r>
            <w:r>
              <w:rPr>
                <w:spacing w:val="55"/>
                <w:sz w:val="19"/>
              </w:rPr>
              <w:t xml:space="preserve"> </w:t>
            </w:r>
            <w:r>
              <w:rPr>
                <w:sz w:val="19"/>
              </w:rPr>
              <w:t>1.78742</w:t>
            </w:r>
            <w:r>
              <w:rPr>
                <w:spacing w:val="55"/>
                <w:sz w:val="19"/>
              </w:rPr>
              <w:t xml:space="preserve"> </w:t>
            </w:r>
            <w:r>
              <w:rPr>
                <w:spacing w:val="-2"/>
                <w:sz w:val="19"/>
              </w:rPr>
              <w:t>1.91938</w:t>
            </w:r>
          </w:p>
        </w:tc>
      </w:tr>
      <w:tr>
        <w:tblPrEx/>
        <w:trPr>
          <w:trHeight w:val="275" w:hRule="atLeast"/>
        </w:trPr>
        <w:tc>
          <w:tcPr>
            <w:tcW w:w="2515" w:type="dxa"/>
            <w:tcBorders/>
          </w:tcPr>
          <w:p>
            <w:pPr>
              <w:pStyle w:val="style4151"/>
              <w:ind w:left="67"/>
              <w:rPr>
                <w:sz w:val="19"/>
              </w:rPr>
            </w:pPr>
            <w:r>
              <w:rPr>
                <w:sz w:val="19"/>
              </w:rPr>
              <w:t>11.</w:t>
            </w:r>
            <w:r>
              <w:rPr>
                <w:spacing w:val="79"/>
                <w:w w:val="150"/>
                <w:sz w:val="19"/>
              </w:rPr>
              <w:t xml:space="preserve"> </w:t>
            </w:r>
            <w:r>
              <w:rPr>
                <w:sz w:val="19"/>
              </w:rPr>
              <w:t>3.</w:t>
            </w:r>
            <w:r>
              <w:rPr>
                <w:spacing w:val="53"/>
                <w:sz w:val="19"/>
              </w:rPr>
              <w:t xml:space="preserve"> </w:t>
            </w:r>
            <w:r>
              <w:rPr>
                <w:sz w:val="19"/>
              </w:rPr>
              <w:t>0.75798</w:t>
            </w:r>
            <w:r>
              <w:rPr>
                <w:spacing w:val="53"/>
                <w:sz w:val="19"/>
              </w:rPr>
              <w:t xml:space="preserve"> </w:t>
            </w:r>
            <w:r>
              <w:rPr>
                <w:spacing w:val="-2"/>
                <w:sz w:val="19"/>
              </w:rPr>
              <w:t>1.60439</w:t>
            </w:r>
          </w:p>
        </w:tc>
        <w:tc>
          <w:tcPr>
            <w:tcW w:w="2430" w:type="dxa"/>
            <w:tcBorders/>
          </w:tcPr>
          <w:p>
            <w:pPr>
              <w:pStyle w:val="style4151"/>
              <w:ind w:left="19"/>
              <w:rPr>
                <w:sz w:val="19"/>
              </w:rPr>
            </w:pPr>
            <w:r>
              <w:rPr>
                <w:sz w:val="19"/>
              </w:rPr>
              <w:t>100.</w:t>
            </w:r>
            <w:r>
              <w:rPr>
                <w:spacing w:val="55"/>
                <w:sz w:val="19"/>
              </w:rPr>
              <w:t xml:space="preserve"> </w:t>
            </w:r>
            <w:r>
              <w:rPr>
                <w:sz w:val="19"/>
              </w:rPr>
              <w:t>18.</w:t>
            </w:r>
            <w:r>
              <w:rPr>
                <w:spacing w:val="55"/>
                <w:sz w:val="19"/>
              </w:rPr>
              <w:t xml:space="preserve"> </w:t>
            </w:r>
            <w:r>
              <w:rPr>
                <w:sz w:val="19"/>
              </w:rPr>
              <w:t>1.30041</w:t>
            </w:r>
            <w:r>
              <w:rPr>
                <w:spacing w:val="55"/>
                <w:sz w:val="19"/>
              </w:rPr>
              <w:t xml:space="preserve"> </w:t>
            </w:r>
            <w:r>
              <w:rPr>
                <w:spacing w:val="-2"/>
                <w:sz w:val="19"/>
              </w:rPr>
              <w:t>2.08024</w:t>
            </w:r>
          </w:p>
        </w:tc>
        <w:tc>
          <w:tcPr>
            <w:tcW w:w="2520" w:type="dxa"/>
            <w:tcBorders/>
          </w:tcPr>
          <w:p>
            <w:pPr>
              <w:pStyle w:val="style4151"/>
              <w:rPr>
                <w:sz w:val="19"/>
              </w:rPr>
            </w:pPr>
            <w:r>
              <w:rPr>
                <w:sz w:val="19"/>
              </w:rPr>
              <w:t>200.</w:t>
            </w:r>
            <w:r>
              <w:rPr>
                <w:spacing w:val="55"/>
                <w:sz w:val="19"/>
              </w:rPr>
              <w:t xml:space="preserve"> </w:t>
            </w:r>
            <w:r>
              <w:rPr>
                <w:sz w:val="19"/>
              </w:rPr>
              <w:t>18.</w:t>
            </w:r>
            <w:r>
              <w:rPr>
                <w:spacing w:val="55"/>
                <w:sz w:val="19"/>
              </w:rPr>
              <w:t xml:space="preserve"> </w:t>
            </w:r>
            <w:r>
              <w:rPr>
                <w:sz w:val="19"/>
              </w:rPr>
              <w:t>1.58781</w:t>
            </w:r>
            <w:r>
              <w:rPr>
                <w:spacing w:val="55"/>
                <w:sz w:val="19"/>
              </w:rPr>
              <w:t xml:space="preserve"> </w:t>
            </w:r>
            <w:r>
              <w:rPr>
                <w:spacing w:val="-2"/>
                <w:sz w:val="19"/>
              </w:rPr>
              <w:t>1.95473</w:t>
            </w:r>
          </w:p>
        </w:tc>
        <w:tc>
          <w:tcPr>
            <w:tcW w:w="2700" w:type="dxa"/>
            <w:tcBorders/>
          </w:tcPr>
          <w:p>
            <w:pPr>
              <w:pStyle w:val="style4151"/>
              <w:ind w:left="66"/>
              <w:rPr>
                <w:sz w:val="19"/>
              </w:rPr>
            </w:pPr>
            <w:r>
              <w:rPr>
                <w:sz w:val="19"/>
              </w:rPr>
              <w:t>500.</w:t>
            </w:r>
            <w:r>
              <w:rPr>
                <w:spacing w:val="55"/>
                <w:sz w:val="19"/>
              </w:rPr>
              <w:t xml:space="preserve"> </w:t>
            </w:r>
            <w:r>
              <w:rPr>
                <w:sz w:val="19"/>
              </w:rPr>
              <w:t>18.</w:t>
            </w:r>
            <w:r>
              <w:rPr>
                <w:spacing w:val="55"/>
                <w:sz w:val="19"/>
              </w:rPr>
              <w:t xml:space="preserve"> </w:t>
            </w:r>
            <w:r>
              <w:rPr>
                <w:sz w:val="19"/>
              </w:rPr>
              <w:t>1.78319</w:t>
            </w:r>
            <w:r>
              <w:rPr>
                <w:spacing w:val="55"/>
                <w:sz w:val="19"/>
              </w:rPr>
              <w:t xml:space="preserve"> </w:t>
            </w:r>
            <w:r>
              <w:rPr>
                <w:spacing w:val="-2"/>
                <w:sz w:val="19"/>
              </w:rPr>
              <w:t>1.92368</w:t>
            </w:r>
          </w:p>
        </w:tc>
      </w:tr>
      <w:tr>
        <w:tblPrEx/>
        <w:trPr>
          <w:trHeight w:val="275" w:hRule="atLeast"/>
        </w:trPr>
        <w:tc>
          <w:tcPr>
            <w:tcW w:w="2515" w:type="dxa"/>
            <w:tcBorders/>
          </w:tcPr>
          <w:p>
            <w:pPr>
              <w:pStyle w:val="style4151"/>
              <w:ind w:left="67"/>
              <w:rPr>
                <w:sz w:val="19"/>
              </w:rPr>
            </w:pPr>
            <w:r>
              <w:rPr>
                <w:sz w:val="19"/>
              </w:rPr>
              <w:t>11.</w:t>
            </w:r>
            <w:r>
              <w:rPr>
                <w:spacing w:val="79"/>
                <w:w w:val="150"/>
                <w:sz w:val="19"/>
              </w:rPr>
              <w:t xml:space="preserve"> </w:t>
            </w:r>
            <w:r>
              <w:rPr>
                <w:sz w:val="19"/>
              </w:rPr>
              <w:t>4.</w:t>
            </w:r>
            <w:r>
              <w:rPr>
                <w:spacing w:val="53"/>
                <w:sz w:val="19"/>
              </w:rPr>
              <w:t xml:space="preserve"> </w:t>
            </w:r>
            <w:r>
              <w:rPr>
                <w:sz w:val="19"/>
              </w:rPr>
              <w:t>0.59477</w:t>
            </w:r>
            <w:r>
              <w:rPr>
                <w:spacing w:val="53"/>
                <w:sz w:val="19"/>
              </w:rPr>
              <w:t xml:space="preserve"> </w:t>
            </w:r>
            <w:r>
              <w:rPr>
                <w:spacing w:val="-2"/>
                <w:sz w:val="19"/>
              </w:rPr>
              <w:t>1.92802</w:t>
            </w:r>
          </w:p>
        </w:tc>
        <w:tc>
          <w:tcPr>
            <w:tcW w:w="2430" w:type="dxa"/>
            <w:tcBorders/>
          </w:tcPr>
          <w:p>
            <w:pPr>
              <w:pStyle w:val="style4151"/>
              <w:ind w:left="19"/>
              <w:rPr>
                <w:sz w:val="19"/>
              </w:rPr>
            </w:pPr>
            <w:r>
              <w:rPr>
                <w:sz w:val="19"/>
              </w:rPr>
              <w:t>100.</w:t>
            </w:r>
            <w:r>
              <w:rPr>
                <w:spacing w:val="55"/>
                <w:sz w:val="19"/>
              </w:rPr>
              <w:t xml:space="preserve"> </w:t>
            </w:r>
            <w:r>
              <w:rPr>
                <w:sz w:val="19"/>
              </w:rPr>
              <w:t>19.</w:t>
            </w:r>
            <w:r>
              <w:rPr>
                <w:spacing w:val="55"/>
                <w:sz w:val="19"/>
              </w:rPr>
              <w:t xml:space="preserve"> </w:t>
            </w:r>
            <w:r>
              <w:rPr>
                <w:sz w:val="19"/>
              </w:rPr>
              <w:t>1.27680</w:t>
            </w:r>
            <w:r>
              <w:rPr>
                <w:spacing w:val="55"/>
                <w:sz w:val="19"/>
              </w:rPr>
              <w:t xml:space="preserve"> </w:t>
            </w:r>
            <w:r>
              <w:rPr>
                <w:spacing w:val="-2"/>
                <w:sz w:val="19"/>
              </w:rPr>
              <w:t>2.10767</w:t>
            </w:r>
          </w:p>
        </w:tc>
        <w:tc>
          <w:tcPr>
            <w:tcW w:w="2520" w:type="dxa"/>
            <w:tcBorders/>
          </w:tcPr>
          <w:p>
            <w:pPr>
              <w:pStyle w:val="style4151"/>
              <w:rPr>
                <w:sz w:val="19"/>
              </w:rPr>
            </w:pPr>
            <w:r>
              <w:rPr>
                <w:sz w:val="19"/>
              </w:rPr>
              <w:t>200.</w:t>
            </w:r>
            <w:r>
              <w:rPr>
                <w:spacing w:val="55"/>
                <w:sz w:val="19"/>
              </w:rPr>
              <w:t xml:space="preserve"> </w:t>
            </w:r>
            <w:r>
              <w:rPr>
                <w:sz w:val="19"/>
              </w:rPr>
              <w:t>19.</w:t>
            </w:r>
            <w:r>
              <w:rPr>
                <w:spacing w:val="55"/>
                <w:sz w:val="19"/>
              </w:rPr>
              <w:t xml:space="preserve"> </w:t>
            </w:r>
            <w:r>
              <w:rPr>
                <w:sz w:val="19"/>
              </w:rPr>
              <w:t>1.57657</w:t>
            </w:r>
            <w:r>
              <w:rPr>
                <w:spacing w:val="55"/>
                <w:sz w:val="19"/>
              </w:rPr>
              <w:t xml:space="preserve"> </w:t>
            </w:r>
            <w:r>
              <w:rPr>
                <w:spacing w:val="-2"/>
                <w:sz w:val="19"/>
              </w:rPr>
              <w:t>1.96665</w:t>
            </w:r>
          </w:p>
        </w:tc>
        <w:tc>
          <w:tcPr>
            <w:tcW w:w="2700" w:type="dxa"/>
            <w:tcBorders/>
          </w:tcPr>
          <w:p>
            <w:pPr>
              <w:pStyle w:val="style4151"/>
              <w:ind w:left="66"/>
              <w:rPr>
                <w:sz w:val="19"/>
              </w:rPr>
            </w:pPr>
            <w:r>
              <w:rPr>
                <w:sz w:val="19"/>
              </w:rPr>
              <w:t>500.</w:t>
            </w:r>
            <w:r>
              <w:rPr>
                <w:spacing w:val="55"/>
                <w:sz w:val="19"/>
              </w:rPr>
              <w:t xml:space="preserve"> </w:t>
            </w:r>
            <w:r>
              <w:rPr>
                <w:sz w:val="19"/>
              </w:rPr>
              <w:t>19.</w:t>
            </w:r>
            <w:r>
              <w:rPr>
                <w:spacing w:val="55"/>
                <w:sz w:val="19"/>
              </w:rPr>
              <w:t xml:space="preserve"> </w:t>
            </w:r>
            <w:r>
              <w:rPr>
                <w:sz w:val="19"/>
              </w:rPr>
              <w:t>1.77896</w:t>
            </w:r>
            <w:r>
              <w:rPr>
                <w:spacing w:val="55"/>
                <w:sz w:val="19"/>
              </w:rPr>
              <w:t xml:space="preserve"> </w:t>
            </w:r>
            <w:r>
              <w:rPr>
                <w:spacing w:val="-2"/>
                <w:sz w:val="19"/>
              </w:rPr>
              <w:t>1.92798</w:t>
            </w:r>
          </w:p>
        </w:tc>
      </w:tr>
      <w:tr>
        <w:tblPrEx/>
        <w:trPr>
          <w:trHeight w:val="275" w:hRule="atLeast"/>
        </w:trPr>
        <w:tc>
          <w:tcPr>
            <w:tcW w:w="2515" w:type="dxa"/>
            <w:tcBorders/>
          </w:tcPr>
          <w:p>
            <w:pPr>
              <w:pStyle w:val="style4151"/>
              <w:ind w:left="67"/>
              <w:rPr>
                <w:sz w:val="19"/>
              </w:rPr>
            </w:pPr>
            <w:r>
              <w:rPr>
                <w:sz w:val="19"/>
              </w:rPr>
              <w:t>11.</w:t>
            </w:r>
            <w:r>
              <w:rPr>
                <w:spacing w:val="79"/>
                <w:w w:val="150"/>
                <w:sz w:val="19"/>
              </w:rPr>
              <w:t xml:space="preserve"> </w:t>
            </w:r>
            <w:r>
              <w:rPr>
                <w:sz w:val="19"/>
              </w:rPr>
              <w:t>5.</w:t>
            </w:r>
            <w:r>
              <w:rPr>
                <w:spacing w:val="53"/>
                <w:sz w:val="19"/>
              </w:rPr>
              <w:t xml:space="preserve"> </w:t>
            </w:r>
            <w:r>
              <w:rPr>
                <w:sz w:val="19"/>
              </w:rPr>
              <w:t>0.44406</w:t>
            </w:r>
            <w:r>
              <w:rPr>
                <w:spacing w:val="53"/>
                <w:sz w:val="19"/>
              </w:rPr>
              <w:t xml:space="preserve"> </w:t>
            </w:r>
            <w:r>
              <w:rPr>
                <w:spacing w:val="-2"/>
                <w:sz w:val="19"/>
              </w:rPr>
              <w:t>2.28327</w:t>
            </w:r>
          </w:p>
        </w:tc>
        <w:tc>
          <w:tcPr>
            <w:tcW w:w="2430" w:type="dxa"/>
            <w:tcBorders/>
          </w:tcPr>
          <w:p>
            <w:pPr>
              <w:pStyle w:val="style4151"/>
              <w:ind w:left="19"/>
              <w:rPr>
                <w:sz w:val="19"/>
              </w:rPr>
            </w:pPr>
            <w:r>
              <w:rPr>
                <w:sz w:val="19"/>
              </w:rPr>
              <w:t>100.</w:t>
            </w:r>
            <w:r>
              <w:rPr>
                <w:spacing w:val="55"/>
                <w:sz w:val="19"/>
              </w:rPr>
              <w:t xml:space="preserve"> </w:t>
            </w:r>
            <w:r>
              <w:rPr>
                <w:sz w:val="19"/>
              </w:rPr>
              <w:t>20.</w:t>
            </w:r>
            <w:r>
              <w:rPr>
                <w:spacing w:val="55"/>
                <w:sz w:val="19"/>
              </w:rPr>
              <w:t xml:space="preserve"> </w:t>
            </w:r>
            <w:r>
              <w:rPr>
                <w:sz w:val="19"/>
              </w:rPr>
              <w:t>1.25310</w:t>
            </w:r>
            <w:r>
              <w:rPr>
                <w:spacing w:val="55"/>
                <w:sz w:val="19"/>
              </w:rPr>
              <w:t xml:space="preserve"> </w:t>
            </w:r>
            <w:r>
              <w:rPr>
                <w:spacing w:val="-2"/>
                <w:sz w:val="19"/>
              </w:rPr>
              <w:t>2.13544</w:t>
            </w:r>
          </w:p>
        </w:tc>
        <w:tc>
          <w:tcPr>
            <w:tcW w:w="2520" w:type="dxa"/>
            <w:tcBorders/>
          </w:tcPr>
          <w:p>
            <w:pPr>
              <w:pStyle w:val="style4151"/>
              <w:rPr>
                <w:sz w:val="19"/>
              </w:rPr>
            </w:pPr>
            <w:r>
              <w:rPr>
                <w:sz w:val="19"/>
              </w:rPr>
              <w:t>200.</w:t>
            </w:r>
            <w:r>
              <w:rPr>
                <w:spacing w:val="55"/>
                <w:sz w:val="19"/>
              </w:rPr>
              <w:t xml:space="preserve"> </w:t>
            </w:r>
            <w:r>
              <w:rPr>
                <w:sz w:val="19"/>
              </w:rPr>
              <w:t>20.</w:t>
            </w:r>
            <w:r>
              <w:rPr>
                <w:spacing w:val="55"/>
                <w:sz w:val="19"/>
              </w:rPr>
              <w:t xml:space="preserve"> </w:t>
            </w:r>
            <w:r>
              <w:rPr>
                <w:sz w:val="19"/>
              </w:rPr>
              <w:t>1.56527</w:t>
            </w:r>
            <w:r>
              <w:rPr>
                <w:spacing w:val="55"/>
                <w:sz w:val="19"/>
              </w:rPr>
              <w:t xml:space="preserve"> </w:t>
            </w:r>
            <w:r>
              <w:rPr>
                <w:spacing w:val="-2"/>
                <w:sz w:val="19"/>
              </w:rPr>
              <w:t>1.97865</w:t>
            </w:r>
          </w:p>
        </w:tc>
        <w:tc>
          <w:tcPr>
            <w:tcW w:w="2700" w:type="dxa"/>
            <w:tcBorders/>
          </w:tcPr>
          <w:p>
            <w:pPr>
              <w:pStyle w:val="style4151"/>
              <w:ind w:left="66"/>
              <w:rPr>
                <w:sz w:val="19"/>
              </w:rPr>
            </w:pPr>
            <w:r>
              <w:rPr>
                <w:sz w:val="19"/>
              </w:rPr>
              <w:t>500.</w:t>
            </w:r>
            <w:r>
              <w:rPr>
                <w:spacing w:val="55"/>
                <w:sz w:val="19"/>
              </w:rPr>
              <w:t xml:space="preserve"> </w:t>
            </w:r>
            <w:r>
              <w:rPr>
                <w:sz w:val="19"/>
              </w:rPr>
              <w:t>20.</w:t>
            </w:r>
            <w:r>
              <w:rPr>
                <w:spacing w:val="55"/>
                <w:sz w:val="19"/>
              </w:rPr>
              <w:t xml:space="preserve"> </w:t>
            </w:r>
            <w:r>
              <w:rPr>
                <w:sz w:val="19"/>
              </w:rPr>
              <w:t>1.77471</w:t>
            </w:r>
            <w:r>
              <w:rPr>
                <w:spacing w:val="55"/>
                <w:sz w:val="19"/>
              </w:rPr>
              <w:t xml:space="preserve"> </w:t>
            </w:r>
            <w:r>
              <w:rPr>
                <w:spacing w:val="-2"/>
                <w:sz w:val="19"/>
              </w:rPr>
              <w:t>1.93229</w:t>
            </w:r>
          </w:p>
        </w:tc>
      </w:tr>
      <w:tr>
        <w:tblPrEx/>
        <w:trPr>
          <w:trHeight w:val="275" w:hRule="atLeast"/>
        </w:trPr>
        <w:tc>
          <w:tcPr>
            <w:tcW w:w="2515" w:type="dxa"/>
            <w:tcBorders/>
          </w:tcPr>
          <w:p>
            <w:pPr>
              <w:pStyle w:val="style4151"/>
              <w:ind w:left="67"/>
              <w:rPr>
                <w:sz w:val="19"/>
              </w:rPr>
            </w:pPr>
            <w:r>
              <w:rPr>
                <w:sz w:val="19"/>
              </w:rPr>
              <w:t>11.</w:t>
            </w:r>
            <w:r>
              <w:rPr>
                <w:spacing w:val="79"/>
                <w:w w:val="150"/>
                <w:sz w:val="19"/>
              </w:rPr>
              <w:t xml:space="preserve"> </w:t>
            </w:r>
            <w:r>
              <w:rPr>
                <w:sz w:val="19"/>
              </w:rPr>
              <w:t>6.</w:t>
            </w:r>
            <w:r>
              <w:rPr>
                <w:spacing w:val="53"/>
                <w:sz w:val="19"/>
              </w:rPr>
              <w:t xml:space="preserve"> </w:t>
            </w:r>
            <w:r>
              <w:rPr>
                <w:sz w:val="19"/>
              </w:rPr>
              <w:t>0.31549</w:t>
            </w:r>
            <w:r>
              <w:rPr>
                <w:spacing w:val="53"/>
                <w:sz w:val="19"/>
              </w:rPr>
              <w:t xml:space="preserve"> </w:t>
            </w:r>
            <w:r>
              <w:rPr>
                <w:spacing w:val="-2"/>
                <w:sz w:val="19"/>
              </w:rPr>
              <w:t>2.64456</w:t>
            </w:r>
          </w:p>
        </w:tc>
        <w:tc>
          <w:tcPr>
            <w:tcW w:w="2430" w:type="dxa"/>
            <w:tcBorders/>
          </w:tcPr>
          <w:p>
            <w:pPr>
              <w:pStyle w:val="style4151"/>
              <w:ind w:left="19"/>
              <w:rPr>
                <w:sz w:val="19"/>
              </w:rPr>
            </w:pPr>
            <w:r>
              <w:rPr>
                <w:sz w:val="19"/>
              </w:rPr>
              <w:t>100.</w:t>
            </w:r>
            <w:r>
              <w:rPr>
                <w:spacing w:val="55"/>
                <w:sz w:val="19"/>
              </w:rPr>
              <w:t xml:space="preserve"> </w:t>
            </w:r>
            <w:r>
              <w:rPr>
                <w:sz w:val="19"/>
              </w:rPr>
              <w:t>21.</w:t>
            </w:r>
            <w:r>
              <w:rPr>
                <w:spacing w:val="55"/>
                <w:sz w:val="19"/>
              </w:rPr>
              <w:t xml:space="preserve"> </w:t>
            </w:r>
            <w:r>
              <w:rPr>
                <w:sz w:val="19"/>
              </w:rPr>
              <w:t>1.22928</w:t>
            </w:r>
            <w:r>
              <w:rPr>
                <w:spacing w:val="55"/>
                <w:sz w:val="19"/>
              </w:rPr>
              <w:t xml:space="preserve"> </w:t>
            </w:r>
            <w:r>
              <w:rPr>
                <w:spacing w:val="-2"/>
                <w:sz w:val="19"/>
              </w:rPr>
              <w:t>2.16352</w:t>
            </w:r>
          </w:p>
        </w:tc>
        <w:tc>
          <w:tcPr>
            <w:tcW w:w="2520" w:type="dxa"/>
            <w:tcBorders/>
          </w:tcPr>
          <w:p>
            <w:pPr>
              <w:pStyle w:val="style4151"/>
              <w:rPr>
                <w:sz w:val="19"/>
              </w:rPr>
            </w:pPr>
            <w:r>
              <w:rPr>
                <w:sz w:val="19"/>
              </w:rPr>
              <w:t>200.</w:t>
            </w:r>
            <w:r>
              <w:rPr>
                <w:spacing w:val="55"/>
                <w:sz w:val="19"/>
              </w:rPr>
              <w:t xml:space="preserve"> </w:t>
            </w:r>
            <w:r>
              <w:rPr>
                <w:sz w:val="19"/>
              </w:rPr>
              <w:t>21.</w:t>
            </w:r>
            <w:r>
              <w:rPr>
                <w:spacing w:val="55"/>
                <w:sz w:val="19"/>
              </w:rPr>
              <w:t xml:space="preserve"> </w:t>
            </w:r>
            <w:r>
              <w:rPr>
                <w:sz w:val="19"/>
              </w:rPr>
              <w:t>1.55390</w:t>
            </w:r>
            <w:r>
              <w:rPr>
                <w:spacing w:val="55"/>
                <w:sz w:val="19"/>
              </w:rPr>
              <w:t xml:space="preserve"> </w:t>
            </w:r>
            <w:r>
              <w:rPr>
                <w:spacing w:val="-2"/>
                <w:sz w:val="19"/>
              </w:rPr>
              <w:t>1.99075</w:t>
            </w:r>
          </w:p>
        </w:tc>
        <w:tc>
          <w:tcPr>
            <w:tcW w:w="2700" w:type="dxa"/>
            <w:tcBorders/>
          </w:tcPr>
          <w:p>
            <w:pPr>
              <w:pStyle w:val="style4151"/>
              <w:ind w:left="66"/>
              <w:rPr>
                <w:sz w:val="19"/>
              </w:rPr>
            </w:pPr>
            <w:r>
              <w:rPr>
                <w:sz w:val="19"/>
              </w:rPr>
              <w:t>500.</w:t>
            </w:r>
            <w:r>
              <w:rPr>
                <w:spacing w:val="55"/>
                <w:sz w:val="19"/>
              </w:rPr>
              <w:t xml:space="preserve"> </w:t>
            </w:r>
            <w:r>
              <w:rPr>
                <w:sz w:val="19"/>
              </w:rPr>
              <w:t>21.</w:t>
            </w:r>
            <w:r>
              <w:rPr>
                <w:spacing w:val="55"/>
                <w:sz w:val="19"/>
              </w:rPr>
              <w:t xml:space="preserve"> </w:t>
            </w:r>
            <w:r>
              <w:rPr>
                <w:sz w:val="19"/>
              </w:rPr>
              <w:t>1.77044</w:t>
            </w:r>
            <w:r>
              <w:rPr>
                <w:spacing w:val="55"/>
                <w:sz w:val="19"/>
              </w:rPr>
              <w:t xml:space="preserve"> </w:t>
            </w:r>
            <w:r>
              <w:rPr>
                <w:spacing w:val="-2"/>
                <w:sz w:val="19"/>
              </w:rPr>
              <w:t>1.93663</w:t>
            </w:r>
          </w:p>
        </w:tc>
      </w:tr>
      <w:tr>
        <w:tblPrEx/>
        <w:trPr>
          <w:trHeight w:val="275" w:hRule="atLeast"/>
        </w:trPr>
        <w:tc>
          <w:tcPr>
            <w:tcW w:w="2515" w:type="dxa"/>
            <w:tcBorders/>
          </w:tcPr>
          <w:p>
            <w:pPr>
              <w:pStyle w:val="style4151"/>
              <w:ind w:left="67"/>
              <w:rPr>
                <w:sz w:val="19"/>
              </w:rPr>
            </w:pPr>
            <w:r>
              <w:rPr>
                <w:sz w:val="19"/>
              </w:rPr>
              <w:t>11.</w:t>
            </w:r>
            <w:r>
              <w:rPr>
                <w:spacing w:val="79"/>
                <w:w w:val="150"/>
                <w:sz w:val="19"/>
              </w:rPr>
              <w:t xml:space="preserve"> </w:t>
            </w:r>
            <w:r>
              <w:rPr>
                <w:sz w:val="19"/>
              </w:rPr>
              <w:t>7.</w:t>
            </w:r>
            <w:r>
              <w:rPr>
                <w:spacing w:val="53"/>
                <w:sz w:val="19"/>
              </w:rPr>
              <w:t xml:space="preserve"> </w:t>
            </w:r>
            <w:r>
              <w:rPr>
                <w:sz w:val="19"/>
              </w:rPr>
              <w:t>0.20253</w:t>
            </w:r>
            <w:r>
              <w:rPr>
                <w:spacing w:val="53"/>
                <w:sz w:val="19"/>
              </w:rPr>
              <w:t xml:space="preserve"> </w:t>
            </w:r>
            <w:r>
              <w:rPr>
                <w:spacing w:val="-2"/>
                <w:sz w:val="19"/>
              </w:rPr>
              <w:t>3.00447</w:t>
            </w:r>
          </w:p>
        </w:tc>
        <w:tc>
          <w:tcPr>
            <w:tcW w:w="2430" w:type="dxa"/>
            <w:tcBorders/>
          </w:tcPr>
          <w:p>
            <w:pPr>
              <w:pStyle w:val="style4151"/>
              <w:ind w:left="19"/>
              <w:rPr>
                <w:sz w:val="19"/>
              </w:rPr>
            </w:pPr>
            <w:r>
              <w:rPr>
                <w:sz w:val="19"/>
              </w:rPr>
              <w:t>101.</w:t>
            </w:r>
            <w:r>
              <w:rPr>
                <w:spacing w:val="28"/>
                <w:sz w:val="19"/>
              </w:rPr>
              <w:t xml:space="preserve">  </w:t>
            </w:r>
            <w:r>
              <w:rPr>
                <w:sz w:val="19"/>
              </w:rPr>
              <w:t>2.</w:t>
            </w:r>
            <w:r>
              <w:rPr>
                <w:spacing w:val="53"/>
                <w:sz w:val="19"/>
              </w:rPr>
              <w:t xml:space="preserve"> </w:t>
            </w:r>
            <w:r>
              <w:rPr>
                <w:sz w:val="19"/>
              </w:rPr>
              <w:t>1.65582</w:t>
            </w:r>
            <w:r>
              <w:rPr>
                <w:spacing w:val="54"/>
                <w:sz w:val="19"/>
              </w:rPr>
              <w:t xml:space="preserve"> </w:t>
            </w:r>
            <w:r>
              <w:rPr>
                <w:spacing w:val="-2"/>
                <w:sz w:val="19"/>
              </w:rPr>
              <w:t>1.69577</w:t>
            </w:r>
          </w:p>
        </w:tc>
        <w:tc>
          <w:tcPr>
            <w:tcW w:w="2520" w:type="dxa"/>
            <w:tcBorders/>
          </w:tcPr>
          <w:p>
            <w:pPr>
              <w:pStyle w:val="style4151"/>
              <w:rPr>
                <w:sz w:val="19"/>
              </w:rPr>
            </w:pPr>
            <w:r>
              <w:rPr>
                <w:sz w:val="19"/>
              </w:rPr>
              <w:t>210.</w:t>
            </w:r>
            <w:r>
              <w:rPr>
                <w:spacing w:val="28"/>
                <w:sz w:val="19"/>
              </w:rPr>
              <w:t xml:space="preserve">  </w:t>
            </w:r>
            <w:r>
              <w:rPr>
                <w:sz w:val="19"/>
              </w:rPr>
              <w:t>2.</w:t>
            </w:r>
            <w:r>
              <w:rPr>
                <w:spacing w:val="53"/>
                <w:sz w:val="19"/>
              </w:rPr>
              <w:t xml:space="preserve"> </w:t>
            </w:r>
            <w:r>
              <w:rPr>
                <w:sz w:val="19"/>
              </w:rPr>
              <w:t>1.76445</w:t>
            </w:r>
            <w:r>
              <w:rPr>
                <w:spacing w:val="54"/>
                <w:sz w:val="19"/>
              </w:rPr>
              <w:t xml:space="preserve"> </w:t>
            </w:r>
            <w:r>
              <w:rPr>
                <w:spacing w:val="-2"/>
                <w:sz w:val="19"/>
              </w:rPr>
              <w:t>1.78358</w:t>
            </w:r>
          </w:p>
        </w:tc>
        <w:tc>
          <w:tcPr>
            <w:tcW w:w="2700" w:type="dxa"/>
            <w:tcBorders/>
          </w:tcPr>
          <w:p>
            <w:pPr>
              <w:pStyle w:val="style4151"/>
              <w:ind w:left="66"/>
              <w:rPr>
                <w:sz w:val="19"/>
              </w:rPr>
            </w:pPr>
            <w:r>
              <w:rPr>
                <w:sz w:val="19"/>
              </w:rPr>
              <w:t>550.</w:t>
            </w:r>
            <w:r>
              <w:rPr>
                <w:spacing w:val="28"/>
                <w:sz w:val="19"/>
              </w:rPr>
              <w:t xml:space="preserve">  </w:t>
            </w:r>
            <w:r>
              <w:rPr>
                <w:sz w:val="19"/>
              </w:rPr>
              <w:t>2.</w:t>
            </w:r>
            <w:r>
              <w:rPr>
                <w:spacing w:val="53"/>
                <w:sz w:val="19"/>
              </w:rPr>
              <w:t xml:space="preserve"> </w:t>
            </w:r>
            <w:r>
              <w:rPr>
                <w:sz w:val="19"/>
              </w:rPr>
              <w:t>1.85632</w:t>
            </w:r>
            <w:r>
              <w:rPr>
                <w:spacing w:val="54"/>
                <w:sz w:val="19"/>
              </w:rPr>
              <w:t xml:space="preserve"> </w:t>
            </w:r>
            <w:r>
              <w:rPr>
                <w:spacing w:val="-2"/>
                <w:sz w:val="19"/>
              </w:rPr>
              <w:t>1.86361</w:t>
            </w:r>
          </w:p>
        </w:tc>
      </w:tr>
      <w:tr>
        <w:tblPrEx/>
        <w:trPr>
          <w:trHeight w:val="275" w:hRule="atLeast"/>
        </w:trPr>
        <w:tc>
          <w:tcPr>
            <w:tcW w:w="2515" w:type="dxa"/>
            <w:tcBorders/>
          </w:tcPr>
          <w:p>
            <w:pPr>
              <w:pStyle w:val="style4151"/>
              <w:ind w:left="67"/>
              <w:rPr>
                <w:sz w:val="19"/>
              </w:rPr>
            </w:pPr>
            <w:r>
              <w:rPr>
                <w:sz w:val="19"/>
              </w:rPr>
              <w:t>12.</w:t>
            </w:r>
            <w:r>
              <w:rPr>
                <w:spacing w:val="79"/>
                <w:w w:val="150"/>
                <w:sz w:val="19"/>
              </w:rPr>
              <w:t xml:space="preserve"> </w:t>
            </w:r>
            <w:r>
              <w:rPr>
                <w:sz w:val="19"/>
              </w:rPr>
              <w:t>2.</w:t>
            </w:r>
            <w:r>
              <w:rPr>
                <w:spacing w:val="53"/>
                <w:sz w:val="19"/>
              </w:rPr>
              <w:t xml:space="preserve"> </w:t>
            </w:r>
            <w:r>
              <w:rPr>
                <w:sz w:val="19"/>
              </w:rPr>
              <w:t>0.97076</w:t>
            </w:r>
            <w:r>
              <w:rPr>
                <w:spacing w:val="53"/>
                <w:sz w:val="19"/>
              </w:rPr>
              <w:t xml:space="preserve"> </w:t>
            </w:r>
            <w:r>
              <w:rPr>
                <w:spacing w:val="-2"/>
                <w:sz w:val="19"/>
              </w:rPr>
              <w:t>1.33137</w:t>
            </w:r>
          </w:p>
        </w:tc>
        <w:tc>
          <w:tcPr>
            <w:tcW w:w="2430" w:type="dxa"/>
            <w:tcBorders/>
          </w:tcPr>
          <w:p>
            <w:pPr>
              <w:pStyle w:val="style4151"/>
              <w:ind w:left="19"/>
              <w:rPr>
                <w:sz w:val="19"/>
              </w:rPr>
            </w:pPr>
            <w:r>
              <w:rPr>
                <w:sz w:val="19"/>
              </w:rPr>
              <w:t>101.</w:t>
            </w:r>
            <w:r>
              <w:rPr>
                <w:spacing w:val="28"/>
                <w:sz w:val="19"/>
              </w:rPr>
              <w:t xml:space="preserve">  </w:t>
            </w:r>
            <w:r>
              <w:rPr>
                <w:sz w:val="19"/>
              </w:rPr>
              <w:t>3.</w:t>
            </w:r>
            <w:r>
              <w:rPr>
                <w:spacing w:val="53"/>
                <w:sz w:val="19"/>
              </w:rPr>
              <w:t xml:space="preserve"> </w:t>
            </w:r>
            <w:r>
              <w:rPr>
                <w:sz w:val="19"/>
              </w:rPr>
              <w:t>1.63568</w:t>
            </w:r>
            <w:r>
              <w:rPr>
                <w:spacing w:val="54"/>
                <w:sz w:val="19"/>
              </w:rPr>
              <w:t xml:space="preserve"> </w:t>
            </w:r>
            <w:r>
              <w:rPr>
                <w:spacing w:val="-2"/>
                <w:sz w:val="19"/>
              </w:rPr>
              <w:t>1.71634</w:t>
            </w:r>
          </w:p>
        </w:tc>
        <w:tc>
          <w:tcPr>
            <w:tcW w:w="2520" w:type="dxa"/>
            <w:tcBorders/>
          </w:tcPr>
          <w:p>
            <w:pPr>
              <w:pStyle w:val="style4151"/>
              <w:rPr>
                <w:sz w:val="19"/>
              </w:rPr>
            </w:pPr>
            <w:r>
              <w:rPr>
                <w:sz w:val="19"/>
              </w:rPr>
              <w:t>210.</w:t>
            </w:r>
            <w:r>
              <w:rPr>
                <w:spacing w:val="28"/>
                <w:sz w:val="19"/>
              </w:rPr>
              <w:t xml:space="preserve">  </w:t>
            </w:r>
            <w:r>
              <w:rPr>
                <w:sz w:val="19"/>
              </w:rPr>
              <w:t>3.</w:t>
            </w:r>
            <w:r>
              <w:rPr>
                <w:spacing w:val="53"/>
                <w:sz w:val="19"/>
              </w:rPr>
              <w:t xml:space="preserve"> </w:t>
            </w:r>
            <w:r>
              <w:rPr>
                <w:sz w:val="19"/>
              </w:rPr>
              <w:t>1.75483</w:t>
            </w:r>
            <w:r>
              <w:rPr>
                <w:spacing w:val="54"/>
                <w:sz w:val="19"/>
              </w:rPr>
              <w:t xml:space="preserve"> </w:t>
            </w:r>
            <w:r>
              <w:rPr>
                <w:spacing w:val="-2"/>
                <w:sz w:val="19"/>
              </w:rPr>
              <w:t>1.79326</w:t>
            </w:r>
          </w:p>
        </w:tc>
        <w:tc>
          <w:tcPr>
            <w:tcW w:w="2700" w:type="dxa"/>
            <w:tcBorders/>
          </w:tcPr>
          <w:p>
            <w:pPr>
              <w:pStyle w:val="style4151"/>
              <w:ind w:left="66"/>
              <w:rPr>
                <w:sz w:val="19"/>
              </w:rPr>
            </w:pPr>
            <w:r>
              <w:rPr>
                <w:sz w:val="19"/>
              </w:rPr>
              <w:t>550.</w:t>
            </w:r>
            <w:r>
              <w:rPr>
                <w:spacing w:val="28"/>
                <w:sz w:val="19"/>
              </w:rPr>
              <w:t xml:space="preserve">  </w:t>
            </w:r>
            <w:r>
              <w:rPr>
                <w:sz w:val="19"/>
              </w:rPr>
              <w:t>3.</w:t>
            </w:r>
            <w:r>
              <w:rPr>
                <w:spacing w:val="53"/>
                <w:sz w:val="19"/>
              </w:rPr>
              <w:t xml:space="preserve"> </w:t>
            </w:r>
            <w:r>
              <w:rPr>
                <w:sz w:val="19"/>
              </w:rPr>
              <w:t>1.85267</w:t>
            </w:r>
            <w:r>
              <w:rPr>
                <w:spacing w:val="54"/>
                <w:sz w:val="19"/>
              </w:rPr>
              <w:t xml:space="preserve"> </w:t>
            </w:r>
            <w:r>
              <w:rPr>
                <w:spacing w:val="-2"/>
                <w:sz w:val="19"/>
              </w:rPr>
              <w:t>1.86727</w:t>
            </w:r>
          </w:p>
        </w:tc>
      </w:tr>
      <w:tr>
        <w:tblPrEx/>
        <w:trPr>
          <w:trHeight w:val="275" w:hRule="atLeast"/>
        </w:trPr>
        <w:tc>
          <w:tcPr>
            <w:tcW w:w="2515" w:type="dxa"/>
            <w:tcBorders/>
          </w:tcPr>
          <w:p>
            <w:pPr>
              <w:pStyle w:val="style4151"/>
              <w:ind w:left="67"/>
              <w:rPr>
                <w:sz w:val="19"/>
              </w:rPr>
            </w:pPr>
            <w:r>
              <w:rPr>
                <w:sz w:val="19"/>
              </w:rPr>
              <w:t>12.</w:t>
            </w:r>
            <w:r>
              <w:rPr>
                <w:spacing w:val="79"/>
                <w:w w:val="150"/>
                <w:sz w:val="19"/>
              </w:rPr>
              <w:t xml:space="preserve"> </w:t>
            </w:r>
            <w:r>
              <w:rPr>
                <w:sz w:val="19"/>
              </w:rPr>
              <w:t>3.</w:t>
            </w:r>
            <w:r>
              <w:rPr>
                <w:spacing w:val="53"/>
                <w:sz w:val="19"/>
              </w:rPr>
              <w:t xml:space="preserve"> </w:t>
            </w:r>
            <w:r>
              <w:rPr>
                <w:sz w:val="19"/>
              </w:rPr>
              <w:t>0.81221</w:t>
            </w:r>
            <w:r>
              <w:rPr>
                <w:spacing w:val="53"/>
                <w:sz w:val="19"/>
              </w:rPr>
              <w:t xml:space="preserve"> </w:t>
            </w:r>
            <w:r>
              <w:rPr>
                <w:spacing w:val="-2"/>
                <w:sz w:val="19"/>
              </w:rPr>
              <w:t>1.57935</w:t>
            </w:r>
          </w:p>
        </w:tc>
        <w:tc>
          <w:tcPr>
            <w:tcW w:w="2430" w:type="dxa"/>
            <w:tcBorders/>
          </w:tcPr>
          <w:p>
            <w:pPr>
              <w:pStyle w:val="style4151"/>
              <w:ind w:left="19"/>
              <w:rPr>
                <w:sz w:val="19"/>
              </w:rPr>
            </w:pPr>
            <w:r>
              <w:rPr>
                <w:sz w:val="19"/>
              </w:rPr>
              <w:t>101.</w:t>
            </w:r>
            <w:r>
              <w:rPr>
                <w:spacing w:val="28"/>
                <w:sz w:val="19"/>
              </w:rPr>
              <w:t xml:space="preserve">  </w:t>
            </w:r>
            <w:r>
              <w:rPr>
                <w:sz w:val="19"/>
              </w:rPr>
              <w:t>4.</w:t>
            </w:r>
            <w:r>
              <w:rPr>
                <w:spacing w:val="53"/>
                <w:sz w:val="19"/>
              </w:rPr>
              <w:t xml:space="preserve"> </w:t>
            </w:r>
            <w:r>
              <w:rPr>
                <w:sz w:val="19"/>
              </w:rPr>
              <w:t>1.61526</w:t>
            </w:r>
            <w:r>
              <w:rPr>
                <w:spacing w:val="54"/>
                <w:sz w:val="19"/>
              </w:rPr>
              <w:t xml:space="preserve"> </w:t>
            </w:r>
            <w:r>
              <w:rPr>
                <w:spacing w:val="-2"/>
                <w:sz w:val="19"/>
              </w:rPr>
              <w:t>1.73738</w:t>
            </w:r>
          </w:p>
        </w:tc>
        <w:tc>
          <w:tcPr>
            <w:tcW w:w="2520" w:type="dxa"/>
            <w:tcBorders/>
          </w:tcPr>
          <w:p>
            <w:pPr>
              <w:pStyle w:val="style4151"/>
              <w:rPr>
                <w:sz w:val="19"/>
              </w:rPr>
            </w:pPr>
            <w:r>
              <w:rPr>
                <w:sz w:val="19"/>
              </w:rPr>
              <w:t>210.</w:t>
            </w:r>
            <w:r>
              <w:rPr>
                <w:spacing w:val="28"/>
                <w:sz w:val="19"/>
              </w:rPr>
              <w:t xml:space="preserve">  </w:t>
            </w:r>
            <w:r>
              <w:rPr>
                <w:sz w:val="19"/>
              </w:rPr>
              <w:t>4.</w:t>
            </w:r>
            <w:r>
              <w:rPr>
                <w:spacing w:val="53"/>
                <w:sz w:val="19"/>
              </w:rPr>
              <w:t xml:space="preserve"> </w:t>
            </w:r>
            <w:r>
              <w:rPr>
                <w:sz w:val="19"/>
              </w:rPr>
              <w:t>1.74513</w:t>
            </w:r>
            <w:r>
              <w:rPr>
                <w:spacing w:val="54"/>
                <w:sz w:val="19"/>
              </w:rPr>
              <w:t xml:space="preserve"> </w:t>
            </w:r>
            <w:r>
              <w:rPr>
                <w:spacing w:val="-2"/>
                <w:sz w:val="19"/>
              </w:rPr>
              <w:t>1.80305</w:t>
            </w:r>
          </w:p>
        </w:tc>
        <w:tc>
          <w:tcPr>
            <w:tcW w:w="2700" w:type="dxa"/>
            <w:tcBorders/>
          </w:tcPr>
          <w:p>
            <w:pPr>
              <w:pStyle w:val="style4151"/>
              <w:ind w:left="66"/>
              <w:rPr>
                <w:sz w:val="19"/>
              </w:rPr>
            </w:pPr>
            <w:r>
              <w:rPr>
                <w:sz w:val="19"/>
              </w:rPr>
              <w:t>550.</w:t>
            </w:r>
            <w:r>
              <w:rPr>
                <w:spacing w:val="28"/>
                <w:sz w:val="19"/>
              </w:rPr>
              <w:t xml:space="preserve">  </w:t>
            </w:r>
            <w:r>
              <w:rPr>
                <w:sz w:val="19"/>
              </w:rPr>
              <w:t>4.</w:t>
            </w:r>
            <w:r>
              <w:rPr>
                <w:spacing w:val="53"/>
                <w:sz w:val="19"/>
              </w:rPr>
              <w:t xml:space="preserve"> </w:t>
            </w:r>
            <w:r>
              <w:rPr>
                <w:sz w:val="19"/>
              </w:rPr>
              <w:t>1.84901</w:t>
            </w:r>
            <w:r>
              <w:rPr>
                <w:spacing w:val="54"/>
                <w:sz w:val="19"/>
              </w:rPr>
              <w:t xml:space="preserve"> </w:t>
            </w:r>
            <w:r>
              <w:rPr>
                <w:spacing w:val="-2"/>
                <w:sz w:val="19"/>
              </w:rPr>
              <w:t>1.87094</w:t>
            </w:r>
          </w:p>
        </w:tc>
      </w:tr>
      <w:tr>
        <w:tblPrEx/>
        <w:trPr>
          <w:trHeight w:val="275" w:hRule="atLeast"/>
        </w:trPr>
        <w:tc>
          <w:tcPr>
            <w:tcW w:w="2515" w:type="dxa"/>
            <w:tcBorders/>
          </w:tcPr>
          <w:p>
            <w:pPr>
              <w:pStyle w:val="style4151"/>
              <w:ind w:left="67"/>
              <w:rPr>
                <w:sz w:val="19"/>
              </w:rPr>
            </w:pPr>
            <w:r>
              <w:rPr>
                <w:sz w:val="19"/>
              </w:rPr>
              <w:t>12.</w:t>
            </w:r>
            <w:r>
              <w:rPr>
                <w:spacing w:val="79"/>
                <w:w w:val="150"/>
                <w:sz w:val="19"/>
              </w:rPr>
              <w:t xml:space="preserve"> </w:t>
            </w:r>
            <w:r>
              <w:rPr>
                <w:sz w:val="19"/>
              </w:rPr>
              <w:t>4.</w:t>
            </w:r>
            <w:r>
              <w:rPr>
                <w:spacing w:val="53"/>
                <w:sz w:val="19"/>
              </w:rPr>
              <w:t xml:space="preserve"> </w:t>
            </w:r>
            <w:r>
              <w:rPr>
                <w:sz w:val="19"/>
              </w:rPr>
              <w:t>0.65765</w:t>
            </w:r>
            <w:r>
              <w:rPr>
                <w:spacing w:val="53"/>
                <w:sz w:val="19"/>
              </w:rPr>
              <w:t xml:space="preserve"> </w:t>
            </w:r>
            <w:r>
              <w:rPr>
                <w:spacing w:val="-2"/>
                <w:sz w:val="19"/>
              </w:rPr>
              <w:t>1.86397</w:t>
            </w:r>
          </w:p>
        </w:tc>
        <w:tc>
          <w:tcPr>
            <w:tcW w:w="2430" w:type="dxa"/>
            <w:tcBorders/>
          </w:tcPr>
          <w:p>
            <w:pPr>
              <w:pStyle w:val="style4151"/>
              <w:ind w:left="19"/>
              <w:rPr>
                <w:sz w:val="19"/>
              </w:rPr>
            </w:pPr>
            <w:r>
              <w:rPr>
                <w:sz w:val="19"/>
              </w:rPr>
              <w:t>101.</w:t>
            </w:r>
            <w:r>
              <w:rPr>
                <w:spacing w:val="28"/>
                <w:sz w:val="19"/>
              </w:rPr>
              <w:t xml:space="preserve">  </w:t>
            </w:r>
            <w:r>
              <w:rPr>
                <w:sz w:val="19"/>
              </w:rPr>
              <w:t>5.</w:t>
            </w:r>
            <w:r>
              <w:rPr>
                <w:spacing w:val="53"/>
                <w:sz w:val="19"/>
              </w:rPr>
              <w:t xml:space="preserve"> </w:t>
            </w:r>
            <w:r>
              <w:rPr>
                <w:sz w:val="19"/>
              </w:rPr>
              <w:t>1.59457</w:t>
            </w:r>
            <w:r>
              <w:rPr>
                <w:spacing w:val="54"/>
                <w:sz w:val="19"/>
              </w:rPr>
              <w:t xml:space="preserve"> </w:t>
            </w:r>
            <w:r>
              <w:rPr>
                <w:spacing w:val="-2"/>
                <w:sz w:val="19"/>
              </w:rPr>
              <w:t>1.75888</w:t>
            </w:r>
          </w:p>
        </w:tc>
        <w:tc>
          <w:tcPr>
            <w:tcW w:w="2520" w:type="dxa"/>
            <w:tcBorders/>
          </w:tcPr>
          <w:p>
            <w:pPr>
              <w:pStyle w:val="style4151"/>
              <w:rPr>
                <w:sz w:val="19"/>
              </w:rPr>
            </w:pPr>
            <w:r>
              <w:rPr>
                <w:sz w:val="19"/>
              </w:rPr>
              <w:t>210.</w:t>
            </w:r>
            <w:r>
              <w:rPr>
                <w:spacing w:val="28"/>
                <w:sz w:val="19"/>
              </w:rPr>
              <w:t xml:space="preserve">  </w:t>
            </w:r>
            <w:r>
              <w:rPr>
                <w:sz w:val="19"/>
              </w:rPr>
              <w:t>5.</w:t>
            </w:r>
            <w:r>
              <w:rPr>
                <w:spacing w:val="53"/>
                <w:sz w:val="19"/>
              </w:rPr>
              <w:t xml:space="preserve"> </w:t>
            </w:r>
            <w:r>
              <w:rPr>
                <w:sz w:val="19"/>
              </w:rPr>
              <w:t>1.73537</w:t>
            </w:r>
            <w:r>
              <w:rPr>
                <w:spacing w:val="54"/>
                <w:sz w:val="19"/>
              </w:rPr>
              <w:t xml:space="preserve"> </w:t>
            </w:r>
            <w:r>
              <w:rPr>
                <w:spacing w:val="-2"/>
                <w:sz w:val="19"/>
              </w:rPr>
              <w:t>1.81295</w:t>
            </w:r>
          </w:p>
        </w:tc>
        <w:tc>
          <w:tcPr>
            <w:tcW w:w="2700" w:type="dxa"/>
            <w:tcBorders/>
          </w:tcPr>
          <w:p>
            <w:pPr>
              <w:pStyle w:val="style4151"/>
              <w:ind w:left="66"/>
              <w:rPr>
                <w:sz w:val="19"/>
              </w:rPr>
            </w:pPr>
            <w:r>
              <w:rPr>
                <w:sz w:val="19"/>
              </w:rPr>
              <w:t>550.</w:t>
            </w:r>
            <w:r>
              <w:rPr>
                <w:spacing w:val="28"/>
                <w:sz w:val="19"/>
              </w:rPr>
              <w:t xml:space="preserve">  </w:t>
            </w:r>
            <w:r>
              <w:rPr>
                <w:sz w:val="19"/>
              </w:rPr>
              <w:t>5.</w:t>
            </w:r>
            <w:r>
              <w:rPr>
                <w:spacing w:val="53"/>
                <w:sz w:val="19"/>
              </w:rPr>
              <w:t xml:space="preserve"> </w:t>
            </w:r>
            <w:r>
              <w:rPr>
                <w:sz w:val="19"/>
              </w:rPr>
              <w:t>1.84533</w:t>
            </w:r>
            <w:r>
              <w:rPr>
                <w:spacing w:val="54"/>
                <w:sz w:val="19"/>
              </w:rPr>
              <w:t xml:space="preserve"> </w:t>
            </w:r>
            <w:r>
              <w:rPr>
                <w:spacing w:val="-2"/>
                <w:sz w:val="19"/>
              </w:rPr>
              <w:t>1.87462</w:t>
            </w:r>
          </w:p>
        </w:tc>
      </w:tr>
      <w:tr>
        <w:tblPrEx/>
        <w:trPr>
          <w:trHeight w:val="275" w:hRule="atLeast"/>
        </w:trPr>
        <w:tc>
          <w:tcPr>
            <w:tcW w:w="2515" w:type="dxa"/>
            <w:tcBorders/>
          </w:tcPr>
          <w:p>
            <w:pPr>
              <w:pStyle w:val="style4151"/>
              <w:ind w:left="67"/>
              <w:rPr>
                <w:sz w:val="19"/>
              </w:rPr>
            </w:pPr>
            <w:r>
              <w:rPr>
                <w:sz w:val="19"/>
              </w:rPr>
              <w:t>12.</w:t>
            </w:r>
            <w:r>
              <w:rPr>
                <w:spacing w:val="79"/>
                <w:w w:val="150"/>
                <w:sz w:val="19"/>
              </w:rPr>
              <w:t xml:space="preserve"> </w:t>
            </w:r>
            <w:r>
              <w:rPr>
                <w:sz w:val="19"/>
              </w:rPr>
              <w:t>5.</w:t>
            </w:r>
            <w:r>
              <w:rPr>
                <w:spacing w:val="53"/>
                <w:sz w:val="19"/>
              </w:rPr>
              <w:t xml:space="preserve"> </w:t>
            </w:r>
            <w:r>
              <w:rPr>
                <w:sz w:val="19"/>
              </w:rPr>
              <w:t>0.51198</w:t>
            </w:r>
            <w:r>
              <w:rPr>
                <w:spacing w:val="53"/>
                <w:sz w:val="19"/>
              </w:rPr>
              <w:t xml:space="preserve"> </w:t>
            </w:r>
            <w:r>
              <w:rPr>
                <w:spacing w:val="-2"/>
                <w:sz w:val="19"/>
              </w:rPr>
              <w:t>2.17662</w:t>
            </w:r>
          </w:p>
        </w:tc>
        <w:tc>
          <w:tcPr>
            <w:tcW w:w="2430" w:type="dxa"/>
            <w:tcBorders/>
          </w:tcPr>
          <w:p>
            <w:pPr>
              <w:pStyle w:val="style4151"/>
              <w:ind w:left="19"/>
              <w:rPr>
                <w:sz w:val="19"/>
              </w:rPr>
            </w:pPr>
            <w:r>
              <w:rPr>
                <w:sz w:val="19"/>
              </w:rPr>
              <w:t>101.</w:t>
            </w:r>
            <w:r>
              <w:rPr>
                <w:spacing w:val="28"/>
                <w:sz w:val="19"/>
              </w:rPr>
              <w:t xml:space="preserve">  </w:t>
            </w:r>
            <w:r>
              <w:rPr>
                <w:sz w:val="19"/>
              </w:rPr>
              <w:t>6.</w:t>
            </w:r>
            <w:r>
              <w:rPr>
                <w:spacing w:val="53"/>
                <w:sz w:val="19"/>
              </w:rPr>
              <w:t xml:space="preserve"> </w:t>
            </w:r>
            <w:r>
              <w:rPr>
                <w:sz w:val="19"/>
              </w:rPr>
              <w:t>1.57363</w:t>
            </w:r>
            <w:r>
              <w:rPr>
                <w:spacing w:val="54"/>
                <w:sz w:val="19"/>
              </w:rPr>
              <w:t xml:space="preserve"> </w:t>
            </w:r>
            <w:r>
              <w:rPr>
                <w:spacing w:val="-2"/>
                <w:sz w:val="19"/>
              </w:rPr>
              <w:t>1.78086</w:t>
            </w:r>
          </w:p>
        </w:tc>
        <w:tc>
          <w:tcPr>
            <w:tcW w:w="2520" w:type="dxa"/>
            <w:tcBorders/>
          </w:tcPr>
          <w:p>
            <w:pPr>
              <w:pStyle w:val="style4151"/>
              <w:rPr>
                <w:sz w:val="19"/>
              </w:rPr>
            </w:pPr>
            <w:r>
              <w:rPr>
                <w:sz w:val="19"/>
              </w:rPr>
              <w:t>210.</w:t>
            </w:r>
            <w:r>
              <w:rPr>
                <w:spacing w:val="28"/>
                <w:sz w:val="19"/>
              </w:rPr>
              <w:t xml:space="preserve">  </w:t>
            </w:r>
            <w:r>
              <w:rPr>
                <w:sz w:val="19"/>
              </w:rPr>
              <w:t>6.</w:t>
            </w:r>
            <w:r>
              <w:rPr>
                <w:spacing w:val="53"/>
                <w:sz w:val="19"/>
              </w:rPr>
              <w:t xml:space="preserve"> </w:t>
            </w:r>
            <w:r>
              <w:rPr>
                <w:sz w:val="19"/>
              </w:rPr>
              <w:t>1.72554</w:t>
            </w:r>
            <w:r>
              <w:rPr>
                <w:spacing w:val="54"/>
                <w:sz w:val="19"/>
              </w:rPr>
              <w:t xml:space="preserve"> </w:t>
            </w:r>
            <w:r>
              <w:rPr>
                <w:spacing w:val="-2"/>
                <w:sz w:val="19"/>
              </w:rPr>
              <w:t>1.82294</w:t>
            </w:r>
          </w:p>
        </w:tc>
        <w:tc>
          <w:tcPr>
            <w:tcW w:w="2700" w:type="dxa"/>
            <w:tcBorders/>
          </w:tcPr>
          <w:p>
            <w:pPr>
              <w:pStyle w:val="style4151"/>
              <w:ind w:left="66"/>
              <w:rPr>
                <w:sz w:val="19"/>
              </w:rPr>
            </w:pPr>
            <w:r>
              <w:rPr>
                <w:sz w:val="19"/>
              </w:rPr>
              <w:t>550.</w:t>
            </w:r>
            <w:r>
              <w:rPr>
                <w:spacing w:val="28"/>
                <w:sz w:val="19"/>
              </w:rPr>
              <w:t xml:space="preserve">  </w:t>
            </w:r>
            <w:r>
              <w:rPr>
                <w:sz w:val="19"/>
              </w:rPr>
              <w:t>6.</w:t>
            </w:r>
            <w:r>
              <w:rPr>
                <w:spacing w:val="53"/>
                <w:sz w:val="19"/>
              </w:rPr>
              <w:t xml:space="preserve"> </w:t>
            </w:r>
            <w:r>
              <w:rPr>
                <w:sz w:val="19"/>
              </w:rPr>
              <w:t>1.84165</w:t>
            </w:r>
            <w:r>
              <w:rPr>
                <w:spacing w:val="54"/>
                <w:sz w:val="19"/>
              </w:rPr>
              <w:t xml:space="preserve"> </w:t>
            </w:r>
            <w:r>
              <w:rPr>
                <w:spacing w:val="-2"/>
                <w:sz w:val="19"/>
              </w:rPr>
              <w:t>1.87833</w:t>
            </w:r>
          </w:p>
        </w:tc>
      </w:tr>
      <w:tr>
        <w:tblPrEx/>
        <w:trPr>
          <w:trHeight w:val="275" w:hRule="atLeast"/>
        </w:trPr>
        <w:tc>
          <w:tcPr>
            <w:tcW w:w="2515" w:type="dxa"/>
            <w:tcBorders/>
          </w:tcPr>
          <w:p>
            <w:pPr>
              <w:pStyle w:val="style4151"/>
              <w:ind w:left="67"/>
              <w:rPr>
                <w:sz w:val="19"/>
              </w:rPr>
            </w:pPr>
            <w:r>
              <w:rPr>
                <w:sz w:val="19"/>
              </w:rPr>
              <w:t>12.</w:t>
            </w:r>
            <w:r>
              <w:rPr>
                <w:spacing w:val="79"/>
                <w:w w:val="150"/>
                <w:sz w:val="19"/>
              </w:rPr>
              <w:t xml:space="preserve"> </w:t>
            </w:r>
            <w:r>
              <w:rPr>
                <w:sz w:val="19"/>
              </w:rPr>
              <w:t>6.</w:t>
            </w:r>
            <w:r>
              <w:rPr>
                <w:spacing w:val="53"/>
                <w:sz w:val="19"/>
              </w:rPr>
              <w:t xml:space="preserve"> </w:t>
            </w:r>
            <w:r>
              <w:rPr>
                <w:sz w:val="19"/>
              </w:rPr>
              <w:t>0.37956</w:t>
            </w:r>
            <w:r>
              <w:rPr>
                <w:spacing w:val="53"/>
                <w:sz w:val="19"/>
              </w:rPr>
              <w:t xml:space="preserve"> </w:t>
            </w:r>
            <w:r>
              <w:rPr>
                <w:spacing w:val="-2"/>
                <w:sz w:val="19"/>
              </w:rPr>
              <w:t>2.50609</w:t>
            </w:r>
          </w:p>
        </w:tc>
        <w:tc>
          <w:tcPr>
            <w:tcW w:w="2430" w:type="dxa"/>
            <w:tcBorders/>
          </w:tcPr>
          <w:p>
            <w:pPr>
              <w:pStyle w:val="style4151"/>
              <w:ind w:left="19"/>
              <w:rPr>
                <w:sz w:val="19"/>
              </w:rPr>
            </w:pPr>
            <w:r>
              <w:rPr>
                <w:sz w:val="19"/>
              </w:rPr>
              <w:t>101.</w:t>
            </w:r>
            <w:r>
              <w:rPr>
                <w:spacing w:val="28"/>
                <w:sz w:val="19"/>
              </w:rPr>
              <w:t xml:space="preserve">  </w:t>
            </w:r>
            <w:r>
              <w:rPr>
                <w:sz w:val="19"/>
              </w:rPr>
              <w:t>7.</w:t>
            </w:r>
            <w:r>
              <w:rPr>
                <w:spacing w:val="53"/>
                <w:sz w:val="19"/>
              </w:rPr>
              <w:t xml:space="preserve"> </w:t>
            </w:r>
            <w:r>
              <w:rPr>
                <w:sz w:val="19"/>
              </w:rPr>
              <w:t>1.55244</w:t>
            </w:r>
            <w:r>
              <w:rPr>
                <w:spacing w:val="54"/>
                <w:sz w:val="19"/>
              </w:rPr>
              <w:t xml:space="preserve"> </w:t>
            </w:r>
            <w:r>
              <w:rPr>
                <w:spacing w:val="-2"/>
                <w:sz w:val="19"/>
              </w:rPr>
              <w:t>1.80328</w:t>
            </w:r>
          </w:p>
        </w:tc>
        <w:tc>
          <w:tcPr>
            <w:tcW w:w="2520" w:type="dxa"/>
            <w:tcBorders/>
          </w:tcPr>
          <w:p>
            <w:pPr>
              <w:pStyle w:val="style4151"/>
              <w:rPr>
                <w:sz w:val="19"/>
              </w:rPr>
            </w:pPr>
            <w:r>
              <w:rPr>
                <w:sz w:val="19"/>
              </w:rPr>
              <w:t>210.</w:t>
            </w:r>
            <w:r>
              <w:rPr>
                <w:spacing w:val="28"/>
                <w:sz w:val="19"/>
              </w:rPr>
              <w:t xml:space="preserve">  </w:t>
            </w:r>
            <w:r>
              <w:rPr>
                <w:sz w:val="19"/>
              </w:rPr>
              <w:t>7.</w:t>
            </w:r>
            <w:r>
              <w:rPr>
                <w:spacing w:val="53"/>
                <w:sz w:val="19"/>
              </w:rPr>
              <w:t xml:space="preserve"> </w:t>
            </w:r>
            <w:r>
              <w:rPr>
                <w:sz w:val="19"/>
              </w:rPr>
              <w:t>1.71563</w:t>
            </w:r>
            <w:r>
              <w:rPr>
                <w:spacing w:val="54"/>
                <w:sz w:val="19"/>
              </w:rPr>
              <w:t xml:space="preserve"> </w:t>
            </w:r>
            <w:r>
              <w:rPr>
                <w:spacing w:val="-2"/>
                <w:sz w:val="19"/>
              </w:rPr>
              <w:t>1.83305</w:t>
            </w:r>
          </w:p>
        </w:tc>
        <w:tc>
          <w:tcPr>
            <w:tcW w:w="2700" w:type="dxa"/>
            <w:tcBorders/>
          </w:tcPr>
          <w:p>
            <w:pPr>
              <w:pStyle w:val="style4151"/>
              <w:ind w:left="66"/>
              <w:rPr>
                <w:sz w:val="19"/>
              </w:rPr>
            </w:pPr>
            <w:r>
              <w:rPr>
                <w:sz w:val="19"/>
              </w:rPr>
              <w:t>550.</w:t>
            </w:r>
            <w:r>
              <w:rPr>
                <w:spacing w:val="28"/>
                <w:sz w:val="19"/>
              </w:rPr>
              <w:t xml:space="preserve">  </w:t>
            </w:r>
            <w:r>
              <w:rPr>
                <w:sz w:val="19"/>
              </w:rPr>
              <w:t>7.</w:t>
            </w:r>
            <w:r>
              <w:rPr>
                <w:spacing w:val="53"/>
                <w:sz w:val="19"/>
              </w:rPr>
              <w:t xml:space="preserve"> </w:t>
            </w:r>
            <w:r>
              <w:rPr>
                <w:sz w:val="19"/>
              </w:rPr>
              <w:t>1.83794</w:t>
            </w:r>
            <w:r>
              <w:rPr>
                <w:spacing w:val="54"/>
                <w:sz w:val="19"/>
              </w:rPr>
              <w:t xml:space="preserve"> </w:t>
            </w:r>
            <w:r>
              <w:rPr>
                <w:spacing w:val="-2"/>
                <w:sz w:val="19"/>
              </w:rPr>
              <w:t>1.88204</w:t>
            </w:r>
          </w:p>
        </w:tc>
      </w:tr>
      <w:tr>
        <w:tblPrEx/>
        <w:trPr>
          <w:trHeight w:val="275" w:hRule="atLeast"/>
        </w:trPr>
        <w:tc>
          <w:tcPr>
            <w:tcW w:w="2515" w:type="dxa"/>
            <w:tcBorders/>
          </w:tcPr>
          <w:p>
            <w:pPr>
              <w:pStyle w:val="style4151"/>
              <w:ind w:left="67"/>
              <w:rPr>
                <w:sz w:val="19"/>
              </w:rPr>
            </w:pPr>
            <w:r>
              <w:rPr>
                <w:sz w:val="19"/>
              </w:rPr>
              <w:t>12.</w:t>
            </w:r>
            <w:r>
              <w:rPr>
                <w:spacing w:val="79"/>
                <w:w w:val="150"/>
                <w:sz w:val="19"/>
              </w:rPr>
              <w:t xml:space="preserve"> </w:t>
            </w:r>
            <w:r>
              <w:rPr>
                <w:sz w:val="19"/>
              </w:rPr>
              <w:t>7.</w:t>
            </w:r>
            <w:r>
              <w:rPr>
                <w:spacing w:val="53"/>
                <w:sz w:val="19"/>
              </w:rPr>
              <w:t xml:space="preserve"> </w:t>
            </w:r>
            <w:r>
              <w:rPr>
                <w:sz w:val="19"/>
              </w:rPr>
              <w:t>0.26813</w:t>
            </w:r>
            <w:r>
              <w:rPr>
                <w:spacing w:val="53"/>
                <w:sz w:val="19"/>
              </w:rPr>
              <w:t xml:space="preserve"> </w:t>
            </w:r>
            <w:r>
              <w:rPr>
                <w:spacing w:val="-2"/>
                <w:sz w:val="19"/>
              </w:rPr>
              <w:t>2.83196</w:t>
            </w:r>
          </w:p>
        </w:tc>
        <w:tc>
          <w:tcPr>
            <w:tcW w:w="2430" w:type="dxa"/>
            <w:tcBorders/>
          </w:tcPr>
          <w:p>
            <w:pPr>
              <w:pStyle w:val="style4151"/>
              <w:ind w:left="19"/>
              <w:rPr>
                <w:sz w:val="19"/>
              </w:rPr>
            </w:pPr>
            <w:r>
              <w:rPr>
                <w:sz w:val="19"/>
              </w:rPr>
              <w:t>101.</w:t>
            </w:r>
            <w:r>
              <w:rPr>
                <w:spacing w:val="28"/>
                <w:sz w:val="19"/>
              </w:rPr>
              <w:t xml:space="preserve">  </w:t>
            </w:r>
            <w:r>
              <w:rPr>
                <w:sz w:val="19"/>
              </w:rPr>
              <w:t>8.</w:t>
            </w:r>
            <w:r>
              <w:rPr>
                <w:spacing w:val="53"/>
                <w:sz w:val="19"/>
              </w:rPr>
              <w:t xml:space="preserve"> </w:t>
            </w:r>
            <w:r>
              <w:rPr>
                <w:sz w:val="19"/>
              </w:rPr>
              <w:t>1.53100</w:t>
            </w:r>
            <w:r>
              <w:rPr>
                <w:spacing w:val="54"/>
                <w:sz w:val="19"/>
              </w:rPr>
              <w:t xml:space="preserve"> </w:t>
            </w:r>
            <w:r>
              <w:rPr>
                <w:spacing w:val="-2"/>
                <w:sz w:val="19"/>
              </w:rPr>
              <w:t>1.82614</w:t>
            </w:r>
          </w:p>
        </w:tc>
        <w:tc>
          <w:tcPr>
            <w:tcW w:w="2520" w:type="dxa"/>
            <w:tcBorders/>
          </w:tcPr>
          <w:p>
            <w:pPr>
              <w:pStyle w:val="style4151"/>
              <w:rPr>
                <w:sz w:val="19"/>
              </w:rPr>
            </w:pPr>
            <w:r>
              <w:rPr>
                <w:sz w:val="19"/>
              </w:rPr>
              <w:t>210.</w:t>
            </w:r>
            <w:r>
              <w:rPr>
                <w:spacing w:val="28"/>
                <w:sz w:val="19"/>
              </w:rPr>
              <w:t xml:space="preserve">  </w:t>
            </w:r>
            <w:r>
              <w:rPr>
                <w:sz w:val="19"/>
              </w:rPr>
              <w:t>8.</w:t>
            </w:r>
            <w:r>
              <w:rPr>
                <w:spacing w:val="53"/>
                <w:sz w:val="19"/>
              </w:rPr>
              <w:t xml:space="preserve"> </w:t>
            </w:r>
            <w:r>
              <w:rPr>
                <w:sz w:val="19"/>
              </w:rPr>
              <w:t>1.70566</w:t>
            </w:r>
            <w:r>
              <w:rPr>
                <w:spacing w:val="54"/>
                <w:sz w:val="19"/>
              </w:rPr>
              <w:t xml:space="preserve"> </w:t>
            </w:r>
            <w:r>
              <w:rPr>
                <w:spacing w:val="-2"/>
                <w:sz w:val="19"/>
              </w:rPr>
              <w:t>1.84325</w:t>
            </w:r>
          </w:p>
        </w:tc>
        <w:tc>
          <w:tcPr>
            <w:tcW w:w="2700" w:type="dxa"/>
            <w:tcBorders/>
          </w:tcPr>
          <w:p>
            <w:pPr>
              <w:pStyle w:val="style4151"/>
              <w:ind w:left="66"/>
              <w:rPr>
                <w:sz w:val="19"/>
              </w:rPr>
            </w:pPr>
            <w:r>
              <w:rPr>
                <w:sz w:val="19"/>
              </w:rPr>
              <w:t>550.</w:t>
            </w:r>
            <w:r>
              <w:rPr>
                <w:spacing w:val="28"/>
                <w:sz w:val="19"/>
              </w:rPr>
              <w:t xml:space="preserve">  </w:t>
            </w:r>
            <w:r>
              <w:rPr>
                <w:sz w:val="19"/>
              </w:rPr>
              <w:t>8.</w:t>
            </w:r>
            <w:r>
              <w:rPr>
                <w:spacing w:val="53"/>
                <w:sz w:val="19"/>
              </w:rPr>
              <w:t xml:space="preserve"> </w:t>
            </w:r>
            <w:r>
              <w:rPr>
                <w:sz w:val="19"/>
              </w:rPr>
              <w:t>1.83423</w:t>
            </w:r>
            <w:r>
              <w:rPr>
                <w:spacing w:val="54"/>
                <w:sz w:val="19"/>
              </w:rPr>
              <w:t xml:space="preserve"> </w:t>
            </w:r>
            <w:r>
              <w:rPr>
                <w:spacing w:val="-2"/>
                <w:sz w:val="19"/>
              </w:rPr>
              <w:t>1.88578</w:t>
            </w:r>
          </w:p>
        </w:tc>
      </w:tr>
      <w:tr>
        <w:tblPrEx/>
        <w:trPr>
          <w:trHeight w:val="275" w:hRule="atLeast"/>
        </w:trPr>
        <w:tc>
          <w:tcPr>
            <w:tcW w:w="2515" w:type="dxa"/>
            <w:tcBorders/>
          </w:tcPr>
          <w:p>
            <w:pPr>
              <w:pStyle w:val="style4151"/>
              <w:ind w:left="67"/>
              <w:rPr>
                <w:sz w:val="19"/>
              </w:rPr>
            </w:pPr>
            <w:r>
              <w:rPr>
                <w:sz w:val="19"/>
              </w:rPr>
              <w:t>12.</w:t>
            </w:r>
            <w:r>
              <w:rPr>
                <w:spacing w:val="79"/>
                <w:w w:val="150"/>
                <w:sz w:val="19"/>
              </w:rPr>
              <w:t xml:space="preserve"> </w:t>
            </w:r>
            <w:r>
              <w:rPr>
                <w:sz w:val="19"/>
              </w:rPr>
              <w:t>8.</w:t>
            </w:r>
            <w:r>
              <w:rPr>
                <w:spacing w:val="53"/>
                <w:sz w:val="19"/>
              </w:rPr>
              <w:t xml:space="preserve"> </w:t>
            </w:r>
            <w:r>
              <w:rPr>
                <w:sz w:val="19"/>
              </w:rPr>
              <w:t>0.17144</w:t>
            </w:r>
            <w:r>
              <w:rPr>
                <w:spacing w:val="53"/>
                <w:sz w:val="19"/>
              </w:rPr>
              <w:t xml:space="preserve"> </w:t>
            </w:r>
            <w:r>
              <w:rPr>
                <w:spacing w:val="-2"/>
                <w:sz w:val="19"/>
              </w:rPr>
              <w:t>3.14940</w:t>
            </w:r>
          </w:p>
        </w:tc>
        <w:tc>
          <w:tcPr>
            <w:tcW w:w="2430" w:type="dxa"/>
            <w:tcBorders/>
          </w:tcPr>
          <w:p>
            <w:pPr>
              <w:pStyle w:val="style4151"/>
              <w:ind w:left="19"/>
              <w:rPr>
                <w:sz w:val="19"/>
              </w:rPr>
            </w:pPr>
            <w:r>
              <w:rPr>
                <w:sz w:val="19"/>
              </w:rPr>
              <w:t>101.</w:t>
            </w:r>
            <w:r>
              <w:rPr>
                <w:spacing w:val="28"/>
                <w:sz w:val="19"/>
              </w:rPr>
              <w:t xml:space="preserve">  </w:t>
            </w:r>
            <w:r>
              <w:rPr>
                <w:sz w:val="19"/>
              </w:rPr>
              <w:t>9.</w:t>
            </w:r>
            <w:r>
              <w:rPr>
                <w:spacing w:val="53"/>
                <w:sz w:val="19"/>
              </w:rPr>
              <w:t xml:space="preserve"> </w:t>
            </w:r>
            <w:r>
              <w:rPr>
                <w:sz w:val="19"/>
              </w:rPr>
              <w:t>1.50934</w:t>
            </w:r>
            <w:r>
              <w:rPr>
                <w:spacing w:val="54"/>
                <w:sz w:val="19"/>
              </w:rPr>
              <w:t xml:space="preserve"> </w:t>
            </w:r>
            <w:r>
              <w:rPr>
                <w:spacing w:val="-2"/>
                <w:sz w:val="19"/>
              </w:rPr>
              <w:t>1.84945</w:t>
            </w:r>
          </w:p>
        </w:tc>
        <w:tc>
          <w:tcPr>
            <w:tcW w:w="2520" w:type="dxa"/>
            <w:tcBorders/>
          </w:tcPr>
          <w:p>
            <w:pPr>
              <w:pStyle w:val="style4151"/>
              <w:rPr>
                <w:sz w:val="19"/>
              </w:rPr>
            </w:pPr>
            <w:r>
              <w:rPr>
                <w:sz w:val="19"/>
              </w:rPr>
              <w:t>210.</w:t>
            </w:r>
            <w:r>
              <w:rPr>
                <w:spacing w:val="28"/>
                <w:sz w:val="19"/>
              </w:rPr>
              <w:t xml:space="preserve">  </w:t>
            </w:r>
            <w:r>
              <w:rPr>
                <w:sz w:val="19"/>
              </w:rPr>
              <w:t>9.</w:t>
            </w:r>
            <w:r>
              <w:rPr>
                <w:spacing w:val="53"/>
                <w:sz w:val="19"/>
              </w:rPr>
              <w:t xml:space="preserve"> </w:t>
            </w:r>
            <w:r>
              <w:rPr>
                <w:sz w:val="19"/>
              </w:rPr>
              <w:t>1.69561</w:t>
            </w:r>
            <w:r>
              <w:rPr>
                <w:spacing w:val="54"/>
                <w:sz w:val="19"/>
              </w:rPr>
              <w:t xml:space="preserve"> </w:t>
            </w:r>
            <w:r>
              <w:rPr>
                <w:spacing w:val="-2"/>
                <w:sz w:val="19"/>
              </w:rPr>
              <w:t>1.85355</w:t>
            </w:r>
          </w:p>
        </w:tc>
        <w:tc>
          <w:tcPr>
            <w:tcW w:w="2700" w:type="dxa"/>
            <w:tcBorders/>
          </w:tcPr>
          <w:p>
            <w:pPr>
              <w:pStyle w:val="style4151"/>
              <w:ind w:left="66"/>
              <w:rPr>
                <w:sz w:val="19"/>
              </w:rPr>
            </w:pPr>
            <w:r>
              <w:rPr>
                <w:sz w:val="19"/>
              </w:rPr>
              <w:t>550.</w:t>
            </w:r>
            <w:r>
              <w:rPr>
                <w:spacing w:val="28"/>
                <w:sz w:val="19"/>
              </w:rPr>
              <w:t xml:space="preserve">  </w:t>
            </w:r>
            <w:r>
              <w:rPr>
                <w:sz w:val="19"/>
              </w:rPr>
              <w:t>9.</w:t>
            </w:r>
            <w:r>
              <w:rPr>
                <w:spacing w:val="53"/>
                <w:sz w:val="19"/>
              </w:rPr>
              <w:t xml:space="preserve"> </w:t>
            </w:r>
            <w:r>
              <w:rPr>
                <w:sz w:val="19"/>
              </w:rPr>
              <w:t>1.83051</w:t>
            </w:r>
            <w:r>
              <w:rPr>
                <w:spacing w:val="54"/>
                <w:sz w:val="19"/>
              </w:rPr>
              <w:t xml:space="preserve"> </w:t>
            </w:r>
            <w:r>
              <w:rPr>
                <w:spacing w:val="-2"/>
                <w:sz w:val="19"/>
              </w:rPr>
              <w:t>1.88952</w:t>
            </w:r>
          </w:p>
        </w:tc>
      </w:tr>
      <w:tr>
        <w:tblPrEx/>
        <w:trPr>
          <w:trHeight w:val="275" w:hRule="atLeast"/>
        </w:trPr>
        <w:tc>
          <w:tcPr>
            <w:tcW w:w="2515" w:type="dxa"/>
            <w:tcBorders/>
          </w:tcPr>
          <w:p>
            <w:pPr>
              <w:pStyle w:val="style4151"/>
              <w:ind w:left="67"/>
              <w:rPr>
                <w:sz w:val="19"/>
              </w:rPr>
            </w:pPr>
            <w:r>
              <w:rPr>
                <w:sz w:val="19"/>
              </w:rPr>
              <w:t>13.</w:t>
            </w:r>
            <w:r>
              <w:rPr>
                <w:spacing w:val="79"/>
                <w:w w:val="150"/>
                <w:sz w:val="19"/>
              </w:rPr>
              <w:t xml:space="preserve"> </w:t>
            </w:r>
            <w:r>
              <w:rPr>
                <w:sz w:val="19"/>
              </w:rPr>
              <w:t>2.</w:t>
            </w:r>
            <w:r>
              <w:rPr>
                <w:spacing w:val="53"/>
                <w:sz w:val="19"/>
              </w:rPr>
              <w:t xml:space="preserve"> </w:t>
            </w:r>
            <w:r>
              <w:rPr>
                <w:sz w:val="19"/>
              </w:rPr>
              <w:t>1.00973</w:t>
            </w:r>
            <w:r>
              <w:rPr>
                <w:spacing w:val="53"/>
                <w:sz w:val="19"/>
              </w:rPr>
              <w:t xml:space="preserve"> </w:t>
            </w:r>
            <w:r>
              <w:rPr>
                <w:spacing w:val="-2"/>
                <w:sz w:val="19"/>
              </w:rPr>
              <w:t>1.34040</w:t>
            </w:r>
          </w:p>
        </w:tc>
        <w:tc>
          <w:tcPr>
            <w:tcW w:w="2430" w:type="dxa"/>
            <w:tcBorders/>
          </w:tcPr>
          <w:p>
            <w:pPr>
              <w:pStyle w:val="style4151"/>
              <w:ind w:left="19"/>
              <w:rPr>
                <w:sz w:val="19"/>
              </w:rPr>
            </w:pPr>
            <w:r>
              <w:rPr>
                <w:sz w:val="19"/>
              </w:rPr>
              <w:t>101.</w:t>
            </w:r>
            <w:r>
              <w:rPr>
                <w:spacing w:val="55"/>
                <w:sz w:val="19"/>
              </w:rPr>
              <w:t xml:space="preserve"> </w:t>
            </w:r>
            <w:r>
              <w:rPr>
                <w:sz w:val="19"/>
              </w:rPr>
              <w:t>10.</w:t>
            </w:r>
            <w:r>
              <w:rPr>
                <w:spacing w:val="55"/>
                <w:sz w:val="19"/>
              </w:rPr>
              <w:t xml:space="preserve"> </w:t>
            </w:r>
            <w:r>
              <w:rPr>
                <w:sz w:val="19"/>
              </w:rPr>
              <w:t>1.48747</w:t>
            </w:r>
            <w:r>
              <w:rPr>
                <w:spacing w:val="55"/>
                <w:sz w:val="19"/>
              </w:rPr>
              <w:t xml:space="preserve"> </w:t>
            </w:r>
            <w:r>
              <w:rPr>
                <w:spacing w:val="-2"/>
                <w:sz w:val="19"/>
              </w:rPr>
              <w:t>1.87317</w:t>
            </w:r>
          </w:p>
        </w:tc>
        <w:tc>
          <w:tcPr>
            <w:tcW w:w="2520" w:type="dxa"/>
            <w:tcBorders/>
          </w:tcPr>
          <w:p>
            <w:pPr>
              <w:pStyle w:val="style4151"/>
              <w:rPr>
                <w:sz w:val="19"/>
              </w:rPr>
            </w:pPr>
            <w:r>
              <w:rPr>
                <w:sz w:val="19"/>
              </w:rPr>
              <w:t>210.</w:t>
            </w:r>
            <w:r>
              <w:rPr>
                <w:spacing w:val="55"/>
                <w:sz w:val="19"/>
              </w:rPr>
              <w:t xml:space="preserve"> </w:t>
            </w:r>
            <w:r>
              <w:rPr>
                <w:sz w:val="19"/>
              </w:rPr>
              <w:t>10.</w:t>
            </w:r>
            <w:r>
              <w:rPr>
                <w:spacing w:val="55"/>
                <w:sz w:val="19"/>
              </w:rPr>
              <w:t xml:space="preserve"> </w:t>
            </w:r>
            <w:r>
              <w:rPr>
                <w:sz w:val="19"/>
              </w:rPr>
              <w:t>1.68550</w:t>
            </w:r>
            <w:r>
              <w:rPr>
                <w:spacing w:val="55"/>
                <w:sz w:val="19"/>
              </w:rPr>
              <w:t xml:space="preserve"> </w:t>
            </w:r>
            <w:r>
              <w:rPr>
                <w:spacing w:val="-2"/>
                <w:sz w:val="19"/>
              </w:rPr>
              <w:t>1.86394</w:t>
            </w:r>
          </w:p>
        </w:tc>
        <w:tc>
          <w:tcPr>
            <w:tcW w:w="2700" w:type="dxa"/>
            <w:tcBorders/>
          </w:tcPr>
          <w:p>
            <w:pPr>
              <w:pStyle w:val="style4151"/>
              <w:ind w:left="66"/>
              <w:rPr>
                <w:sz w:val="19"/>
              </w:rPr>
            </w:pPr>
            <w:r>
              <w:rPr>
                <w:sz w:val="19"/>
              </w:rPr>
              <w:t>550.</w:t>
            </w:r>
            <w:r>
              <w:rPr>
                <w:spacing w:val="55"/>
                <w:sz w:val="19"/>
              </w:rPr>
              <w:t xml:space="preserve"> </w:t>
            </w:r>
            <w:r>
              <w:rPr>
                <w:sz w:val="19"/>
              </w:rPr>
              <w:t>10.</w:t>
            </w:r>
            <w:r>
              <w:rPr>
                <w:spacing w:val="55"/>
                <w:sz w:val="19"/>
              </w:rPr>
              <w:t xml:space="preserve"> </w:t>
            </w:r>
            <w:r>
              <w:rPr>
                <w:sz w:val="19"/>
              </w:rPr>
              <w:t>1.82678</w:t>
            </w:r>
            <w:r>
              <w:rPr>
                <w:spacing w:val="55"/>
                <w:sz w:val="19"/>
              </w:rPr>
              <w:t xml:space="preserve"> </w:t>
            </w:r>
            <w:r>
              <w:rPr>
                <w:spacing w:val="-2"/>
                <w:sz w:val="19"/>
              </w:rPr>
              <w:t>1.89327</w:t>
            </w:r>
          </w:p>
        </w:tc>
      </w:tr>
      <w:tr>
        <w:tblPrEx/>
        <w:trPr>
          <w:trHeight w:val="275" w:hRule="atLeast"/>
        </w:trPr>
        <w:tc>
          <w:tcPr>
            <w:tcW w:w="2515" w:type="dxa"/>
            <w:tcBorders/>
          </w:tcPr>
          <w:p>
            <w:pPr>
              <w:pStyle w:val="style4151"/>
              <w:ind w:left="67"/>
              <w:rPr>
                <w:sz w:val="19"/>
              </w:rPr>
            </w:pPr>
            <w:r>
              <w:rPr>
                <w:sz w:val="19"/>
              </w:rPr>
              <w:t>13.</w:t>
            </w:r>
            <w:r>
              <w:rPr>
                <w:spacing w:val="79"/>
                <w:w w:val="150"/>
                <w:sz w:val="19"/>
              </w:rPr>
              <w:t xml:space="preserve"> </w:t>
            </w:r>
            <w:r>
              <w:rPr>
                <w:sz w:val="19"/>
              </w:rPr>
              <w:t>3.</w:t>
            </w:r>
            <w:r>
              <w:rPr>
                <w:spacing w:val="53"/>
                <w:sz w:val="19"/>
              </w:rPr>
              <w:t xml:space="preserve"> </w:t>
            </w:r>
            <w:r>
              <w:rPr>
                <w:sz w:val="19"/>
              </w:rPr>
              <w:t>0.86124</w:t>
            </w:r>
            <w:r>
              <w:rPr>
                <w:spacing w:val="53"/>
                <w:sz w:val="19"/>
              </w:rPr>
              <w:t xml:space="preserve"> </w:t>
            </w:r>
            <w:r>
              <w:rPr>
                <w:spacing w:val="-2"/>
                <w:sz w:val="19"/>
              </w:rPr>
              <w:t>1.56212</w:t>
            </w:r>
          </w:p>
        </w:tc>
        <w:tc>
          <w:tcPr>
            <w:tcW w:w="2430" w:type="dxa"/>
            <w:tcBorders/>
          </w:tcPr>
          <w:p>
            <w:pPr>
              <w:pStyle w:val="style4151"/>
              <w:ind w:left="19"/>
              <w:rPr>
                <w:sz w:val="19"/>
              </w:rPr>
            </w:pPr>
            <w:r>
              <w:rPr>
                <w:sz w:val="19"/>
              </w:rPr>
              <w:t>101.</w:t>
            </w:r>
            <w:r>
              <w:rPr>
                <w:spacing w:val="55"/>
                <w:sz w:val="19"/>
              </w:rPr>
              <w:t xml:space="preserve"> </w:t>
            </w:r>
            <w:r>
              <w:rPr>
                <w:sz w:val="19"/>
              </w:rPr>
              <w:t>11.</w:t>
            </w:r>
            <w:r>
              <w:rPr>
                <w:spacing w:val="55"/>
                <w:sz w:val="19"/>
              </w:rPr>
              <w:t xml:space="preserve"> </w:t>
            </w:r>
            <w:r>
              <w:rPr>
                <w:sz w:val="19"/>
              </w:rPr>
              <w:t>1.46538</w:t>
            </w:r>
            <w:r>
              <w:rPr>
                <w:spacing w:val="55"/>
                <w:sz w:val="19"/>
              </w:rPr>
              <w:t xml:space="preserve"> </w:t>
            </w:r>
            <w:r>
              <w:rPr>
                <w:spacing w:val="-2"/>
                <w:sz w:val="19"/>
              </w:rPr>
              <w:t>1.89731</w:t>
            </w:r>
          </w:p>
        </w:tc>
        <w:tc>
          <w:tcPr>
            <w:tcW w:w="2520" w:type="dxa"/>
            <w:tcBorders/>
          </w:tcPr>
          <w:p>
            <w:pPr>
              <w:pStyle w:val="style4151"/>
              <w:rPr>
                <w:sz w:val="19"/>
              </w:rPr>
            </w:pPr>
            <w:r>
              <w:rPr>
                <w:sz w:val="19"/>
              </w:rPr>
              <w:t>210.</w:t>
            </w:r>
            <w:r>
              <w:rPr>
                <w:spacing w:val="55"/>
                <w:sz w:val="19"/>
              </w:rPr>
              <w:t xml:space="preserve"> </w:t>
            </w:r>
            <w:r>
              <w:rPr>
                <w:sz w:val="19"/>
              </w:rPr>
              <w:t>11.</w:t>
            </w:r>
            <w:r>
              <w:rPr>
                <w:spacing w:val="55"/>
                <w:sz w:val="19"/>
              </w:rPr>
              <w:t xml:space="preserve"> </w:t>
            </w:r>
            <w:r>
              <w:rPr>
                <w:sz w:val="19"/>
              </w:rPr>
              <w:t>1.67532</w:t>
            </w:r>
            <w:r>
              <w:rPr>
                <w:spacing w:val="55"/>
                <w:sz w:val="19"/>
              </w:rPr>
              <w:t xml:space="preserve"> </w:t>
            </w:r>
            <w:r>
              <w:rPr>
                <w:spacing w:val="-2"/>
                <w:sz w:val="19"/>
              </w:rPr>
              <w:t>1.87445</w:t>
            </w:r>
          </w:p>
        </w:tc>
        <w:tc>
          <w:tcPr>
            <w:tcW w:w="2700" w:type="dxa"/>
            <w:tcBorders/>
          </w:tcPr>
          <w:p>
            <w:pPr>
              <w:pStyle w:val="style4151"/>
              <w:ind w:left="66"/>
              <w:rPr>
                <w:sz w:val="19"/>
              </w:rPr>
            </w:pPr>
            <w:r>
              <w:rPr>
                <w:sz w:val="19"/>
              </w:rPr>
              <w:t>550.</w:t>
            </w:r>
            <w:r>
              <w:rPr>
                <w:spacing w:val="55"/>
                <w:sz w:val="19"/>
              </w:rPr>
              <w:t xml:space="preserve"> </w:t>
            </w:r>
            <w:r>
              <w:rPr>
                <w:sz w:val="19"/>
              </w:rPr>
              <w:t>11.</w:t>
            </w:r>
            <w:r>
              <w:rPr>
                <w:spacing w:val="55"/>
                <w:sz w:val="19"/>
              </w:rPr>
              <w:t xml:space="preserve"> </w:t>
            </w:r>
            <w:r>
              <w:rPr>
                <w:sz w:val="19"/>
              </w:rPr>
              <w:t>1.82303</w:t>
            </w:r>
            <w:r>
              <w:rPr>
                <w:spacing w:val="55"/>
                <w:sz w:val="19"/>
              </w:rPr>
              <w:t xml:space="preserve"> </w:t>
            </w:r>
            <w:r>
              <w:rPr>
                <w:spacing w:val="-2"/>
                <w:sz w:val="19"/>
              </w:rPr>
              <w:t>1.89705</w:t>
            </w:r>
          </w:p>
        </w:tc>
      </w:tr>
      <w:tr>
        <w:tblPrEx/>
        <w:trPr>
          <w:trHeight w:val="275" w:hRule="atLeast"/>
        </w:trPr>
        <w:tc>
          <w:tcPr>
            <w:tcW w:w="2515" w:type="dxa"/>
            <w:tcBorders/>
          </w:tcPr>
          <w:p>
            <w:pPr>
              <w:pStyle w:val="style4151"/>
              <w:ind w:left="67"/>
              <w:rPr>
                <w:sz w:val="19"/>
              </w:rPr>
            </w:pPr>
            <w:r>
              <w:rPr>
                <w:sz w:val="19"/>
              </w:rPr>
              <w:t>13.</w:t>
            </w:r>
            <w:r>
              <w:rPr>
                <w:spacing w:val="79"/>
                <w:w w:val="150"/>
                <w:sz w:val="19"/>
              </w:rPr>
              <w:t xml:space="preserve"> </w:t>
            </w:r>
            <w:r>
              <w:rPr>
                <w:sz w:val="19"/>
              </w:rPr>
              <w:t>4.</w:t>
            </w:r>
            <w:r>
              <w:rPr>
                <w:spacing w:val="53"/>
                <w:sz w:val="19"/>
              </w:rPr>
              <w:t xml:space="preserve"> </w:t>
            </w:r>
            <w:r>
              <w:rPr>
                <w:sz w:val="19"/>
              </w:rPr>
              <w:t>0.71465</w:t>
            </w:r>
            <w:r>
              <w:rPr>
                <w:spacing w:val="53"/>
                <w:sz w:val="19"/>
              </w:rPr>
              <w:t xml:space="preserve"> </w:t>
            </w:r>
            <w:r>
              <w:rPr>
                <w:spacing w:val="-2"/>
                <w:sz w:val="19"/>
              </w:rPr>
              <w:t>1.81593</w:t>
            </w:r>
          </w:p>
        </w:tc>
        <w:tc>
          <w:tcPr>
            <w:tcW w:w="2430" w:type="dxa"/>
            <w:tcBorders/>
          </w:tcPr>
          <w:p>
            <w:pPr>
              <w:pStyle w:val="style4151"/>
              <w:ind w:left="19"/>
              <w:rPr>
                <w:sz w:val="19"/>
              </w:rPr>
            </w:pPr>
            <w:r>
              <w:rPr>
                <w:sz w:val="19"/>
              </w:rPr>
              <w:t>101.</w:t>
            </w:r>
            <w:r>
              <w:rPr>
                <w:spacing w:val="55"/>
                <w:sz w:val="19"/>
              </w:rPr>
              <w:t xml:space="preserve"> </w:t>
            </w:r>
            <w:r>
              <w:rPr>
                <w:sz w:val="19"/>
              </w:rPr>
              <w:t>12.</w:t>
            </w:r>
            <w:r>
              <w:rPr>
                <w:spacing w:val="55"/>
                <w:sz w:val="19"/>
              </w:rPr>
              <w:t xml:space="preserve"> </w:t>
            </w:r>
            <w:r>
              <w:rPr>
                <w:sz w:val="19"/>
              </w:rPr>
              <w:t>1.44310</w:t>
            </w:r>
            <w:r>
              <w:rPr>
                <w:spacing w:val="55"/>
                <w:sz w:val="19"/>
              </w:rPr>
              <w:t xml:space="preserve"> </w:t>
            </w:r>
            <w:r>
              <w:rPr>
                <w:spacing w:val="-2"/>
                <w:sz w:val="19"/>
              </w:rPr>
              <w:t>1.92186</w:t>
            </w:r>
          </w:p>
        </w:tc>
        <w:tc>
          <w:tcPr>
            <w:tcW w:w="2520" w:type="dxa"/>
            <w:tcBorders/>
          </w:tcPr>
          <w:p>
            <w:pPr>
              <w:pStyle w:val="style4151"/>
              <w:rPr>
                <w:sz w:val="19"/>
              </w:rPr>
            </w:pPr>
            <w:r>
              <w:rPr>
                <w:sz w:val="19"/>
              </w:rPr>
              <w:t>210.</w:t>
            </w:r>
            <w:r>
              <w:rPr>
                <w:spacing w:val="55"/>
                <w:sz w:val="19"/>
              </w:rPr>
              <w:t xml:space="preserve"> </w:t>
            </w:r>
            <w:r>
              <w:rPr>
                <w:sz w:val="19"/>
              </w:rPr>
              <w:t>12.</w:t>
            </w:r>
            <w:r>
              <w:rPr>
                <w:spacing w:val="55"/>
                <w:sz w:val="19"/>
              </w:rPr>
              <w:t xml:space="preserve"> </w:t>
            </w:r>
            <w:r>
              <w:rPr>
                <w:sz w:val="19"/>
              </w:rPr>
              <w:t>1.66508</w:t>
            </w:r>
            <w:r>
              <w:rPr>
                <w:spacing w:val="55"/>
                <w:sz w:val="19"/>
              </w:rPr>
              <w:t xml:space="preserve"> </w:t>
            </w:r>
            <w:r>
              <w:rPr>
                <w:spacing w:val="-2"/>
                <w:sz w:val="19"/>
              </w:rPr>
              <w:t>1.88505</w:t>
            </w:r>
          </w:p>
        </w:tc>
        <w:tc>
          <w:tcPr>
            <w:tcW w:w="2700" w:type="dxa"/>
            <w:tcBorders/>
          </w:tcPr>
          <w:p>
            <w:pPr>
              <w:pStyle w:val="style4151"/>
              <w:ind w:left="66"/>
              <w:rPr>
                <w:sz w:val="19"/>
              </w:rPr>
            </w:pPr>
            <w:r>
              <w:rPr>
                <w:sz w:val="19"/>
              </w:rPr>
              <w:t>550.</w:t>
            </w:r>
            <w:r>
              <w:rPr>
                <w:spacing w:val="55"/>
                <w:sz w:val="19"/>
              </w:rPr>
              <w:t xml:space="preserve"> </w:t>
            </w:r>
            <w:r>
              <w:rPr>
                <w:sz w:val="19"/>
              </w:rPr>
              <w:t>12.</w:t>
            </w:r>
            <w:r>
              <w:rPr>
                <w:spacing w:val="55"/>
                <w:sz w:val="19"/>
              </w:rPr>
              <w:t xml:space="preserve"> </w:t>
            </w:r>
            <w:r>
              <w:rPr>
                <w:sz w:val="19"/>
              </w:rPr>
              <w:t>1.81928</w:t>
            </w:r>
            <w:r>
              <w:rPr>
                <w:spacing w:val="55"/>
                <w:sz w:val="19"/>
              </w:rPr>
              <w:t xml:space="preserve"> </w:t>
            </w:r>
            <w:r>
              <w:rPr>
                <w:spacing w:val="-2"/>
                <w:sz w:val="19"/>
              </w:rPr>
              <w:t>1.90084</w:t>
            </w:r>
          </w:p>
        </w:tc>
      </w:tr>
      <w:tr>
        <w:tblPrEx/>
        <w:trPr>
          <w:trHeight w:val="275" w:hRule="atLeast"/>
        </w:trPr>
        <w:tc>
          <w:tcPr>
            <w:tcW w:w="2515" w:type="dxa"/>
            <w:tcBorders/>
          </w:tcPr>
          <w:p>
            <w:pPr>
              <w:pStyle w:val="style4151"/>
              <w:ind w:left="67"/>
              <w:rPr>
                <w:sz w:val="19"/>
              </w:rPr>
            </w:pPr>
            <w:r>
              <w:rPr>
                <w:sz w:val="19"/>
              </w:rPr>
              <w:t>13.</w:t>
            </w:r>
            <w:r>
              <w:rPr>
                <w:spacing w:val="79"/>
                <w:w w:val="150"/>
                <w:sz w:val="19"/>
              </w:rPr>
              <w:t xml:space="preserve"> </w:t>
            </w:r>
            <w:r>
              <w:rPr>
                <w:sz w:val="19"/>
              </w:rPr>
              <w:t>5.</w:t>
            </w:r>
            <w:r>
              <w:rPr>
                <w:spacing w:val="53"/>
                <w:sz w:val="19"/>
              </w:rPr>
              <w:t xml:space="preserve"> </w:t>
            </w:r>
            <w:r>
              <w:rPr>
                <w:sz w:val="19"/>
              </w:rPr>
              <w:t>0.57446</w:t>
            </w:r>
            <w:r>
              <w:rPr>
                <w:spacing w:val="53"/>
                <w:sz w:val="19"/>
              </w:rPr>
              <w:t xml:space="preserve"> </w:t>
            </w:r>
            <w:r>
              <w:rPr>
                <w:spacing w:val="-2"/>
                <w:sz w:val="19"/>
              </w:rPr>
              <w:t>2.09428</w:t>
            </w:r>
          </w:p>
        </w:tc>
        <w:tc>
          <w:tcPr>
            <w:tcW w:w="2430" w:type="dxa"/>
            <w:tcBorders/>
          </w:tcPr>
          <w:p>
            <w:pPr>
              <w:pStyle w:val="style4151"/>
              <w:ind w:left="19"/>
              <w:rPr>
                <w:sz w:val="19"/>
              </w:rPr>
            </w:pPr>
            <w:r>
              <w:rPr>
                <w:sz w:val="19"/>
              </w:rPr>
              <w:t>101.</w:t>
            </w:r>
            <w:r>
              <w:rPr>
                <w:spacing w:val="55"/>
                <w:sz w:val="19"/>
              </w:rPr>
              <w:t xml:space="preserve"> </w:t>
            </w:r>
            <w:r>
              <w:rPr>
                <w:sz w:val="19"/>
              </w:rPr>
              <w:t>13.</w:t>
            </w:r>
            <w:r>
              <w:rPr>
                <w:spacing w:val="55"/>
                <w:sz w:val="19"/>
              </w:rPr>
              <w:t xml:space="preserve"> </w:t>
            </w:r>
            <w:r>
              <w:rPr>
                <w:sz w:val="19"/>
              </w:rPr>
              <w:t>1.42063</w:t>
            </w:r>
            <w:r>
              <w:rPr>
                <w:spacing w:val="55"/>
                <w:sz w:val="19"/>
              </w:rPr>
              <w:t xml:space="preserve"> </w:t>
            </w:r>
            <w:r>
              <w:rPr>
                <w:spacing w:val="-2"/>
                <w:sz w:val="19"/>
              </w:rPr>
              <w:t>1.94682</w:t>
            </w:r>
          </w:p>
        </w:tc>
        <w:tc>
          <w:tcPr>
            <w:tcW w:w="2520" w:type="dxa"/>
            <w:tcBorders/>
          </w:tcPr>
          <w:p>
            <w:pPr>
              <w:pStyle w:val="style4151"/>
              <w:rPr>
                <w:sz w:val="19"/>
              </w:rPr>
            </w:pPr>
            <w:r>
              <w:rPr>
                <w:sz w:val="19"/>
              </w:rPr>
              <w:t>210.</w:t>
            </w:r>
            <w:r>
              <w:rPr>
                <w:spacing w:val="55"/>
                <w:sz w:val="19"/>
              </w:rPr>
              <w:t xml:space="preserve"> </w:t>
            </w:r>
            <w:r>
              <w:rPr>
                <w:sz w:val="19"/>
              </w:rPr>
              <w:t>13.</w:t>
            </w:r>
            <w:r>
              <w:rPr>
                <w:spacing w:val="55"/>
                <w:sz w:val="19"/>
              </w:rPr>
              <w:t xml:space="preserve"> </w:t>
            </w:r>
            <w:r>
              <w:rPr>
                <w:sz w:val="19"/>
              </w:rPr>
              <w:t>1.65478</w:t>
            </w:r>
            <w:r>
              <w:rPr>
                <w:spacing w:val="55"/>
                <w:sz w:val="19"/>
              </w:rPr>
              <w:t xml:space="preserve"> </w:t>
            </w:r>
            <w:r>
              <w:rPr>
                <w:spacing w:val="-2"/>
                <w:sz w:val="19"/>
              </w:rPr>
              <w:t>1.89574</w:t>
            </w:r>
          </w:p>
        </w:tc>
        <w:tc>
          <w:tcPr>
            <w:tcW w:w="2700" w:type="dxa"/>
            <w:tcBorders/>
          </w:tcPr>
          <w:p>
            <w:pPr>
              <w:pStyle w:val="style4151"/>
              <w:ind w:left="66"/>
              <w:rPr>
                <w:sz w:val="19"/>
              </w:rPr>
            </w:pPr>
            <w:r>
              <w:rPr>
                <w:sz w:val="19"/>
              </w:rPr>
              <w:t>550.</w:t>
            </w:r>
            <w:r>
              <w:rPr>
                <w:spacing w:val="55"/>
                <w:sz w:val="19"/>
              </w:rPr>
              <w:t xml:space="preserve"> </w:t>
            </w:r>
            <w:r>
              <w:rPr>
                <w:sz w:val="19"/>
              </w:rPr>
              <w:t>13.</w:t>
            </w:r>
            <w:r>
              <w:rPr>
                <w:spacing w:val="55"/>
                <w:sz w:val="19"/>
              </w:rPr>
              <w:t xml:space="preserve"> </w:t>
            </w:r>
            <w:r>
              <w:rPr>
                <w:sz w:val="19"/>
              </w:rPr>
              <w:t>1.81551</w:t>
            </w:r>
            <w:r>
              <w:rPr>
                <w:spacing w:val="55"/>
                <w:sz w:val="19"/>
              </w:rPr>
              <w:t xml:space="preserve"> </w:t>
            </w:r>
            <w:r>
              <w:rPr>
                <w:spacing w:val="-2"/>
                <w:sz w:val="19"/>
              </w:rPr>
              <w:t>1.90464</w:t>
            </w:r>
          </w:p>
        </w:tc>
      </w:tr>
      <w:tr>
        <w:tblPrEx/>
        <w:trPr>
          <w:trHeight w:val="275" w:hRule="atLeast"/>
        </w:trPr>
        <w:tc>
          <w:tcPr>
            <w:tcW w:w="2515" w:type="dxa"/>
            <w:tcBorders/>
          </w:tcPr>
          <w:p>
            <w:pPr>
              <w:pStyle w:val="style4151"/>
              <w:ind w:left="67"/>
              <w:rPr>
                <w:sz w:val="19"/>
              </w:rPr>
            </w:pPr>
            <w:r>
              <w:rPr>
                <w:sz w:val="19"/>
              </w:rPr>
              <w:t>13.</w:t>
            </w:r>
            <w:r>
              <w:rPr>
                <w:spacing w:val="79"/>
                <w:w w:val="150"/>
                <w:sz w:val="19"/>
              </w:rPr>
              <w:t xml:space="preserve"> </w:t>
            </w:r>
            <w:r>
              <w:rPr>
                <w:sz w:val="19"/>
              </w:rPr>
              <w:t>6.</w:t>
            </w:r>
            <w:r>
              <w:rPr>
                <w:spacing w:val="53"/>
                <w:sz w:val="19"/>
              </w:rPr>
              <w:t xml:space="preserve"> </w:t>
            </w:r>
            <w:r>
              <w:rPr>
                <w:sz w:val="19"/>
              </w:rPr>
              <w:t>0.44448</w:t>
            </w:r>
            <w:r>
              <w:rPr>
                <w:spacing w:val="53"/>
                <w:sz w:val="19"/>
              </w:rPr>
              <w:t xml:space="preserve"> </w:t>
            </w:r>
            <w:r>
              <w:rPr>
                <w:spacing w:val="-2"/>
                <w:sz w:val="19"/>
              </w:rPr>
              <w:t>2.38967</w:t>
            </w:r>
          </w:p>
        </w:tc>
        <w:tc>
          <w:tcPr>
            <w:tcW w:w="2430" w:type="dxa"/>
            <w:tcBorders/>
          </w:tcPr>
          <w:p>
            <w:pPr>
              <w:pStyle w:val="style4151"/>
              <w:ind w:left="19"/>
              <w:rPr>
                <w:sz w:val="19"/>
              </w:rPr>
            </w:pPr>
            <w:r>
              <w:rPr>
                <w:sz w:val="19"/>
              </w:rPr>
              <w:t>101.</w:t>
            </w:r>
            <w:r>
              <w:rPr>
                <w:spacing w:val="55"/>
                <w:sz w:val="19"/>
              </w:rPr>
              <w:t xml:space="preserve"> </w:t>
            </w:r>
            <w:r>
              <w:rPr>
                <w:sz w:val="19"/>
              </w:rPr>
              <w:t>14.</w:t>
            </w:r>
            <w:r>
              <w:rPr>
                <w:spacing w:val="55"/>
                <w:sz w:val="19"/>
              </w:rPr>
              <w:t xml:space="preserve"> </w:t>
            </w:r>
            <w:r>
              <w:rPr>
                <w:sz w:val="19"/>
              </w:rPr>
              <w:t>1.39799</w:t>
            </w:r>
            <w:r>
              <w:rPr>
                <w:spacing w:val="55"/>
                <w:sz w:val="19"/>
              </w:rPr>
              <w:t xml:space="preserve"> </w:t>
            </w:r>
            <w:r>
              <w:rPr>
                <w:spacing w:val="-2"/>
                <w:sz w:val="19"/>
              </w:rPr>
              <w:t>1.97215</w:t>
            </w:r>
          </w:p>
        </w:tc>
        <w:tc>
          <w:tcPr>
            <w:tcW w:w="2520" w:type="dxa"/>
            <w:tcBorders/>
          </w:tcPr>
          <w:p>
            <w:pPr>
              <w:pStyle w:val="style4151"/>
              <w:rPr>
                <w:sz w:val="19"/>
              </w:rPr>
            </w:pPr>
            <w:r>
              <w:rPr>
                <w:sz w:val="19"/>
              </w:rPr>
              <w:t>210.</w:t>
            </w:r>
            <w:r>
              <w:rPr>
                <w:spacing w:val="55"/>
                <w:sz w:val="19"/>
              </w:rPr>
              <w:t xml:space="preserve"> </w:t>
            </w:r>
            <w:r>
              <w:rPr>
                <w:sz w:val="19"/>
              </w:rPr>
              <w:t>14.</w:t>
            </w:r>
            <w:r>
              <w:rPr>
                <w:spacing w:val="55"/>
                <w:sz w:val="19"/>
              </w:rPr>
              <w:t xml:space="preserve"> </w:t>
            </w:r>
            <w:r>
              <w:rPr>
                <w:sz w:val="19"/>
              </w:rPr>
              <w:t>1.64441</w:t>
            </w:r>
            <w:r>
              <w:rPr>
                <w:spacing w:val="55"/>
                <w:sz w:val="19"/>
              </w:rPr>
              <w:t xml:space="preserve"> </w:t>
            </w:r>
            <w:r>
              <w:rPr>
                <w:spacing w:val="-2"/>
                <w:sz w:val="19"/>
              </w:rPr>
              <w:t>1.90653</w:t>
            </w:r>
          </w:p>
        </w:tc>
        <w:tc>
          <w:tcPr>
            <w:tcW w:w="2700" w:type="dxa"/>
            <w:tcBorders/>
          </w:tcPr>
          <w:p>
            <w:pPr>
              <w:pStyle w:val="style4151"/>
              <w:ind w:left="66"/>
              <w:rPr>
                <w:sz w:val="19"/>
              </w:rPr>
            </w:pPr>
            <w:r>
              <w:rPr>
                <w:sz w:val="19"/>
              </w:rPr>
              <w:t>550.</w:t>
            </w:r>
            <w:r>
              <w:rPr>
                <w:spacing w:val="55"/>
                <w:sz w:val="19"/>
              </w:rPr>
              <w:t xml:space="preserve"> </w:t>
            </w:r>
            <w:r>
              <w:rPr>
                <w:sz w:val="19"/>
              </w:rPr>
              <w:t>14.</w:t>
            </w:r>
            <w:r>
              <w:rPr>
                <w:spacing w:val="55"/>
                <w:sz w:val="19"/>
              </w:rPr>
              <w:t xml:space="preserve"> </w:t>
            </w:r>
            <w:r>
              <w:rPr>
                <w:sz w:val="19"/>
              </w:rPr>
              <w:t>1.81173</w:t>
            </w:r>
            <w:r>
              <w:rPr>
                <w:spacing w:val="55"/>
                <w:sz w:val="19"/>
              </w:rPr>
              <w:t xml:space="preserve"> </w:t>
            </w:r>
            <w:r>
              <w:rPr>
                <w:spacing w:val="-2"/>
                <w:sz w:val="19"/>
              </w:rPr>
              <w:t>1.90845</w:t>
            </w:r>
          </w:p>
        </w:tc>
      </w:tr>
      <w:tr>
        <w:tblPrEx/>
        <w:trPr>
          <w:trHeight w:val="275" w:hRule="atLeast"/>
        </w:trPr>
        <w:tc>
          <w:tcPr>
            <w:tcW w:w="2515" w:type="dxa"/>
            <w:tcBorders/>
          </w:tcPr>
          <w:p>
            <w:pPr>
              <w:pStyle w:val="style4151"/>
              <w:ind w:left="67"/>
              <w:rPr>
                <w:sz w:val="19"/>
              </w:rPr>
            </w:pPr>
            <w:r>
              <w:rPr>
                <w:sz w:val="19"/>
              </w:rPr>
              <w:t>13.</w:t>
            </w:r>
            <w:r>
              <w:rPr>
                <w:spacing w:val="79"/>
                <w:w w:val="150"/>
                <w:sz w:val="19"/>
              </w:rPr>
              <w:t xml:space="preserve"> </w:t>
            </w:r>
            <w:r>
              <w:rPr>
                <w:sz w:val="19"/>
              </w:rPr>
              <w:t>7.</w:t>
            </w:r>
            <w:r>
              <w:rPr>
                <w:spacing w:val="53"/>
                <w:sz w:val="19"/>
              </w:rPr>
              <w:t xml:space="preserve"> </w:t>
            </w:r>
            <w:r>
              <w:rPr>
                <w:sz w:val="19"/>
              </w:rPr>
              <w:t>0.32775</w:t>
            </w:r>
            <w:r>
              <w:rPr>
                <w:spacing w:val="53"/>
                <w:sz w:val="19"/>
              </w:rPr>
              <w:t xml:space="preserve"> </w:t>
            </w:r>
            <w:r>
              <w:rPr>
                <w:spacing w:val="-2"/>
                <w:sz w:val="19"/>
              </w:rPr>
              <w:t>2.69204</w:t>
            </w:r>
          </w:p>
        </w:tc>
        <w:tc>
          <w:tcPr>
            <w:tcW w:w="2430" w:type="dxa"/>
            <w:tcBorders/>
          </w:tcPr>
          <w:p>
            <w:pPr>
              <w:pStyle w:val="style4151"/>
              <w:ind w:left="19"/>
              <w:rPr>
                <w:sz w:val="19"/>
              </w:rPr>
            </w:pPr>
            <w:r>
              <w:rPr>
                <w:sz w:val="19"/>
              </w:rPr>
              <w:t>101.</w:t>
            </w:r>
            <w:r>
              <w:rPr>
                <w:spacing w:val="55"/>
                <w:sz w:val="19"/>
              </w:rPr>
              <w:t xml:space="preserve"> </w:t>
            </w:r>
            <w:r>
              <w:rPr>
                <w:sz w:val="19"/>
              </w:rPr>
              <w:t>15.</w:t>
            </w:r>
            <w:r>
              <w:rPr>
                <w:spacing w:val="55"/>
                <w:sz w:val="19"/>
              </w:rPr>
              <w:t xml:space="preserve"> </w:t>
            </w:r>
            <w:r>
              <w:rPr>
                <w:sz w:val="19"/>
              </w:rPr>
              <w:t>1.37518</w:t>
            </w:r>
            <w:r>
              <w:rPr>
                <w:spacing w:val="55"/>
                <w:sz w:val="19"/>
              </w:rPr>
              <w:t xml:space="preserve"> </w:t>
            </w:r>
            <w:r>
              <w:rPr>
                <w:spacing w:val="-2"/>
                <w:sz w:val="19"/>
              </w:rPr>
              <w:t>1.99787</w:t>
            </w:r>
          </w:p>
        </w:tc>
        <w:tc>
          <w:tcPr>
            <w:tcW w:w="2520" w:type="dxa"/>
            <w:tcBorders/>
          </w:tcPr>
          <w:p>
            <w:pPr>
              <w:pStyle w:val="style4151"/>
              <w:rPr>
                <w:sz w:val="19"/>
              </w:rPr>
            </w:pPr>
            <w:r>
              <w:rPr>
                <w:sz w:val="19"/>
              </w:rPr>
              <w:t>210.</w:t>
            </w:r>
            <w:r>
              <w:rPr>
                <w:spacing w:val="55"/>
                <w:sz w:val="19"/>
              </w:rPr>
              <w:t xml:space="preserve"> </w:t>
            </w:r>
            <w:r>
              <w:rPr>
                <w:sz w:val="19"/>
              </w:rPr>
              <w:t>15.</w:t>
            </w:r>
            <w:r>
              <w:rPr>
                <w:spacing w:val="55"/>
                <w:sz w:val="19"/>
              </w:rPr>
              <w:t xml:space="preserve"> </w:t>
            </w:r>
            <w:r>
              <w:rPr>
                <w:sz w:val="19"/>
              </w:rPr>
              <w:t>1.63398</w:t>
            </w:r>
            <w:r>
              <w:rPr>
                <w:spacing w:val="55"/>
                <w:sz w:val="19"/>
              </w:rPr>
              <w:t xml:space="preserve"> </w:t>
            </w:r>
            <w:r>
              <w:rPr>
                <w:spacing w:val="-2"/>
                <w:sz w:val="19"/>
              </w:rPr>
              <w:t>1.91742</w:t>
            </w:r>
          </w:p>
        </w:tc>
        <w:tc>
          <w:tcPr>
            <w:tcW w:w="2700" w:type="dxa"/>
            <w:tcBorders/>
          </w:tcPr>
          <w:p>
            <w:pPr>
              <w:pStyle w:val="style4151"/>
              <w:ind w:left="66"/>
              <w:rPr>
                <w:sz w:val="19"/>
              </w:rPr>
            </w:pPr>
            <w:r>
              <w:rPr>
                <w:sz w:val="19"/>
              </w:rPr>
              <w:t>550.</w:t>
            </w:r>
            <w:r>
              <w:rPr>
                <w:spacing w:val="55"/>
                <w:sz w:val="19"/>
              </w:rPr>
              <w:t xml:space="preserve"> </w:t>
            </w:r>
            <w:r>
              <w:rPr>
                <w:sz w:val="19"/>
              </w:rPr>
              <w:t>15.</w:t>
            </w:r>
            <w:r>
              <w:rPr>
                <w:spacing w:val="55"/>
                <w:sz w:val="19"/>
              </w:rPr>
              <w:t xml:space="preserve"> </w:t>
            </w:r>
            <w:r>
              <w:rPr>
                <w:sz w:val="19"/>
              </w:rPr>
              <w:t>1.80794</w:t>
            </w:r>
            <w:r>
              <w:rPr>
                <w:spacing w:val="55"/>
                <w:sz w:val="19"/>
              </w:rPr>
              <w:t xml:space="preserve"> </w:t>
            </w:r>
            <w:r>
              <w:rPr>
                <w:spacing w:val="-2"/>
                <w:sz w:val="19"/>
              </w:rPr>
              <w:t>1.91228</w:t>
            </w:r>
          </w:p>
        </w:tc>
      </w:tr>
      <w:tr>
        <w:tblPrEx/>
        <w:trPr>
          <w:trHeight w:val="275" w:hRule="atLeast"/>
        </w:trPr>
        <w:tc>
          <w:tcPr>
            <w:tcW w:w="2515" w:type="dxa"/>
            <w:tcBorders/>
          </w:tcPr>
          <w:p>
            <w:pPr>
              <w:pStyle w:val="style4151"/>
              <w:ind w:left="67"/>
              <w:rPr>
                <w:sz w:val="19"/>
              </w:rPr>
            </w:pPr>
            <w:r>
              <w:rPr>
                <w:sz w:val="19"/>
              </w:rPr>
              <w:t>13.</w:t>
            </w:r>
            <w:r>
              <w:rPr>
                <w:spacing w:val="79"/>
                <w:w w:val="150"/>
                <w:sz w:val="19"/>
              </w:rPr>
              <w:t xml:space="preserve"> </w:t>
            </w:r>
            <w:r>
              <w:rPr>
                <w:sz w:val="19"/>
              </w:rPr>
              <w:t>8.</w:t>
            </w:r>
            <w:r>
              <w:rPr>
                <w:spacing w:val="53"/>
                <w:sz w:val="19"/>
              </w:rPr>
              <w:t xml:space="preserve"> </w:t>
            </w:r>
            <w:r>
              <w:rPr>
                <w:sz w:val="19"/>
              </w:rPr>
              <w:t>0.23049</w:t>
            </w:r>
            <w:r>
              <w:rPr>
                <w:spacing w:val="53"/>
                <w:sz w:val="19"/>
              </w:rPr>
              <w:t xml:space="preserve"> </w:t>
            </w:r>
            <w:r>
              <w:rPr>
                <w:spacing w:val="-2"/>
                <w:sz w:val="19"/>
              </w:rPr>
              <w:t>2.98506</w:t>
            </w:r>
          </w:p>
        </w:tc>
        <w:tc>
          <w:tcPr>
            <w:tcW w:w="2430" w:type="dxa"/>
            <w:tcBorders/>
          </w:tcPr>
          <w:p>
            <w:pPr>
              <w:pStyle w:val="style4151"/>
              <w:ind w:left="19"/>
              <w:rPr>
                <w:sz w:val="19"/>
              </w:rPr>
            </w:pPr>
            <w:r>
              <w:rPr>
                <w:sz w:val="19"/>
              </w:rPr>
              <w:t>101.</w:t>
            </w:r>
            <w:r>
              <w:rPr>
                <w:spacing w:val="55"/>
                <w:sz w:val="19"/>
              </w:rPr>
              <w:t xml:space="preserve"> </w:t>
            </w:r>
            <w:r>
              <w:rPr>
                <w:sz w:val="19"/>
              </w:rPr>
              <w:t>16.</w:t>
            </w:r>
            <w:r>
              <w:rPr>
                <w:spacing w:val="55"/>
                <w:sz w:val="19"/>
              </w:rPr>
              <w:t xml:space="preserve"> </w:t>
            </w:r>
            <w:r>
              <w:rPr>
                <w:sz w:val="19"/>
              </w:rPr>
              <w:t>1.35221</w:t>
            </w:r>
            <w:r>
              <w:rPr>
                <w:spacing w:val="55"/>
                <w:sz w:val="19"/>
              </w:rPr>
              <w:t xml:space="preserve"> </w:t>
            </w:r>
            <w:r>
              <w:rPr>
                <w:spacing w:val="-2"/>
                <w:sz w:val="19"/>
              </w:rPr>
              <w:t>2.02394</w:t>
            </w:r>
          </w:p>
        </w:tc>
        <w:tc>
          <w:tcPr>
            <w:tcW w:w="2520" w:type="dxa"/>
            <w:tcBorders/>
          </w:tcPr>
          <w:p>
            <w:pPr>
              <w:pStyle w:val="style4151"/>
              <w:rPr>
                <w:sz w:val="19"/>
              </w:rPr>
            </w:pPr>
            <w:r>
              <w:rPr>
                <w:sz w:val="19"/>
              </w:rPr>
              <w:t>210.</w:t>
            </w:r>
            <w:r>
              <w:rPr>
                <w:spacing w:val="55"/>
                <w:sz w:val="19"/>
              </w:rPr>
              <w:t xml:space="preserve"> </w:t>
            </w:r>
            <w:r>
              <w:rPr>
                <w:sz w:val="19"/>
              </w:rPr>
              <w:t>16.</w:t>
            </w:r>
            <w:r>
              <w:rPr>
                <w:spacing w:val="55"/>
                <w:sz w:val="19"/>
              </w:rPr>
              <w:t xml:space="preserve"> </w:t>
            </w:r>
            <w:r>
              <w:rPr>
                <w:sz w:val="19"/>
              </w:rPr>
              <w:t>1.62348</w:t>
            </w:r>
            <w:r>
              <w:rPr>
                <w:spacing w:val="55"/>
                <w:sz w:val="19"/>
              </w:rPr>
              <w:t xml:space="preserve"> </w:t>
            </w:r>
            <w:r>
              <w:rPr>
                <w:spacing w:val="-2"/>
                <w:sz w:val="19"/>
              </w:rPr>
              <w:t>1.92839</w:t>
            </w:r>
          </w:p>
        </w:tc>
        <w:tc>
          <w:tcPr>
            <w:tcW w:w="2700" w:type="dxa"/>
            <w:tcBorders/>
          </w:tcPr>
          <w:p>
            <w:pPr>
              <w:pStyle w:val="style4151"/>
              <w:ind w:left="66"/>
              <w:rPr>
                <w:sz w:val="19"/>
              </w:rPr>
            </w:pPr>
            <w:r>
              <w:rPr>
                <w:sz w:val="19"/>
              </w:rPr>
              <w:t>550.</w:t>
            </w:r>
            <w:r>
              <w:rPr>
                <w:spacing w:val="55"/>
                <w:sz w:val="19"/>
              </w:rPr>
              <w:t xml:space="preserve"> </w:t>
            </w:r>
            <w:r>
              <w:rPr>
                <w:sz w:val="19"/>
              </w:rPr>
              <w:t>16.</w:t>
            </w:r>
            <w:r>
              <w:rPr>
                <w:spacing w:val="55"/>
                <w:sz w:val="19"/>
              </w:rPr>
              <w:t xml:space="preserve"> </w:t>
            </w:r>
            <w:r>
              <w:rPr>
                <w:sz w:val="19"/>
              </w:rPr>
              <w:t>1.80414</w:t>
            </w:r>
            <w:r>
              <w:rPr>
                <w:spacing w:val="55"/>
                <w:sz w:val="19"/>
              </w:rPr>
              <w:t xml:space="preserve"> </w:t>
            </w:r>
            <w:r>
              <w:rPr>
                <w:spacing w:val="-2"/>
                <w:sz w:val="19"/>
              </w:rPr>
              <w:t>1.91613</w:t>
            </w:r>
          </w:p>
        </w:tc>
      </w:tr>
      <w:tr>
        <w:tblPrEx/>
        <w:trPr>
          <w:trHeight w:val="275" w:hRule="atLeast"/>
        </w:trPr>
        <w:tc>
          <w:tcPr>
            <w:tcW w:w="2515" w:type="dxa"/>
            <w:tcBorders/>
          </w:tcPr>
          <w:p>
            <w:pPr>
              <w:pStyle w:val="style4151"/>
              <w:ind w:left="67"/>
              <w:rPr>
                <w:sz w:val="19"/>
              </w:rPr>
            </w:pPr>
            <w:r>
              <w:rPr>
                <w:sz w:val="19"/>
              </w:rPr>
              <w:t>13.</w:t>
            </w:r>
            <w:r>
              <w:rPr>
                <w:spacing w:val="79"/>
                <w:w w:val="150"/>
                <w:sz w:val="19"/>
              </w:rPr>
              <w:t xml:space="preserve"> </w:t>
            </w:r>
            <w:r>
              <w:rPr>
                <w:sz w:val="19"/>
              </w:rPr>
              <w:t>9.</w:t>
            </w:r>
            <w:r>
              <w:rPr>
                <w:spacing w:val="53"/>
                <w:sz w:val="19"/>
              </w:rPr>
              <w:t xml:space="preserve"> </w:t>
            </w:r>
            <w:r>
              <w:rPr>
                <w:sz w:val="19"/>
              </w:rPr>
              <w:t>0.14693</w:t>
            </w:r>
            <w:r>
              <w:rPr>
                <w:spacing w:val="53"/>
                <w:sz w:val="19"/>
              </w:rPr>
              <w:t xml:space="preserve"> </w:t>
            </w:r>
            <w:r>
              <w:rPr>
                <w:spacing w:val="-2"/>
                <w:sz w:val="19"/>
              </w:rPr>
              <w:t>3.26577</w:t>
            </w:r>
          </w:p>
        </w:tc>
        <w:tc>
          <w:tcPr>
            <w:tcW w:w="2430" w:type="dxa"/>
            <w:tcBorders/>
          </w:tcPr>
          <w:p>
            <w:pPr>
              <w:pStyle w:val="style4151"/>
              <w:ind w:left="19"/>
              <w:rPr>
                <w:sz w:val="19"/>
              </w:rPr>
            </w:pPr>
            <w:r>
              <w:rPr>
                <w:sz w:val="19"/>
              </w:rPr>
              <w:t>101.</w:t>
            </w:r>
            <w:r>
              <w:rPr>
                <w:spacing w:val="55"/>
                <w:sz w:val="19"/>
              </w:rPr>
              <w:t xml:space="preserve"> </w:t>
            </w:r>
            <w:r>
              <w:rPr>
                <w:sz w:val="19"/>
              </w:rPr>
              <w:t>17.</w:t>
            </w:r>
            <w:r>
              <w:rPr>
                <w:spacing w:val="55"/>
                <w:sz w:val="19"/>
              </w:rPr>
              <w:t xml:space="preserve"> </w:t>
            </w:r>
            <w:r>
              <w:rPr>
                <w:sz w:val="19"/>
              </w:rPr>
              <w:t>1.32911</w:t>
            </w:r>
            <w:r>
              <w:rPr>
                <w:spacing w:val="55"/>
                <w:sz w:val="19"/>
              </w:rPr>
              <w:t xml:space="preserve"> </w:t>
            </w:r>
            <w:r>
              <w:rPr>
                <w:spacing w:val="-2"/>
                <w:sz w:val="19"/>
              </w:rPr>
              <w:t>2.05037</w:t>
            </w:r>
          </w:p>
        </w:tc>
        <w:tc>
          <w:tcPr>
            <w:tcW w:w="2520" w:type="dxa"/>
            <w:tcBorders/>
          </w:tcPr>
          <w:p>
            <w:pPr>
              <w:pStyle w:val="style4151"/>
              <w:rPr>
                <w:sz w:val="19"/>
              </w:rPr>
            </w:pPr>
            <w:r>
              <w:rPr>
                <w:sz w:val="19"/>
              </w:rPr>
              <w:t>210.</w:t>
            </w:r>
            <w:r>
              <w:rPr>
                <w:spacing w:val="55"/>
                <w:sz w:val="19"/>
              </w:rPr>
              <w:t xml:space="preserve"> </w:t>
            </w:r>
            <w:r>
              <w:rPr>
                <w:sz w:val="19"/>
              </w:rPr>
              <w:t>17.</w:t>
            </w:r>
            <w:r>
              <w:rPr>
                <w:spacing w:val="55"/>
                <w:sz w:val="19"/>
              </w:rPr>
              <w:t xml:space="preserve"> </w:t>
            </w:r>
            <w:r>
              <w:rPr>
                <w:sz w:val="19"/>
              </w:rPr>
              <w:t>1.61293</w:t>
            </w:r>
            <w:r>
              <w:rPr>
                <w:spacing w:val="55"/>
                <w:sz w:val="19"/>
              </w:rPr>
              <w:t xml:space="preserve"> </w:t>
            </w:r>
            <w:r>
              <w:rPr>
                <w:spacing w:val="-2"/>
                <w:sz w:val="19"/>
              </w:rPr>
              <w:t>1.93947</w:t>
            </w:r>
          </w:p>
        </w:tc>
        <w:tc>
          <w:tcPr>
            <w:tcW w:w="2700" w:type="dxa"/>
            <w:tcBorders/>
          </w:tcPr>
          <w:p>
            <w:pPr>
              <w:pStyle w:val="style4151"/>
              <w:ind w:left="66"/>
              <w:rPr>
                <w:sz w:val="19"/>
              </w:rPr>
            </w:pPr>
            <w:r>
              <w:rPr>
                <w:sz w:val="19"/>
              </w:rPr>
              <w:t>550.</w:t>
            </w:r>
            <w:r>
              <w:rPr>
                <w:spacing w:val="55"/>
                <w:sz w:val="19"/>
              </w:rPr>
              <w:t xml:space="preserve"> </w:t>
            </w:r>
            <w:r>
              <w:rPr>
                <w:sz w:val="19"/>
              </w:rPr>
              <w:t>17.</w:t>
            </w:r>
            <w:r>
              <w:rPr>
                <w:spacing w:val="55"/>
                <w:sz w:val="19"/>
              </w:rPr>
              <w:t xml:space="preserve"> </w:t>
            </w:r>
            <w:r>
              <w:rPr>
                <w:sz w:val="19"/>
              </w:rPr>
              <w:t>1.80033</w:t>
            </w:r>
            <w:r>
              <w:rPr>
                <w:spacing w:val="55"/>
                <w:sz w:val="19"/>
              </w:rPr>
              <w:t xml:space="preserve"> </w:t>
            </w:r>
            <w:r>
              <w:rPr>
                <w:spacing w:val="-2"/>
                <w:sz w:val="19"/>
              </w:rPr>
              <w:t>1.91998</w:t>
            </w:r>
          </w:p>
        </w:tc>
      </w:tr>
      <w:tr>
        <w:tblPrEx/>
        <w:trPr>
          <w:trHeight w:val="275" w:hRule="atLeast"/>
        </w:trPr>
        <w:tc>
          <w:tcPr>
            <w:tcW w:w="2515" w:type="dxa"/>
            <w:tcBorders/>
          </w:tcPr>
          <w:p>
            <w:pPr>
              <w:pStyle w:val="style4151"/>
              <w:ind w:left="67"/>
              <w:rPr>
                <w:sz w:val="19"/>
              </w:rPr>
            </w:pPr>
            <w:r>
              <w:rPr>
                <w:sz w:val="19"/>
              </w:rPr>
              <w:t>14.</w:t>
            </w:r>
            <w:r>
              <w:rPr>
                <w:spacing w:val="79"/>
                <w:w w:val="150"/>
                <w:sz w:val="19"/>
              </w:rPr>
              <w:t xml:space="preserve"> </w:t>
            </w:r>
            <w:r>
              <w:rPr>
                <w:sz w:val="19"/>
              </w:rPr>
              <w:t>2.</w:t>
            </w:r>
            <w:r>
              <w:rPr>
                <w:spacing w:val="53"/>
                <w:sz w:val="19"/>
              </w:rPr>
              <w:t xml:space="preserve"> </w:t>
            </w:r>
            <w:r>
              <w:rPr>
                <w:sz w:val="19"/>
              </w:rPr>
              <w:t>1.04495</w:t>
            </w:r>
            <w:r>
              <w:rPr>
                <w:spacing w:val="53"/>
                <w:sz w:val="19"/>
              </w:rPr>
              <w:t xml:space="preserve"> </w:t>
            </w:r>
            <w:r>
              <w:rPr>
                <w:spacing w:val="-2"/>
                <w:sz w:val="19"/>
              </w:rPr>
              <w:t>1.35027</w:t>
            </w:r>
          </w:p>
        </w:tc>
        <w:tc>
          <w:tcPr>
            <w:tcW w:w="2430" w:type="dxa"/>
            <w:tcBorders/>
          </w:tcPr>
          <w:p>
            <w:pPr>
              <w:pStyle w:val="style4151"/>
              <w:ind w:left="19"/>
              <w:rPr>
                <w:sz w:val="19"/>
              </w:rPr>
            </w:pPr>
            <w:r>
              <w:rPr>
                <w:sz w:val="19"/>
              </w:rPr>
              <w:t>101.</w:t>
            </w:r>
            <w:r>
              <w:rPr>
                <w:spacing w:val="55"/>
                <w:sz w:val="19"/>
              </w:rPr>
              <w:t xml:space="preserve"> </w:t>
            </w:r>
            <w:r>
              <w:rPr>
                <w:sz w:val="19"/>
              </w:rPr>
              <w:t>18.</w:t>
            </w:r>
            <w:r>
              <w:rPr>
                <w:spacing w:val="55"/>
                <w:sz w:val="19"/>
              </w:rPr>
              <w:t xml:space="preserve"> </w:t>
            </w:r>
            <w:r>
              <w:rPr>
                <w:sz w:val="19"/>
              </w:rPr>
              <w:t>1.30587</w:t>
            </w:r>
            <w:r>
              <w:rPr>
                <w:spacing w:val="55"/>
                <w:sz w:val="19"/>
              </w:rPr>
              <w:t xml:space="preserve"> </w:t>
            </w:r>
            <w:r>
              <w:rPr>
                <w:spacing w:val="-2"/>
                <w:sz w:val="19"/>
              </w:rPr>
              <w:t>2.07715</w:t>
            </w:r>
          </w:p>
        </w:tc>
        <w:tc>
          <w:tcPr>
            <w:tcW w:w="2520" w:type="dxa"/>
            <w:tcBorders/>
          </w:tcPr>
          <w:p>
            <w:pPr>
              <w:pStyle w:val="style4151"/>
              <w:rPr>
                <w:sz w:val="19"/>
              </w:rPr>
            </w:pPr>
            <w:r>
              <w:rPr>
                <w:sz w:val="19"/>
              </w:rPr>
              <w:t>210.</w:t>
            </w:r>
            <w:r>
              <w:rPr>
                <w:spacing w:val="55"/>
                <w:sz w:val="19"/>
              </w:rPr>
              <w:t xml:space="preserve"> </w:t>
            </w:r>
            <w:r>
              <w:rPr>
                <w:sz w:val="19"/>
              </w:rPr>
              <w:t>18.</w:t>
            </w:r>
            <w:r>
              <w:rPr>
                <w:spacing w:val="55"/>
                <w:sz w:val="19"/>
              </w:rPr>
              <w:t xml:space="preserve"> </w:t>
            </w:r>
            <w:r>
              <w:rPr>
                <w:sz w:val="19"/>
              </w:rPr>
              <w:t>1.60232</w:t>
            </w:r>
            <w:r>
              <w:rPr>
                <w:spacing w:val="55"/>
                <w:sz w:val="19"/>
              </w:rPr>
              <w:t xml:space="preserve"> </w:t>
            </w:r>
            <w:r>
              <w:rPr>
                <w:spacing w:val="-2"/>
                <w:sz w:val="19"/>
              </w:rPr>
              <w:t>1.95063</w:t>
            </w:r>
          </w:p>
        </w:tc>
        <w:tc>
          <w:tcPr>
            <w:tcW w:w="2700" w:type="dxa"/>
            <w:tcBorders/>
          </w:tcPr>
          <w:p>
            <w:pPr>
              <w:pStyle w:val="style4151"/>
              <w:ind w:left="66"/>
              <w:rPr>
                <w:sz w:val="19"/>
              </w:rPr>
            </w:pPr>
            <w:r>
              <w:rPr>
                <w:sz w:val="19"/>
              </w:rPr>
              <w:t>550.</w:t>
            </w:r>
            <w:r>
              <w:rPr>
                <w:spacing w:val="55"/>
                <w:sz w:val="19"/>
              </w:rPr>
              <w:t xml:space="preserve"> </w:t>
            </w:r>
            <w:r>
              <w:rPr>
                <w:sz w:val="19"/>
              </w:rPr>
              <w:t>18.</w:t>
            </w:r>
            <w:r>
              <w:rPr>
                <w:spacing w:val="55"/>
                <w:sz w:val="19"/>
              </w:rPr>
              <w:t xml:space="preserve"> </w:t>
            </w:r>
            <w:r>
              <w:rPr>
                <w:sz w:val="19"/>
              </w:rPr>
              <w:t>1.79651</w:t>
            </w:r>
            <w:r>
              <w:rPr>
                <w:spacing w:val="55"/>
                <w:sz w:val="19"/>
              </w:rPr>
              <w:t xml:space="preserve"> </w:t>
            </w:r>
            <w:r>
              <w:rPr>
                <w:spacing w:val="-2"/>
                <w:sz w:val="19"/>
              </w:rPr>
              <w:t>1.92386</w:t>
            </w:r>
          </w:p>
        </w:tc>
      </w:tr>
      <w:tr>
        <w:tblPrEx/>
        <w:trPr>
          <w:trHeight w:val="275" w:hRule="atLeast"/>
        </w:trPr>
        <w:tc>
          <w:tcPr>
            <w:tcW w:w="2515" w:type="dxa"/>
            <w:tcBorders/>
          </w:tcPr>
          <w:p>
            <w:pPr>
              <w:pStyle w:val="style4151"/>
              <w:ind w:left="67"/>
              <w:rPr>
                <w:sz w:val="19"/>
              </w:rPr>
            </w:pPr>
            <w:r>
              <w:rPr>
                <w:sz w:val="19"/>
              </w:rPr>
              <w:t>14.</w:t>
            </w:r>
            <w:r>
              <w:rPr>
                <w:spacing w:val="79"/>
                <w:w w:val="150"/>
                <w:sz w:val="19"/>
              </w:rPr>
              <w:t xml:space="preserve"> </w:t>
            </w:r>
            <w:r>
              <w:rPr>
                <w:sz w:val="19"/>
              </w:rPr>
              <w:t>3.</w:t>
            </w:r>
            <w:r>
              <w:rPr>
                <w:spacing w:val="53"/>
                <w:sz w:val="19"/>
              </w:rPr>
              <w:t xml:space="preserve"> </w:t>
            </w:r>
            <w:r>
              <w:rPr>
                <w:sz w:val="19"/>
              </w:rPr>
              <w:t>0.90544</w:t>
            </w:r>
            <w:r>
              <w:rPr>
                <w:spacing w:val="53"/>
                <w:sz w:val="19"/>
              </w:rPr>
              <w:t xml:space="preserve"> </w:t>
            </w:r>
            <w:r>
              <w:rPr>
                <w:spacing w:val="-2"/>
                <w:sz w:val="19"/>
              </w:rPr>
              <w:t>1.55066</w:t>
            </w:r>
          </w:p>
        </w:tc>
        <w:tc>
          <w:tcPr>
            <w:tcW w:w="2430" w:type="dxa"/>
            <w:tcBorders/>
          </w:tcPr>
          <w:p>
            <w:pPr>
              <w:pStyle w:val="style4151"/>
              <w:ind w:left="19"/>
              <w:rPr>
                <w:sz w:val="19"/>
              </w:rPr>
            </w:pPr>
            <w:r>
              <w:rPr>
                <w:sz w:val="19"/>
              </w:rPr>
              <w:t>101.</w:t>
            </w:r>
            <w:r>
              <w:rPr>
                <w:spacing w:val="55"/>
                <w:sz w:val="19"/>
              </w:rPr>
              <w:t xml:space="preserve"> </w:t>
            </w:r>
            <w:r>
              <w:rPr>
                <w:sz w:val="19"/>
              </w:rPr>
              <w:t>19.</w:t>
            </w:r>
            <w:r>
              <w:rPr>
                <w:spacing w:val="55"/>
                <w:sz w:val="19"/>
              </w:rPr>
              <w:t xml:space="preserve"> </w:t>
            </w:r>
            <w:r>
              <w:rPr>
                <w:sz w:val="19"/>
              </w:rPr>
              <w:t>1.28250</w:t>
            </w:r>
            <w:r>
              <w:rPr>
                <w:spacing w:val="55"/>
                <w:sz w:val="19"/>
              </w:rPr>
              <w:t xml:space="preserve"> </w:t>
            </w:r>
            <w:r>
              <w:rPr>
                <w:spacing w:val="-2"/>
                <w:sz w:val="19"/>
              </w:rPr>
              <w:t>2.10425</w:t>
            </w:r>
          </w:p>
        </w:tc>
        <w:tc>
          <w:tcPr>
            <w:tcW w:w="2520" w:type="dxa"/>
            <w:tcBorders/>
          </w:tcPr>
          <w:p>
            <w:pPr>
              <w:pStyle w:val="style4151"/>
              <w:rPr>
                <w:sz w:val="19"/>
              </w:rPr>
            </w:pPr>
            <w:r>
              <w:rPr>
                <w:sz w:val="19"/>
              </w:rPr>
              <w:t>210.</w:t>
            </w:r>
            <w:r>
              <w:rPr>
                <w:spacing w:val="55"/>
                <w:sz w:val="19"/>
              </w:rPr>
              <w:t xml:space="preserve"> </w:t>
            </w:r>
            <w:r>
              <w:rPr>
                <w:sz w:val="19"/>
              </w:rPr>
              <w:t>19.</w:t>
            </w:r>
            <w:r>
              <w:rPr>
                <w:spacing w:val="55"/>
                <w:sz w:val="19"/>
              </w:rPr>
              <w:t xml:space="preserve"> </w:t>
            </w:r>
            <w:r>
              <w:rPr>
                <w:sz w:val="19"/>
              </w:rPr>
              <w:t>1.59165</w:t>
            </w:r>
            <w:r>
              <w:rPr>
                <w:spacing w:val="55"/>
                <w:sz w:val="19"/>
              </w:rPr>
              <w:t xml:space="preserve"> </w:t>
            </w:r>
            <w:r>
              <w:rPr>
                <w:spacing w:val="-2"/>
                <w:sz w:val="19"/>
              </w:rPr>
              <w:t>1.96188</w:t>
            </w:r>
          </w:p>
        </w:tc>
        <w:tc>
          <w:tcPr>
            <w:tcW w:w="2700" w:type="dxa"/>
            <w:tcBorders/>
          </w:tcPr>
          <w:p>
            <w:pPr>
              <w:pStyle w:val="style4151"/>
              <w:ind w:left="66"/>
              <w:rPr>
                <w:sz w:val="19"/>
              </w:rPr>
            </w:pPr>
            <w:r>
              <w:rPr>
                <w:sz w:val="19"/>
              </w:rPr>
              <w:t>550.</w:t>
            </w:r>
            <w:r>
              <w:rPr>
                <w:spacing w:val="55"/>
                <w:sz w:val="19"/>
              </w:rPr>
              <w:t xml:space="preserve"> </w:t>
            </w:r>
            <w:r>
              <w:rPr>
                <w:sz w:val="19"/>
              </w:rPr>
              <w:t>19.</w:t>
            </w:r>
            <w:r>
              <w:rPr>
                <w:spacing w:val="55"/>
                <w:sz w:val="19"/>
              </w:rPr>
              <w:t xml:space="preserve"> </w:t>
            </w:r>
            <w:r>
              <w:rPr>
                <w:sz w:val="19"/>
              </w:rPr>
              <w:t>1.79268</w:t>
            </w:r>
            <w:r>
              <w:rPr>
                <w:spacing w:val="55"/>
                <w:sz w:val="19"/>
              </w:rPr>
              <w:t xml:space="preserve"> </w:t>
            </w:r>
            <w:r>
              <w:rPr>
                <w:spacing w:val="-2"/>
                <w:sz w:val="19"/>
              </w:rPr>
              <w:t>1.92774</w:t>
            </w:r>
          </w:p>
        </w:tc>
      </w:tr>
      <w:tr>
        <w:tblPrEx/>
        <w:trPr>
          <w:trHeight w:val="275" w:hRule="atLeast"/>
        </w:trPr>
        <w:tc>
          <w:tcPr>
            <w:tcW w:w="2515" w:type="dxa"/>
            <w:tcBorders/>
          </w:tcPr>
          <w:p>
            <w:pPr>
              <w:pStyle w:val="style4151"/>
              <w:ind w:left="67"/>
              <w:rPr>
                <w:sz w:val="19"/>
              </w:rPr>
            </w:pPr>
            <w:r>
              <w:rPr>
                <w:sz w:val="19"/>
              </w:rPr>
              <w:t>14.</w:t>
            </w:r>
            <w:r>
              <w:rPr>
                <w:spacing w:val="79"/>
                <w:w w:val="150"/>
                <w:sz w:val="19"/>
              </w:rPr>
              <w:t xml:space="preserve"> </w:t>
            </w:r>
            <w:r>
              <w:rPr>
                <w:sz w:val="19"/>
              </w:rPr>
              <w:t>4.</w:t>
            </w:r>
            <w:r>
              <w:rPr>
                <w:spacing w:val="53"/>
                <w:sz w:val="19"/>
              </w:rPr>
              <w:t xml:space="preserve"> </w:t>
            </w:r>
            <w:r>
              <w:rPr>
                <w:sz w:val="19"/>
              </w:rPr>
              <w:t>0.76666</w:t>
            </w:r>
            <w:r>
              <w:rPr>
                <w:spacing w:val="53"/>
                <w:sz w:val="19"/>
              </w:rPr>
              <w:t xml:space="preserve"> </w:t>
            </w:r>
            <w:r>
              <w:rPr>
                <w:spacing w:val="-2"/>
                <w:sz w:val="19"/>
              </w:rPr>
              <w:t>1.77882</w:t>
            </w:r>
          </w:p>
        </w:tc>
        <w:tc>
          <w:tcPr>
            <w:tcW w:w="2430" w:type="dxa"/>
            <w:tcBorders/>
          </w:tcPr>
          <w:p>
            <w:pPr>
              <w:pStyle w:val="style4151"/>
              <w:ind w:left="19"/>
              <w:rPr>
                <w:sz w:val="19"/>
              </w:rPr>
            </w:pPr>
            <w:r>
              <w:rPr>
                <w:sz w:val="19"/>
              </w:rPr>
              <w:t>101.</w:t>
            </w:r>
            <w:r>
              <w:rPr>
                <w:spacing w:val="55"/>
                <w:sz w:val="19"/>
              </w:rPr>
              <w:t xml:space="preserve"> </w:t>
            </w:r>
            <w:r>
              <w:rPr>
                <w:sz w:val="19"/>
              </w:rPr>
              <w:t>20.</w:t>
            </w:r>
            <w:r>
              <w:rPr>
                <w:spacing w:val="55"/>
                <w:sz w:val="19"/>
              </w:rPr>
              <w:t xml:space="preserve"> </w:t>
            </w:r>
            <w:r>
              <w:rPr>
                <w:sz w:val="19"/>
              </w:rPr>
              <w:t>1.25903</w:t>
            </w:r>
            <w:r>
              <w:rPr>
                <w:spacing w:val="55"/>
                <w:sz w:val="19"/>
              </w:rPr>
              <w:t xml:space="preserve"> </w:t>
            </w:r>
            <w:r>
              <w:rPr>
                <w:spacing w:val="-2"/>
                <w:sz w:val="19"/>
              </w:rPr>
              <w:t>2.13168</w:t>
            </w:r>
          </w:p>
        </w:tc>
        <w:tc>
          <w:tcPr>
            <w:tcW w:w="2520" w:type="dxa"/>
            <w:tcBorders/>
          </w:tcPr>
          <w:p>
            <w:pPr>
              <w:pStyle w:val="style4151"/>
              <w:rPr>
                <w:sz w:val="19"/>
              </w:rPr>
            </w:pPr>
            <w:r>
              <w:rPr>
                <w:sz w:val="19"/>
              </w:rPr>
              <w:t>210.</w:t>
            </w:r>
            <w:r>
              <w:rPr>
                <w:spacing w:val="55"/>
                <w:sz w:val="19"/>
              </w:rPr>
              <w:t xml:space="preserve"> </w:t>
            </w:r>
            <w:r>
              <w:rPr>
                <w:sz w:val="19"/>
              </w:rPr>
              <w:t>20.</w:t>
            </w:r>
            <w:r>
              <w:rPr>
                <w:spacing w:val="55"/>
                <w:sz w:val="19"/>
              </w:rPr>
              <w:t xml:space="preserve"> </w:t>
            </w:r>
            <w:r>
              <w:rPr>
                <w:sz w:val="19"/>
              </w:rPr>
              <w:t>1.58094</w:t>
            </w:r>
            <w:r>
              <w:rPr>
                <w:spacing w:val="55"/>
                <w:sz w:val="19"/>
              </w:rPr>
              <w:t xml:space="preserve"> </w:t>
            </w:r>
            <w:r>
              <w:rPr>
                <w:spacing w:val="-2"/>
                <w:sz w:val="19"/>
              </w:rPr>
              <w:t>1.97323</w:t>
            </w:r>
          </w:p>
        </w:tc>
        <w:tc>
          <w:tcPr>
            <w:tcW w:w="2700" w:type="dxa"/>
            <w:tcBorders/>
          </w:tcPr>
          <w:p>
            <w:pPr>
              <w:pStyle w:val="style4151"/>
              <w:ind w:left="66"/>
              <w:rPr>
                <w:sz w:val="19"/>
              </w:rPr>
            </w:pPr>
            <w:r>
              <w:rPr>
                <w:sz w:val="19"/>
              </w:rPr>
              <w:t>550.</w:t>
            </w:r>
            <w:r>
              <w:rPr>
                <w:spacing w:val="55"/>
                <w:sz w:val="19"/>
              </w:rPr>
              <w:t xml:space="preserve"> </w:t>
            </w:r>
            <w:r>
              <w:rPr>
                <w:sz w:val="19"/>
              </w:rPr>
              <w:t>20.</w:t>
            </w:r>
            <w:r>
              <w:rPr>
                <w:spacing w:val="55"/>
                <w:sz w:val="19"/>
              </w:rPr>
              <w:t xml:space="preserve"> </w:t>
            </w:r>
            <w:r>
              <w:rPr>
                <w:sz w:val="19"/>
              </w:rPr>
              <w:t>1.78883</w:t>
            </w:r>
            <w:r>
              <w:rPr>
                <w:spacing w:val="55"/>
                <w:sz w:val="19"/>
              </w:rPr>
              <w:t xml:space="preserve"> </w:t>
            </w:r>
            <w:r>
              <w:rPr>
                <w:spacing w:val="-2"/>
                <w:sz w:val="19"/>
              </w:rPr>
              <w:t>1.93164</w:t>
            </w:r>
          </w:p>
        </w:tc>
      </w:tr>
      <w:tr>
        <w:tblPrEx/>
        <w:trPr>
          <w:trHeight w:val="275" w:hRule="atLeast"/>
        </w:trPr>
        <w:tc>
          <w:tcPr>
            <w:tcW w:w="2515" w:type="dxa"/>
            <w:tcBorders/>
          </w:tcPr>
          <w:p>
            <w:pPr>
              <w:pStyle w:val="style4151"/>
              <w:ind w:left="67"/>
              <w:rPr>
                <w:sz w:val="19"/>
              </w:rPr>
            </w:pPr>
            <w:r>
              <w:rPr>
                <w:sz w:val="19"/>
              </w:rPr>
              <w:t>14.</w:t>
            </w:r>
            <w:r>
              <w:rPr>
                <w:spacing w:val="79"/>
                <w:w w:val="150"/>
                <w:sz w:val="19"/>
              </w:rPr>
              <w:t xml:space="preserve"> </w:t>
            </w:r>
            <w:r>
              <w:rPr>
                <w:sz w:val="19"/>
              </w:rPr>
              <w:t>5.</w:t>
            </w:r>
            <w:r>
              <w:rPr>
                <w:spacing w:val="53"/>
                <w:sz w:val="19"/>
              </w:rPr>
              <w:t xml:space="preserve"> </w:t>
            </w:r>
            <w:r>
              <w:rPr>
                <w:sz w:val="19"/>
              </w:rPr>
              <w:t>0.63206</w:t>
            </w:r>
            <w:r>
              <w:rPr>
                <w:spacing w:val="53"/>
                <w:sz w:val="19"/>
              </w:rPr>
              <w:t xml:space="preserve"> </w:t>
            </w:r>
            <w:r>
              <w:rPr>
                <w:spacing w:val="-2"/>
                <w:sz w:val="19"/>
              </w:rPr>
              <w:t>2.02955</w:t>
            </w:r>
          </w:p>
        </w:tc>
        <w:tc>
          <w:tcPr>
            <w:tcW w:w="2430" w:type="dxa"/>
            <w:tcBorders/>
          </w:tcPr>
          <w:p>
            <w:pPr>
              <w:pStyle w:val="style4151"/>
              <w:ind w:left="19"/>
              <w:rPr>
                <w:sz w:val="19"/>
              </w:rPr>
            </w:pPr>
            <w:r>
              <w:rPr>
                <w:sz w:val="19"/>
              </w:rPr>
              <w:t>101.</w:t>
            </w:r>
            <w:r>
              <w:rPr>
                <w:spacing w:val="55"/>
                <w:sz w:val="19"/>
              </w:rPr>
              <w:t xml:space="preserve"> </w:t>
            </w:r>
            <w:r>
              <w:rPr>
                <w:sz w:val="19"/>
              </w:rPr>
              <w:t>21.</w:t>
            </w:r>
            <w:r>
              <w:rPr>
                <w:spacing w:val="55"/>
                <w:sz w:val="19"/>
              </w:rPr>
              <w:t xml:space="preserve"> </w:t>
            </w:r>
            <w:r>
              <w:rPr>
                <w:sz w:val="19"/>
              </w:rPr>
              <w:t>1.23546</w:t>
            </w:r>
            <w:r>
              <w:rPr>
                <w:spacing w:val="55"/>
                <w:sz w:val="19"/>
              </w:rPr>
              <w:t xml:space="preserve"> </w:t>
            </w:r>
            <w:r>
              <w:rPr>
                <w:spacing w:val="-2"/>
                <w:sz w:val="19"/>
              </w:rPr>
              <w:t>2.15941</w:t>
            </w:r>
          </w:p>
        </w:tc>
        <w:tc>
          <w:tcPr>
            <w:tcW w:w="2520" w:type="dxa"/>
            <w:tcBorders/>
          </w:tcPr>
          <w:p>
            <w:pPr>
              <w:pStyle w:val="style4151"/>
              <w:rPr>
                <w:sz w:val="19"/>
              </w:rPr>
            </w:pPr>
            <w:r>
              <w:rPr>
                <w:sz w:val="19"/>
              </w:rPr>
              <w:t>210.</w:t>
            </w:r>
            <w:r>
              <w:rPr>
                <w:spacing w:val="55"/>
                <w:sz w:val="19"/>
              </w:rPr>
              <w:t xml:space="preserve"> </w:t>
            </w:r>
            <w:r>
              <w:rPr>
                <w:sz w:val="19"/>
              </w:rPr>
              <w:t>21.</w:t>
            </w:r>
            <w:r>
              <w:rPr>
                <w:spacing w:val="55"/>
                <w:sz w:val="19"/>
              </w:rPr>
              <w:t xml:space="preserve"> </w:t>
            </w:r>
            <w:r>
              <w:rPr>
                <w:sz w:val="19"/>
              </w:rPr>
              <w:t>1.57015</w:t>
            </w:r>
            <w:r>
              <w:rPr>
                <w:spacing w:val="55"/>
                <w:sz w:val="19"/>
              </w:rPr>
              <w:t xml:space="preserve"> </w:t>
            </w:r>
            <w:r>
              <w:rPr>
                <w:spacing w:val="-2"/>
                <w:sz w:val="19"/>
              </w:rPr>
              <w:t>1.98467</w:t>
            </w:r>
          </w:p>
        </w:tc>
        <w:tc>
          <w:tcPr>
            <w:tcW w:w="2700" w:type="dxa"/>
            <w:tcBorders/>
          </w:tcPr>
          <w:p>
            <w:pPr>
              <w:pStyle w:val="style4151"/>
              <w:ind w:left="66"/>
              <w:rPr>
                <w:sz w:val="19"/>
              </w:rPr>
            </w:pPr>
            <w:r>
              <w:rPr>
                <w:sz w:val="19"/>
              </w:rPr>
              <w:t>550.</w:t>
            </w:r>
            <w:r>
              <w:rPr>
                <w:spacing w:val="55"/>
                <w:sz w:val="19"/>
              </w:rPr>
              <w:t xml:space="preserve"> </w:t>
            </w:r>
            <w:r>
              <w:rPr>
                <w:sz w:val="19"/>
              </w:rPr>
              <w:t>21.</w:t>
            </w:r>
            <w:r>
              <w:rPr>
                <w:spacing w:val="55"/>
                <w:sz w:val="19"/>
              </w:rPr>
              <w:t xml:space="preserve"> </w:t>
            </w:r>
            <w:r>
              <w:rPr>
                <w:sz w:val="19"/>
              </w:rPr>
              <w:t>1.78497</w:t>
            </w:r>
            <w:r>
              <w:rPr>
                <w:spacing w:val="55"/>
                <w:sz w:val="19"/>
              </w:rPr>
              <w:t xml:space="preserve"> </w:t>
            </w:r>
            <w:r>
              <w:rPr>
                <w:spacing w:val="-2"/>
                <w:sz w:val="19"/>
              </w:rPr>
              <w:t>1.93555</w:t>
            </w:r>
          </w:p>
        </w:tc>
      </w:tr>
      <w:tr>
        <w:tblPrEx/>
        <w:trPr>
          <w:trHeight w:val="275" w:hRule="atLeast"/>
        </w:trPr>
        <w:tc>
          <w:tcPr>
            <w:tcW w:w="2515" w:type="dxa"/>
            <w:tcBorders/>
          </w:tcPr>
          <w:p>
            <w:pPr>
              <w:pStyle w:val="style4151"/>
              <w:ind w:left="67"/>
              <w:rPr>
                <w:sz w:val="19"/>
              </w:rPr>
            </w:pPr>
            <w:r>
              <w:rPr>
                <w:sz w:val="19"/>
              </w:rPr>
              <w:t>14.</w:t>
            </w:r>
            <w:r>
              <w:rPr>
                <w:spacing w:val="79"/>
                <w:w w:val="150"/>
                <w:sz w:val="19"/>
              </w:rPr>
              <w:t xml:space="preserve"> </w:t>
            </w:r>
            <w:r>
              <w:rPr>
                <w:sz w:val="19"/>
              </w:rPr>
              <w:t>6.</w:t>
            </w:r>
            <w:r>
              <w:rPr>
                <w:spacing w:val="53"/>
                <w:sz w:val="19"/>
              </w:rPr>
              <w:t xml:space="preserve"> </w:t>
            </w:r>
            <w:r>
              <w:rPr>
                <w:sz w:val="19"/>
              </w:rPr>
              <w:t>0.50516</w:t>
            </w:r>
            <w:r>
              <w:rPr>
                <w:spacing w:val="53"/>
                <w:sz w:val="19"/>
              </w:rPr>
              <w:t xml:space="preserve"> </w:t>
            </w:r>
            <w:r>
              <w:rPr>
                <w:spacing w:val="-2"/>
                <w:sz w:val="19"/>
              </w:rPr>
              <w:t>2.29593</w:t>
            </w:r>
          </w:p>
        </w:tc>
        <w:tc>
          <w:tcPr>
            <w:tcW w:w="2430" w:type="dxa"/>
            <w:tcBorders/>
          </w:tcPr>
          <w:p>
            <w:pPr>
              <w:pStyle w:val="style4151"/>
              <w:ind w:left="19"/>
              <w:rPr>
                <w:sz w:val="19"/>
              </w:rPr>
            </w:pPr>
            <w:r>
              <w:rPr>
                <w:sz w:val="19"/>
              </w:rPr>
              <w:t>102.</w:t>
            </w:r>
            <w:r>
              <w:rPr>
                <w:spacing w:val="28"/>
                <w:sz w:val="19"/>
              </w:rPr>
              <w:t xml:space="preserve">  </w:t>
            </w:r>
            <w:r>
              <w:rPr>
                <w:sz w:val="19"/>
              </w:rPr>
              <w:t>2.</w:t>
            </w:r>
            <w:r>
              <w:rPr>
                <w:spacing w:val="53"/>
                <w:sz w:val="19"/>
              </w:rPr>
              <w:t xml:space="preserve"> </w:t>
            </w:r>
            <w:r>
              <w:rPr>
                <w:sz w:val="19"/>
              </w:rPr>
              <w:t>1.65758</w:t>
            </w:r>
            <w:r>
              <w:rPr>
                <w:spacing w:val="54"/>
                <w:sz w:val="19"/>
              </w:rPr>
              <w:t xml:space="preserve"> </w:t>
            </w:r>
            <w:r>
              <w:rPr>
                <w:spacing w:val="-2"/>
                <w:sz w:val="19"/>
              </w:rPr>
              <w:t>1.69713</w:t>
            </w:r>
          </w:p>
        </w:tc>
        <w:tc>
          <w:tcPr>
            <w:tcW w:w="2520" w:type="dxa"/>
            <w:tcBorders/>
          </w:tcPr>
          <w:p>
            <w:pPr>
              <w:pStyle w:val="style4151"/>
              <w:rPr>
                <w:sz w:val="19"/>
              </w:rPr>
            </w:pPr>
            <w:r>
              <w:rPr>
                <w:sz w:val="19"/>
              </w:rPr>
              <w:t>220.</w:t>
            </w:r>
            <w:r>
              <w:rPr>
                <w:spacing w:val="28"/>
                <w:sz w:val="19"/>
              </w:rPr>
              <w:t xml:space="preserve">  </w:t>
            </w:r>
            <w:r>
              <w:rPr>
                <w:sz w:val="19"/>
              </w:rPr>
              <w:t>2.</w:t>
            </w:r>
            <w:r>
              <w:rPr>
                <w:spacing w:val="53"/>
                <w:sz w:val="19"/>
              </w:rPr>
              <w:t xml:space="preserve"> </w:t>
            </w:r>
            <w:r>
              <w:rPr>
                <w:sz w:val="19"/>
              </w:rPr>
              <w:t>1.77003</w:t>
            </w:r>
            <w:r>
              <w:rPr>
                <w:spacing w:val="54"/>
                <w:sz w:val="19"/>
              </w:rPr>
              <w:t xml:space="preserve"> </w:t>
            </w:r>
            <w:r>
              <w:rPr>
                <w:spacing w:val="-2"/>
                <w:sz w:val="19"/>
              </w:rPr>
              <w:t>1.78829</w:t>
            </w:r>
          </w:p>
        </w:tc>
        <w:tc>
          <w:tcPr>
            <w:tcW w:w="2700" w:type="dxa"/>
            <w:tcBorders/>
          </w:tcPr>
          <w:p>
            <w:pPr>
              <w:pStyle w:val="style4151"/>
              <w:ind w:left="66"/>
              <w:rPr>
                <w:sz w:val="19"/>
              </w:rPr>
            </w:pPr>
            <w:r>
              <w:rPr>
                <w:sz w:val="19"/>
              </w:rPr>
              <w:t>600.</w:t>
            </w:r>
            <w:r>
              <w:rPr>
                <w:spacing w:val="28"/>
                <w:sz w:val="19"/>
              </w:rPr>
              <w:t xml:space="preserve">  </w:t>
            </w:r>
            <w:r>
              <w:rPr>
                <w:sz w:val="19"/>
              </w:rPr>
              <w:t>2.</w:t>
            </w:r>
            <w:r>
              <w:rPr>
                <w:spacing w:val="53"/>
                <w:sz w:val="19"/>
              </w:rPr>
              <w:t xml:space="preserve"> </w:t>
            </w:r>
            <w:r>
              <w:rPr>
                <w:sz w:val="19"/>
              </w:rPr>
              <w:t>1.86257</w:t>
            </w:r>
            <w:r>
              <w:rPr>
                <w:spacing w:val="54"/>
                <w:sz w:val="19"/>
              </w:rPr>
              <w:t xml:space="preserve"> </w:t>
            </w:r>
            <w:r>
              <w:rPr>
                <w:spacing w:val="-2"/>
                <w:sz w:val="19"/>
              </w:rPr>
              <w:t>1.86925</w:t>
            </w:r>
          </w:p>
        </w:tc>
      </w:tr>
      <w:tr>
        <w:tblPrEx/>
        <w:trPr>
          <w:trHeight w:val="275" w:hRule="atLeast"/>
        </w:trPr>
        <w:tc>
          <w:tcPr>
            <w:tcW w:w="2515" w:type="dxa"/>
            <w:tcBorders/>
          </w:tcPr>
          <w:p>
            <w:pPr>
              <w:pStyle w:val="style4151"/>
              <w:ind w:left="67"/>
              <w:rPr>
                <w:sz w:val="19"/>
              </w:rPr>
            </w:pPr>
            <w:r>
              <w:rPr>
                <w:sz w:val="19"/>
              </w:rPr>
              <w:t>14.</w:t>
            </w:r>
            <w:r>
              <w:rPr>
                <w:spacing w:val="79"/>
                <w:w w:val="150"/>
                <w:sz w:val="19"/>
              </w:rPr>
              <w:t xml:space="preserve"> </w:t>
            </w:r>
            <w:r>
              <w:rPr>
                <w:sz w:val="19"/>
              </w:rPr>
              <w:t>7.</w:t>
            </w:r>
            <w:r>
              <w:rPr>
                <w:spacing w:val="53"/>
                <w:sz w:val="19"/>
              </w:rPr>
              <w:t xml:space="preserve"> </w:t>
            </w:r>
            <w:r>
              <w:rPr>
                <w:sz w:val="19"/>
              </w:rPr>
              <w:t>0.38897</w:t>
            </w:r>
            <w:r>
              <w:rPr>
                <w:spacing w:val="53"/>
                <w:sz w:val="19"/>
              </w:rPr>
              <w:t xml:space="preserve"> </w:t>
            </w:r>
            <w:r>
              <w:rPr>
                <w:spacing w:val="-2"/>
                <w:sz w:val="19"/>
              </w:rPr>
              <w:t>2.57158</w:t>
            </w:r>
          </w:p>
        </w:tc>
        <w:tc>
          <w:tcPr>
            <w:tcW w:w="2430" w:type="dxa"/>
            <w:tcBorders/>
          </w:tcPr>
          <w:p>
            <w:pPr>
              <w:pStyle w:val="style4151"/>
              <w:ind w:left="19"/>
              <w:rPr>
                <w:sz w:val="19"/>
              </w:rPr>
            </w:pPr>
            <w:r>
              <w:rPr>
                <w:sz w:val="19"/>
              </w:rPr>
              <w:t>102.</w:t>
            </w:r>
            <w:r>
              <w:rPr>
                <w:spacing w:val="28"/>
                <w:sz w:val="19"/>
              </w:rPr>
              <w:t xml:space="preserve">  </w:t>
            </w:r>
            <w:r>
              <w:rPr>
                <w:sz w:val="19"/>
              </w:rPr>
              <w:t>3.</w:t>
            </w:r>
            <w:r>
              <w:rPr>
                <w:spacing w:val="53"/>
                <w:sz w:val="19"/>
              </w:rPr>
              <w:t xml:space="preserve"> </w:t>
            </w:r>
            <w:r>
              <w:rPr>
                <w:sz w:val="19"/>
              </w:rPr>
              <w:t>1.63764</w:t>
            </w:r>
            <w:r>
              <w:rPr>
                <w:spacing w:val="54"/>
                <w:sz w:val="19"/>
              </w:rPr>
              <w:t xml:space="preserve"> </w:t>
            </w:r>
            <w:r>
              <w:rPr>
                <w:spacing w:val="-2"/>
                <w:sz w:val="19"/>
              </w:rPr>
              <w:t>1.71749</w:t>
            </w:r>
          </w:p>
        </w:tc>
        <w:tc>
          <w:tcPr>
            <w:tcW w:w="2520" w:type="dxa"/>
            <w:tcBorders/>
          </w:tcPr>
          <w:p>
            <w:pPr>
              <w:pStyle w:val="style4151"/>
              <w:rPr>
                <w:sz w:val="19"/>
              </w:rPr>
            </w:pPr>
            <w:r>
              <w:rPr>
                <w:sz w:val="19"/>
              </w:rPr>
              <w:t>220.</w:t>
            </w:r>
            <w:r>
              <w:rPr>
                <w:spacing w:val="28"/>
                <w:sz w:val="19"/>
              </w:rPr>
              <w:t xml:space="preserve">  </w:t>
            </w:r>
            <w:r>
              <w:rPr>
                <w:sz w:val="19"/>
              </w:rPr>
              <w:t>3.</w:t>
            </w:r>
            <w:r>
              <w:rPr>
                <w:spacing w:val="53"/>
                <w:sz w:val="19"/>
              </w:rPr>
              <w:t xml:space="preserve"> </w:t>
            </w:r>
            <w:r>
              <w:rPr>
                <w:sz w:val="19"/>
              </w:rPr>
              <w:t>1.76086</w:t>
            </w:r>
            <w:r>
              <w:rPr>
                <w:spacing w:val="54"/>
                <w:sz w:val="19"/>
              </w:rPr>
              <w:t xml:space="preserve"> </w:t>
            </w:r>
            <w:r>
              <w:rPr>
                <w:spacing w:val="-2"/>
                <w:sz w:val="19"/>
              </w:rPr>
              <w:t>1.79753</w:t>
            </w:r>
          </w:p>
        </w:tc>
        <w:tc>
          <w:tcPr>
            <w:tcW w:w="2700" w:type="dxa"/>
            <w:tcBorders/>
          </w:tcPr>
          <w:p>
            <w:pPr>
              <w:pStyle w:val="style4151"/>
              <w:ind w:left="66"/>
              <w:rPr>
                <w:sz w:val="19"/>
              </w:rPr>
            </w:pPr>
            <w:r>
              <w:rPr>
                <w:sz w:val="19"/>
              </w:rPr>
              <w:t>600.</w:t>
            </w:r>
            <w:r>
              <w:rPr>
                <w:spacing w:val="28"/>
                <w:sz w:val="19"/>
              </w:rPr>
              <w:t xml:space="preserve">  </w:t>
            </w:r>
            <w:r>
              <w:rPr>
                <w:sz w:val="19"/>
              </w:rPr>
              <w:t>3.</w:t>
            </w:r>
            <w:r>
              <w:rPr>
                <w:spacing w:val="53"/>
                <w:sz w:val="19"/>
              </w:rPr>
              <w:t xml:space="preserve"> </w:t>
            </w:r>
            <w:r>
              <w:rPr>
                <w:sz w:val="19"/>
              </w:rPr>
              <w:t>1.85922</w:t>
            </w:r>
            <w:r>
              <w:rPr>
                <w:spacing w:val="54"/>
                <w:sz w:val="19"/>
              </w:rPr>
              <w:t xml:space="preserve"> </w:t>
            </w:r>
            <w:r>
              <w:rPr>
                <w:spacing w:val="-2"/>
                <w:sz w:val="19"/>
              </w:rPr>
              <w:t>1.87259</w:t>
            </w:r>
          </w:p>
        </w:tc>
      </w:tr>
      <w:tr>
        <w:tblPrEx/>
        <w:trPr>
          <w:trHeight w:val="275" w:hRule="atLeast"/>
        </w:trPr>
        <w:tc>
          <w:tcPr>
            <w:tcW w:w="2515" w:type="dxa"/>
            <w:tcBorders/>
          </w:tcPr>
          <w:p>
            <w:pPr>
              <w:pStyle w:val="style4151"/>
              <w:ind w:left="67"/>
              <w:rPr>
                <w:sz w:val="19"/>
              </w:rPr>
            </w:pPr>
            <w:r>
              <w:rPr>
                <w:sz w:val="19"/>
              </w:rPr>
              <w:t>14.</w:t>
            </w:r>
            <w:r>
              <w:rPr>
                <w:spacing w:val="79"/>
                <w:w w:val="150"/>
                <w:sz w:val="19"/>
              </w:rPr>
              <w:t xml:space="preserve"> </w:t>
            </w:r>
            <w:r>
              <w:rPr>
                <w:sz w:val="19"/>
              </w:rPr>
              <w:t>8.</w:t>
            </w:r>
            <w:r>
              <w:rPr>
                <w:spacing w:val="53"/>
                <w:sz w:val="19"/>
              </w:rPr>
              <w:t xml:space="preserve"> </w:t>
            </w:r>
            <w:r>
              <w:rPr>
                <w:sz w:val="19"/>
              </w:rPr>
              <w:t>0.28559</w:t>
            </w:r>
            <w:r>
              <w:rPr>
                <w:spacing w:val="53"/>
                <w:sz w:val="19"/>
              </w:rPr>
              <w:t xml:space="preserve"> </w:t>
            </w:r>
            <w:r>
              <w:rPr>
                <w:spacing w:val="-2"/>
                <w:sz w:val="19"/>
              </w:rPr>
              <w:t>2.84769</w:t>
            </w:r>
          </w:p>
        </w:tc>
        <w:tc>
          <w:tcPr>
            <w:tcW w:w="2430" w:type="dxa"/>
            <w:tcBorders/>
          </w:tcPr>
          <w:p>
            <w:pPr>
              <w:pStyle w:val="style4151"/>
              <w:ind w:left="19"/>
              <w:rPr>
                <w:sz w:val="19"/>
              </w:rPr>
            </w:pPr>
            <w:r>
              <w:rPr>
                <w:sz w:val="19"/>
              </w:rPr>
              <w:t>102.</w:t>
            </w:r>
            <w:r>
              <w:rPr>
                <w:spacing w:val="28"/>
                <w:sz w:val="19"/>
              </w:rPr>
              <w:t xml:space="preserve">  </w:t>
            </w:r>
            <w:r>
              <w:rPr>
                <w:sz w:val="19"/>
              </w:rPr>
              <w:t>4.</w:t>
            </w:r>
            <w:r>
              <w:rPr>
                <w:spacing w:val="53"/>
                <w:sz w:val="19"/>
              </w:rPr>
              <w:t xml:space="preserve"> </w:t>
            </w:r>
            <w:r>
              <w:rPr>
                <w:sz w:val="19"/>
              </w:rPr>
              <w:t>1.61742</w:t>
            </w:r>
            <w:r>
              <w:rPr>
                <w:spacing w:val="54"/>
                <w:sz w:val="19"/>
              </w:rPr>
              <w:t xml:space="preserve"> </w:t>
            </w:r>
            <w:r>
              <w:rPr>
                <w:spacing w:val="-2"/>
                <w:sz w:val="19"/>
              </w:rPr>
              <w:t>1.73831</w:t>
            </w:r>
          </w:p>
        </w:tc>
        <w:tc>
          <w:tcPr>
            <w:tcW w:w="2520" w:type="dxa"/>
            <w:tcBorders/>
          </w:tcPr>
          <w:p>
            <w:pPr>
              <w:pStyle w:val="style4151"/>
              <w:rPr>
                <w:sz w:val="19"/>
              </w:rPr>
            </w:pPr>
            <w:r>
              <w:rPr>
                <w:sz w:val="19"/>
              </w:rPr>
              <w:t>220.</w:t>
            </w:r>
            <w:r>
              <w:rPr>
                <w:spacing w:val="28"/>
                <w:sz w:val="19"/>
              </w:rPr>
              <w:t xml:space="preserve">  </w:t>
            </w:r>
            <w:r>
              <w:rPr>
                <w:sz w:val="19"/>
              </w:rPr>
              <w:t>4.</w:t>
            </w:r>
            <w:r>
              <w:rPr>
                <w:spacing w:val="53"/>
                <w:sz w:val="19"/>
              </w:rPr>
              <w:t xml:space="preserve"> </w:t>
            </w:r>
            <w:r>
              <w:rPr>
                <w:sz w:val="19"/>
              </w:rPr>
              <w:t>1.75161</w:t>
            </w:r>
            <w:r>
              <w:rPr>
                <w:spacing w:val="54"/>
                <w:sz w:val="19"/>
              </w:rPr>
              <w:t xml:space="preserve"> </w:t>
            </w:r>
            <w:r>
              <w:rPr>
                <w:spacing w:val="-2"/>
                <w:sz w:val="19"/>
              </w:rPr>
              <w:t>1.80686</w:t>
            </w:r>
          </w:p>
        </w:tc>
        <w:tc>
          <w:tcPr>
            <w:tcW w:w="2700" w:type="dxa"/>
            <w:tcBorders/>
          </w:tcPr>
          <w:p>
            <w:pPr>
              <w:pStyle w:val="style4151"/>
              <w:ind w:left="66"/>
              <w:rPr>
                <w:sz w:val="19"/>
              </w:rPr>
            </w:pPr>
            <w:r>
              <w:rPr>
                <w:sz w:val="19"/>
              </w:rPr>
              <w:t>600.</w:t>
            </w:r>
            <w:r>
              <w:rPr>
                <w:spacing w:val="28"/>
                <w:sz w:val="19"/>
              </w:rPr>
              <w:t xml:space="preserve">  </w:t>
            </w:r>
            <w:r>
              <w:rPr>
                <w:sz w:val="19"/>
              </w:rPr>
              <w:t>4.</w:t>
            </w:r>
            <w:r>
              <w:rPr>
                <w:spacing w:val="53"/>
                <w:sz w:val="19"/>
              </w:rPr>
              <w:t xml:space="preserve"> </w:t>
            </w:r>
            <w:r>
              <w:rPr>
                <w:sz w:val="19"/>
              </w:rPr>
              <w:t>1.85587</w:t>
            </w:r>
            <w:r>
              <w:rPr>
                <w:spacing w:val="54"/>
                <w:sz w:val="19"/>
              </w:rPr>
              <w:t xml:space="preserve"> </w:t>
            </w:r>
            <w:r>
              <w:rPr>
                <w:spacing w:val="-2"/>
                <w:sz w:val="19"/>
              </w:rPr>
              <w:t>1.87596</w:t>
            </w:r>
          </w:p>
        </w:tc>
      </w:tr>
      <w:tr>
        <w:tblPrEx/>
        <w:trPr>
          <w:trHeight w:val="275" w:hRule="atLeast"/>
        </w:trPr>
        <w:tc>
          <w:tcPr>
            <w:tcW w:w="2515" w:type="dxa"/>
            <w:tcBorders/>
          </w:tcPr>
          <w:p>
            <w:pPr>
              <w:pStyle w:val="style4151"/>
              <w:ind w:left="67"/>
              <w:rPr>
                <w:sz w:val="19"/>
              </w:rPr>
            </w:pPr>
            <w:r>
              <w:rPr>
                <w:sz w:val="19"/>
              </w:rPr>
              <w:t>14.</w:t>
            </w:r>
            <w:r>
              <w:rPr>
                <w:spacing w:val="79"/>
                <w:w w:val="150"/>
                <w:sz w:val="19"/>
              </w:rPr>
              <w:t xml:space="preserve"> </w:t>
            </w:r>
            <w:r>
              <w:rPr>
                <w:sz w:val="19"/>
              </w:rPr>
              <w:t>9.</w:t>
            </w:r>
            <w:r>
              <w:rPr>
                <w:spacing w:val="53"/>
                <w:sz w:val="19"/>
              </w:rPr>
              <w:t xml:space="preserve"> </w:t>
            </w:r>
            <w:r>
              <w:rPr>
                <w:sz w:val="19"/>
              </w:rPr>
              <w:t>0.20013</w:t>
            </w:r>
            <w:r>
              <w:rPr>
                <w:spacing w:val="53"/>
                <w:sz w:val="19"/>
              </w:rPr>
              <w:t xml:space="preserve"> </w:t>
            </w:r>
            <w:r>
              <w:rPr>
                <w:spacing w:val="-2"/>
                <w:sz w:val="19"/>
              </w:rPr>
              <w:t>3.11121</w:t>
            </w:r>
          </w:p>
        </w:tc>
        <w:tc>
          <w:tcPr>
            <w:tcW w:w="2430" w:type="dxa"/>
            <w:tcBorders/>
          </w:tcPr>
          <w:p>
            <w:pPr>
              <w:pStyle w:val="style4151"/>
              <w:ind w:left="19"/>
              <w:rPr>
                <w:sz w:val="19"/>
              </w:rPr>
            </w:pPr>
            <w:r>
              <w:rPr>
                <w:sz w:val="19"/>
              </w:rPr>
              <w:t>102.</w:t>
            </w:r>
            <w:r>
              <w:rPr>
                <w:spacing w:val="28"/>
                <w:sz w:val="19"/>
              </w:rPr>
              <w:t xml:space="preserve">  </w:t>
            </w:r>
            <w:r>
              <w:rPr>
                <w:sz w:val="19"/>
              </w:rPr>
              <w:t>5.</w:t>
            </w:r>
            <w:r>
              <w:rPr>
                <w:spacing w:val="53"/>
                <w:sz w:val="19"/>
              </w:rPr>
              <w:t xml:space="preserve"> </w:t>
            </w:r>
            <w:r>
              <w:rPr>
                <w:sz w:val="19"/>
              </w:rPr>
              <w:t>1.59694</w:t>
            </w:r>
            <w:r>
              <w:rPr>
                <w:spacing w:val="54"/>
                <w:sz w:val="19"/>
              </w:rPr>
              <w:t xml:space="preserve"> </w:t>
            </w:r>
            <w:r>
              <w:rPr>
                <w:spacing w:val="-2"/>
                <w:sz w:val="19"/>
              </w:rPr>
              <w:t>1.75959</w:t>
            </w:r>
          </w:p>
        </w:tc>
        <w:tc>
          <w:tcPr>
            <w:tcW w:w="2520" w:type="dxa"/>
            <w:tcBorders/>
          </w:tcPr>
          <w:p>
            <w:pPr>
              <w:pStyle w:val="style4151"/>
              <w:rPr>
                <w:sz w:val="19"/>
              </w:rPr>
            </w:pPr>
            <w:r>
              <w:rPr>
                <w:sz w:val="19"/>
              </w:rPr>
              <w:t>220.</w:t>
            </w:r>
            <w:r>
              <w:rPr>
                <w:spacing w:val="28"/>
                <w:sz w:val="19"/>
              </w:rPr>
              <w:t xml:space="preserve">  </w:t>
            </w:r>
            <w:r>
              <w:rPr>
                <w:sz w:val="19"/>
              </w:rPr>
              <w:t>5.</w:t>
            </w:r>
            <w:r>
              <w:rPr>
                <w:spacing w:val="53"/>
                <w:sz w:val="19"/>
              </w:rPr>
              <w:t xml:space="preserve"> </w:t>
            </w:r>
            <w:r>
              <w:rPr>
                <w:sz w:val="19"/>
              </w:rPr>
              <w:t>1.74229</w:t>
            </w:r>
            <w:r>
              <w:rPr>
                <w:spacing w:val="54"/>
                <w:sz w:val="19"/>
              </w:rPr>
              <w:t xml:space="preserve"> </w:t>
            </w:r>
            <w:r>
              <w:rPr>
                <w:spacing w:val="-2"/>
                <w:sz w:val="19"/>
              </w:rPr>
              <w:t>1.81628</w:t>
            </w:r>
          </w:p>
        </w:tc>
        <w:tc>
          <w:tcPr>
            <w:tcW w:w="2700" w:type="dxa"/>
            <w:tcBorders/>
          </w:tcPr>
          <w:p>
            <w:pPr>
              <w:pStyle w:val="style4151"/>
              <w:ind w:left="66"/>
              <w:rPr>
                <w:sz w:val="19"/>
              </w:rPr>
            </w:pPr>
            <w:r>
              <w:rPr>
                <w:sz w:val="19"/>
              </w:rPr>
              <w:t>600.</w:t>
            </w:r>
            <w:r>
              <w:rPr>
                <w:spacing w:val="28"/>
                <w:sz w:val="19"/>
              </w:rPr>
              <w:t xml:space="preserve">  </w:t>
            </w:r>
            <w:r>
              <w:rPr>
                <w:sz w:val="19"/>
              </w:rPr>
              <w:t>5.</w:t>
            </w:r>
            <w:r>
              <w:rPr>
                <w:spacing w:val="53"/>
                <w:sz w:val="19"/>
              </w:rPr>
              <w:t xml:space="preserve"> </w:t>
            </w:r>
            <w:r>
              <w:rPr>
                <w:sz w:val="19"/>
              </w:rPr>
              <w:t>1.85250</w:t>
            </w:r>
            <w:r>
              <w:rPr>
                <w:spacing w:val="54"/>
                <w:sz w:val="19"/>
              </w:rPr>
              <w:t xml:space="preserve"> </w:t>
            </w:r>
            <w:r>
              <w:rPr>
                <w:spacing w:val="-2"/>
                <w:sz w:val="19"/>
              </w:rPr>
              <w:t>1.87934</w:t>
            </w:r>
          </w:p>
        </w:tc>
      </w:tr>
      <w:tr>
        <w:tblPrEx/>
        <w:trPr>
          <w:trHeight w:val="275" w:hRule="atLeast"/>
        </w:trPr>
        <w:tc>
          <w:tcPr>
            <w:tcW w:w="2515" w:type="dxa"/>
            <w:tcBorders/>
          </w:tcPr>
          <w:p>
            <w:pPr>
              <w:pStyle w:val="style4151"/>
              <w:ind w:left="67"/>
              <w:rPr>
                <w:sz w:val="19"/>
              </w:rPr>
            </w:pPr>
            <w:r>
              <w:rPr>
                <w:sz w:val="19"/>
              </w:rPr>
              <w:t>14.</w:t>
            </w:r>
            <w:r>
              <w:rPr>
                <w:spacing w:val="54"/>
                <w:sz w:val="19"/>
              </w:rPr>
              <w:t xml:space="preserve"> </w:t>
            </w:r>
            <w:r>
              <w:rPr>
                <w:sz w:val="19"/>
              </w:rPr>
              <w:t>10.</w:t>
            </w:r>
            <w:r>
              <w:rPr>
                <w:spacing w:val="54"/>
                <w:sz w:val="19"/>
              </w:rPr>
              <w:t xml:space="preserve"> </w:t>
            </w:r>
            <w:r>
              <w:rPr>
                <w:sz w:val="19"/>
              </w:rPr>
              <w:t>0.12726</w:t>
            </w:r>
            <w:r>
              <w:rPr>
                <w:spacing w:val="55"/>
                <w:sz w:val="19"/>
              </w:rPr>
              <w:t xml:space="preserve"> </w:t>
            </w:r>
            <w:r>
              <w:rPr>
                <w:spacing w:val="-2"/>
                <w:sz w:val="19"/>
              </w:rPr>
              <w:t>3.36038</w:t>
            </w:r>
          </w:p>
        </w:tc>
        <w:tc>
          <w:tcPr>
            <w:tcW w:w="2430" w:type="dxa"/>
            <w:tcBorders/>
          </w:tcPr>
          <w:p>
            <w:pPr>
              <w:pStyle w:val="style4151"/>
              <w:ind w:left="19"/>
              <w:rPr>
                <w:sz w:val="19"/>
              </w:rPr>
            </w:pPr>
            <w:r>
              <w:rPr>
                <w:sz w:val="19"/>
              </w:rPr>
              <w:t>102.</w:t>
            </w:r>
            <w:r>
              <w:rPr>
                <w:spacing w:val="28"/>
                <w:sz w:val="19"/>
              </w:rPr>
              <w:t xml:space="preserve">  </w:t>
            </w:r>
            <w:r>
              <w:rPr>
                <w:sz w:val="19"/>
              </w:rPr>
              <w:t>6.</w:t>
            </w:r>
            <w:r>
              <w:rPr>
                <w:spacing w:val="53"/>
                <w:sz w:val="19"/>
              </w:rPr>
              <w:t xml:space="preserve"> </w:t>
            </w:r>
            <w:r>
              <w:rPr>
                <w:sz w:val="19"/>
              </w:rPr>
              <w:t>1.57621</w:t>
            </w:r>
            <w:r>
              <w:rPr>
                <w:spacing w:val="54"/>
                <w:sz w:val="19"/>
              </w:rPr>
              <w:t xml:space="preserve"> </w:t>
            </w:r>
            <w:r>
              <w:rPr>
                <w:spacing w:val="-2"/>
                <w:sz w:val="19"/>
              </w:rPr>
              <w:t>1.78132</w:t>
            </w:r>
          </w:p>
        </w:tc>
        <w:tc>
          <w:tcPr>
            <w:tcW w:w="2520" w:type="dxa"/>
            <w:tcBorders/>
          </w:tcPr>
          <w:p>
            <w:pPr>
              <w:pStyle w:val="style4151"/>
              <w:rPr>
                <w:sz w:val="19"/>
              </w:rPr>
            </w:pPr>
            <w:r>
              <w:rPr>
                <w:sz w:val="19"/>
              </w:rPr>
              <w:t>220.</w:t>
            </w:r>
            <w:r>
              <w:rPr>
                <w:spacing w:val="28"/>
                <w:sz w:val="19"/>
              </w:rPr>
              <w:t xml:space="preserve">  </w:t>
            </w:r>
            <w:r>
              <w:rPr>
                <w:sz w:val="19"/>
              </w:rPr>
              <w:t>6.</w:t>
            </w:r>
            <w:r>
              <w:rPr>
                <w:spacing w:val="53"/>
                <w:sz w:val="19"/>
              </w:rPr>
              <w:t xml:space="preserve"> </w:t>
            </w:r>
            <w:r>
              <w:rPr>
                <w:sz w:val="19"/>
              </w:rPr>
              <w:t>1.73292</w:t>
            </w:r>
            <w:r>
              <w:rPr>
                <w:spacing w:val="54"/>
                <w:sz w:val="19"/>
              </w:rPr>
              <w:t xml:space="preserve"> </w:t>
            </w:r>
            <w:r>
              <w:rPr>
                <w:spacing w:val="-2"/>
                <w:sz w:val="19"/>
              </w:rPr>
              <w:t>1.82581</w:t>
            </w:r>
          </w:p>
        </w:tc>
        <w:tc>
          <w:tcPr>
            <w:tcW w:w="2700" w:type="dxa"/>
            <w:tcBorders/>
          </w:tcPr>
          <w:p>
            <w:pPr>
              <w:pStyle w:val="style4151"/>
              <w:ind w:left="66"/>
              <w:rPr>
                <w:sz w:val="19"/>
              </w:rPr>
            </w:pPr>
            <w:r>
              <w:rPr>
                <w:sz w:val="19"/>
              </w:rPr>
              <w:t>600.</w:t>
            </w:r>
            <w:r>
              <w:rPr>
                <w:spacing w:val="28"/>
                <w:sz w:val="19"/>
              </w:rPr>
              <w:t xml:space="preserve">  </w:t>
            </w:r>
            <w:r>
              <w:rPr>
                <w:sz w:val="19"/>
              </w:rPr>
              <w:t>6.</w:t>
            </w:r>
            <w:r>
              <w:rPr>
                <w:spacing w:val="53"/>
                <w:sz w:val="19"/>
              </w:rPr>
              <w:t xml:space="preserve"> </w:t>
            </w:r>
            <w:r>
              <w:rPr>
                <w:sz w:val="19"/>
              </w:rPr>
              <w:t>1.84913</w:t>
            </w:r>
            <w:r>
              <w:rPr>
                <w:spacing w:val="54"/>
                <w:sz w:val="19"/>
              </w:rPr>
              <w:t xml:space="preserve"> </w:t>
            </w:r>
            <w:r>
              <w:rPr>
                <w:spacing w:val="-2"/>
                <w:sz w:val="19"/>
              </w:rPr>
              <w:t>1.88273</w:t>
            </w:r>
          </w:p>
        </w:tc>
      </w:tr>
      <w:tr>
        <w:tblPrEx/>
        <w:trPr>
          <w:trHeight w:val="275" w:hRule="atLeast"/>
        </w:trPr>
        <w:tc>
          <w:tcPr>
            <w:tcW w:w="2515" w:type="dxa"/>
            <w:tcBorders/>
          </w:tcPr>
          <w:p>
            <w:pPr>
              <w:pStyle w:val="style4151"/>
              <w:ind w:left="67"/>
              <w:rPr>
                <w:sz w:val="19"/>
              </w:rPr>
            </w:pPr>
            <w:r>
              <w:rPr>
                <w:sz w:val="19"/>
              </w:rPr>
              <w:t>15.</w:t>
            </w:r>
            <w:r>
              <w:rPr>
                <w:spacing w:val="79"/>
                <w:w w:val="150"/>
                <w:sz w:val="19"/>
              </w:rPr>
              <w:t xml:space="preserve"> </w:t>
            </w:r>
            <w:r>
              <w:rPr>
                <w:sz w:val="19"/>
              </w:rPr>
              <w:t>2.</w:t>
            </w:r>
            <w:r>
              <w:rPr>
                <w:spacing w:val="53"/>
                <w:sz w:val="19"/>
              </w:rPr>
              <w:t xml:space="preserve"> </w:t>
            </w:r>
            <w:r>
              <w:rPr>
                <w:sz w:val="19"/>
              </w:rPr>
              <w:t>1.07697</w:t>
            </w:r>
            <w:r>
              <w:rPr>
                <w:spacing w:val="53"/>
                <w:sz w:val="19"/>
              </w:rPr>
              <w:t xml:space="preserve"> </w:t>
            </w:r>
            <w:r>
              <w:rPr>
                <w:spacing w:val="-2"/>
                <w:sz w:val="19"/>
              </w:rPr>
              <w:t>1.36054</w:t>
            </w:r>
          </w:p>
        </w:tc>
        <w:tc>
          <w:tcPr>
            <w:tcW w:w="2430" w:type="dxa"/>
            <w:tcBorders/>
          </w:tcPr>
          <w:p>
            <w:pPr>
              <w:pStyle w:val="style4151"/>
              <w:ind w:left="19"/>
              <w:rPr>
                <w:sz w:val="19"/>
              </w:rPr>
            </w:pPr>
            <w:r>
              <w:rPr>
                <w:sz w:val="19"/>
              </w:rPr>
              <w:t>102.</w:t>
            </w:r>
            <w:r>
              <w:rPr>
                <w:spacing w:val="28"/>
                <w:sz w:val="19"/>
              </w:rPr>
              <w:t xml:space="preserve">  </w:t>
            </w:r>
            <w:r>
              <w:rPr>
                <w:sz w:val="19"/>
              </w:rPr>
              <w:t>7.</w:t>
            </w:r>
            <w:r>
              <w:rPr>
                <w:spacing w:val="53"/>
                <w:sz w:val="19"/>
              </w:rPr>
              <w:t xml:space="preserve"> </w:t>
            </w:r>
            <w:r>
              <w:rPr>
                <w:sz w:val="19"/>
              </w:rPr>
              <w:t>1.55524</w:t>
            </w:r>
            <w:r>
              <w:rPr>
                <w:spacing w:val="54"/>
                <w:sz w:val="19"/>
              </w:rPr>
              <w:t xml:space="preserve"> </w:t>
            </w:r>
            <w:r>
              <w:rPr>
                <w:spacing w:val="-2"/>
                <w:sz w:val="19"/>
              </w:rPr>
              <w:t>1.80349</w:t>
            </w:r>
          </w:p>
        </w:tc>
        <w:tc>
          <w:tcPr>
            <w:tcW w:w="2520" w:type="dxa"/>
            <w:tcBorders/>
          </w:tcPr>
          <w:p>
            <w:pPr>
              <w:pStyle w:val="style4151"/>
              <w:rPr>
                <w:sz w:val="19"/>
              </w:rPr>
            </w:pPr>
            <w:r>
              <w:rPr>
                <w:sz w:val="19"/>
              </w:rPr>
              <w:t>220.</w:t>
            </w:r>
            <w:r>
              <w:rPr>
                <w:spacing w:val="28"/>
                <w:sz w:val="19"/>
              </w:rPr>
              <w:t xml:space="preserve">  </w:t>
            </w:r>
            <w:r>
              <w:rPr>
                <w:sz w:val="19"/>
              </w:rPr>
              <w:t>7.</w:t>
            </w:r>
            <w:r>
              <w:rPr>
                <w:spacing w:val="53"/>
                <w:sz w:val="19"/>
              </w:rPr>
              <w:t xml:space="preserve"> </w:t>
            </w:r>
            <w:r>
              <w:rPr>
                <w:sz w:val="19"/>
              </w:rPr>
              <w:t>1.72348</w:t>
            </w:r>
            <w:r>
              <w:rPr>
                <w:spacing w:val="54"/>
                <w:sz w:val="19"/>
              </w:rPr>
              <w:t xml:space="preserve"> </w:t>
            </w:r>
            <w:r>
              <w:rPr>
                <w:spacing w:val="-2"/>
                <w:sz w:val="19"/>
              </w:rPr>
              <w:t>1.83543</w:t>
            </w:r>
          </w:p>
        </w:tc>
        <w:tc>
          <w:tcPr>
            <w:tcW w:w="2700" w:type="dxa"/>
            <w:tcBorders/>
          </w:tcPr>
          <w:p>
            <w:pPr>
              <w:pStyle w:val="style4151"/>
              <w:ind w:left="66"/>
              <w:rPr>
                <w:sz w:val="19"/>
              </w:rPr>
            </w:pPr>
            <w:r>
              <w:rPr>
                <w:sz w:val="19"/>
              </w:rPr>
              <w:t>600.</w:t>
            </w:r>
            <w:r>
              <w:rPr>
                <w:spacing w:val="28"/>
                <w:sz w:val="19"/>
              </w:rPr>
              <w:t xml:space="preserve">  </w:t>
            </w:r>
            <w:r>
              <w:rPr>
                <w:sz w:val="19"/>
              </w:rPr>
              <w:t>7.</w:t>
            </w:r>
            <w:r>
              <w:rPr>
                <w:spacing w:val="53"/>
                <w:sz w:val="19"/>
              </w:rPr>
              <w:t xml:space="preserve"> </w:t>
            </w:r>
            <w:r>
              <w:rPr>
                <w:sz w:val="19"/>
              </w:rPr>
              <w:t>1.84574</w:t>
            </w:r>
            <w:r>
              <w:rPr>
                <w:spacing w:val="54"/>
                <w:sz w:val="19"/>
              </w:rPr>
              <w:t xml:space="preserve"> </w:t>
            </w:r>
            <w:r>
              <w:rPr>
                <w:spacing w:val="-2"/>
                <w:sz w:val="19"/>
              </w:rPr>
              <w:t>1.88612</w:t>
            </w:r>
          </w:p>
        </w:tc>
      </w:tr>
      <w:tr>
        <w:tblPrEx/>
        <w:trPr>
          <w:trHeight w:val="275" w:hRule="atLeast"/>
        </w:trPr>
        <w:tc>
          <w:tcPr>
            <w:tcW w:w="2515" w:type="dxa"/>
            <w:tcBorders/>
          </w:tcPr>
          <w:p>
            <w:pPr>
              <w:pStyle w:val="style4151"/>
              <w:ind w:left="67"/>
              <w:rPr>
                <w:sz w:val="19"/>
              </w:rPr>
            </w:pPr>
            <w:r>
              <w:rPr>
                <w:sz w:val="19"/>
              </w:rPr>
              <w:t>15.</w:t>
            </w:r>
            <w:r>
              <w:rPr>
                <w:spacing w:val="79"/>
                <w:w w:val="150"/>
                <w:sz w:val="19"/>
              </w:rPr>
              <w:t xml:space="preserve"> </w:t>
            </w:r>
            <w:r>
              <w:rPr>
                <w:sz w:val="19"/>
              </w:rPr>
              <w:t>3.</w:t>
            </w:r>
            <w:r>
              <w:rPr>
                <w:spacing w:val="53"/>
                <w:sz w:val="19"/>
              </w:rPr>
              <w:t xml:space="preserve"> </w:t>
            </w:r>
            <w:r>
              <w:rPr>
                <w:sz w:val="19"/>
              </w:rPr>
              <w:t>0.94554</w:t>
            </w:r>
            <w:r>
              <w:rPr>
                <w:spacing w:val="53"/>
                <w:sz w:val="19"/>
              </w:rPr>
              <w:t xml:space="preserve"> </w:t>
            </w:r>
            <w:r>
              <w:rPr>
                <w:spacing w:val="-2"/>
                <w:sz w:val="19"/>
              </w:rPr>
              <w:t>1.54318</w:t>
            </w:r>
          </w:p>
        </w:tc>
        <w:tc>
          <w:tcPr>
            <w:tcW w:w="2430" w:type="dxa"/>
            <w:tcBorders/>
          </w:tcPr>
          <w:p>
            <w:pPr>
              <w:pStyle w:val="style4151"/>
              <w:ind w:left="19"/>
              <w:rPr>
                <w:sz w:val="19"/>
              </w:rPr>
            </w:pPr>
            <w:r>
              <w:rPr>
                <w:sz w:val="19"/>
              </w:rPr>
              <w:t>102.</w:t>
            </w:r>
            <w:r>
              <w:rPr>
                <w:spacing w:val="28"/>
                <w:sz w:val="19"/>
              </w:rPr>
              <w:t xml:space="preserve">  </w:t>
            </w:r>
            <w:r>
              <w:rPr>
                <w:sz w:val="19"/>
              </w:rPr>
              <w:t>8.</w:t>
            </w:r>
            <w:r>
              <w:rPr>
                <w:spacing w:val="53"/>
                <w:sz w:val="19"/>
              </w:rPr>
              <w:t xml:space="preserve"> </w:t>
            </w:r>
            <w:r>
              <w:rPr>
                <w:sz w:val="19"/>
              </w:rPr>
              <w:t>1.53403</w:t>
            </w:r>
            <w:r>
              <w:rPr>
                <w:spacing w:val="54"/>
                <w:sz w:val="19"/>
              </w:rPr>
              <w:t xml:space="preserve"> </w:t>
            </w:r>
            <w:r>
              <w:rPr>
                <w:spacing w:val="-2"/>
                <w:sz w:val="19"/>
              </w:rPr>
              <w:t>1.82610</w:t>
            </w:r>
          </w:p>
        </w:tc>
        <w:tc>
          <w:tcPr>
            <w:tcW w:w="2520" w:type="dxa"/>
            <w:tcBorders/>
          </w:tcPr>
          <w:p>
            <w:pPr>
              <w:pStyle w:val="style4151"/>
              <w:rPr>
                <w:sz w:val="19"/>
              </w:rPr>
            </w:pPr>
            <w:r>
              <w:rPr>
                <w:sz w:val="19"/>
              </w:rPr>
              <w:t>220.</w:t>
            </w:r>
            <w:r>
              <w:rPr>
                <w:spacing w:val="28"/>
                <w:sz w:val="19"/>
              </w:rPr>
              <w:t xml:space="preserve">  </w:t>
            </w:r>
            <w:r>
              <w:rPr>
                <w:sz w:val="19"/>
              </w:rPr>
              <w:t>8.</w:t>
            </w:r>
            <w:r>
              <w:rPr>
                <w:spacing w:val="53"/>
                <w:sz w:val="19"/>
              </w:rPr>
              <w:t xml:space="preserve"> </w:t>
            </w:r>
            <w:r>
              <w:rPr>
                <w:sz w:val="19"/>
              </w:rPr>
              <w:t>1.71398</w:t>
            </w:r>
            <w:r>
              <w:rPr>
                <w:spacing w:val="54"/>
                <w:sz w:val="19"/>
              </w:rPr>
              <w:t xml:space="preserve"> </w:t>
            </w:r>
            <w:r>
              <w:rPr>
                <w:spacing w:val="-2"/>
                <w:sz w:val="19"/>
              </w:rPr>
              <w:t>1.84513</w:t>
            </w:r>
          </w:p>
        </w:tc>
        <w:tc>
          <w:tcPr>
            <w:tcW w:w="2700" w:type="dxa"/>
            <w:tcBorders/>
          </w:tcPr>
          <w:p>
            <w:pPr>
              <w:pStyle w:val="style4151"/>
              <w:ind w:left="66"/>
              <w:rPr>
                <w:sz w:val="19"/>
              </w:rPr>
            </w:pPr>
            <w:r>
              <w:rPr>
                <w:sz w:val="19"/>
              </w:rPr>
              <w:t>600.</w:t>
            </w:r>
            <w:r>
              <w:rPr>
                <w:spacing w:val="28"/>
                <w:sz w:val="19"/>
              </w:rPr>
              <w:t xml:space="preserve">  </w:t>
            </w:r>
            <w:r>
              <w:rPr>
                <w:sz w:val="19"/>
              </w:rPr>
              <w:t>8.</w:t>
            </w:r>
            <w:r>
              <w:rPr>
                <w:spacing w:val="53"/>
                <w:sz w:val="19"/>
              </w:rPr>
              <w:t xml:space="preserve"> </w:t>
            </w:r>
            <w:r>
              <w:rPr>
                <w:sz w:val="19"/>
              </w:rPr>
              <w:t>1.84235</w:t>
            </w:r>
            <w:r>
              <w:rPr>
                <w:spacing w:val="54"/>
                <w:sz w:val="19"/>
              </w:rPr>
              <w:t xml:space="preserve"> </w:t>
            </w:r>
            <w:r>
              <w:rPr>
                <w:spacing w:val="-2"/>
                <w:sz w:val="19"/>
              </w:rPr>
              <w:t>1.88954</w:t>
            </w:r>
          </w:p>
        </w:tc>
      </w:tr>
      <w:tr>
        <w:tblPrEx/>
        <w:trPr>
          <w:trHeight w:val="275" w:hRule="atLeast"/>
        </w:trPr>
        <w:tc>
          <w:tcPr>
            <w:tcW w:w="2515" w:type="dxa"/>
            <w:tcBorders/>
          </w:tcPr>
          <w:p>
            <w:pPr>
              <w:pStyle w:val="style4151"/>
              <w:ind w:left="67"/>
              <w:rPr>
                <w:sz w:val="19"/>
              </w:rPr>
            </w:pPr>
            <w:r>
              <w:rPr>
                <w:sz w:val="19"/>
              </w:rPr>
              <w:t>15.</w:t>
            </w:r>
            <w:r>
              <w:rPr>
                <w:spacing w:val="79"/>
                <w:w w:val="150"/>
                <w:sz w:val="19"/>
              </w:rPr>
              <w:t xml:space="preserve"> </w:t>
            </w:r>
            <w:r>
              <w:rPr>
                <w:sz w:val="19"/>
              </w:rPr>
              <w:t>4.</w:t>
            </w:r>
            <w:r>
              <w:rPr>
                <w:spacing w:val="53"/>
                <w:sz w:val="19"/>
              </w:rPr>
              <w:t xml:space="preserve"> </w:t>
            </w:r>
            <w:r>
              <w:rPr>
                <w:sz w:val="19"/>
              </w:rPr>
              <w:t>0.81396</w:t>
            </w:r>
            <w:r>
              <w:rPr>
                <w:spacing w:val="53"/>
                <w:sz w:val="19"/>
              </w:rPr>
              <w:t xml:space="preserve"> </w:t>
            </w:r>
            <w:r>
              <w:rPr>
                <w:spacing w:val="-2"/>
                <w:sz w:val="19"/>
              </w:rPr>
              <w:t>1.75014</w:t>
            </w:r>
          </w:p>
        </w:tc>
        <w:tc>
          <w:tcPr>
            <w:tcW w:w="2430" w:type="dxa"/>
            <w:tcBorders/>
          </w:tcPr>
          <w:p>
            <w:pPr>
              <w:pStyle w:val="style4151"/>
              <w:ind w:left="19"/>
              <w:rPr>
                <w:sz w:val="19"/>
              </w:rPr>
            </w:pPr>
            <w:r>
              <w:rPr>
                <w:sz w:val="19"/>
              </w:rPr>
              <w:t>102.</w:t>
            </w:r>
            <w:r>
              <w:rPr>
                <w:spacing w:val="28"/>
                <w:sz w:val="19"/>
              </w:rPr>
              <w:t xml:space="preserve">  </w:t>
            </w:r>
            <w:r>
              <w:rPr>
                <w:sz w:val="19"/>
              </w:rPr>
              <w:t>9.</w:t>
            </w:r>
            <w:r>
              <w:rPr>
                <w:spacing w:val="53"/>
                <w:sz w:val="19"/>
              </w:rPr>
              <w:t xml:space="preserve"> </w:t>
            </w:r>
            <w:r>
              <w:rPr>
                <w:sz w:val="19"/>
              </w:rPr>
              <w:t>1.51260</w:t>
            </w:r>
            <w:r>
              <w:rPr>
                <w:spacing w:val="54"/>
                <w:sz w:val="19"/>
              </w:rPr>
              <w:t xml:space="preserve"> </w:t>
            </w:r>
            <w:r>
              <w:rPr>
                <w:spacing w:val="-2"/>
                <w:sz w:val="19"/>
              </w:rPr>
              <w:t>1.84914</w:t>
            </w:r>
          </w:p>
        </w:tc>
        <w:tc>
          <w:tcPr>
            <w:tcW w:w="2520" w:type="dxa"/>
            <w:tcBorders/>
          </w:tcPr>
          <w:p>
            <w:pPr>
              <w:pStyle w:val="style4151"/>
              <w:rPr>
                <w:sz w:val="19"/>
              </w:rPr>
            </w:pPr>
            <w:r>
              <w:rPr>
                <w:sz w:val="19"/>
              </w:rPr>
              <w:t>220.</w:t>
            </w:r>
            <w:r>
              <w:rPr>
                <w:spacing w:val="28"/>
                <w:sz w:val="19"/>
              </w:rPr>
              <w:t xml:space="preserve">  </w:t>
            </w:r>
            <w:r>
              <w:rPr>
                <w:sz w:val="19"/>
              </w:rPr>
              <w:t>9.</w:t>
            </w:r>
            <w:r>
              <w:rPr>
                <w:spacing w:val="53"/>
                <w:sz w:val="19"/>
              </w:rPr>
              <w:t xml:space="preserve"> </w:t>
            </w:r>
            <w:r>
              <w:rPr>
                <w:sz w:val="19"/>
              </w:rPr>
              <w:t>1.70441</w:t>
            </w:r>
            <w:r>
              <w:rPr>
                <w:spacing w:val="54"/>
                <w:sz w:val="19"/>
              </w:rPr>
              <w:t xml:space="preserve"> </w:t>
            </w:r>
            <w:r>
              <w:rPr>
                <w:spacing w:val="-2"/>
                <w:sz w:val="19"/>
              </w:rPr>
              <w:t>1.85492</w:t>
            </w:r>
          </w:p>
        </w:tc>
        <w:tc>
          <w:tcPr>
            <w:tcW w:w="2700" w:type="dxa"/>
            <w:tcBorders/>
          </w:tcPr>
          <w:p>
            <w:pPr>
              <w:pStyle w:val="style4151"/>
              <w:ind w:left="66"/>
              <w:rPr>
                <w:sz w:val="19"/>
              </w:rPr>
            </w:pPr>
            <w:r>
              <w:rPr>
                <w:sz w:val="19"/>
              </w:rPr>
              <w:t>600.</w:t>
            </w:r>
            <w:r>
              <w:rPr>
                <w:spacing w:val="28"/>
                <w:sz w:val="19"/>
              </w:rPr>
              <w:t xml:space="preserve">  </w:t>
            </w:r>
            <w:r>
              <w:rPr>
                <w:sz w:val="19"/>
              </w:rPr>
              <w:t>9.</w:t>
            </w:r>
            <w:r>
              <w:rPr>
                <w:spacing w:val="53"/>
                <w:sz w:val="19"/>
              </w:rPr>
              <w:t xml:space="preserve"> </w:t>
            </w:r>
            <w:r>
              <w:rPr>
                <w:sz w:val="19"/>
              </w:rPr>
              <w:t>1.83894</w:t>
            </w:r>
            <w:r>
              <w:rPr>
                <w:spacing w:val="54"/>
                <w:sz w:val="19"/>
              </w:rPr>
              <w:t xml:space="preserve"> </w:t>
            </w:r>
            <w:r>
              <w:rPr>
                <w:spacing w:val="-2"/>
                <w:sz w:val="19"/>
              </w:rPr>
              <w:t>1.89296</w:t>
            </w:r>
          </w:p>
        </w:tc>
      </w:tr>
      <w:tr>
        <w:tblPrEx/>
        <w:trPr>
          <w:trHeight w:val="275" w:hRule="atLeast"/>
        </w:trPr>
        <w:tc>
          <w:tcPr>
            <w:tcW w:w="2515" w:type="dxa"/>
            <w:tcBorders/>
          </w:tcPr>
          <w:p>
            <w:pPr>
              <w:pStyle w:val="style4151"/>
              <w:ind w:left="67"/>
              <w:rPr>
                <w:sz w:val="19"/>
              </w:rPr>
            </w:pPr>
            <w:r>
              <w:rPr>
                <w:sz w:val="19"/>
              </w:rPr>
              <w:t>15.</w:t>
            </w:r>
            <w:r>
              <w:rPr>
                <w:spacing w:val="79"/>
                <w:w w:val="150"/>
                <w:sz w:val="19"/>
              </w:rPr>
              <w:t xml:space="preserve"> </w:t>
            </w:r>
            <w:r>
              <w:rPr>
                <w:sz w:val="19"/>
              </w:rPr>
              <w:t>5.</w:t>
            </w:r>
            <w:r>
              <w:rPr>
                <w:spacing w:val="53"/>
                <w:sz w:val="19"/>
              </w:rPr>
              <w:t xml:space="preserve"> </w:t>
            </w:r>
            <w:r>
              <w:rPr>
                <w:sz w:val="19"/>
              </w:rPr>
              <w:t>0.68519</w:t>
            </w:r>
            <w:r>
              <w:rPr>
                <w:spacing w:val="53"/>
                <w:sz w:val="19"/>
              </w:rPr>
              <w:t xml:space="preserve"> </w:t>
            </w:r>
            <w:r>
              <w:rPr>
                <w:spacing w:val="-2"/>
                <w:sz w:val="19"/>
              </w:rPr>
              <w:t>1.97735</w:t>
            </w:r>
          </w:p>
        </w:tc>
        <w:tc>
          <w:tcPr>
            <w:tcW w:w="2430" w:type="dxa"/>
            <w:tcBorders/>
          </w:tcPr>
          <w:p>
            <w:pPr>
              <w:pStyle w:val="style4151"/>
              <w:ind w:left="19"/>
              <w:rPr>
                <w:sz w:val="19"/>
              </w:rPr>
            </w:pPr>
            <w:r>
              <w:rPr>
                <w:sz w:val="19"/>
              </w:rPr>
              <w:t>102.</w:t>
            </w:r>
            <w:r>
              <w:rPr>
                <w:spacing w:val="55"/>
                <w:sz w:val="19"/>
              </w:rPr>
              <w:t xml:space="preserve"> </w:t>
            </w:r>
            <w:r>
              <w:rPr>
                <w:sz w:val="19"/>
              </w:rPr>
              <w:t>10.</w:t>
            </w:r>
            <w:r>
              <w:rPr>
                <w:spacing w:val="55"/>
                <w:sz w:val="19"/>
              </w:rPr>
              <w:t xml:space="preserve"> </w:t>
            </w:r>
            <w:r>
              <w:rPr>
                <w:sz w:val="19"/>
              </w:rPr>
              <w:t>1.49094</w:t>
            </w:r>
            <w:r>
              <w:rPr>
                <w:spacing w:val="55"/>
                <w:sz w:val="19"/>
              </w:rPr>
              <w:t xml:space="preserve"> </w:t>
            </w:r>
            <w:r>
              <w:rPr>
                <w:spacing w:val="-2"/>
                <w:sz w:val="19"/>
              </w:rPr>
              <w:t>1.87259</w:t>
            </w:r>
          </w:p>
        </w:tc>
        <w:tc>
          <w:tcPr>
            <w:tcW w:w="2520" w:type="dxa"/>
            <w:tcBorders/>
          </w:tcPr>
          <w:p>
            <w:pPr>
              <w:pStyle w:val="style4151"/>
              <w:rPr>
                <w:sz w:val="19"/>
              </w:rPr>
            </w:pPr>
            <w:r>
              <w:rPr>
                <w:sz w:val="19"/>
              </w:rPr>
              <w:t>220.</w:t>
            </w:r>
            <w:r>
              <w:rPr>
                <w:spacing w:val="55"/>
                <w:sz w:val="19"/>
              </w:rPr>
              <w:t xml:space="preserve"> </w:t>
            </w:r>
            <w:r>
              <w:rPr>
                <w:sz w:val="19"/>
              </w:rPr>
              <w:t>10.</w:t>
            </w:r>
            <w:r>
              <w:rPr>
                <w:spacing w:val="55"/>
                <w:sz w:val="19"/>
              </w:rPr>
              <w:t xml:space="preserve"> </w:t>
            </w:r>
            <w:r>
              <w:rPr>
                <w:sz w:val="19"/>
              </w:rPr>
              <w:t>1.69477</w:t>
            </w:r>
            <w:r>
              <w:rPr>
                <w:spacing w:val="55"/>
                <w:sz w:val="19"/>
              </w:rPr>
              <w:t xml:space="preserve"> </w:t>
            </w:r>
            <w:r>
              <w:rPr>
                <w:spacing w:val="-2"/>
                <w:sz w:val="19"/>
              </w:rPr>
              <w:t>1.86482</w:t>
            </w:r>
          </w:p>
        </w:tc>
        <w:tc>
          <w:tcPr>
            <w:tcW w:w="2700" w:type="dxa"/>
            <w:tcBorders/>
          </w:tcPr>
          <w:p>
            <w:pPr>
              <w:pStyle w:val="style4151"/>
              <w:ind w:left="66"/>
              <w:rPr>
                <w:sz w:val="19"/>
              </w:rPr>
            </w:pPr>
            <w:r>
              <w:rPr>
                <w:sz w:val="19"/>
              </w:rPr>
              <w:t>600.</w:t>
            </w:r>
            <w:r>
              <w:rPr>
                <w:spacing w:val="55"/>
                <w:sz w:val="19"/>
              </w:rPr>
              <w:t xml:space="preserve"> </w:t>
            </w:r>
            <w:r>
              <w:rPr>
                <w:sz w:val="19"/>
              </w:rPr>
              <w:t>10.</w:t>
            </w:r>
            <w:r>
              <w:rPr>
                <w:spacing w:val="55"/>
                <w:sz w:val="19"/>
              </w:rPr>
              <w:t xml:space="preserve"> </w:t>
            </w:r>
            <w:r>
              <w:rPr>
                <w:sz w:val="19"/>
              </w:rPr>
              <w:t>1.83552</w:t>
            </w:r>
            <w:r>
              <w:rPr>
                <w:spacing w:val="55"/>
                <w:sz w:val="19"/>
              </w:rPr>
              <w:t xml:space="preserve"> </w:t>
            </w:r>
            <w:r>
              <w:rPr>
                <w:spacing w:val="-2"/>
                <w:sz w:val="19"/>
              </w:rPr>
              <w:t>1.89640</w:t>
            </w:r>
          </w:p>
        </w:tc>
      </w:tr>
      <w:tr>
        <w:tblPrEx/>
        <w:trPr>
          <w:trHeight w:val="275" w:hRule="atLeast"/>
        </w:trPr>
        <w:tc>
          <w:tcPr>
            <w:tcW w:w="2515" w:type="dxa"/>
            <w:tcBorders/>
          </w:tcPr>
          <w:p>
            <w:pPr>
              <w:pStyle w:val="style4151"/>
              <w:ind w:left="67"/>
              <w:rPr>
                <w:sz w:val="19"/>
              </w:rPr>
            </w:pPr>
            <w:r>
              <w:rPr>
                <w:sz w:val="19"/>
              </w:rPr>
              <w:t>15.</w:t>
            </w:r>
            <w:r>
              <w:rPr>
                <w:spacing w:val="79"/>
                <w:w w:val="150"/>
                <w:sz w:val="19"/>
              </w:rPr>
              <w:t xml:space="preserve"> </w:t>
            </w:r>
            <w:r>
              <w:rPr>
                <w:sz w:val="19"/>
              </w:rPr>
              <w:t>6.</w:t>
            </w:r>
            <w:r>
              <w:rPr>
                <w:spacing w:val="53"/>
                <w:sz w:val="19"/>
              </w:rPr>
              <w:t xml:space="preserve"> </w:t>
            </w:r>
            <w:r>
              <w:rPr>
                <w:sz w:val="19"/>
              </w:rPr>
              <w:t>0.56197</w:t>
            </w:r>
            <w:r>
              <w:rPr>
                <w:spacing w:val="53"/>
                <w:sz w:val="19"/>
              </w:rPr>
              <w:t xml:space="preserve"> </w:t>
            </w:r>
            <w:r>
              <w:rPr>
                <w:spacing w:val="-2"/>
                <w:sz w:val="19"/>
              </w:rPr>
              <w:t>2.21981</w:t>
            </w:r>
          </w:p>
        </w:tc>
        <w:tc>
          <w:tcPr>
            <w:tcW w:w="2430" w:type="dxa"/>
            <w:tcBorders/>
          </w:tcPr>
          <w:p>
            <w:pPr>
              <w:pStyle w:val="style4151"/>
              <w:ind w:left="19"/>
              <w:rPr>
                <w:sz w:val="19"/>
              </w:rPr>
            </w:pPr>
            <w:r>
              <w:rPr>
                <w:sz w:val="19"/>
              </w:rPr>
              <w:t>102.</w:t>
            </w:r>
            <w:r>
              <w:rPr>
                <w:spacing w:val="55"/>
                <w:sz w:val="19"/>
              </w:rPr>
              <w:t xml:space="preserve"> </w:t>
            </w:r>
            <w:r>
              <w:rPr>
                <w:sz w:val="19"/>
              </w:rPr>
              <w:t>11.</w:t>
            </w:r>
            <w:r>
              <w:rPr>
                <w:spacing w:val="55"/>
                <w:sz w:val="19"/>
              </w:rPr>
              <w:t xml:space="preserve"> </w:t>
            </w:r>
            <w:r>
              <w:rPr>
                <w:sz w:val="19"/>
              </w:rPr>
              <w:t>1.46909</w:t>
            </w:r>
            <w:r>
              <w:rPr>
                <w:spacing w:val="55"/>
                <w:sz w:val="19"/>
              </w:rPr>
              <w:t xml:space="preserve"> </w:t>
            </w:r>
            <w:r>
              <w:rPr>
                <w:spacing w:val="-2"/>
                <w:sz w:val="19"/>
              </w:rPr>
              <w:t>1.89646</w:t>
            </w:r>
          </w:p>
        </w:tc>
        <w:tc>
          <w:tcPr>
            <w:tcW w:w="2520" w:type="dxa"/>
            <w:tcBorders/>
          </w:tcPr>
          <w:p>
            <w:pPr>
              <w:pStyle w:val="style4151"/>
              <w:rPr>
                <w:sz w:val="19"/>
              </w:rPr>
            </w:pPr>
            <w:r>
              <w:rPr>
                <w:sz w:val="19"/>
              </w:rPr>
              <w:t>220.</w:t>
            </w:r>
            <w:r>
              <w:rPr>
                <w:spacing w:val="55"/>
                <w:sz w:val="19"/>
              </w:rPr>
              <w:t xml:space="preserve"> </w:t>
            </w:r>
            <w:r>
              <w:rPr>
                <w:sz w:val="19"/>
              </w:rPr>
              <w:t>11.</w:t>
            </w:r>
            <w:r>
              <w:rPr>
                <w:spacing w:val="55"/>
                <w:sz w:val="19"/>
              </w:rPr>
              <w:t xml:space="preserve"> </w:t>
            </w:r>
            <w:r>
              <w:rPr>
                <w:sz w:val="19"/>
              </w:rPr>
              <w:t>1.68509</w:t>
            </w:r>
            <w:r>
              <w:rPr>
                <w:spacing w:val="55"/>
                <w:sz w:val="19"/>
              </w:rPr>
              <w:t xml:space="preserve"> </w:t>
            </w:r>
            <w:r>
              <w:rPr>
                <w:spacing w:val="-2"/>
                <w:sz w:val="19"/>
              </w:rPr>
              <w:t>1.87479</w:t>
            </w:r>
          </w:p>
        </w:tc>
        <w:tc>
          <w:tcPr>
            <w:tcW w:w="2700" w:type="dxa"/>
            <w:tcBorders/>
          </w:tcPr>
          <w:p>
            <w:pPr>
              <w:pStyle w:val="style4151"/>
              <w:ind w:left="66"/>
              <w:rPr>
                <w:sz w:val="19"/>
              </w:rPr>
            </w:pPr>
            <w:r>
              <w:rPr>
                <w:sz w:val="19"/>
              </w:rPr>
              <w:t>600.</w:t>
            </w:r>
            <w:r>
              <w:rPr>
                <w:spacing w:val="55"/>
                <w:sz w:val="19"/>
              </w:rPr>
              <w:t xml:space="preserve"> </w:t>
            </w:r>
            <w:r>
              <w:rPr>
                <w:sz w:val="19"/>
              </w:rPr>
              <w:t>11.</w:t>
            </w:r>
            <w:r>
              <w:rPr>
                <w:spacing w:val="55"/>
                <w:sz w:val="19"/>
              </w:rPr>
              <w:t xml:space="preserve"> </w:t>
            </w:r>
            <w:r>
              <w:rPr>
                <w:sz w:val="19"/>
              </w:rPr>
              <w:t>1.83210</w:t>
            </w:r>
            <w:r>
              <w:rPr>
                <w:spacing w:val="55"/>
                <w:sz w:val="19"/>
              </w:rPr>
              <w:t xml:space="preserve"> </w:t>
            </w:r>
            <w:r>
              <w:rPr>
                <w:spacing w:val="-2"/>
                <w:sz w:val="19"/>
              </w:rPr>
              <w:t>1.89984</w:t>
            </w:r>
          </w:p>
        </w:tc>
      </w:tr>
      <w:tr>
        <w:tblPrEx/>
        <w:trPr>
          <w:trHeight w:val="275" w:hRule="atLeast"/>
        </w:trPr>
        <w:tc>
          <w:tcPr>
            <w:tcW w:w="2515" w:type="dxa"/>
            <w:tcBorders/>
          </w:tcPr>
          <w:p>
            <w:pPr>
              <w:pStyle w:val="style4151"/>
              <w:ind w:left="67"/>
              <w:rPr>
                <w:sz w:val="19"/>
              </w:rPr>
            </w:pPr>
            <w:r>
              <w:rPr>
                <w:sz w:val="19"/>
              </w:rPr>
              <w:t>15.</w:t>
            </w:r>
            <w:r>
              <w:rPr>
                <w:spacing w:val="79"/>
                <w:w w:val="150"/>
                <w:sz w:val="19"/>
              </w:rPr>
              <w:t xml:space="preserve"> </w:t>
            </w:r>
            <w:r>
              <w:rPr>
                <w:sz w:val="19"/>
              </w:rPr>
              <w:t>7.</w:t>
            </w:r>
            <w:r>
              <w:rPr>
                <w:spacing w:val="53"/>
                <w:sz w:val="19"/>
              </w:rPr>
              <w:t xml:space="preserve"> </w:t>
            </w:r>
            <w:r>
              <w:rPr>
                <w:sz w:val="19"/>
              </w:rPr>
              <w:t>0.44707</w:t>
            </w:r>
            <w:r>
              <w:rPr>
                <w:spacing w:val="53"/>
                <w:sz w:val="19"/>
              </w:rPr>
              <w:t xml:space="preserve"> </w:t>
            </w:r>
            <w:r>
              <w:rPr>
                <w:spacing w:val="-2"/>
                <w:sz w:val="19"/>
              </w:rPr>
              <w:t>2.47148</w:t>
            </w:r>
          </w:p>
        </w:tc>
        <w:tc>
          <w:tcPr>
            <w:tcW w:w="2430" w:type="dxa"/>
            <w:tcBorders/>
          </w:tcPr>
          <w:p>
            <w:pPr>
              <w:pStyle w:val="style4151"/>
              <w:ind w:left="19"/>
              <w:rPr>
                <w:sz w:val="19"/>
              </w:rPr>
            </w:pPr>
            <w:r>
              <w:rPr>
                <w:sz w:val="19"/>
              </w:rPr>
              <w:t>102.</w:t>
            </w:r>
            <w:r>
              <w:rPr>
                <w:spacing w:val="55"/>
                <w:sz w:val="19"/>
              </w:rPr>
              <w:t xml:space="preserve"> </w:t>
            </w:r>
            <w:r>
              <w:rPr>
                <w:sz w:val="19"/>
              </w:rPr>
              <w:t>12.</w:t>
            </w:r>
            <w:r>
              <w:rPr>
                <w:spacing w:val="55"/>
                <w:sz w:val="19"/>
              </w:rPr>
              <w:t xml:space="preserve"> </w:t>
            </w:r>
            <w:r>
              <w:rPr>
                <w:sz w:val="19"/>
              </w:rPr>
              <w:t>1.44704</w:t>
            </w:r>
            <w:r>
              <w:rPr>
                <w:spacing w:val="55"/>
                <w:sz w:val="19"/>
              </w:rPr>
              <w:t xml:space="preserve"> </w:t>
            </w:r>
            <w:r>
              <w:rPr>
                <w:spacing w:val="-2"/>
                <w:sz w:val="19"/>
              </w:rPr>
              <w:t>1.92072</w:t>
            </w:r>
          </w:p>
        </w:tc>
        <w:tc>
          <w:tcPr>
            <w:tcW w:w="2520" w:type="dxa"/>
            <w:tcBorders/>
          </w:tcPr>
          <w:p>
            <w:pPr>
              <w:pStyle w:val="style4151"/>
              <w:rPr>
                <w:sz w:val="19"/>
              </w:rPr>
            </w:pPr>
            <w:r>
              <w:rPr>
                <w:sz w:val="19"/>
              </w:rPr>
              <w:t>220.</w:t>
            </w:r>
            <w:r>
              <w:rPr>
                <w:spacing w:val="55"/>
                <w:sz w:val="19"/>
              </w:rPr>
              <w:t xml:space="preserve"> </w:t>
            </w:r>
            <w:r>
              <w:rPr>
                <w:sz w:val="19"/>
              </w:rPr>
              <w:t>12.</w:t>
            </w:r>
            <w:r>
              <w:rPr>
                <w:spacing w:val="55"/>
                <w:sz w:val="19"/>
              </w:rPr>
              <w:t xml:space="preserve"> </w:t>
            </w:r>
            <w:r>
              <w:rPr>
                <w:sz w:val="19"/>
              </w:rPr>
              <w:t>1.67533</w:t>
            </w:r>
            <w:r>
              <w:rPr>
                <w:spacing w:val="55"/>
                <w:sz w:val="19"/>
              </w:rPr>
              <w:t xml:space="preserve"> </w:t>
            </w:r>
            <w:r>
              <w:rPr>
                <w:spacing w:val="-2"/>
                <w:sz w:val="19"/>
              </w:rPr>
              <w:t>1.88486</w:t>
            </w:r>
          </w:p>
        </w:tc>
        <w:tc>
          <w:tcPr>
            <w:tcW w:w="2700" w:type="dxa"/>
            <w:tcBorders/>
          </w:tcPr>
          <w:p>
            <w:pPr>
              <w:pStyle w:val="style4151"/>
              <w:ind w:left="66"/>
              <w:rPr>
                <w:sz w:val="19"/>
              </w:rPr>
            </w:pPr>
            <w:r>
              <w:rPr>
                <w:sz w:val="19"/>
              </w:rPr>
              <w:t>600.</w:t>
            </w:r>
            <w:r>
              <w:rPr>
                <w:spacing w:val="55"/>
                <w:sz w:val="19"/>
              </w:rPr>
              <w:t xml:space="preserve"> </w:t>
            </w:r>
            <w:r>
              <w:rPr>
                <w:sz w:val="19"/>
              </w:rPr>
              <w:t>12.</w:t>
            </w:r>
            <w:r>
              <w:rPr>
                <w:spacing w:val="55"/>
                <w:sz w:val="19"/>
              </w:rPr>
              <w:t xml:space="preserve"> </w:t>
            </w:r>
            <w:r>
              <w:rPr>
                <w:sz w:val="19"/>
              </w:rPr>
              <w:t>1.82866</w:t>
            </w:r>
            <w:r>
              <w:rPr>
                <w:spacing w:val="55"/>
                <w:sz w:val="19"/>
              </w:rPr>
              <w:t xml:space="preserve"> </w:t>
            </w:r>
            <w:r>
              <w:rPr>
                <w:spacing w:val="-2"/>
                <w:sz w:val="19"/>
              </w:rPr>
              <w:t>1.90331</w:t>
            </w:r>
          </w:p>
        </w:tc>
      </w:tr>
      <w:tr>
        <w:tblPrEx/>
        <w:trPr>
          <w:trHeight w:val="275" w:hRule="atLeast"/>
        </w:trPr>
        <w:tc>
          <w:tcPr>
            <w:tcW w:w="2515" w:type="dxa"/>
            <w:tcBorders/>
          </w:tcPr>
          <w:p>
            <w:pPr>
              <w:pStyle w:val="style4151"/>
              <w:ind w:left="67"/>
              <w:rPr>
                <w:sz w:val="19"/>
              </w:rPr>
            </w:pPr>
            <w:r>
              <w:rPr>
                <w:sz w:val="19"/>
              </w:rPr>
              <w:t>15.</w:t>
            </w:r>
            <w:r>
              <w:rPr>
                <w:spacing w:val="79"/>
                <w:w w:val="150"/>
                <w:sz w:val="19"/>
              </w:rPr>
              <w:t xml:space="preserve"> </w:t>
            </w:r>
            <w:r>
              <w:rPr>
                <w:sz w:val="19"/>
              </w:rPr>
              <w:t>8.</w:t>
            </w:r>
            <w:r>
              <w:rPr>
                <w:spacing w:val="53"/>
                <w:sz w:val="19"/>
              </w:rPr>
              <w:t xml:space="preserve"> </w:t>
            </w:r>
            <w:r>
              <w:rPr>
                <w:sz w:val="19"/>
              </w:rPr>
              <w:t>0.34290</w:t>
            </w:r>
            <w:r>
              <w:rPr>
                <w:spacing w:val="53"/>
                <w:sz w:val="19"/>
              </w:rPr>
              <w:t xml:space="preserve"> </w:t>
            </w:r>
            <w:r>
              <w:rPr>
                <w:spacing w:val="-2"/>
                <w:sz w:val="19"/>
              </w:rPr>
              <w:t>2.72698</w:t>
            </w:r>
          </w:p>
        </w:tc>
        <w:tc>
          <w:tcPr>
            <w:tcW w:w="2430" w:type="dxa"/>
            <w:tcBorders/>
          </w:tcPr>
          <w:p>
            <w:pPr>
              <w:pStyle w:val="style4151"/>
              <w:ind w:left="19"/>
              <w:rPr>
                <w:sz w:val="19"/>
              </w:rPr>
            </w:pPr>
            <w:r>
              <w:rPr>
                <w:sz w:val="19"/>
              </w:rPr>
              <w:t>102.</w:t>
            </w:r>
            <w:r>
              <w:rPr>
                <w:spacing w:val="55"/>
                <w:sz w:val="19"/>
              </w:rPr>
              <w:t xml:space="preserve"> </w:t>
            </w:r>
            <w:r>
              <w:rPr>
                <w:sz w:val="19"/>
              </w:rPr>
              <w:t>13.</w:t>
            </w:r>
            <w:r>
              <w:rPr>
                <w:spacing w:val="55"/>
                <w:sz w:val="19"/>
              </w:rPr>
              <w:t xml:space="preserve"> </w:t>
            </w:r>
            <w:r>
              <w:rPr>
                <w:sz w:val="19"/>
              </w:rPr>
              <w:t>1.42480</w:t>
            </w:r>
            <w:r>
              <w:rPr>
                <w:spacing w:val="55"/>
                <w:sz w:val="19"/>
              </w:rPr>
              <w:t xml:space="preserve"> </w:t>
            </w:r>
            <w:r>
              <w:rPr>
                <w:spacing w:val="-2"/>
                <w:sz w:val="19"/>
              </w:rPr>
              <w:t>1.94538</w:t>
            </w:r>
          </w:p>
        </w:tc>
        <w:tc>
          <w:tcPr>
            <w:tcW w:w="2520" w:type="dxa"/>
            <w:tcBorders/>
          </w:tcPr>
          <w:p>
            <w:pPr>
              <w:pStyle w:val="style4151"/>
              <w:rPr>
                <w:sz w:val="19"/>
              </w:rPr>
            </w:pPr>
            <w:r>
              <w:rPr>
                <w:sz w:val="19"/>
              </w:rPr>
              <w:t>220.</w:t>
            </w:r>
            <w:r>
              <w:rPr>
                <w:spacing w:val="55"/>
                <w:sz w:val="19"/>
              </w:rPr>
              <w:t xml:space="preserve"> </w:t>
            </w:r>
            <w:r>
              <w:rPr>
                <w:sz w:val="19"/>
              </w:rPr>
              <w:t>13.</w:t>
            </w:r>
            <w:r>
              <w:rPr>
                <w:spacing w:val="55"/>
                <w:sz w:val="19"/>
              </w:rPr>
              <w:t xml:space="preserve"> </w:t>
            </w:r>
            <w:r>
              <w:rPr>
                <w:sz w:val="19"/>
              </w:rPr>
              <w:t>1.66552</w:t>
            </w:r>
            <w:r>
              <w:rPr>
                <w:spacing w:val="55"/>
                <w:sz w:val="19"/>
              </w:rPr>
              <w:t xml:space="preserve"> </w:t>
            </w:r>
            <w:r>
              <w:rPr>
                <w:spacing w:val="-2"/>
                <w:sz w:val="19"/>
              </w:rPr>
              <w:t>1.89502</w:t>
            </w:r>
          </w:p>
        </w:tc>
        <w:tc>
          <w:tcPr>
            <w:tcW w:w="2700" w:type="dxa"/>
            <w:tcBorders/>
          </w:tcPr>
          <w:p>
            <w:pPr>
              <w:pStyle w:val="style4151"/>
              <w:ind w:left="66"/>
              <w:rPr>
                <w:sz w:val="19"/>
              </w:rPr>
            </w:pPr>
            <w:r>
              <w:rPr>
                <w:sz w:val="19"/>
              </w:rPr>
              <w:t>600.</w:t>
            </w:r>
            <w:r>
              <w:rPr>
                <w:spacing w:val="55"/>
                <w:sz w:val="19"/>
              </w:rPr>
              <w:t xml:space="preserve"> </w:t>
            </w:r>
            <w:r>
              <w:rPr>
                <w:sz w:val="19"/>
              </w:rPr>
              <w:t>13.</w:t>
            </w:r>
            <w:r>
              <w:rPr>
                <w:spacing w:val="55"/>
                <w:sz w:val="19"/>
              </w:rPr>
              <w:t xml:space="preserve"> </w:t>
            </w:r>
            <w:r>
              <w:rPr>
                <w:sz w:val="19"/>
              </w:rPr>
              <w:t>1.82522</w:t>
            </w:r>
            <w:r>
              <w:rPr>
                <w:spacing w:val="55"/>
                <w:sz w:val="19"/>
              </w:rPr>
              <w:t xml:space="preserve"> </w:t>
            </w:r>
            <w:r>
              <w:rPr>
                <w:spacing w:val="-2"/>
                <w:sz w:val="19"/>
              </w:rPr>
              <w:t>1.90677</w:t>
            </w:r>
          </w:p>
        </w:tc>
      </w:tr>
      <w:tr>
        <w:tblPrEx/>
        <w:trPr>
          <w:trHeight w:val="275" w:hRule="atLeast"/>
        </w:trPr>
        <w:tc>
          <w:tcPr>
            <w:tcW w:w="2515" w:type="dxa"/>
            <w:tcBorders/>
          </w:tcPr>
          <w:p>
            <w:pPr>
              <w:pStyle w:val="style4151"/>
              <w:ind w:left="67"/>
              <w:rPr>
                <w:sz w:val="19"/>
              </w:rPr>
            </w:pPr>
            <w:r>
              <w:rPr>
                <w:sz w:val="19"/>
              </w:rPr>
              <w:t>15.</w:t>
            </w:r>
            <w:r>
              <w:rPr>
                <w:spacing w:val="79"/>
                <w:w w:val="150"/>
                <w:sz w:val="19"/>
              </w:rPr>
              <w:t xml:space="preserve"> </w:t>
            </w:r>
            <w:r>
              <w:rPr>
                <w:sz w:val="19"/>
              </w:rPr>
              <w:t>9.</w:t>
            </w:r>
            <w:r>
              <w:rPr>
                <w:spacing w:val="53"/>
                <w:sz w:val="19"/>
              </w:rPr>
              <w:t xml:space="preserve"> </w:t>
            </w:r>
            <w:r>
              <w:rPr>
                <w:sz w:val="19"/>
              </w:rPr>
              <w:t>0.25090</w:t>
            </w:r>
            <w:r>
              <w:rPr>
                <w:spacing w:val="53"/>
                <w:sz w:val="19"/>
              </w:rPr>
              <w:t xml:space="preserve"> </w:t>
            </w:r>
            <w:r>
              <w:rPr>
                <w:spacing w:val="-2"/>
                <w:sz w:val="19"/>
              </w:rPr>
              <w:t>2.97866</w:t>
            </w:r>
          </w:p>
        </w:tc>
        <w:tc>
          <w:tcPr>
            <w:tcW w:w="2430" w:type="dxa"/>
            <w:tcBorders/>
          </w:tcPr>
          <w:p>
            <w:pPr>
              <w:pStyle w:val="style4151"/>
              <w:ind w:left="19"/>
              <w:rPr>
                <w:sz w:val="19"/>
              </w:rPr>
            </w:pPr>
            <w:r>
              <w:rPr>
                <w:sz w:val="19"/>
              </w:rPr>
              <w:t>102.</w:t>
            </w:r>
            <w:r>
              <w:rPr>
                <w:spacing w:val="55"/>
                <w:sz w:val="19"/>
              </w:rPr>
              <w:t xml:space="preserve"> </w:t>
            </w:r>
            <w:r>
              <w:rPr>
                <w:sz w:val="19"/>
              </w:rPr>
              <w:t>14.</w:t>
            </w:r>
            <w:r>
              <w:rPr>
                <w:spacing w:val="55"/>
                <w:sz w:val="19"/>
              </w:rPr>
              <w:t xml:space="preserve"> </w:t>
            </w:r>
            <w:r>
              <w:rPr>
                <w:sz w:val="19"/>
              </w:rPr>
              <w:t>1.40239</w:t>
            </w:r>
            <w:r>
              <w:rPr>
                <w:spacing w:val="55"/>
                <w:sz w:val="19"/>
              </w:rPr>
              <w:t xml:space="preserve"> </w:t>
            </w:r>
            <w:r>
              <w:rPr>
                <w:spacing w:val="-2"/>
                <w:sz w:val="19"/>
              </w:rPr>
              <w:t>1.97042</w:t>
            </w:r>
          </w:p>
        </w:tc>
        <w:tc>
          <w:tcPr>
            <w:tcW w:w="2520" w:type="dxa"/>
            <w:tcBorders/>
          </w:tcPr>
          <w:p>
            <w:pPr>
              <w:pStyle w:val="style4151"/>
              <w:rPr>
                <w:sz w:val="19"/>
              </w:rPr>
            </w:pPr>
            <w:r>
              <w:rPr>
                <w:sz w:val="19"/>
              </w:rPr>
              <w:t>220.</w:t>
            </w:r>
            <w:r>
              <w:rPr>
                <w:spacing w:val="55"/>
                <w:sz w:val="19"/>
              </w:rPr>
              <w:t xml:space="preserve"> </w:t>
            </w:r>
            <w:r>
              <w:rPr>
                <w:sz w:val="19"/>
              </w:rPr>
              <w:t>14.</w:t>
            </w:r>
            <w:r>
              <w:rPr>
                <w:spacing w:val="55"/>
                <w:sz w:val="19"/>
              </w:rPr>
              <w:t xml:space="preserve"> </w:t>
            </w:r>
            <w:r>
              <w:rPr>
                <w:sz w:val="19"/>
              </w:rPr>
              <w:t>1.65566</w:t>
            </w:r>
            <w:r>
              <w:rPr>
                <w:spacing w:val="55"/>
                <w:sz w:val="19"/>
              </w:rPr>
              <w:t xml:space="preserve"> </w:t>
            </w:r>
            <w:r>
              <w:rPr>
                <w:spacing w:val="-2"/>
                <w:sz w:val="19"/>
              </w:rPr>
              <w:t>1.90526</w:t>
            </w:r>
          </w:p>
        </w:tc>
        <w:tc>
          <w:tcPr>
            <w:tcW w:w="2700" w:type="dxa"/>
            <w:tcBorders/>
          </w:tcPr>
          <w:p>
            <w:pPr>
              <w:pStyle w:val="style4151"/>
              <w:ind w:left="66"/>
              <w:rPr>
                <w:sz w:val="19"/>
              </w:rPr>
            </w:pPr>
            <w:r>
              <w:rPr>
                <w:sz w:val="19"/>
              </w:rPr>
              <w:t>600.</w:t>
            </w:r>
            <w:r>
              <w:rPr>
                <w:spacing w:val="55"/>
                <w:sz w:val="19"/>
              </w:rPr>
              <w:t xml:space="preserve"> </w:t>
            </w:r>
            <w:r>
              <w:rPr>
                <w:sz w:val="19"/>
              </w:rPr>
              <w:t>14.</w:t>
            </w:r>
            <w:r>
              <w:rPr>
                <w:spacing w:val="55"/>
                <w:sz w:val="19"/>
              </w:rPr>
              <w:t xml:space="preserve"> </w:t>
            </w:r>
            <w:r>
              <w:rPr>
                <w:sz w:val="19"/>
              </w:rPr>
              <w:t>1.82177</w:t>
            </w:r>
            <w:r>
              <w:rPr>
                <w:spacing w:val="55"/>
                <w:sz w:val="19"/>
              </w:rPr>
              <w:t xml:space="preserve"> </w:t>
            </w:r>
            <w:r>
              <w:rPr>
                <w:spacing w:val="-2"/>
                <w:sz w:val="19"/>
              </w:rPr>
              <w:t>1.91026</w:t>
            </w:r>
          </w:p>
        </w:tc>
      </w:tr>
      <w:tr>
        <w:tblPrEx/>
        <w:trPr>
          <w:trHeight w:val="275" w:hRule="atLeast"/>
        </w:trPr>
        <w:tc>
          <w:tcPr>
            <w:tcW w:w="2515" w:type="dxa"/>
            <w:tcBorders/>
          </w:tcPr>
          <w:p>
            <w:pPr>
              <w:pStyle w:val="style4151"/>
              <w:ind w:left="67"/>
              <w:rPr>
                <w:sz w:val="19"/>
              </w:rPr>
            </w:pPr>
            <w:r>
              <w:rPr>
                <w:sz w:val="19"/>
              </w:rPr>
              <w:t>15.</w:t>
            </w:r>
            <w:r>
              <w:rPr>
                <w:spacing w:val="54"/>
                <w:sz w:val="19"/>
              </w:rPr>
              <w:t xml:space="preserve"> </w:t>
            </w:r>
            <w:r>
              <w:rPr>
                <w:sz w:val="19"/>
              </w:rPr>
              <w:t>10.</w:t>
            </w:r>
            <w:r>
              <w:rPr>
                <w:spacing w:val="54"/>
                <w:sz w:val="19"/>
              </w:rPr>
              <w:t xml:space="preserve"> </w:t>
            </w:r>
            <w:r>
              <w:rPr>
                <w:sz w:val="19"/>
              </w:rPr>
              <w:t>0.17531</w:t>
            </w:r>
            <w:r>
              <w:rPr>
                <w:spacing w:val="55"/>
                <w:sz w:val="19"/>
              </w:rPr>
              <w:t xml:space="preserve"> </w:t>
            </w:r>
            <w:r>
              <w:rPr>
                <w:spacing w:val="-2"/>
                <w:sz w:val="19"/>
              </w:rPr>
              <w:t>3.21604</w:t>
            </w:r>
          </w:p>
        </w:tc>
        <w:tc>
          <w:tcPr>
            <w:tcW w:w="2430" w:type="dxa"/>
            <w:tcBorders/>
          </w:tcPr>
          <w:p>
            <w:pPr>
              <w:pStyle w:val="style4151"/>
              <w:ind w:left="19"/>
              <w:rPr>
                <w:sz w:val="19"/>
              </w:rPr>
            </w:pPr>
            <w:r>
              <w:rPr>
                <w:sz w:val="19"/>
              </w:rPr>
              <w:t>102.</w:t>
            </w:r>
            <w:r>
              <w:rPr>
                <w:spacing w:val="55"/>
                <w:sz w:val="19"/>
              </w:rPr>
              <w:t xml:space="preserve"> </w:t>
            </w:r>
            <w:r>
              <w:rPr>
                <w:sz w:val="19"/>
              </w:rPr>
              <w:t>15.</w:t>
            </w:r>
            <w:r>
              <w:rPr>
                <w:spacing w:val="55"/>
                <w:sz w:val="19"/>
              </w:rPr>
              <w:t xml:space="preserve"> </w:t>
            </w:r>
            <w:r>
              <w:rPr>
                <w:sz w:val="19"/>
              </w:rPr>
              <w:t>1.37982</w:t>
            </w:r>
            <w:r>
              <w:rPr>
                <w:spacing w:val="55"/>
                <w:sz w:val="19"/>
              </w:rPr>
              <w:t xml:space="preserve"> </w:t>
            </w:r>
            <w:r>
              <w:rPr>
                <w:spacing w:val="-2"/>
                <w:sz w:val="19"/>
              </w:rPr>
              <w:t>1.99582</w:t>
            </w:r>
          </w:p>
        </w:tc>
        <w:tc>
          <w:tcPr>
            <w:tcW w:w="2520" w:type="dxa"/>
            <w:tcBorders/>
          </w:tcPr>
          <w:p>
            <w:pPr>
              <w:pStyle w:val="style4151"/>
              <w:rPr>
                <w:sz w:val="19"/>
              </w:rPr>
            </w:pPr>
            <w:r>
              <w:rPr>
                <w:sz w:val="19"/>
              </w:rPr>
              <w:t>220.</w:t>
            </w:r>
            <w:r>
              <w:rPr>
                <w:spacing w:val="55"/>
                <w:sz w:val="19"/>
              </w:rPr>
              <w:t xml:space="preserve"> </w:t>
            </w:r>
            <w:r>
              <w:rPr>
                <w:sz w:val="19"/>
              </w:rPr>
              <w:t>15.</w:t>
            </w:r>
            <w:r>
              <w:rPr>
                <w:spacing w:val="55"/>
                <w:sz w:val="19"/>
              </w:rPr>
              <w:t xml:space="preserve"> </w:t>
            </w:r>
            <w:r>
              <w:rPr>
                <w:sz w:val="19"/>
              </w:rPr>
              <w:t>1.64573</w:t>
            </w:r>
            <w:r>
              <w:rPr>
                <w:spacing w:val="55"/>
                <w:sz w:val="19"/>
              </w:rPr>
              <w:t xml:space="preserve"> </w:t>
            </w:r>
            <w:r>
              <w:rPr>
                <w:spacing w:val="-2"/>
                <w:sz w:val="19"/>
              </w:rPr>
              <w:t>1.91559</w:t>
            </w:r>
          </w:p>
        </w:tc>
        <w:tc>
          <w:tcPr>
            <w:tcW w:w="2700" w:type="dxa"/>
            <w:tcBorders/>
          </w:tcPr>
          <w:p>
            <w:pPr>
              <w:pStyle w:val="style4151"/>
              <w:ind w:left="66"/>
              <w:rPr>
                <w:sz w:val="19"/>
              </w:rPr>
            </w:pPr>
            <w:r>
              <w:rPr>
                <w:sz w:val="19"/>
              </w:rPr>
              <w:t>600.</w:t>
            </w:r>
            <w:r>
              <w:rPr>
                <w:spacing w:val="55"/>
                <w:sz w:val="19"/>
              </w:rPr>
              <w:t xml:space="preserve"> </w:t>
            </w:r>
            <w:r>
              <w:rPr>
                <w:sz w:val="19"/>
              </w:rPr>
              <w:t>15.</w:t>
            </w:r>
            <w:r>
              <w:rPr>
                <w:spacing w:val="55"/>
                <w:sz w:val="19"/>
              </w:rPr>
              <w:t xml:space="preserve"> </w:t>
            </w:r>
            <w:r>
              <w:rPr>
                <w:sz w:val="19"/>
              </w:rPr>
              <w:t>1.81830</w:t>
            </w:r>
            <w:r>
              <w:rPr>
                <w:spacing w:val="55"/>
                <w:sz w:val="19"/>
              </w:rPr>
              <w:t xml:space="preserve"> </w:t>
            </w:r>
            <w:r>
              <w:rPr>
                <w:spacing w:val="-2"/>
                <w:sz w:val="19"/>
              </w:rPr>
              <w:t>1.91375</w:t>
            </w:r>
          </w:p>
        </w:tc>
      </w:tr>
      <w:tr>
        <w:tblPrEx/>
        <w:trPr>
          <w:trHeight w:val="275" w:hRule="atLeast"/>
        </w:trPr>
        <w:tc>
          <w:tcPr>
            <w:tcW w:w="2515" w:type="dxa"/>
            <w:tcBorders/>
          </w:tcPr>
          <w:p>
            <w:pPr>
              <w:pStyle w:val="style4151"/>
              <w:ind w:left="67"/>
              <w:rPr>
                <w:sz w:val="19"/>
              </w:rPr>
            </w:pPr>
            <w:r>
              <w:rPr>
                <w:sz w:val="19"/>
              </w:rPr>
              <w:t>15.</w:t>
            </w:r>
            <w:r>
              <w:rPr>
                <w:spacing w:val="54"/>
                <w:sz w:val="19"/>
              </w:rPr>
              <w:t xml:space="preserve"> </w:t>
            </w:r>
            <w:r>
              <w:rPr>
                <w:sz w:val="19"/>
              </w:rPr>
              <w:t>11.</w:t>
            </w:r>
            <w:r>
              <w:rPr>
                <w:spacing w:val="54"/>
                <w:sz w:val="19"/>
              </w:rPr>
              <w:t xml:space="preserve"> </w:t>
            </w:r>
            <w:r>
              <w:rPr>
                <w:sz w:val="19"/>
              </w:rPr>
              <w:t>0.11127</w:t>
            </w:r>
            <w:r>
              <w:rPr>
                <w:spacing w:val="55"/>
                <w:sz w:val="19"/>
              </w:rPr>
              <w:t xml:space="preserve"> </w:t>
            </w:r>
            <w:r>
              <w:rPr>
                <w:spacing w:val="-2"/>
                <w:sz w:val="19"/>
              </w:rPr>
              <w:t>3.43819</w:t>
            </w:r>
          </w:p>
        </w:tc>
        <w:tc>
          <w:tcPr>
            <w:tcW w:w="2430" w:type="dxa"/>
            <w:tcBorders/>
          </w:tcPr>
          <w:p>
            <w:pPr>
              <w:pStyle w:val="style4151"/>
              <w:ind w:left="19"/>
              <w:rPr>
                <w:sz w:val="19"/>
              </w:rPr>
            </w:pPr>
            <w:r>
              <w:rPr>
                <w:sz w:val="19"/>
              </w:rPr>
              <w:t>102.</w:t>
            </w:r>
            <w:r>
              <w:rPr>
                <w:spacing w:val="55"/>
                <w:sz w:val="19"/>
              </w:rPr>
              <w:t xml:space="preserve"> </w:t>
            </w:r>
            <w:r>
              <w:rPr>
                <w:sz w:val="19"/>
              </w:rPr>
              <w:t>16.</w:t>
            </w:r>
            <w:r>
              <w:rPr>
                <w:spacing w:val="55"/>
                <w:sz w:val="19"/>
              </w:rPr>
              <w:t xml:space="preserve"> </w:t>
            </w:r>
            <w:r>
              <w:rPr>
                <w:sz w:val="19"/>
              </w:rPr>
              <w:t>1.35709</w:t>
            </w:r>
            <w:r>
              <w:rPr>
                <w:spacing w:val="55"/>
                <w:sz w:val="19"/>
              </w:rPr>
              <w:t xml:space="preserve"> </w:t>
            </w:r>
            <w:r>
              <w:rPr>
                <w:spacing w:val="-2"/>
                <w:sz w:val="19"/>
              </w:rPr>
              <w:t>2.02159</w:t>
            </w:r>
          </w:p>
        </w:tc>
        <w:tc>
          <w:tcPr>
            <w:tcW w:w="2520" w:type="dxa"/>
            <w:tcBorders/>
          </w:tcPr>
          <w:p>
            <w:pPr>
              <w:pStyle w:val="style4151"/>
              <w:rPr>
                <w:sz w:val="19"/>
              </w:rPr>
            </w:pPr>
            <w:r>
              <w:rPr>
                <w:sz w:val="19"/>
              </w:rPr>
              <w:t>220.</w:t>
            </w:r>
            <w:r>
              <w:rPr>
                <w:spacing w:val="55"/>
                <w:sz w:val="19"/>
              </w:rPr>
              <w:t xml:space="preserve"> </w:t>
            </w:r>
            <w:r>
              <w:rPr>
                <w:sz w:val="19"/>
              </w:rPr>
              <w:t>16.</w:t>
            </w:r>
            <w:r>
              <w:rPr>
                <w:spacing w:val="55"/>
                <w:sz w:val="19"/>
              </w:rPr>
              <w:t xml:space="preserve"> </w:t>
            </w:r>
            <w:r>
              <w:rPr>
                <w:sz w:val="19"/>
              </w:rPr>
              <w:t>1.63575</w:t>
            </w:r>
            <w:r>
              <w:rPr>
                <w:spacing w:val="55"/>
                <w:sz w:val="19"/>
              </w:rPr>
              <w:t xml:space="preserve"> </w:t>
            </w:r>
            <w:r>
              <w:rPr>
                <w:spacing w:val="-2"/>
                <w:sz w:val="19"/>
              </w:rPr>
              <w:t>1.92601</w:t>
            </w:r>
          </w:p>
        </w:tc>
        <w:tc>
          <w:tcPr>
            <w:tcW w:w="2700" w:type="dxa"/>
            <w:tcBorders/>
          </w:tcPr>
          <w:p>
            <w:pPr>
              <w:pStyle w:val="style4151"/>
              <w:ind w:left="66"/>
              <w:rPr>
                <w:sz w:val="19"/>
              </w:rPr>
            </w:pPr>
            <w:r>
              <w:rPr>
                <w:sz w:val="19"/>
              </w:rPr>
              <w:t>600.</w:t>
            </w:r>
            <w:r>
              <w:rPr>
                <w:spacing w:val="55"/>
                <w:sz w:val="19"/>
              </w:rPr>
              <w:t xml:space="preserve"> </w:t>
            </w:r>
            <w:r>
              <w:rPr>
                <w:sz w:val="19"/>
              </w:rPr>
              <w:t>16.</w:t>
            </w:r>
            <w:r>
              <w:rPr>
                <w:spacing w:val="55"/>
                <w:sz w:val="19"/>
              </w:rPr>
              <w:t xml:space="preserve"> </w:t>
            </w:r>
            <w:r>
              <w:rPr>
                <w:sz w:val="19"/>
              </w:rPr>
              <w:t>1.81483</w:t>
            </w:r>
            <w:r>
              <w:rPr>
                <w:spacing w:val="55"/>
                <w:sz w:val="19"/>
              </w:rPr>
              <w:t xml:space="preserve"> </w:t>
            </w:r>
            <w:r>
              <w:rPr>
                <w:spacing w:val="-2"/>
                <w:sz w:val="19"/>
              </w:rPr>
              <w:t>1.91727</w:t>
            </w:r>
          </w:p>
        </w:tc>
      </w:tr>
      <w:tr>
        <w:tblPrEx/>
        <w:trPr>
          <w:trHeight w:val="275" w:hRule="atLeast"/>
        </w:trPr>
        <w:tc>
          <w:tcPr>
            <w:tcW w:w="2515" w:type="dxa"/>
            <w:tcBorders/>
          </w:tcPr>
          <w:p>
            <w:pPr>
              <w:pStyle w:val="style4151"/>
              <w:ind w:left="67"/>
              <w:rPr>
                <w:sz w:val="19"/>
              </w:rPr>
            </w:pPr>
            <w:r>
              <w:rPr>
                <w:sz w:val="19"/>
              </w:rPr>
              <w:t>16.</w:t>
            </w:r>
            <w:r>
              <w:rPr>
                <w:spacing w:val="79"/>
                <w:w w:val="150"/>
                <w:sz w:val="19"/>
              </w:rPr>
              <w:t xml:space="preserve"> </w:t>
            </w:r>
            <w:r>
              <w:rPr>
                <w:sz w:val="19"/>
              </w:rPr>
              <w:t>2.</w:t>
            </w:r>
            <w:r>
              <w:rPr>
                <w:spacing w:val="53"/>
                <w:sz w:val="19"/>
              </w:rPr>
              <w:t xml:space="preserve"> </w:t>
            </w:r>
            <w:r>
              <w:rPr>
                <w:sz w:val="19"/>
              </w:rPr>
              <w:t>1.10617</w:t>
            </w:r>
            <w:r>
              <w:rPr>
                <w:spacing w:val="53"/>
                <w:sz w:val="19"/>
              </w:rPr>
              <w:t xml:space="preserve"> </w:t>
            </w:r>
            <w:r>
              <w:rPr>
                <w:spacing w:val="-2"/>
                <w:sz w:val="19"/>
              </w:rPr>
              <w:t>1.37092</w:t>
            </w:r>
          </w:p>
        </w:tc>
        <w:tc>
          <w:tcPr>
            <w:tcW w:w="2430" w:type="dxa"/>
            <w:tcBorders/>
          </w:tcPr>
          <w:p>
            <w:pPr>
              <w:pStyle w:val="style4151"/>
              <w:ind w:left="19"/>
              <w:rPr>
                <w:sz w:val="19"/>
              </w:rPr>
            </w:pPr>
            <w:r>
              <w:rPr>
                <w:sz w:val="19"/>
              </w:rPr>
              <w:t>102.</w:t>
            </w:r>
            <w:r>
              <w:rPr>
                <w:spacing w:val="55"/>
                <w:sz w:val="19"/>
              </w:rPr>
              <w:t xml:space="preserve"> </w:t>
            </w:r>
            <w:r>
              <w:rPr>
                <w:sz w:val="19"/>
              </w:rPr>
              <w:t>17.</w:t>
            </w:r>
            <w:r>
              <w:rPr>
                <w:spacing w:val="55"/>
                <w:sz w:val="19"/>
              </w:rPr>
              <w:t xml:space="preserve"> </w:t>
            </w:r>
            <w:r>
              <w:rPr>
                <w:sz w:val="19"/>
              </w:rPr>
              <w:t>1.33422</w:t>
            </w:r>
            <w:r>
              <w:rPr>
                <w:spacing w:val="55"/>
                <w:sz w:val="19"/>
              </w:rPr>
              <w:t xml:space="preserve"> </w:t>
            </w:r>
            <w:r>
              <w:rPr>
                <w:spacing w:val="-2"/>
                <w:sz w:val="19"/>
              </w:rPr>
              <w:t>2.04769</w:t>
            </w:r>
          </w:p>
        </w:tc>
        <w:tc>
          <w:tcPr>
            <w:tcW w:w="2520" w:type="dxa"/>
            <w:tcBorders/>
          </w:tcPr>
          <w:p>
            <w:pPr>
              <w:pStyle w:val="style4151"/>
              <w:rPr>
                <w:sz w:val="19"/>
              </w:rPr>
            </w:pPr>
            <w:r>
              <w:rPr>
                <w:sz w:val="19"/>
              </w:rPr>
              <w:t>220.</w:t>
            </w:r>
            <w:r>
              <w:rPr>
                <w:spacing w:val="55"/>
                <w:sz w:val="19"/>
              </w:rPr>
              <w:t xml:space="preserve"> </w:t>
            </w:r>
            <w:r>
              <w:rPr>
                <w:sz w:val="19"/>
              </w:rPr>
              <w:t>17.</w:t>
            </w:r>
            <w:r>
              <w:rPr>
                <w:spacing w:val="55"/>
                <w:sz w:val="19"/>
              </w:rPr>
              <w:t xml:space="preserve"> </w:t>
            </w:r>
            <w:r>
              <w:rPr>
                <w:sz w:val="19"/>
              </w:rPr>
              <w:t>1.62571</w:t>
            </w:r>
            <w:r>
              <w:rPr>
                <w:spacing w:val="55"/>
                <w:sz w:val="19"/>
              </w:rPr>
              <w:t xml:space="preserve"> </w:t>
            </w:r>
            <w:r>
              <w:rPr>
                <w:spacing w:val="-2"/>
                <w:sz w:val="19"/>
              </w:rPr>
              <w:t>1.93651</w:t>
            </w:r>
          </w:p>
        </w:tc>
        <w:tc>
          <w:tcPr>
            <w:tcW w:w="2700" w:type="dxa"/>
            <w:tcBorders/>
          </w:tcPr>
          <w:p>
            <w:pPr>
              <w:pStyle w:val="style4151"/>
              <w:ind w:left="66"/>
              <w:rPr>
                <w:sz w:val="19"/>
              </w:rPr>
            </w:pPr>
            <w:r>
              <w:rPr>
                <w:sz w:val="19"/>
              </w:rPr>
              <w:t>600.</w:t>
            </w:r>
            <w:r>
              <w:rPr>
                <w:spacing w:val="55"/>
                <w:sz w:val="19"/>
              </w:rPr>
              <w:t xml:space="preserve"> </w:t>
            </w:r>
            <w:r>
              <w:rPr>
                <w:sz w:val="19"/>
              </w:rPr>
              <w:t>17.</w:t>
            </w:r>
            <w:r>
              <w:rPr>
                <w:spacing w:val="55"/>
                <w:sz w:val="19"/>
              </w:rPr>
              <w:t xml:space="preserve"> </w:t>
            </w:r>
            <w:r>
              <w:rPr>
                <w:sz w:val="19"/>
              </w:rPr>
              <w:t>1.81134</w:t>
            </w:r>
            <w:r>
              <w:rPr>
                <w:spacing w:val="55"/>
                <w:sz w:val="19"/>
              </w:rPr>
              <w:t xml:space="preserve"> </w:t>
            </w:r>
            <w:r>
              <w:rPr>
                <w:spacing w:val="-2"/>
                <w:sz w:val="19"/>
              </w:rPr>
              <w:t>1.92078</w:t>
            </w:r>
          </w:p>
        </w:tc>
      </w:tr>
      <w:tr>
        <w:tblPrEx/>
        <w:trPr>
          <w:trHeight w:val="275" w:hRule="atLeast"/>
        </w:trPr>
        <w:tc>
          <w:tcPr>
            <w:tcW w:w="2515" w:type="dxa"/>
            <w:tcBorders/>
          </w:tcPr>
          <w:p>
            <w:pPr>
              <w:pStyle w:val="style4151"/>
              <w:ind w:left="67"/>
              <w:rPr>
                <w:sz w:val="19"/>
              </w:rPr>
            </w:pPr>
            <w:r>
              <w:rPr>
                <w:sz w:val="19"/>
              </w:rPr>
              <w:t>16.</w:t>
            </w:r>
            <w:r>
              <w:rPr>
                <w:spacing w:val="79"/>
                <w:w w:val="150"/>
                <w:sz w:val="19"/>
              </w:rPr>
              <w:t xml:space="preserve"> </w:t>
            </w:r>
            <w:r>
              <w:rPr>
                <w:sz w:val="19"/>
              </w:rPr>
              <w:t>3.</w:t>
            </w:r>
            <w:r>
              <w:rPr>
                <w:spacing w:val="53"/>
                <w:sz w:val="19"/>
              </w:rPr>
              <w:t xml:space="preserve"> </w:t>
            </w:r>
            <w:r>
              <w:rPr>
                <w:sz w:val="19"/>
              </w:rPr>
              <w:t>0.98204</w:t>
            </w:r>
            <w:r>
              <w:rPr>
                <w:spacing w:val="53"/>
                <w:sz w:val="19"/>
              </w:rPr>
              <w:t xml:space="preserve"> </w:t>
            </w:r>
            <w:r>
              <w:rPr>
                <w:spacing w:val="-2"/>
                <w:sz w:val="19"/>
              </w:rPr>
              <w:t>1.53860</w:t>
            </w:r>
          </w:p>
        </w:tc>
        <w:tc>
          <w:tcPr>
            <w:tcW w:w="2430" w:type="dxa"/>
            <w:tcBorders/>
          </w:tcPr>
          <w:p>
            <w:pPr>
              <w:pStyle w:val="style4151"/>
              <w:ind w:left="19"/>
              <w:rPr>
                <w:sz w:val="19"/>
              </w:rPr>
            </w:pPr>
            <w:r>
              <w:rPr>
                <w:sz w:val="19"/>
              </w:rPr>
              <w:t>102.</w:t>
            </w:r>
            <w:r>
              <w:rPr>
                <w:spacing w:val="55"/>
                <w:sz w:val="19"/>
              </w:rPr>
              <w:t xml:space="preserve"> </w:t>
            </w:r>
            <w:r>
              <w:rPr>
                <w:sz w:val="19"/>
              </w:rPr>
              <w:t>18.</w:t>
            </w:r>
            <w:r>
              <w:rPr>
                <w:spacing w:val="55"/>
                <w:sz w:val="19"/>
              </w:rPr>
              <w:t xml:space="preserve"> </w:t>
            </w:r>
            <w:r>
              <w:rPr>
                <w:sz w:val="19"/>
              </w:rPr>
              <w:t>1.31122</w:t>
            </w:r>
            <w:r>
              <w:rPr>
                <w:spacing w:val="55"/>
                <w:sz w:val="19"/>
              </w:rPr>
              <w:t xml:space="preserve"> </w:t>
            </w:r>
            <w:r>
              <w:rPr>
                <w:spacing w:val="-2"/>
                <w:sz w:val="19"/>
              </w:rPr>
              <w:t>2.07414</w:t>
            </w:r>
          </w:p>
        </w:tc>
        <w:tc>
          <w:tcPr>
            <w:tcW w:w="2520" w:type="dxa"/>
            <w:tcBorders/>
          </w:tcPr>
          <w:p>
            <w:pPr>
              <w:pStyle w:val="style4151"/>
              <w:rPr>
                <w:sz w:val="19"/>
              </w:rPr>
            </w:pPr>
            <w:r>
              <w:rPr>
                <w:sz w:val="19"/>
              </w:rPr>
              <w:t>220.</w:t>
            </w:r>
            <w:r>
              <w:rPr>
                <w:spacing w:val="55"/>
                <w:sz w:val="19"/>
              </w:rPr>
              <w:t xml:space="preserve"> </w:t>
            </w:r>
            <w:r>
              <w:rPr>
                <w:sz w:val="19"/>
              </w:rPr>
              <w:t>18.</w:t>
            </w:r>
            <w:r>
              <w:rPr>
                <w:spacing w:val="55"/>
                <w:sz w:val="19"/>
              </w:rPr>
              <w:t xml:space="preserve"> </w:t>
            </w:r>
            <w:r>
              <w:rPr>
                <w:sz w:val="19"/>
              </w:rPr>
              <w:t>1.61562</w:t>
            </w:r>
            <w:r>
              <w:rPr>
                <w:spacing w:val="55"/>
                <w:sz w:val="19"/>
              </w:rPr>
              <w:t xml:space="preserve"> </w:t>
            </w:r>
            <w:r>
              <w:rPr>
                <w:spacing w:val="-2"/>
                <w:sz w:val="19"/>
              </w:rPr>
              <w:t>1.94710</w:t>
            </w:r>
          </w:p>
        </w:tc>
        <w:tc>
          <w:tcPr>
            <w:tcW w:w="2700" w:type="dxa"/>
            <w:tcBorders/>
          </w:tcPr>
          <w:p>
            <w:pPr>
              <w:pStyle w:val="style4151"/>
              <w:ind w:left="66"/>
              <w:rPr>
                <w:sz w:val="19"/>
              </w:rPr>
            </w:pPr>
            <w:r>
              <w:rPr>
                <w:sz w:val="19"/>
              </w:rPr>
              <w:t>600.</w:t>
            </w:r>
            <w:r>
              <w:rPr>
                <w:spacing w:val="55"/>
                <w:sz w:val="19"/>
              </w:rPr>
              <w:t xml:space="preserve"> </w:t>
            </w:r>
            <w:r>
              <w:rPr>
                <w:sz w:val="19"/>
              </w:rPr>
              <w:t>18.</w:t>
            </w:r>
            <w:r>
              <w:rPr>
                <w:spacing w:val="55"/>
                <w:sz w:val="19"/>
              </w:rPr>
              <w:t xml:space="preserve"> </w:t>
            </w:r>
            <w:r>
              <w:rPr>
                <w:sz w:val="19"/>
              </w:rPr>
              <w:t>1.80785</w:t>
            </w:r>
            <w:r>
              <w:rPr>
                <w:spacing w:val="55"/>
                <w:sz w:val="19"/>
              </w:rPr>
              <w:t xml:space="preserve"> </w:t>
            </w:r>
            <w:r>
              <w:rPr>
                <w:spacing w:val="-2"/>
                <w:sz w:val="19"/>
              </w:rPr>
              <w:t>1.92431</w:t>
            </w:r>
          </w:p>
        </w:tc>
      </w:tr>
      <w:tr>
        <w:tblPrEx/>
        <w:trPr>
          <w:trHeight w:val="275" w:hRule="atLeast"/>
        </w:trPr>
        <w:tc>
          <w:tcPr>
            <w:tcW w:w="2515" w:type="dxa"/>
            <w:tcBorders/>
          </w:tcPr>
          <w:p>
            <w:pPr>
              <w:pStyle w:val="style4151"/>
              <w:ind w:left="67"/>
              <w:rPr>
                <w:sz w:val="19"/>
              </w:rPr>
            </w:pPr>
            <w:r>
              <w:rPr>
                <w:sz w:val="19"/>
              </w:rPr>
              <w:t>16.</w:t>
            </w:r>
            <w:r>
              <w:rPr>
                <w:spacing w:val="79"/>
                <w:w w:val="150"/>
                <w:sz w:val="19"/>
              </w:rPr>
              <w:t xml:space="preserve"> </w:t>
            </w:r>
            <w:r>
              <w:rPr>
                <w:sz w:val="19"/>
              </w:rPr>
              <w:t>4.</w:t>
            </w:r>
            <w:r>
              <w:rPr>
                <w:spacing w:val="53"/>
                <w:sz w:val="19"/>
              </w:rPr>
              <w:t xml:space="preserve"> </w:t>
            </w:r>
            <w:r>
              <w:rPr>
                <w:sz w:val="19"/>
              </w:rPr>
              <w:t>0.85718</w:t>
            </w:r>
            <w:r>
              <w:rPr>
                <w:spacing w:val="53"/>
                <w:sz w:val="19"/>
              </w:rPr>
              <w:t xml:space="preserve"> </w:t>
            </w:r>
            <w:r>
              <w:rPr>
                <w:spacing w:val="-2"/>
                <w:sz w:val="19"/>
              </w:rPr>
              <w:t>1.72773</w:t>
            </w:r>
          </w:p>
        </w:tc>
        <w:tc>
          <w:tcPr>
            <w:tcW w:w="2430" w:type="dxa"/>
            <w:tcBorders/>
          </w:tcPr>
          <w:p>
            <w:pPr>
              <w:pStyle w:val="style4151"/>
              <w:ind w:left="19"/>
              <w:rPr>
                <w:sz w:val="19"/>
              </w:rPr>
            </w:pPr>
            <w:r>
              <w:rPr>
                <w:sz w:val="19"/>
              </w:rPr>
              <w:t>102.</w:t>
            </w:r>
            <w:r>
              <w:rPr>
                <w:spacing w:val="55"/>
                <w:sz w:val="19"/>
              </w:rPr>
              <w:t xml:space="preserve"> </w:t>
            </w:r>
            <w:r>
              <w:rPr>
                <w:sz w:val="19"/>
              </w:rPr>
              <w:t>19.</w:t>
            </w:r>
            <w:r>
              <w:rPr>
                <w:spacing w:val="55"/>
                <w:sz w:val="19"/>
              </w:rPr>
              <w:t xml:space="preserve"> </w:t>
            </w:r>
            <w:r>
              <w:rPr>
                <w:sz w:val="19"/>
              </w:rPr>
              <w:t>1.28809</w:t>
            </w:r>
            <w:r>
              <w:rPr>
                <w:spacing w:val="55"/>
                <w:sz w:val="19"/>
              </w:rPr>
              <w:t xml:space="preserve"> </w:t>
            </w:r>
            <w:r>
              <w:rPr>
                <w:spacing w:val="-2"/>
                <w:sz w:val="19"/>
              </w:rPr>
              <w:t>2.10092</w:t>
            </w:r>
          </w:p>
        </w:tc>
        <w:tc>
          <w:tcPr>
            <w:tcW w:w="2520" w:type="dxa"/>
            <w:tcBorders/>
          </w:tcPr>
          <w:p>
            <w:pPr>
              <w:pStyle w:val="style4151"/>
              <w:rPr>
                <w:sz w:val="19"/>
              </w:rPr>
            </w:pPr>
            <w:r>
              <w:rPr>
                <w:sz w:val="19"/>
              </w:rPr>
              <w:t>220.</w:t>
            </w:r>
            <w:r>
              <w:rPr>
                <w:spacing w:val="55"/>
                <w:sz w:val="19"/>
              </w:rPr>
              <w:t xml:space="preserve"> </w:t>
            </w:r>
            <w:r>
              <w:rPr>
                <w:sz w:val="19"/>
              </w:rPr>
              <w:t>19.</w:t>
            </w:r>
            <w:r>
              <w:rPr>
                <w:spacing w:val="55"/>
                <w:sz w:val="19"/>
              </w:rPr>
              <w:t xml:space="preserve"> </w:t>
            </w:r>
            <w:r>
              <w:rPr>
                <w:sz w:val="19"/>
              </w:rPr>
              <w:t>1.60547</w:t>
            </w:r>
            <w:r>
              <w:rPr>
                <w:spacing w:val="55"/>
                <w:sz w:val="19"/>
              </w:rPr>
              <w:t xml:space="preserve"> </w:t>
            </w:r>
            <w:r>
              <w:rPr>
                <w:spacing w:val="-2"/>
                <w:sz w:val="19"/>
              </w:rPr>
              <w:t>1.95776</w:t>
            </w:r>
          </w:p>
        </w:tc>
        <w:tc>
          <w:tcPr>
            <w:tcW w:w="2700" w:type="dxa"/>
            <w:tcBorders/>
          </w:tcPr>
          <w:p>
            <w:pPr>
              <w:pStyle w:val="style4151"/>
              <w:ind w:left="66"/>
              <w:rPr>
                <w:sz w:val="19"/>
              </w:rPr>
            </w:pPr>
            <w:r>
              <w:rPr>
                <w:sz w:val="19"/>
              </w:rPr>
              <w:t>600.</w:t>
            </w:r>
            <w:r>
              <w:rPr>
                <w:spacing w:val="55"/>
                <w:sz w:val="19"/>
              </w:rPr>
              <w:t xml:space="preserve"> </w:t>
            </w:r>
            <w:r>
              <w:rPr>
                <w:sz w:val="19"/>
              </w:rPr>
              <w:t>19.</w:t>
            </w:r>
            <w:r>
              <w:rPr>
                <w:spacing w:val="55"/>
                <w:sz w:val="19"/>
              </w:rPr>
              <w:t xml:space="preserve"> </w:t>
            </w:r>
            <w:r>
              <w:rPr>
                <w:sz w:val="19"/>
              </w:rPr>
              <w:t>1.80435</w:t>
            </w:r>
            <w:r>
              <w:rPr>
                <w:spacing w:val="55"/>
                <w:sz w:val="19"/>
              </w:rPr>
              <w:t xml:space="preserve"> </w:t>
            </w:r>
            <w:r>
              <w:rPr>
                <w:spacing w:val="-2"/>
                <w:sz w:val="19"/>
              </w:rPr>
              <w:t>1.92786</w:t>
            </w:r>
          </w:p>
        </w:tc>
      </w:tr>
      <w:tr>
        <w:tblPrEx/>
        <w:trPr>
          <w:trHeight w:val="275" w:hRule="atLeast"/>
        </w:trPr>
        <w:tc>
          <w:tcPr>
            <w:tcW w:w="2515" w:type="dxa"/>
            <w:tcBorders/>
          </w:tcPr>
          <w:p>
            <w:pPr>
              <w:pStyle w:val="style4151"/>
              <w:ind w:left="67"/>
              <w:rPr>
                <w:sz w:val="19"/>
              </w:rPr>
            </w:pPr>
            <w:r>
              <w:rPr>
                <w:sz w:val="19"/>
              </w:rPr>
              <w:t>16.</w:t>
            </w:r>
            <w:r>
              <w:rPr>
                <w:spacing w:val="79"/>
                <w:w w:val="150"/>
                <w:sz w:val="19"/>
              </w:rPr>
              <w:t xml:space="preserve"> </w:t>
            </w:r>
            <w:r>
              <w:rPr>
                <w:sz w:val="19"/>
              </w:rPr>
              <w:t>5.</w:t>
            </w:r>
            <w:r>
              <w:rPr>
                <w:spacing w:val="53"/>
                <w:sz w:val="19"/>
              </w:rPr>
              <w:t xml:space="preserve"> </w:t>
            </w:r>
            <w:r>
              <w:rPr>
                <w:sz w:val="19"/>
              </w:rPr>
              <w:t>0.73400</w:t>
            </w:r>
            <w:r>
              <w:rPr>
                <w:spacing w:val="53"/>
                <w:sz w:val="19"/>
              </w:rPr>
              <w:t xml:space="preserve"> </w:t>
            </w:r>
            <w:r>
              <w:rPr>
                <w:spacing w:val="-2"/>
                <w:sz w:val="19"/>
              </w:rPr>
              <w:t>1.93506</w:t>
            </w:r>
          </w:p>
        </w:tc>
        <w:tc>
          <w:tcPr>
            <w:tcW w:w="2430" w:type="dxa"/>
            <w:tcBorders/>
          </w:tcPr>
          <w:p>
            <w:pPr>
              <w:pStyle w:val="style4151"/>
              <w:ind w:left="19"/>
              <w:rPr>
                <w:sz w:val="19"/>
              </w:rPr>
            </w:pPr>
            <w:r>
              <w:rPr>
                <w:sz w:val="19"/>
              </w:rPr>
              <w:t>102.</w:t>
            </w:r>
            <w:r>
              <w:rPr>
                <w:spacing w:val="55"/>
                <w:sz w:val="19"/>
              </w:rPr>
              <w:t xml:space="preserve"> </w:t>
            </w:r>
            <w:r>
              <w:rPr>
                <w:sz w:val="19"/>
              </w:rPr>
              <w:t>20.</w:t>
            </w:r>
            <w:r>
              <w:rPr>
                <w:spacing w:val="55"/>
                <w:sz w:val="19"/>
              </w:rPr>
              <w:t xml:space="preserve"> </w:t>
            </w:r>
            <w:r>
              <w:rPr>
                <w:sz w:val="19"/>
              </w:rPr>
              <w:t>1.26486</w:t>
            </w:r>
            <w:r>
              <w:rPr>
                <w:spacing w:val="55"/>
                <w:sz w:val="19"/>
              </w:rPr>
              <w:t xml:space="preserve"> </w:t>
            </w:r>
            <w:r>
              <w:rPr>
                <w:spacing w:val="-2"/>
                <w:sz w:val="19"/>
              </w:rPr>
              <w:t>2.12800</w:t>
            </w:r>
          </w:p>
        </w:tc>
        <w:tc>
          <w:tcPr>
            <w:tcW w:w="2520" w:type="dxa"/>
            <w:tcBorders/>
          </w:tcPr>
          <w:p>
            <w:pPr>
              <w:pStyle w:val="style4151"/>
              <w:rPr>
                <w:sz w:val="19"/>
              </w:rPr>
            </w:pPr>
            <w:r>
              <w:rPr>
                <w:sz w:val="19"/>
              </w:rPr>
              <w:t>220.</w:t>
            </w:r>
            <w:r>
              <w:rPr>
                <w:spacing w:val="55"/>
                <w:sz w:val="19"/>
              </w:rPr>
              <w:t xml:space="preserve"> </w:t>
            </w:r>
            <w:r>
              <w:rPr>
                <w:sz w:val="19"/>
              </w:rPr>
              <w:t>20.</w:t>
            </w:r>
            <w:r>
              <w:rPr>
                <w:spacing w:val="55"/>
                <w:sz w:val="19"/>
              </w:rPr>
              <w:t xml:space="preserve"> </w:t>
            </w:r>
            <w:r>
              <w:rPr>
                <w:sz w:val="19"/>
              </w:rPr>
              <w:t>1.59527</w:t>
            </w:r>
            <w:r>
              <w:rPr>
                <w:spacing w:val="55"/>
                <w:sz w:val="19"/>
              </w:rPr>
              <w:t xml:space="preserve"> </w:t>
            </w:r>
            <w:r>
              <w:rPr>
                <w:spacing w:val="-2"/>
                <w:sz w:val="19"/>
              </w:rPr>
              <w:t>1.96852</w:t>
            </w:r>
          </w:p>
        </w:tc>
        <w:tc>
          <w:tcPr>
            <w:tcW w:w="2700" w:type="dxa"/>
            <w:tcBorders/>
          </w:tcPr>
          <w:p>
            <w:pPr>
              <w:pStyle w:val="style4151"/>
              <w:ind w:left="66"/>
              <w:rPr>
                <w:sz w:val="19"/>
              </w:rPr>
            </w:pPr>
            <w:r>
              <w:rPr>
                <w:sz w:val="19"/>
              </w:rPr>
              <w:t>600.</w:t>
            </w:r>
            <w:r>
              <w:rPr>
                <w:spacing w:val="55"/>
                <w:sz w:val="19"/>
              </w:rPr>
              <w:t xml:space="preserve"> </w:t>
            </w:r>
            <w:r>
              <w:rPr>
                <w:sz w:val="19"/>
              </w:rPr>
              <w:t>20.</w:t>
            </w:r>
            <w:r>
              <w:rPr>
                <w:spacing w:val="55"/>
                <w:sz w:val="19"/>
              </w:rPr>
              <w:t xml:space="preserve"> </w:t>
            </w:r>
            <w:r>
              <w:rPr>
                <w:sz w:val="19"/>
              </w:rPr>
              <w:t>1.80085</w:t>
            </w:r>
            <w:r>
              <w:rPr>
                <w:spacing w:val="55"/>
                <w:sz w:val="19"/>
              </w:rPr>
              <w:t xml:space="preserve"> </w:t>
            </w:r>
            <w:r>
              <w:rPr>
                <w:spacing w:val="-2"/>
                <w:sz w:val="19"/>
              </w:rPr>
              <w:t>1.93141</w:t>
            </w:r>
          </w:p>
        </w:tc>
      </w:tr>
      <w:tr>
        <w:tblPrEx/>
        <w:trPr>
          <w:trHeight w:val="275" w:hRule="atLeast"/>
        </w:trPr>
        <w:tc>
          <w:tcPr>
            <w:tcW w:w="2515" w:type="dxa"/>
            <w:tcBorders/>
          </w:tcPr>
          <w:p>
            <w:pPr>
              <w:pStyle w:val="style4151"/>
              <w:ind w:left="67"/>
              <w:rPr>
                <w:sz w:val="19"/>
              </w:rPr>
            </w:pPr>
            <w:r>
              <w:rPr>
                <w:sz w:val="19"/>
              </w:rPr>
              <w:t>16.</w:t>
            </w:r>
            <w:r>
              <w:rPr>
                <w:spacing w:val="79"/>
                <w:w w:val="150"/>
                <w:sz w:val="19"/>
              </w:rPr>
              <w:t xml:space="preserve"> </w:t>
            </w:r>
            <w:r>
              <w:rPr>
                <w:sz w:val="19"/>
              </w:rPr>
              <w:t>6.</w:t>
            </w:r>
            <w:r>
              <w:rPr>
                <w:spacing w:val="53"/>
                <w:sz w:val="19"/>
              </w:rPr>
              <w:t xml:space="preserve"> </w:t>
            </w:r>
            <w:r>
              <w:rPr>
                <w:sz w:val="19"/>
              </w:rPr>
              <w:t>0.61495</w:t>
            </w:r>
            <w:r>
              <w:rPr>
                <w:spacing w:val="53"/>
                <w:sz w:val="19"/>
              </w:rPr>
              <w:t xml:space="preserve"> </w:t>
            </w:r>
            <w:r>
              <w:rPr>
                <w:spacing w:val="-2"/>
                <w:sz w:val="19"/>
              </w:rPr>
              <w:t>2.15672</w:t>
            </w:r>
          </w:p>
        </w:tc>
        <w:tc>
          <w:tcPr>
            <w:tcW w:w="2430" w:type="dxa"/>
            <w:tcBorders/>
          </w:tcPr>
          <w:p>
            <w:pPr>
              <w:pStyle w:val="style4151"/>
              <w:ind w:left="19"/>
              <w:rPr>
                <w:sz w:val="19"/>
              </w:rPr>
            </w:pPr>
            <w:r>
              <w:rPr>
                <w:sz w:val="19"/>
              </w:rPr>
              <w:t>102.</w:t>
            </w:r>
            <w:r>
              <w:rPr>
                <w:spacing w:val="55"/>
                <w:sz w:val="19"/>
              </w:rPr>
              <w:t xml:space="preserve"> </w:t>
            </w:r>
            <w:r>
              <w:rPr>
                <w:sz w:val="19"/>
              </w:rPr>
              <w:t>21.</w:t>
            </w:r>
            <w:r>
              <w:rPr>
                <w:spacing w:val="55"/>
                <w:sz w:val="19"/>
              </w:rPr>
              <w:t xml:space="preserve"> </w:t>
            </w:r>
            <w:r>
              <w:rPr>
                <w:sz w:val="19"/>
              </w:rPr>
              <w:t>1.24154</w:t>
            </w:r>
            <w:r>
              <w:rPr>
                <w:spacing w:val="55"/>
                <w:sz w:val="19"/>
              </w:rPr>
              <w:t xml:space="preserve"> </w:t>
            </w:r>
            <w:r>
              <w:rPr>
                <w:spacing w:val="-2"/>
                <w:sz w:val="19"/>
              </w:rPr>
              <w:t>2.15540</w:t>
            </w:r>
          </w:p>
        </w:tc>
        <w:tc>
          <w:tcPr>
            <w:tcW w:w="2520" w:type="dxa"/>
            <w:tcBorders/>
          </w:tcPr>
          <w:p>
            <w:pPr>
              <w:pStyle w:val="style4151"/>
              <w:rPr>
                <w:sz w:val="19"/>
              </w:rPr>
            </w:pPr>
            <w:r>
              <w:rPr>
                <w:sz w:val="19"/>
              </w:rPr>
              <w:t>220.</w:t>
            </w:r>
            <w:r>
              <w:rPr>
                <w:spacing w:val="55"/>
                <w:sz w:val="19"/>
              </w:rPr>
              <w:t xml:space="preserve"> </w:t>
            </w:r>
            <w:r>
              <w:rPr>
                <w:sz w:val="19"/>
              </w:rPr>
              <w:t>21.</w:t>
            </w:r>
            <w:r>
              <w:rPr>
                <w:spacing w:val="55"/>
                <w:sz w:val="19"/>
              </w:rPr>
              <w:t xml:space="preserve"> </w:t>
            </w:r>
            <w:r>
              <w:rPr>
                <w:sz w:val="19"/>
              </w:rPr>
              <w:t>1.58503</w:t>
            </w:r>
            <w:r>
              <w:rPr>
                <w:spacing w:val="55"/>
                <w:sz w:val="19"/>
              </w:rPr>
              <w:t xml:space="preserve"> </w:t>
            </w:r>
            <w:r>
              <w:rPr>
                <w:spacing w:val="-2"/>
                <w:sz w:val="19"/>
              </w:rPr>
              <w:t>1.97935</w:t>
            </w:r>
          </w:p>
        </w:tc>
        <w:tc>
          <w:tcPr>
            <w:tcW w:w="2700" w:type="dxa"/>
            <w:tcBorders/>
          </w:tcPr>
          <w:p>
            <w:pPr>
              <w:pStyle w:val="style4151"/>
              <w:ind w:left="66"/>
              <w:rPr>
                <w:sz w:val="19"/>
              </w:rPr>
            </w:pPr>
            <w:r>
              <w:rPr>
                <w:sz w:val="19"/>
              </w:rPr>
              <w:t>600.</w:t>
            </w:r>
            <w:r>
              <w:rPr>
                <w:spacing w:val="55"/>
                <w:sz w:val="19"/>
              </w:rPr>
              <w:t xml:space="preserve"> </w:t>
            </w:r>
            <w:r>
              <w:rPr>
                <w:sz w:val="19"/>
              </w:rPr>
              <w:t>21.</w:t>
            </w:r>
            <w:r>
              <w:rPr>
                <w:spacing w:val="55"/>
                <w:sz w:val="19"/>
              </w:rPr>
              <w:t xml:space="preserve"> </w:t>
            </w:r>
            <w:r>
              <w:rPr>
                <w:sz w:val="19"/>
              </w:rPr>
              <w:t>1.79733</w:t>
            </w:r>
            <w:r>
              <w:rPr>
                <w:spacing w:val="55"/>
                <w:sz w:val="19"/>
              </w:rPr>
              <w:t xml:space="preserve"> </w:t>
            </w:r>
            <w:r>
              <w:rPr>
                <w:spacing w:val="-2"/>
                <w:sz w:val="19"/>
              </w:rPr>
              <w:t>1.93497</w:t>
            </w:r>
          </w:p>
        </w:tc>
      </w:tr>
      <w:tr>
        <w:tblPrEx/>
        <w:trPr>
          <w:trHeight w:val="275" w:hRule="atLeast"/>
        </w:trPr>
        <w:tc>
          <w:tcPr>
            <w:tcW w:w="2515" w:type="dxa"/>
            <w:tcBorders/>
          </w:tcPr>
          <w:p>
            <w:pPr>
              <w:pStyle w:val="style4151"/>
              <w:ind w:left="67"/>
              <w:rPr>
                <w:sz w:val="19"/>
              </w:rPr>
            </w:pPr>
            <w:r>
              <w:rPr>
                <w:sz w:val="19"/>
              </w:rPr>
              <w:t>16.</w:t>
            </w:r>
            <w:r>
              <w:rPr>
                <w:spacing w:val="79"/>
                <w:w w:val="150"/>
                <w:sz w:val="19"/>
              </w:rPr>
              <w:t xml:space="preserve"> </w:t>
            </w:r>
            <w:r>
              <w:rPr>
                <w:sz w:val="19"/>
              </w:rPr>
              <w:t>7.</w:t>
            </w:r>
            <w:r>
              <w:rPr>
                <w:spacing w:val="53"/>
                <w:sz w:val="19"/>
              </w:rPr>
              <w:t xml:space="preserve"> </w:t>
            </w:r>
            <w:r>
              <w:rPr>
                <w:sz w:val="19"/>
              </w:rPr>
              <w:t>0.50223</w:t>
            </w:r>
            <w:r>
              <w:rPr>
                <w:spacing w:val="53"/>
                <w:sz w:val="19"/>
              </w:rPr>
              <w:t xml:space="preserve"> </w:t>
            </w:r>
            <w:r>
              <w:rPr>
                <w:spacing w:val="-2"/>
                <w:sz w:val="19"/>
              </w:rPr>
              <w:t>2.38813</w:t>
            </w:r>
          </w:p>
        </w:tc>
        <w:tc>
          <w:tcPr>
            <w:tcW w:w="2430" w:type="dxa"/>
            <w:tcBorders/>
          </w:tcPr>
          <w:p>
            <w:pPr>
              <w:pStyle w:val="style4151"/>
              <w:ind w:left="19"/>
              <w:rPr>
                <w:sz w:val="19"/>
              </w:rPr>
            </w:pPr>
            <w:r>
              <w:rPr>
                <w:sz w:val="19"/>
              </w:rPr>
              <w:t>103.</w:t>
            </w:r>
            <w:r>
              <w:rPr>
                <w:spacing w:val="28"/>
                <w:sz w:val="19"/>
              </w:rPr>
              <w:t xml:space="preserve">  </w:t>
            </w:r>
            <w:r>
              <w:rPr>
                <w:sz w:val="19"/>
              </w:rPr>
              <w:t>2.</w:t>
            </w:r>
            <w:r>
              <w:rPr>
                <w:spacing w:val="53"/>
                <w:sz w:val="19"/>
              </w:rPr>
              <w:t xml:space="preserve"> </w:t>
            </w:r>
            <w:r>
              <w:rPr>
                <w:sz w:val="19"/>
              </w:rPr>
              <w:t>1.65932</w:t>
            </w:r>
            <w:r>
              <w:rPr>
                <w:spacing w:val="54"/>
                <w:sz w:val="19"/>
              </w:rPr>
              <w:t xml:space="preserve"> </w:t>
            </w:r>
            <w:r>
              <w:rPr>
                <w:spacing w:val="-2"/>
                <w:sz w:val="19"/>
              </w:rPr>
              <w:t>1.69848</w:t>
            </w:r>
          </w:p>
        </w:tc>
        <w:tc>
          <w:tcPr>
            <w:tcW w:w="2520" w:type="dxa"/>
            <w:tcBorders/>
          </w:tcPr>
          <w:p>
            <w:pPr>
              <w:pStyle w:val="style4151"/>
              <w:rPr>
                <w:sz w:val="19"/>
              </w:rPr>
            </w:pPr>
            <w:r>
              <w:rPr>
                <w:sz w:val="19"/>
              </w:rPr>
              <w:t>230.</w:t>
            </w:r>
            <w:r>
              <w:rPr>
                <w:spacing w:val="28"/>
                <w:sz w:val="19"/>
              </w:rPr>
              <w:t xml:space="preserve">  </w:t>
            </w:r>
            <w:r>
              <w:rPr>
                <w:sz w:val="19"/>
              </w:rPr>
              <w:t>2.</w:t>
            </w:r>
            <w:r>
              <w:rPr>
                <w:spacing w:val="53"/>
                <w:sz w:val="19"/>
              </w:rPr>
              <w:t xml:space="preserve"> </w:t>
            </w:r>
            <w:r>
              <w:rPr>
                <w:sz w:val="19"/>
              </w:rPr>
              <w:t>1.77525</w:t>
            </w:r>
            <w:r>
              <w:rPr>
                <w:spacing w:val="54"/>
                <w:sz w:val="19"/>
              </w:rPr>
              <w:t xml:space="preserve"> </w:t>
            </w:r>
            <w:r>
              <w:rPr>
                <w:spacing w:val="-2"/>
                <w:sz w:val="19"/>
              </w:rPr>
              <w:t>1.79270</w:t>
            </w:r>
          </w:p>
        </w:tc>
        <w:tc>
          <w:tcPr>
            <w:tcW w:w="2700" w:type="dxa"/>
            <w:tcBorders/>
          </w:tcPr>
          <w:p>
            <w:pPr>
              <w:pStyle w:val="style4151"/>
              <w:ind w:left="66"/>
              <w:rPr>
                <w:sz w:val="19"/>
              </w:rPr>
            </w:pPr>
            <w:r>
              <w:rPr>
                <w:sz w:val="19"/>
              </w:rPr>
              <w:t>650.</w:t>
            </w:r>
            <w:r>
              <w:rPr>
                <w:spacing w:val="28"/>
                <w:sz w:val="19"/>
              </w:rPr>
              <w:t xml:space="preserve">  </w:t>
            </w:r>
            <w:r>
              <w:rPr>
                <w:sz w:val="19"/>
              </w:rPr>
              <w:t>2.</w:t>
            </w:r>
            <w:r>
              <w:rPr>
                <w:spacing w:val="53"/>
                <w:sz w:val="19"/>
              </w:rPr>
              <w:t xml:space="preserve"> </w:t>
            </w:r>
            <w:r>
              <w:rPr>
                <w:sz w:val="19"/>
              </w:rPr>
              <w:t>1.86807</w:t>
            </w:r>
            <w:r>
              <w:rPr>
                <w:spacing w:val="54"/>
                <w:sz w:val="19"/>
              </w:rPr>
              <w:t xml:space="preserve"> </w:t>
            </w:r>
            <w:r>
              <w:rPr>
                <w:spacing w:val="-2"/>
                <w:sz w:val="19"/>
              </w:rPr>
              <w:t>1.87423</w:t>
            </w:r>
          </w:p>
        </w:tc>
      </w:tr>
      <w:tr>
        <w:tblPrEx/>
        <w:trPr>
          <w:trHeight w:val="275" w:hRule="atLeast"/>
        </w:trPr>
        <w:tc>
          <w:tcPr>
            <w:tcW w:w="2515" w:type="dxa"/>
            <w:tcBorders/>
          </w:tcPr>
          <w:p>
            <w:pPr>
              <w:pStyle w:val="style4151"/>
              <w:ind w:left="67"/>
              <w:rPr>
                <w:sz w:val="19"/>
              </w:rPr>
            </w:pPr>
            <w:r>
              <w:rPr>
                <w:sz w:val="19"/>
              </w:rPr>
              <w:t>16.</w:t>
            </w:r>
            <w:r>
              <w:rPr>
                <w:spacing w:val="79"/>
                <w:w w:val="150"/>
                <w:sz w:val="19"/>
              </w:rPr>
              <w:t xml:space="preserve"> </w:t>
            </w:r>
            <w:r>
              <w:rPr>
                <w:sz w:val="19"/>
              </w:rPr>
              <w:t>8.</w:t>
            </w:r>
            <w:r>
              <w:rPr>
                <w:spacing w:val="53"/>
                <w:sz w:val="19"/>
              </w:rPr>
              <w:t xml:space="preserve"> </w:t>
            </w:r>
            <w:r>
              <w:rPr>
                <w:sz w:val="19"/>
              </w:rPr>
              <w:t>0.39805</w:t>
            </w:r>
            <w:r>
              <w:rPr>
                <w:spacing w:val="53"/>
                <w:sz w:val="19"/>
              </w:rPr>
              <w:t xml:space="preserve"> </w:t>
            </w:r>
            <w:r>
              <w:rPr>
                <w:spacing w:val="-2"/>
                <w:sz w:val="19"/>
              </w:rPr>
              <w:t>2.62409</w:t>
            </w:r>
          </w:p>
        </w:tc>
        <w:tc>
          <w:tcPr>
            <w:tcW w:w="2430" w:type="dxa"/>
            <w:tcBorders/>
          </w:tcPr>
          <w:p>
            <w:pPr>
              <w:pStyle w:val="style4151"/>
              <w:ind w:left="19"/>
              <w:rPr>
                <w:sz w:val="19"/>
              </w:rPr>
            </w:pPr>
            <w:r>
              <w:rPr>
                <w:sz w:val="19"/>
              </w:rPr>
              <w:t>103.</w:t>
            </w:r>
            <w:r>
              <w:rPr>
                <w:spacing w:val="28"/>
                <w:sz w:val="19"/>
              </w:rPr>
              <w:t xml:space="preserve">  </w:t>
            </w:r>
            <w:r>
              <w:rPr>
                <w:sz w:val="19"/>
              </w:rPr>
              <w:t>3.</w:t>
            </w:r>
            <w:r>
              <w:rPr>
                <w:spacing w:val="53"/>
                <w:sz w:val="19"/>
              </w:rPr>
              <w:t xml:space="preserve"> </w:t>
            </w:r>
            <w:r>
              <w:rPr>
                <w:sz w:val="19"/>
              </w:rPr>
              <w:t>1.63956</w:t>
            </w:r>
            <w:r>
              <w:rPr>
                <w:spacing w:val="54"/>
                <w:sz w:val="19"/>
              </w:rPr>
              <w:t xml:space="preserve"> </w:t>
            </w:r>
            <w:r>
              <w:rPr>
                <w:spacing w:val="-2"/>
                <w:sz w:val="19"/>
              </w:rPr>
              <w:t>1.71863</w:t>
            </w:r>
          </w:p>
        </w:tc>
        <w:tc>
          <w:tcPr>
            <w:tcW w:w="2520" w:type="dxa"/>
            <w:tcBorders/>
          </w:tcPr>
          <w:p>
            <w:pPr>
              <w:pStyle w:val="style4151"/>
              <w:rPr>
                <w:sz w:val="19"/>
              </w:rPr>
            </w:pPr>
            <w:r>
              <w:rPr>
                <w:sz w:val="19"/>
              </w:rPr>
              <w:t>230.</w:t>
            </w:r>
            <w:r>
              <w:rPr>
                <w:spacing w:val="28"/>
                <w:sz w:val="19"/>
              </w:rPr>
              <w:t xml:space="preserve">  </w:t>
            </w:r>
            <w:r>
              <w:rPr>
                <w:sz w:val="19"/>
              </w:rPr>
              <w:t>3.</w:t>
            </w:r>
            <w:r>
              <w:rPr>
                <w:spacing w:val="53"/>
                <w:sz w:val="19"/>
              </w:rPr>
              <w:t xml:space="preserve"> </w:t>
            </w:r>
            <w:r>
              <w:rPr>
                <w:sz w:val="19"/>
              </w:rPr>
              <w:t>1.76647</w:t>
            </w:r>
            <w:r>
              <w:rPr>
                <w:spacing w:val="54"/>
                <w:sz w:val="19"/>
              </w:rPr>
              <w:t xml:space="preserve"> </w:t>
            </w:r>
            <w:r>
              <w:rPr>
                <w:spacing w:val="-2"/>
                <w:sz w:val="19"/>
              </w:rPr>
              <w:t>1.80154</w:t>
            </w:r>
          </w:p>
        </w:tc>
        <w:tc>
          <w:tcPr>
            <w:tcW w:w="2700" w:type="dxa"/>
            <w:tcBorders/>
          </w:tcPr>
          <w:p>
            <w:pPr>
              <w:pStyle w:val="style4151"/>
              <w:ind w:left="66"/>
              <w:rPr>
                <w:sz w:val="19"/>
              </w:rPr>
            </w:pPr>
            <w:r>
              <w:rPr>
                <w:sz w:val="19"/>
              </w:rPr>
              <w:t>650.</w:t>
            </w:r>
            <w:r>
              <w:rPr>
                <w:spacing w:val="28"/>
                <w:sz w:val="19"/>
              </w:rPr>
              <w:t xml:space="preserve">  </w:t>
            </w:r>
            <w:r>
              <w:rPr>
                <w:sz w:val="19"/>
              </w:rPr>
              <w:t>3.</w:t>
            </w:r>
            <w:r>
              <w:rPr>
                <w:spacing w:val="53"/>
                <w:sz w:val="19"/>
              </w:rPr>
              <w:t xml:space="preserve"> </w:t>
            </w:r>
            <w:r>
              <w:rPr>
                <w:sz w:val="19"/>
              </w:rPr>
              <w:t>1.86498</w:t>
            </w:r>
            <w:r>
              <w:rPr>
                <w:spacing w:val="54"/>
                <w:sz w:val="19"/>
              </w:rPr>
              <w:t xml:space="preserve"> </w:t>
            </w:r>
            <w:r>
              <w:rPr>
                <w:spacing w:val="-2"/>
                <w:sz w:val="19"/>
              </w:rPr>
              <w:t>1.87733</w:t>
            </w:r>
          </w:p>
        </w:tc>
      </w:tr>
      <w:tr>
        <w:tblPrEx/>
        <w:trPr>
          <w:trHeight w:val="275" w:hRule="atLeast"/>
        </w:trPr>
        <w:tc>
          <w:tcPr>
            <w:tcW w:w="2515" w:type="dxa"/>
            <w:tcBorders/>
          </w:tcPr>
          <w:p>
            <w:pPr>
              <w:pStyle w:val="style4151"/>
              <w:ind w:left="67"/>
              <w:rPr>
                <w:sz w:val="19"/>
              </w:rPr>
            </w:pPr>
            <w:r>
              <w:rPr>
                <w:sz w:val="19"/>
              </w:rPr>
              <w:t>16.</w:t>
            </w:r>
            <w:r>
              <w:rPr>
                <w:spacing w:val="79"/>
                <w:w w:val="150"/>
                <w:sz w:val="19"/>
              </w:rPr>
              <w:t xml:space="preserve"> </w:t>
            </w:r>
            <w:r>
              <w:rPr>
                <w:sz w:val="19"/>
              </w:rPr>
              <w:t>9.</w:t>
            </w:r>
            <w:r>
              <w:rPr>
                <w:spacing w:val="53"/>
                <w:sz w:val="19"/>
              </w:rPr>
              <w:t xml:space="preserve"> </w:t>
            </w:r>
            <w:r>
              <w:rPr>
                <w:sz w:val="19"/>
              </w:rPr>
              <w:t>0.30433</w:t>
            </w:r>
            <w:r>
              <w:rPr>
                <w:spacing w:val="53"/>
                <w:sz w:val="19"/>
              </w:rPr>
              <w:t xml:space="preserve"> </w:t>
            </w:r>
            <w:r>
              <w:rPr>
                <w:spacing w:val="-2"/>
                <w:sz w:val="19"/>
              </w:rPr>
              <w:t>2.86009</w:t>
            </w:r>
          </w:p>
        </w:tc>
        <w:tc>
          <w:tcPr>
            <w:tcW w:w="2430" w:type="dxa"/>
            <w:tcBorders/>
          </w:tcPr>
          <w:p>
            <w:pPr>
              <w:pStyle w:val="style4151"/>
              <w:ind w:left="19"/>
              <w:rPr>
                <w:sz w:val="19"/>
              </w:rPr>
            </w:pPr>
            <w:r>
              <w:rPr>
                <w:sz w:val="19"/>
              </w:rPr>
              <w:t>103.</w:t>
            </w:r>
            <w:r>
              <w:rPr>
                <w:spacing w:val="28"/>
                <w:sz w:val="19"/>
              </w:rPr>
              <w:t xml:space="preserve">  </w:t>
            </w:r>
            <w:r>
              <w:rPr>
                <w:sz w:val="19"/>
              </w:rPr>
              <w:t>4.</w:t>
            </w:r>
            <w:r>
              <w:rPr>
                <w:spacing w:val="53"/>
                <w:sz w:val="19"/>
              </w:rPr>
              <w:t xml:space="preserve"> </w:t>
            </w:r>
            <w:r>
              <w:rPr>
                <w:sz w:val="19"/>
              </w:rPr>
              <w:t>1.61955</w:t>
            </w:r>
            <w:r>
              <w:rPr>
                <w:spacing w:val="54"/>
                <w:sz w:val="19"/>
              </w:rPr>
              <w:t xml:space="preserve"> </w:t>
            </w:r>
            <w:r>
              <w:rPr>
                <w:spacing w:val="-2"/>
                <w:sz w:val="19"/>
              </w:rPr>
              <w:t>1.73924</w:t>
            </w:r>
          </w:p>
        </w:tc>
        <w:tc>
          <w:tcPr>
            <w:tcW w:w="2520" w:type="dxa"/>
            <w:tcBorders/>
          </w:tcPr>
          <w:p>
            <w:pPr>
              <w:pStyle w:val="style4151"/>
              <w:rPr>
                <w:sz w:val="19"/>
              </w:rPr>
            </w:pPr>
            <w:r>
              <w:rPr>
                <w:sz w:val="19"/>
              </w:rPr>
              <w:t>230.</w:t>
            </w:r>
            <w:r>
              <w:rPr>
                <w:spacing w:val="28"/>
                <w:sz w:val="19"/>
              </w:rPr>
              <w:t xml:space="preserve">  </w:t>
            </w:r>
            <w:r>
              <w:rPr>
                <w:sz w:val="19"/>
              </w:rPr>
              <w:t>4.</w:t>
            </w:r>
            <w:r>
              <w:rPr>
                <w:spacing w:val="53"/>
                <w:sz w:val="19"/>
              </w:rPr>
              <w:t xml:space="preserve"> </w:t>
            </w:r>
            <w:r>
              <w:rPr>
                <w:sz w:val="19"/>
              </w:rPr>
              <w:t>1.75763</w:t>
            </w:r>
            <w:r>
              <w:rPr>
                <w:spacing w:val="54"/>
                <w:sz w:val="19"/>
              </w:rPr>
              <w:t xml:space="preserve"> </w:t>
            </w:r>
            <w:r>
              <w:rPr>
                <w:spacing w:val="-2"/>
                <w:sz w:val="19"/>
              </w:rPr>
              <w:t>1.81045</w:t>
            </w:r>
          </w:p>
        </w:tc>
        <w:tc>
          <w:tcPr>
            <w:tcW w:w="2700" w:type="dxa"/>
            <w:tcBorders/>
          </w:tcPr>
          <w:p>
            <w:pPr>
              <w:pStyle w:val="style4151"/>
              <w:ind w:left="66"/>
              <w:rPr>
                <w:sz w:val="19"/>
              </w:rPr>
            </w:pPr>
            <w:r>
              <w:rPr>
                <w:sz w:val="19"/>
              </w:rPr>
              <w:t>650.</w:t>
            </w:r>
            <w:r>
              <w:rPr>
                <w:spacing w:val="28"/>
                <w:sz w:val="19"/>
              </w:rPr>
              <w:t xml:space="preserve">  </w:t>
            </w:r>
            <w:r>
              <w:rPr>
                <w:sz w:val="19"/>
              </w:rPr>
              <w:t>4.</w:t>
            </w:r>
            <w:r>
              <w:rPr>
                <w:spacing w:val="53"/>
                <w:sz w:val="19"/>
              </w:rPr>
              <w:t xml:space="preserve"> </w:t>
            </w:r>
            <w:r>
              <w:rPr>
                <w:sz w:val="19"/>
              </w:rPr>
              <w:t>1.86189</w:t>
            </w:r>
            <w:r>
              <w:rPr>
                <w:spacing w:val="54"/>
                <w:sz w:val="19"/>
              </w:rPr>
              <w:t xml:space="preserve"> </w:t>
            </w:r>
            <w:r>
              <w:rPr>
                <w:spacing w:val="-2"/>
                <w:sz w:val="19"/>
              </w:rPr>
              <w:t>1.88043</w:t>
            </w:r>
          </w:p>
        </w:tc>
      </w:tr>
      <w:tr>
        <w:tblPrEx/>
        <w:trPr>
          <w:trHeight w:val="275" w:hRule="atLeast"/>
        </w:trPr>
        <w:tc>
          <w:tcPr>
            <w:tcW w:w="2515" w:type="dxa"/>
            <w:tcBorders/>
          </w:tcPr>
          <w:p>
            <w:pPr>
              <w:pStyle w:val="style4151"/>
              <w:ind w:left="67"/>
              <w:rPr>
                <w:sz w:val="19"/>
              </w:rPr>
            </w:pPr>
            <w:r>
              <w:rPr>
                <w:sz w:val="19"/>
              </w:rPr>
              <w:t>16.</w:t>
            </w:r>
            <w:r>
              <w:rPr>
                <w:spacing w:val="54"/>
                <w:sz w:val="19"/>
              </w:rPr>
              <w:t xml:space="preserve"> </w:t>
            </w:r>
            <w:r>
              <w:rPr>
                <w:sz w:val="19"/>
              </w:rPr>
              <w:t>10.</w:t>
            </w:r>
            <w:r>
              <w:rPr>
                <w:spacing w:val="54"/>
                <w:sz w:val="19"/>
              </w:rPr>
              <w:t xml:space="preserve"> </w:t>
            </w:r>
            <w:r>
              <w:rPr>
                <w:sz w:val="19"/>
              </w:rPr>
              <w:t>0.22206</w:t>
            </w:r>
            <w:r>
              <w:rPr>
                <w:spacing w:val="55"/>
                <w:sz w:val="19"/>
              </w:rPr>
              <w:t xml:space="preserve"> </w:t>
            </w:r>
            <w:r>
              <w:rPr>
                <w:spacing w:val="-2"/>
                <w:sz w:val="19"/>
              </w:rPr>
              <w:t>3.08954</w:t>
            </w:r>
          </w:p>
        </w:tc>
        <w:tc>
          <w:tcPr>
            <w:tcW w:w="2430" w:type="dxa"/>
            <w:tcBorders/>
          </w:tcPr>
          <w:p>
            <w:pPr>
              <w:pStyle w:val="style4151"/>
              <w:ind w:left="19"/>
              <w:rPr>
                <w:sz w:val="19"/>
              </w:rPr>
            </w:pPr>
            <w:r>
              <w:rPr>
                <w:sz w:val="19"/>
              </w:rPr>
              <w:t>103.</w:t>
            </w:r>
            <w:r>
              <w:rPr>
                <w:spacing w:val="28"/>
                <w:sz w:val="19"/>
              </w:rPr>
              <w:t xml:space="preserve">  </w:t>
            </w:r>
            <w:r>
              <w:rPr>
                <w:sz w:val="19"/>
              </w:rPr>
              <w:t>5.</w:t>
            </w:r>
            <w:r>
              <w:rPr>
                <w:spacing w:val="53"/>
                <w:sz w:val="19"/>
              </w:rPr>
              <w:t xml:space="preserve"> </w:t>
            </w:r>
            <w:r>
              <w:rPr>
                <w:sz w:val="19"/>
              </w:rPr>
              <w:t>1.59928</w:t>
            </w:r>
            <w:r>
              <w:rPr>
                <w:spacing w:val="54"/>
                <w:sz w:val="19"/>
              </w:rPr>
              <w:t xml:space="preserve"> </w:t>
            </w:r>
            <w:r>
              <w:rPr>
                <w:spacing w:val="-2"/>
                <w:sz w:val="19"/>
              </w:rPr>
              <w:t>1.76029</w:t>
            </w:r>
          </w:p>
        </w:tc>
        <w:tc>
          <w:tcPr>
            <w:tcW w:w="2520" w:type="dxa"/>
            <w:tcBorders/>
          </w:tcPr>
          <w:p>
            <w:pPr>
              <w:pStyle w:val="style4151"/>
              <w:rPr>
                <w:sz w:val="19"/>
              </w:rPr>
            </w:pPr>
            <w:r>
              <w:rPr>
                <w:sz w:val="19"/>
              </w:rPr>
              <w:t>230.</w:t>
            </w:r>
            <w:r>
              <w:rPr>
                <w:spacing w:val="28"/>
                <w:sz w:val="19"/>
              </w:rPr>
              <w:t xml:space="preserve">  </w:t>
            </w:r>
            <w:r>
              <w:rPr>
                <w:sz w:val="19"/>
              </w:rPr>
              <w:t>5.</w:t>
            </w:r>
            <w:r>
              <w:rPr>
                <w:spacing w:val="53"/>
                <w:sz w:val="19"/>
              </w:rPr>
              <w:t xml:space="preserve"> </w:t>
            </w:r>
            <w:r>
              <w:rPr>
                <w:sz w:val="19"/>
              </w:rPr>
              <w:t>1.74873</w:t>
            </w:r>
            <w:r>
              <w:rPr>
                <w:spacing w:val="54"/>
                <w:sz w:val="19"/>
              </w:rPr>
              <w:t xml:space="preserve"> </w:t>
            </w:r>
            <w:r>
              <w:rPr>
                <w:spacing w:val="-2"/>
                <w:sz w:val="19"/>
              </w:rPr>
              <w:t>1.81945</w:t>
            </w:r>
          </w:p>
        </w:tc>
        <w:tc>
          <w:tcPr>
            <w:tcW w:w="2700" w:type="dxa"/>
            <w:tcBorders/>
          </w:tcPr>
          <w:p>
            <w:pPr>
              <w:pStyle w:val="style4151"/>
              <w:ind w:left="66"/>
              <w:rPr>
                <w:sz w:val="19"/>
              </w:rPr>
            </w:pPr>
            <w:r>
              <w:rPr>
                <w:sz w:val="19"/>
              </w:rPr>
              <w:t>650.</w:t>
            </w:r>
            <w:r>
              <w:rPr>
                <w:spacing w:val="28"/>
                <w:sz w:val="19"/>
              </w:rPr>
              <w:t xml:space="preserve">  </w:t>
            </w:r>
            <w:r>
              <w:rPr>
                <w:sz w:val="19"/>
              </w:rPr>
              <w:t>5.</w:t>
            </w:r>
            <w:r>
              <w:rPr>
                <w:spacing w:val="53"/>
                <w:sz w:val="19"/>
              </w:rPr>
              <w:t xml:space="preserve"> </w:t>
            </w:r>
            <w:r>
              <w:rPr>
                <w:sz w:val="19"/>
              </w:rPr>
              <w:t>1.85878</w:t>
            </w:r>
            <w:r>
              <w:rPr>
                <w:spacing w:val="54"/>
                <w:sz w:val="19"/>
              </w:rPr>
              <w:t xml:space="preserve"> </w:t>
            </w:r>
            <w:r>
              <w:rPr>
                <w:spacing w:val="-2"/>
                <w:sz w:val="19"/>
              </w:rPr>
              <w:t>1.88354</w:t>
            </w:r>
          </w:p>
        </w:tc>
      </w:tr>
      <w:tr>
        <w:tblPrEx/>
        <w:trPr>
          <w:trHeight w:val="275" w:hRule="atLeast"/>
        </w:trPr>
        <w:tc>
          <w:tcPr>
            <w:tcW w:w="2515" w:type="dxa"/>
            <w:tcBorders/>
          </w:tcPr>
          <w:p>
            <w:pPr>
              <w:pStyle w:val="style4151"/>
              <w:ind w:left="67"/>
              <w:rPr>
                <w:sz w:val="19"/>
              </w:rPr>
            </w:pPr>
            <w:r>
              <w:rPr>
                <w:sz w:val="19"/>
              </w:rPr>
              <w:t>16.</w:t>
            </w:r>
            <w:r>
              <w:rPr>
                <w:spacing w:val="54"/>
                <w:sz w:val="19"/>
              </w:rPr>
              <w:t xml:space="preserve"> </w:t>
            </w:r>
            <w:r>
              <w:rPr>
                <w:sz w:val="19"/>
              </w:rPr>
              <w:t>11.</w:t>
            </w:r>
            <w:r>
              <w:rPr>
                <w:spacing w:val="54"/>
                <w:sz w:val="19"/>
              </w:rPr>
              <w:t xml:space="preserve"> </w:t>
            </w:r>
            <w:r>
              <w:rPr>
                <w:sz w:val="19"/>
              </w:rPr>
              <w:t>0.15479</w:t>
            </w:r>
            <w:r>
              <w:rPr>
                <w:spacing w:val="55"/>
                <w:sz w:val="19"/>
              </w:rPr>
              <w:t xml:space="preserve"> </w:t>
            </w:r>
            <w:r>
              <w:rPr>
                <w:spacing w:val="-2"/>
                <w:sz w:val="19"/>
              </w:rPr>
              <w:t>3.30391</w:t>
            </w:r>
          </w:p>
        </w:tc>
        <w:tc>
          <w:tcPr>
            <w:tcW w:w="2430" w:type="dxa"/>
            <w:tcBorders/>
          </w:tcPr>
          <w:p>
            <w:pPr>
              <w:pStyle w:val="style4151"/>
              <w:ind w:left="19"/>
              <w:rPr>
                <w:sz w:val="19"/>
              </w:rPr>
            </w:pPr>
            <w:r>
              <w:rPr>
                <w:sz w:val="19"/>
              </w:rPr>
              <w:t>103.</w:t>
            </w:r>
            <w:r>
              <w:rPr>
                <w:spacing w:val="28"/>
                <w:sz w:val="19"/>
              </w:rPr>
              <w:t xml:space="preserve">  </w:t>
            </w:r>
            <w:r>
              <w:rPr>
                <w:sz w:val="19"/>
              </w:rPr>
              <w:t>6.</w:t>
            </w:r>
            <w:r>
              <w:rPr>
                <w:spacing w:val="53"/>
                <w:sz w:val="19"/>
              </w:rPr>
              <w:t xml:space="preserve"> </w:t>
            </w:r>
            <w:r>
              <w:rPr>
                <w:sz w:val="19"/>
              </w:rPr>
              <w:t>1.57875</w:t>
            </w:r>
            <w:r>
              <w:rPr>
                <w:spacing w:val="54"/>
                <w:sz w:val="19"/>
              </w:rPr>
              <w:t xml:space="preserve"> </w:t>
            </w:r>
            <w:r>
              <w:rPr>
                <w:spacing w:val="-2"/>
                <w:sz w:val="19"/>
              </w:rPr>
              <w:t>1.78179</w:t>
            </w:r>
          </w:p>
        </w:tc>
        <w:tc>
          <w:tcPr>
            <w:tcW w:w="2520" w:type="dxa"/>
            <w:tcBorders/>
          </w:tcPr>
          <w:p>
            <w:pPr>
              <w:pStyle w:val="style4151"/>
              <w:rPr>
                <w:sz w:val="19"/>
              </w:rPr>
            </w:pPr>
            <w:r>
              <w:rPr>
                <w:sz w:val="19"/>
              </w:rPr>
              <w:t>230.</w:t>
            </w:r>
            <w:r>
              <w:rPr>
                <w:spacing w:val="28"/>
                <w:sz w:val="19"/>
              </w:rPr>
              <w:t xml:space="preserve">  </w:t>
            </w:r>
            <w:r>
              <w:rPr>
                <w:sz w:val="19"/>
              </w:rPr>
              <w:t>6.</w:t>
            </w:r>
            <w:r>
              <w:rPr>
                <w:spacing w:val="53"/>
                <w:sz w:val="19"/>
              </w:rPr>
              <w:t xml:space="preserve"> </w:t>
            </w:r>
            <w:r>
              <w:rPr>
                <w:sz w:val="19"/>
              </w:rPr>
              <w:t>1.73977</w:t>
            </w:r>
            <w:r>
              <w:rPr>
                <w:spacing w:val="54"/>
                <w:sz w:val="19"/>
              </w:rPr>
              <w:t xml:space="preserve"> </w:t>
            </w:r>
            <w:r>
              <w:rPr>
                <w:spacing w:val="-2"/>
                <w:sz w:val="19"/>
              </w:rPr>
              <w:t>1.82854</w:t>
            </w:r>
          </w:p>
        </w:tc>
        <w:tc>
          <w:tcPr>
            <w:tcW w:w="2700" w:type="dxa"/>
            <w:tcBorders/>
          </w:tcPr>
          <w:p>
            <w:pPr>
              <w:pStyle w:val="style4151"/>
              <w:ind w:left="66"/>
              <w:rPr>
                <w:sz w:val="19"/>
              </w:rPr>
            </w:pPr>
            <w:r>
              <w:rPr>
                <w:sz w:val="19"/>
              </w:rPr>
              <w:t>650.</w:t>
            </w:r>
            <w:r>
              <w:rPr>
                <w:spacing w:val="28"/>
                <w:sz w:val="19"/>
              </w:rPr>
              <w:t xml:space="preserve">  </w:t>
            </w:r>
            <w:r>
              <w:rPr>
                <w:sz w:val="19"/>
              </w:rPr>
              <w:t>6.</w:t>
            </w:r>
            <w:r>
              <w:rPr>
                <w:spacing w:val="53"/>
                <w:sz w:val="19"/>
              </w:rPr>
              <w:t xml:space="preserve"> </w:t>
            </w:r>
            <w:r>
              <w:rPr>
                <w:sz w:val="19"/>
              </w:rPr>
              <w:t>1.85567</w:t>
            </w:r>
            <w:r>
              <w:rPr>
                <w:spacing w:val="54"/>
                <w:sz w:val="19"/>
              </w:rPr>
              <w:t xml:space="preserve"> </w:t>
            </w:r>
            <w:r>
              <w:rPr>
                <w:spacing w:val="-2"/>
                <w:sz w:val="19"/>
              </w:rPr>
              <w:t>1.88667</w:t>
            </w:r>
          </w:p>
        </w:tc>
      </w:tr>
      <w:tr>
        <w:tblPrEx/>
        <w:trPr>
          <w:trHeight w:val="275" w:hRule="atLeast"/>
        </w:trPr>
        <w:tc>
          <w:tcPr>
            <w:tcW w:w="2515" w:type="dxa"/>
            <w:tcBorders/>
          </w:tcPr>
          <w:p>
            <w:pPr>
              <w:pStyle w:val="style4151"/>
              <w:ind w:left="67"/>
              <w:rPr>
                <w:sz w:val="19"/>
              </w:rPr>
            </w:pPr>
            <w:r>
              <w:rPr>
                <w:sz w:val="19"/>
              </w:rPr>
              <w:t>16.</w:t>
            </w:r>
            <w:r>
              <w:rPr>
                <w:spacing w:val="54"/>
                <w:sz w:val="19"/>
              </w:rPr>
              <w:t xml:space="preserve"> </w:t>
            </w:r>
            <w:r>
              <w:rPr>
                <w:sz w:val="19"/>
              </w:rPr>
              <w:t>12.</w:t>
            </w:r>
            <w:r>
              <w:rPr>
                <w:spacing w:val="54"/>
                <w:sz w:val="19"/>
              </w:rPr>
              <w:t xml:space="preserve"> </w:t>
            </w:r>
            <w:r>
              <w:rPr>
                <w:sz w:val="19"/>
              </w:rPr>
              <w:t>0.09809</w:t>
            </w:r>
            <w:r>
              <w:rPr>
                <w:spacing w:val="55"/>
                <w:sz w:val="19"/>
              </w:rPr>
              <w:t xml:space="preserve"> </w:t>
            </w:r>
            <w:r>
              <w:rPr>
                <w:spacing w:val="-2"/>
                <w:sz w:val="19"/>
              </w:rPr>
              <w:t>3.50287</w:t>
            </w:r>
          </w:p>
        </w:tc>
        <w:tc>
          <w:tcPr>
            <w:tcW w:w="2430" w:type="dxa"/>
            <w:tcBorders/>
          </w:tcPr>
          <w:p>
            <w:pPr>
              <w:pStyle w:val="style4151"/>
              <w:ind w:left="19"/>
              <w:rPr>
                <w:sz w:val="19"/>
              </w:rPr>
            </w:pPr>
            <w:r>
              <w:rPr>
                <w:sz w:val="19"/>
              </w:rPr>
              <w:t>103.</w:t>
            </w:r>
            <w:r>
              <w:rPr>
                <w:spacing w:val="28"/>
                <w:sz w:val="19"/>
              </w:rPr>
              <w:t xml:space="preserve">  </w:t>
            </w:r>
            <w:r>
              <w:rPr>
                <w:sz w:val="19"/>
              </w:rPr>
              <w:t>7.</w:t>
            </w:r>
            <w:r>
              <w:rPr>
                <w:spacing w:val="53"/>
                <w:sz w:val="19"/>
              </w:rPr>
              <w:t xml:space="preserve"> </w:t>
            </w:r>
            <w:r>
              <w:rPr>
                <w:sz w:val="19"/>
              </w:rPr>
              <w:t>1.55799</w:t>
            </w:r>
            <w:r>
              <w:rPr>
                <w:spacing w:val="54"/>
                <w:sz w:val="19"/>
              </w:rPr>
              <w:t xml:space="preserve"> </w:t>
            </w:r>
            <w:r>
              <w:rPr>
                <w:spacing w:val="-2"/>
                <w:sz w:val="19"/>
              </w:rPr>
              <w:t>1.80372</w:t>
            </w:r>
          </w:p>
        </w:tc>
        <w:tc>
          <w:tcPr>
            <w:tcW w:w="2520" w:type="dxa"/>
            <w:tcBorders/>
          </w:tcPr>
          <w:p>
            <w:pPr>
              <w:pStyle w:val="style4151"/>
              <w:rPr>
                <w:sz w:val="19"/>
              </w:rPr>
            </w:pPr>
            <w:r>
              <w:rPr>
                <w:sz w:val="19"/>
              </w:rPr>
              <w:t>230.</w:t>
            </w:r>
            <w:r>
              <w:rPr>
                <w:spacing w:val="28"/>
                <w:sz w:val="19"/>
              </w:rPr>
              <w:t xml:space="preserve">  </w:t>
            </w:r>
            <w:r>
              <w:rPr>
                <w:sz w:val="19"/>
              </w:rPr>
              <w:t>7.</w:t>
            </w:r>
            <w:r>
              <w:rPr>
                <w:spacing w:val="53"/>
                <w:sz w:val="19"/>
              </w:rPr>
              <w:t xml:space="preserve"> </w:t>
            </w:r>
            <w:r>
              <w:rPr>
                <w:sz w:val="19"/>
              </w:rPr>
              <w:t>1.73075</w:t>
            </w:r>
            <w:r>
              <w:rPr>
                <w:spacing w:val="54"/>
                <w:sz w:val="19"/>
              </w:rPr>
              <w:t xml:space="preserve"> </w:t>
            </w:r>
            <w:r>
              <w:rPr>
                <w:spacing w:val="-2"/>
                <w:sz w:val="19"/>
              </w:rPr>
              <w:t>1.83771</w:t>
            </w:r>
          </w:p>
        </w:tc>
        <w:tc>
          <w:tcPr>
            <w:tcW w:w="2700" w:type="dxa"/>
            <w:tcBorders/>
          </w:tcPr>
          <w:p>
            <w:pPr>
              <w:pStyle w:val="style4151"/>
              <w:ind w:left="66"/>
              <w:rPr>
                <w:sz w:val="19"/>
              </w:rPr>
            </w:pPr>
            <w:r>
              <w:rPr>
                <w:sz w:val="19"/>
              </w:rPr>
              <w:t>650.</w:t>
            </w:r>
            <w:r>
              <w:rPr>
                <w:spacing w:val="28"/>
                <w:sz w:val="19"/>
              </w:rPr>
              <w:t xml:space="preserve">  </w:t>
            </w:r>
            <w:r>
              <w:rPr>
                <w:sz w:val="19"/>
              </w:rPr>
              <w:t>7.</w:t>
            </w:r>
            <w:r>
              <w:rPr>
                <w:spacing w:val="53"/>
                <w:sz w:val="19"/>
              </w:rPr>
              <w:t xml:space="preserve"> </w:t>
            </w:r>
            <w:r>
              <w:rPr>
                <w:sz w:val="19"/>
              </w:rPr>
              <w:t>1.85254</w:t>
            </w:r>
            <w:r>
              <w:rPr>
                <w:spacing w:val="54"/>
                <w:sz w:val="19"/>
              </w:rPr>
              <w:t xml:space="preserve"> </w:t>
            </w:r>
            <w:r>
              <w:rPr>
                <w:spacing w:val="-2"/>
                <w:sz w:val="19"/>
              </w:rPr>
              <w:t>1.88980</w:t>
            </w:r>
          </w:p>
        </w:tc>
      </w:tr>
    </w:tbl>
    <w:p>
      <w:pPr>
        <w:pStyle w:val="style0"/>
        <w:tabs>
          <w:tab w:val="left" w:leader="none" w:pos="720"/>
        </w:tabs>
        <w:spacing w:before="240" w:after="0" w:lineRule="auto" w:line="240"/>
        <w:rPr>
          <w:rFonts w:cs="Times New Roman" w:eastAsia="宋体"/>
          <w:b/>
          <w:bCs/>
          <w:sz w:val="22"/>
        </w:rPr>
      </w:pPr>
    </w:p>
    <w:sectPr>
      <w:pgSz w:w="11906" w:h="16838" w:orient="portrait" w:code="9"/>
      <w:pgMar w:top="2268" w:right="1701" w:bottom="1701" w:left="226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200247B"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 w:name="Cambria Math">
    <w:altName w:val="Cambria Math"/>
    <w:panose1 w:val="02040503050004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2</w:t>
    </w:r>
    <w:r>
      <w:rPr>
        <w:noProof/>
      </w:rPr>
      <w:fldChar w:fldCharType="end"/>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1452F9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B1BAB87C"/>
    <w:lvl w:ilvl="0" w:tplc="DACC71BC">
      <w:start w:val="1"/>
      <w:numFmt w:val="bullet"/>
      <w:lvlText w:val="-"/>
      <w:lvlJc w:val="left"/>
      <w:pPr>
        <w:ind w:left="365" w:hanging="360"/>
      </w:pPr>
      <w:rPr>
        <w:rFonts w:ascii="Times New Roman" w:cs="Times New Roman" w:eastAsia="Times New Roman" w:hAnsi="Times New Roman" w:hint="default"/>
        <w:i/>
      </w:rPr>
    </w:lvl>
    <w:lvl w:ilvl="1" w:tplc="04090003" w:tentative="1">
      <w:start w:val="1"/>
      <w:numFmt w:val="bullet"/>
      <w:lvlText w:val="o"/>
      <w:lvlJc w:val="left"/>
      <w:pPr>
        <w:ind w:left="1085" w:hanging="360"/>
      </w:pPr>
      <w:rPr>
        <w:rFonts w:ascii="Courier New" w:cs="Courier New" w:hAnsi="Courier New" w:hint="default"/>
      </w:rPr>
    </w:lvl>
    <w:lvl w:ilvl="2" w:tplc="04090005" w:tentative="1">
      <w:start w:val="1"/>
      <w:numFmt w:val="bullet"/>
      <w:lvlText w:val=""/>
      <w:lvlJc w:val="left"/>
      <w:pPr>
        <w:ind w:left="1805" w:hanging="360"/>
      </w:pPr>
      <w:rPr>
        <w:rFonts w:ascii="Wingdings" w:hAnsi="Wingdings" w:hint="default"/>
      </w:rPr>
    </w:lvl>
    <w:lvl w:ilvl="3" w:tplc="04090001" w:tentative="1">
      <w:start w:val="1"/>
      <w:numFmt w:val="bullet"/>
      <w:lvlText w:val=""/>
      <w:lvlJc w:val="left"/>
      <w:pPr>
        <w:ind w:left="2525" w:hanging="360"/>
      </w:pPr>
      <w:rPr>
        <w:rFonts w:ascii="Symbol" w:hAnsi="Symbol" w:hint="default"/>
      </w:rPr>
    </w:lvl>
    <w:lvl w:ilvl="4" w:tplc="04090003" w:tentative="1">
      <w:start w:val="1"/>
      <w:numFmt w:val="bullet"/>
      <w:lvlText w:val="o"/>
      <w:lvlJc w:val="left"/>
      <w:pPr>
        <w:ind w:left="3245" w:hanging="360"/>
      </w:pPr>
      <w:rPr>
        <w:rFonts w:ascii="Courier New" w:cs="Courier New" w:hAnsi="Courier New" w:hint="default"/>
      </w:rPr>
    </w:lvl>
    <w:lvl w:ilvl="5" w:tplc="04090005" w:tentative="1">
      <w:start w:val="1"/>
      <w:numFmt w:val="bullet"/>
      <w:lvlText w:val=""/>
      <w:lvlJc w:val="left"/>
      <w:pPr>
        <w:ind w:left="3965" w:hanging="360"/>
      </w:pPr>
      <w:rPr>
        <w:rFonts w:ascii="Wingdings" w:hAnsi="Wingdings" w:hint="default"/>
      </w:rPr>
    </w:lvl>
    <w:lvl w:ilvl="6" w:tplc="04090001" w:tentative="1">
      <w:start w:val="1"/>
      <w:numFmt w:val="bullet"/>
      <w:lvlText w:val=""/>
      <w:lvlJc w:val="left"/>
      <w:pPr>
        <w:ind w:left="4685" w:hanging="360"/>
      </w:pPr>
      <w:rPr>
        <w:rFonts w:ascii="Symbol" w:hAnsi="Symbol" w:hint="default"/>
      </w:rPr>
    </w:lvl>
    <w:lvl w:ilvl="7" w:tplc="04090003" w:tentative="1">
      <w:start w:val="1"/>
      <w:numFmt w:val="bullet"/>
      <w:lvlText w:val="o"/>
      <w:lvlJc w:val="left"/>
      <w:pPr>
        <w:ind w:left="5405" w:hanging="360"/>
      </w:pPr>
      <w:rPr>
        <w:rFonts w:ascii="Courier New" w:cs="Courier New" w:hAnsi="Courier New" w:hint="default"/>
      </w:rPr>
    </w:lvl>
    <w:lvl w:ilvl="8" w:tplc="04090005" w:tentative="1">
      <w:start w:val="1"/>
      <w:numFmt w:val="bullet"/>
      <w:lvlText w:val=""/>
      <w:lvlJc w:val="left"/>
      <w:pPr>
        <w:ind w:left="6125" w:hanging="360"/>
      </w:pPr>
      <w:rPr>
        <w:rFonts w:ascii="Wingdings" w:hAnsi="Wingdings" w:hint="default"/>
      </w:rPr>
    </w:lvl>
  </w:abstractNum>
  <w:abstractNum w:abstractNumId="2">
    <w:nsid w:val="00000002"/>
    <w:multiLevelType w:val="hybridMultilevel"/>
    <w:tmpl w:val="6EA076DC"/>
    <w:lvl w:ilvl="0" w:tplc="AF5CDA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3"/>
    <w:multiLevelType w:val="hybridMultilevel"/>
    <w:tmpl w:val="EA542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C658BC08"/>
    <w:lvl w:ilvl="0" w:tplc="FE549AE4">
      <w:start w:val="1"/>
      <w:numFmt w:val="decimal"/>
      <w:lvlText w:val="%1."/>
      <w:lvlJc w:val="left"/>
      <w:pPr>
        <w:ind w:left="750" w:hanging="390"/>
      </w:pPr>
      <w:rPr>
        <w:rFonts w:hint="default"/>
        <w:i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84E852EC"/>
    <w:lvl w:ilvl="0" w:tplc="25C08686">
      <w:start w:val="1"/>
      <w:numFmt w:val="decimal"/>
      <w:lvlText w:val="%1."/>
      <w:lvlJc w:val="left"/>
      <w:pPr>
        <w:ind w:left="720" w:hanging="360"/>
      </w:pPr>
      <w:rPr>
        <w:rFonts w:ascii="Times New Roman" w:hAnsi="Times New Roman" w:hint="default"/>
        <w:b w:val="false"/>
        <w:i w:val="fals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C20834FA"/>
    <w:lvl w:ilvl="0" w:tplc="25C08686">
      <w:start w:val="1"/>
      <w:numFmt w:val="decimal"/>
      <w:lvlText w:val="%1."/>
      <w:lvlJc w:val="left"/>
      <w:pPr>
        <w:ind w:left="720" w:hanging="360"/>
      </w:pPr>
      <w:rPr>
        <w:rFonts w:ascii="Times New Roman" w:hAnsi="Times New Roman" w:hint="default"/>
        <w:b w:val="false"/>
        <w:i w:val="fals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8AE6415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0000008"/>
    <w:multiLevelType w:val="hybridMultilevel"/>
    <w:tmpl w:val="E8BACAD6"/>
    <w:lvl w:ilvl="0" w:tplc="FF365D40">
      <w:start w:val="1"/>
      <w:numFmt w:val="decimal"/>
      <w:lvlText w:val="1.%1."/>
      <w:lvlJc w:val="left"/>
      <w:pPr>
        <w:ind w:left="720" w:hanging="360"/>
      </w:pPr>
      <w:rPr>
        <w:rFonts w:ascii="Times New Roman" w:hAnsi="Times New Roman" w:hint="default"/>
        <w:b/>
        <w:i w:val="false"/>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multilevel"/>
    <w:tmpl w:val="AD0653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000000A"/>
    <w:multiLevelType w:val="hybridMultilevel"/>
    <w:tmpl w:val="70583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19DC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EE1C4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18E08762"/>
    <w:lvl w:ilvl="0" w:tplc="25C08686">
      <w:start w:val="1"/>
      <w:numFmt w:val="decimal"/>
      <w:lvlText w:val="%1."/>
      <w:lvlJc w:val="left"/>
      <w:pPr>
        <w:ind w:left="720" w:hanging="360"/>
      </w:pPr>
      <w:rPr>
        <w:rFonts w:ascii="Times New Roman" w:hAnsi="Times New Roman" w:hint="default"/>
        <w:b w:val="false"/>
        <w:i w:val="fals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258A8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01C42C8A"/>
    <w:lvl w:ilvl="0" w:tplc="AF34F1EC">
      <w:start w:val="1"/>
      <w:numFmt w:val="decimal"/>
      <w:lvlText w:val="2.%1."/>
      <w:lvlJc w:val="left"/>
      <w:pPr>
        <w:ind w:left="360" w:hanging="360"/>
      </w:pPr>
      <w:rPr>
        <w:rFonts w:ascii="Times New Roman" w:hAnsi="Times New Roman" w:hint="default"/>
        <w:b/>
        <w:i w:val="false"/>
        <w:color w:val="auto"/>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nsid w:val="00000010"/>
    <w:multiLevelType w:val="hybridMultilevel"/>
    <w:tmpl w:val="4160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multilevel"/>
    <w:tmpl w:val="BDFE2F42"/>
    <w:lvl w:ilvl="0">
      <w:start w:val="1"/>
      <w:numFmt w:val="decimal"/>
      <w:lvlText w:val="%1."/>
      <w:lvlJc w:val="left"/>
      <w:pPr>
        <w:ind w:left="360" w:hanging="360"/>
      </w:pPr>
      <w:rPr>
        <w:rFonts w:hint="default"/>
      </w:rPr>
    </w:lvl>
    <w:lvl w:ilvl="1">
      <w:start w:val="6"/>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00000012"/>
    <w:multiLevelType w:val="hybridMultilevel"/>
    <w:tmpl w:val="52364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multilevel"/>
    <w:tmpl w:val="2924A10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num w:numId="1">
    <w:abstractNumId w:val="18"/>
  </w:num>
  <w:num w:numId="2">
    <w:abstractNumId w:val="8"/>
  </w:num>
  <w:num w:numId="3">
    <w:abstractNumId w:val="15"/>
  </w:num>
  <w:num w:numId="4">
    <w:abstractNumId w:val="7"/>
  </w:num>
  <w:num w:numId="5">
    <w:abstractNumId w:val="9"/>
  </w:num>
  <w:num w:numId="6">
    <w:abstractNumId w:val="19"/>
  </w:num>
  <w:num w:numId="7">
    <w:abstractNumId w:val="2"/>
  </w:num>
  <w:num w:numId="8">
    <w:abstractNumId w:val="1"/>
  </w:num>
  <w:num w:numId="9">
    <w:abstractNumId w:val="17"/>
  </w:num>
  <w:num w:numId="10">
    <w:abstractNumId w:val="12"/>
  </w:num>
  <w:num w:numId="11">
    <w:abstractNumId w:val="0"/>
  </w:num>
  <w:num w:numId="12">
    <w:abstractNumId w:val="3"/>
  </w:num>
  <w:num w:numId="13">
    <w:abstractNumId w:val="13"/>
  </w:num>
  <w:num w:numId="14">
    <w:abstractNumId w:val="4"/>
  </w:num>
  <w:num w:numId="15">
    <w:abstractNumId w:val="5"/>
  </w:num>
  <w:num w:numId="16">
    <w:abstractNumId w:val="6"/>
  </w:num>
  <w:num w:numId="17">
    <w:abstractNumId w:val="16"/>
  </w:num>
  <w:num w:numId="18">
    <w:abstractNumId w:val="14"/>
  </w:num>
  <w:num w:numId="19">
    <w:abstractNumId w:val="11"/>
  </w:num>
  <w:num w:numId="20">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9"/>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w:noExtraLine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rPr>
      <w:rFonts w:ascii="Times New Roman" w:hAnsi="Times New Roman"/>
      <w:sz w:val="24"/>
    </w:rPr>
  </w:style>
  <w:style w:type="paragraph" w:styleId="style1">
    <w:name w:val="heading 1"/>
    <w:basedOn w:val="style0"/>
    <w:next w:val="style0"/>
    <w:link w:val="style4097"/>
    <w:qFormat/>
    <w:uiPriority w:val="9"/>
    <w:pPr>
      <w:keepNext/>
      <w:keepLines/>
      <w:spacing w:before="240" w:after="0" w:lineRule="auto" w:line="240"/>
      <w:jc w:val="center"/>
      <w:outlineLvl w:val="0"/>
    </w:pPr>
    <w:rPr>
      <w:rFonts w:cs="宋体" w:eastAsia="宋体"/>
      <w:b/>
      <w:szCs w:val="40"/>
    </w:rPr>
  </w:style>
  <w:style w:type="paragraph" w:styleId="style2">
    <w:name w:val="heading 2"/>
    <w:basedOn w:val="style0"/>
    <w:next w:val="style0"/>
    <w:link w:val="style4098"/>
    <w:qFormat/>
    <w:uiPriority w:val="9"/>
    <w:pPr>
      <w:keepNext/>
      <w:keepLines/>
      <w:spacing w:before="40" w:after="0" w:lineRule="auto" w:line="240"/>
      <w:outlineLvl w:val="1"/>
    </w:pPr>
    <w:rPr>
      <w:rFonts w:cs="宋体" w:eastAsia="宋体"/>
      <w:b/>
      <w:szCs w:val="32"/>
    </w:rPr>
  </w:style>
  <w:style w:type="paragraph" w:styleId="style3">
    <w:name w:val="heading 3"/>
    <w:basedOn w:val="style0"/>
    <w:next w:val="style0"/>
    <w:link w:val="style4099"/>
    <w:qFormat/>
    <w:uiPriority w:val="9"/>
    <w:pPr>
      <w:keepNext/>
      <w:keepLines/>
      <w:tabs>
        <w:tab w:val="left" w:leader="none" w:pos="720"/>
        <w:tab w:val="left" w:leader="none" w:pos="900"/>
        <w:tab w:val="left" w:leader="none" w:pos="990"/>
      </w:tabs>
      <w:spacing w:after="0" w:lineRule="auto" w:line="480"/>
      <w:ind w:left="810" w:hanging="810"/>
      <w:outlineLvl w:val="2"/>
    </w:pPr>
    <w:rPr>
      <w:rFonts w:cs="宋体" w:eastAsia="宋体"/>
      <w:b/>
      <w:szCs w:val="28"/>
    </w:rPr>
  </w:style>
  <w:style w:type="paragraph" w:styleId="style4">
    <w:name w:val="heading 4"/>
    <w:basedOn w:val="style0"/>
    <w:next w:val="style0"/>
    <w:link w:val="style4100"/>
    <w:qFormat/>
    <w:uiPriority w:val="9"/>
    <w:pPr>
      <w:keepNext/>
      <w:keepLines/>
      <w:spacing w:before="320" w:after="280"/>
      <w:outlineLvl w:val="3"/>
    </w:pPr>
    <w:rPr>
      <w:rFonts w:cs="宋体" w:eastAsia="宋体"/>
      <w:b/>
      <w:iCs/>
      <w:color w:val="000000"/>
    </w:rPr>
  </w:style>
  <w:style w:type="paragraph" w:styleId="style5">
    <w:name w:val="heading 5"/>
    <w:basedOn w:val="style0"/>
    <w:next w:val="style0"/>
    <w:link w:val="style4101"/>
    <w:qFormat/>
    <w:uiPriority w:val="9"/>
    <w:pPr>
      <w:keepNext/>
      <w:keepLines/>
      <w:spacing w:before="80" w:after="40"/>
      <w:outlineLvl w:val="4"/>
    </w:pPr>
    <w:rPr>
      <w:rFonts w:cs="宋体" w:eastAsia="宋体"/>
      <w:color w:val="2f5496"/>
    </w:rPr>
  </w:style>
  <w:style w:type="paragraph" w:styleId="style6">
    <w:name w:val="heading 6"/>
    <w:basedOn w:val="style0"/>
    <w:next w:val="style0"/>
    <w:link w:val="style4102"/>
    <w:qFormat/>
    <w:uiPriority w:val="9"/>
    <w:pPr>
      <w:keepNext/>
      <w:keepLines/>
      <w:spacing w:before="40" w:after="0"/>
      <w:outlineLvl w:val="5"/>
    </w:pPr>
    <w:rPr>
      <w:rFonts w:cs="宋体" w:eastAsia="宋体"/>
      <w:i/>
      <w:iCs/>
      <w:color w:val="595959"/>
    </w:rPr>
  </w:style>
  <w:style w:type="paragraph" w:styleId="style7">
    <w:name w:val="heading 7"/>
    <w:basedOn w:val="style0"/>
    <w:next w:val="style0"/>
    <w:link w:val="style4103"/>
    <w:qFormat/>
    <w:uiPriority w:val="9"/>
    <w:pPr>
      <w:keepNext/>
      <w:keepLines/>
      <w:spacing w:before="40" w:after="0"/>
      <w:outlineLvl w:val="6"/>
    </w:pPr>
    <w:rPr>
      <w:rFonts w:cs="宋体" w:eastAsia="宋体"/>
      <w:color w:val="595959"/>
    </w:rPr>
  </w:style>
  <w:style w:type="paragraph" w:styleId="style8">
    <w:name w:val="heading 8"/>
    <w:basedOn w:val="style0"/>
    <w:next w:val="style0"/>
    <w:link w:val="style4104"/>
    <w:qFormat/>
    <w:uiPriority w:val="9"/>
    <w:pPr>
      <w:keepNext/>
      <w:keepLines/>
      <w:spacing w:after="0"/>
      <w:outlineLvl w:val="7"/>
    </w:pPr>
    <w:rPr>
      <w:rFonts w:cs="宋体" w:eastAsia="宋体"/>
      <w:i/>
      <w:iCs/>
      <w:color w:val="272727"/>
    </w:rPr>
  </w:style>
  <w:style w:type="paragraph" w:styleId="style9">
    <w:name w:val="heading 9"/>
    <w:basedOn w:val="style0"/>
    <w:next w:val="style0"/>
    <w:link w:val="style4105"/>
    <w:qFormat/>
    <w:uiPriority w:val="9"/>
    <w:pPr>
      <w:keepNext/>
      <w:keepLines/>
      <w:spacing w:after="0"/>
      <w:outlineLvl w:val="8"/>
    </w:pPr>
    <w:rPr>
      <w:rFonts w:cs="宋体" w:eastAsia="宋体"/>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ac69abd9-74d5-4564-85bd-0174a7d66fea"/>
    <w:basedOn w:val="style65"/>
    <w:next w:val="style4097"/>
    <w:link w:val="style1"/>
    <w:uiPriority w:val="9"/>
    <w:rPr>
      <w:rFonts w:ascii="Times New Roman" w:cs="宋体" w:eastAsia="宋体" w:hAnsi="Times New Roman"/>
      <w:b/>
      <w:sz w:val="24"/>
      <w:szCs w:val="40"/>
    </w:rPr>
  </w:style>
  <w:style w:type="character" w:customStyle="1" w:styleId="style4098">
    <w:name w:val="Heading 2 Char_c15dacac-ab09-4f3f-87ab-9ab212451a80"/>
    <w:basedOn w:val="style65"/>
    <w:next w:val="style4098"/>
    <w:link w:val="style2"/>
    <w:uiPriority w:val="9"/>
    <w:rPr>
      <w:rFonts w:ascii="Times New Roman" w:cs="宋体" w:eastAsia="宋体" w:hAnsi="Times New Roman"/>
      <w:b/>
      <w:sz w:val="24"/>
      <w:szCs w:val="32"/>
    </w:rPr>
  </w:style>
  <w:style w:type="character" w:customStyle="1" w:styleId="style4099">
    <w:name w:val="Heading 3 Char_13da634c-197a-43b7-b7de-576220df2a60"/>
    <w:basedOn w:val="style65"/>
    <w:next w:val="style4099"/>
    <w:link w:val="style3"/>
    <w:uiPriority w:val="9"/>
    <w:rPr>
      <w:rFonts w:ascii="Times New Roman" w:cs="宋体" w:eastAsia="宋体" w:hAnsi="Times New Roman"/>
      <w:b/>
      <w:sz w:val="24"/>
      <w:szCs w:val="28"/>
    </w:rPr>
  </w:style>
  <w:style w:type="character" w:customStyle="1" w:styleId="style4100">
    <w:name w:val="Heading 4 Char_5159f338-97dd-434f-9691-98b9b44f2ce4"/>
    <w:basedOn w:val="style65"/>
    <w:next w:val="style4100"/>
    <w:link w:val="style4"/>
    <w:uiPriority w:val="9"/>
    <w:rPr>
      <w:rFonts w:ascii="Times New Roman" w:cs="宋体" w:eastAsia="宋体" w:hAnsi="Times New Roman"/>
      <w:b/>
      <w:iCs/>
      <w:color w:val="000000"/>
      <w:sz w:val="24"/>
    </w:rPr>
  </w:style>
  <w:style w:type="character" w:customStyle="1" w:styleId="style4101">
    <w:name w:val="Heading 5 Char_44e930f1-730a-4352-a9b4-9a80af5b2d56"/>
    <w:basedOn w:val="style65"/>
    <w:next w:val="style4101"/>
    <w:link w:val="style5"/>
    <w:uiPriority w:val="9"/>
    <w:rPr>
      <w:rFonts w:cs="宋体" w:eastAsia="宋体"/>
      <w:color w:val="2f5496"/>
    </w:rPr>
  </w:style>
  <w:style w:type="character" w:customStyle="1" w:styleId="style4102">
    <w:name w:val="Heading 6 Char_3f349bd4-0fc6-4b47-a4ec-76f90d06e511"/>
    <w:basedOn w:val="style65"/>
    <w:next w:val="style4102"/>
    <w:link w:val="style6"/>
    <w:uiPriority w:val="9"/>
    <w:rPr>
      <w:rFonts w:cs="宋体" w:eastAsia="宋体"/>
      <w:i/>
      <w:iCs/>
      <w:color w:val="595959"/>
    </w:rPr>
  </w:style>
  <w:style w:type="character" w:customStyle="1" w:styleId="style4103">
    <w:name w:val="Heading 7 Char_04792e62-624a-4ec7-8b15-7a59ca6920bd"/>
    <w:basedOn w:val="style65"/>
    <w:next w:val="style4103"/>
    <w:link w:val="style7"/>
    <w:uiPriority w:val="9"/>
    <w:rPr>
      <w:rFonts w:cs="宋体" w:eastAsia="宋体"/>
      <w:color w:val="595959"/>
    </w:rPr>
  </w:style>
  <w:style w:type="character" w:customStyle="1" w:styleId="style4104">
    <w:name w:val="Heading 8 Char_985c0f21-95d3-48a1-88c3-54b075c85406"/>
    <w:basedOn w:val="style65"/>
    <w:next w:val="style4104"/>
    <w:link w:val="style8"/>
    <w:uiPriority w:val="9"/>
    <w:rPr>
      <w:rFonts w:cs="宋体" w:eastAsia="宋体"/>
      <w:i/>
      <w:iCs/>
      <w:color w:val="272727"/>
    </w:rPr>
  </w:style>
  <w:style w:type="character" w:customStyle="1" w:styleId="style4105">
    <w:name w:val="Heading 9 Char_4312b38a-a38b-4a1c-8355-4f466e013dec"/>
    <w:basedOn w:val="style65"/>
    <w:next w:val="style4105"/>
    <w:link w:val="style9"/>
    <w:uiPriority w:val="9"/>
    <w:rPr>
      <w:rFonts w:cs="宋体" w:eastAsia="宋体"/>
      <w:color w:val="272727"/>
    </w:rPr>
  </w:style>
  <w:style w:type="paragraph" w:styleId="style62">
    <w:name w:val="Title"/>
    <w:basedOn w:val="style0"/>
    <w:next w:val="style0"/>
    <w:link w:val="style4106"/>
    <w:qFormat/>
    <w:uiPriority w:val="10"/>
    <w:pPr>
      <w:spacing w:after="80" w:lineRule="auto" w:line="240"/>
      <w:contextualSpacing/>
    </w:pPr>
    <w:rPr>
      <w:rFonts w:ascii="Calibri Light" w:cs="宋体" w:eastAsia="宋体" w:hAnsi="Calibri Light"/>
      <w:spacing w:val="-10"/>
      <w:kern w:val="28"/>
      <w:sz w:val="56"/>
      <w:szCs w:val="56"/>
    </w:rPr>
  </w:style>
  <w:style w:type="character" w:customStyle="1" w:styleId="style4106">
    <w:name w:val="Title Char_960bf586-da86-4fb9-b16a-8eb3f9e37121"/>
    <w:basedOn w:val="style65"/>
    <w:next w:val="style4106"/>
    <w:link w:val="style62"/>
    <w:uiPriority w:val="10"/>
    <w:rPr>
      <w:rFonts w:ascii="Calibri Light" w:cs="宋体" w:eastAsia="宋体"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cs="宋体" w:eastAsia="宋体"/>
      <w:color w:val="595959"/>
      <w:spacing w:val="15"/>
      <w:sz w:val="28"/>
      <w:szCs w:val="28"/>
    </w:rPr>
  </w:style>
  <w:style w:type="character" w:customStyle="1" w:styleId="style4107">
    <w:name w:val="Subtitle Char"/>
    <w:basedOn w:val="style65"/>
    <w:next w:val="style4107"/>
    <w:link w:val="style74"/>
    <w:uiPriority w:val="11"/>
    <w:rPr>
      <w:rFonts w:cs="宋体" w:eastAsia="宋体"/>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b9c712aa-fdca-470b-8734-b38d7904a62b"/>
    <w:basedOn w:val="style65"/>
    <w:next w:val="style4108"/>
    <w:link w:val="style180"/>
    <w:uiPriority w:val="29"/>
    <w:rPr>
      <w:i/>
      <w:iCs/>
      <w:color w:val="404040"/>
    </w:rPr>
  </w:style>
  <w:style w:type="paragraph" w:styleId="style179">
    <w:name w:val="List Paragraph"/>
    <w:basedOn w:val="style0"/>
    <w:next w:val="style179"/>
    <w:qFormat/>
    <w:uiPriority w:val="1"/>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a9110851-84ba-4c8a-af8d-750ce25528cf"/>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character" w:styleId="style156">
    <w:name w:val="Placeholder Text"/>
    <w:basedOn w:val="style65"/>
    <w:next w:val="style156"/>
    <w:uiPriority w:val="99"/>
    <w:rPr>
      <w:color w:val="666666"/>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customStyle="1" w:styleId="style4110">
    <w:name w:val="TableGrid"/>
    <w:next w:val="style4110"/>
    <w:pPr>
      <w:spacing w:after="0" w:lineRule="auto" w:line="240"/>
    </w:pPr>
    <w:rPr>
      <w:rFonts w:eastAsia="宋体"/>
    </w:rPr>
    <w:tblPr>
      <w:tblCellMar>
        <w:top w:w="0" w:type="dxa"/>
        <w:left w:w="0" w:type="dxa"/>
        <w:bottom w:w="0" w:type="dxa"/>
        <w:right w:w="0" w:type="dxa"/>
      </w:tblCellMar>
    </w:tblPr>
    <w:tcPr>
      <w:tcBorders/>
    </w:tcPr>
  </w:style>
  <w:style w:type="paragraph" w:styleId="style34">
    <w:name w:val="caption"/>
    <w:basedOn w:val="style0"/>
    <w:next w:val="style0"/>
    <w:link w:val="style4153"/>
    <w:qFormat/>
    <w:uiPriority w:val="35"/>
    <w:pPr>
      <w:spacing w:after="200" w:lineRule="auto" w:line="240"/>
    </w:pPr>
    <w:rPr>
      <w:b/>
      <w:iCs/>
      <w:color w:val="000000"/>
      <w:szCs w:val="18"/>
    </w:rPr>
  </w:style>
  <w:style w:type="character" w:styleId="style85">
    <w:name w:val="Hyperlink"/>
    <w:basedOn w:val="style65"/>
    <w:next w:val="style85"/>
    <w:uiPriority w:val="99"/>
    <w:rPr>
      <w:color w:val="0563c1"/>
      <w:u w:val="single"/>
    </w:rPr>
  </w:style>
  <w:style w:type="character" w:customStyle="1" w:styleId="style4111">
    <w:name w:val="Unresolved Mention"/>
    <w:basedOn w:val="style65"/>
    <w:next w:val="style4111"/>
    <w:uiPriority w:val="99"/>
    <w:rPr>
      <w:color w:val="605e5c"/>
      <w:shd w:val="clear" w:color="auto" w:fill="e1dfdd"/>
    </w:rPr>
  </w:style>
  <w:style w:type="paragraph" w:styleId="style31">
    <w:name w:val="header"/>
    <w:basedOn w:val="style0"/>
    <w:next w:val="style31"/>
    <w:link w:val="style4112"/>
    <w:uiPriority w:val="99"/>
    <w:pPr>
      <w:tabs>
        <w:tab w:val="center" w:leader="none" w:pos="4680"/>
        <w:tab w:val="right" w:leader="none" w:pos="9360"/>
      </w:tabs>
      <w:spacing w:after="0" w:lineRule="auto" w:line="240"/>
    </w:pPr>
    <w:rPr/>
  </w:style>
  <w:style w:type="character" w:customStyle="1" w:styleId="style4112">
    <w:name w:val="Header Char_52850991-e8be-427b-b854-e0d189decee9"/>
    <w:basedOn w:val="style65"/>
    <w:next w:val="style4112"/>
    <w:link w:val="style31"/>
    <w:uiPriority w:val="99"/>
    <w:rPr>
      <w:rFonts w:ascii="Times New Roman" w:hAnsi="Times New Roman"/>
      <w:sz w:val="24"/>
    </w:rPr>
  </w:style>
  <w:style w:type="paragraph" w:styleId="style32">
    <w:name w:val="footer"/>
    <w:basedOn w:val="style0"/>
    <w:next w:val="style32"/>
    <w:link w:val="style4113"/>
    <w:uiPriority w:val="99"/>
    <w:pPr>
      <w:tabs>
        <w:tab w:val="center" w:leader="none" w:pos="4680"/>
        <w:tab w:val="right" w:leader="none" w:pos="9360"/>
      </w:tabs>
      <w:spacing w:after="0" w:lineRule="auto" w:line="240"/>
    </w:pPr>
    <w:rPr/>
  </w:style>
  <w:style w:type="character" w:customStyle="1" w:styleId="style4113">
    <w:name w:val="Footer Char_f66eb7ef-020b-4610-b9f6-c71b43c7be65"/>
    <w:basedOn w:val="style65"/>
    <w:next w:val="style4113"/>
    <w:link w:val="style32"/>
    <w:uiPriority w:val="99"/>
    <w:rPr>
      <w:rFonts w:ascii="Times New Roman" w:hAnsi="Times New Roman"/>
      <w:sz w:val="24"/>
    </w:rPr>
  </w:style>
  <w:style w:type="paragraph" w:styleId="style266">
    <w:name w:val="TOC Heading"/>
    <w:basedOn w:val="style1"/>
    <w:next w:val="style0"/>
    <w:qFormat/>
    <w:uiPriority w:val="39"/>
    <w:pPr>
      <w:jc w:val="left"/>
      <w:outlineLvl w:val="9"/>
    </w:pPr>
    <w:rPr>
      <w:rFonts w:ascii="Calibri Light" w:hAnsi="Calibri Light"/>
      <w:b w:val="false"/>
      <w:color w:val="2f5496"/>
      <w:kern w:val="0"/>
      <w:sz w:val="32"/>
      <w:szCs w:val="32"/>
      <w14:ligatures xmlns:w14="http://schemas.microsoft.com/office/word/2010/wordml" w14:val="none"/>
    </w:rPr>
  </w:style>
  <w:style w:type="paragraph" w:styleId="style19">
    <w:name w:val="toc 1"/>
    <w:basedOn w:val="style0"/>
    <w:next w:val="style0"/>
    <w:uiPriority w:val="39"/>
    <w:pPr>
      <w:tabs>
        <w:tab w:val="left" w:leader="none" w:pos="810"/>
        <w:tab w:val="left" w:leader="none" w:pos="900"/>
        <w:tab w:val="right" w:leader="dot" w:pos="8261"/>
      </w:tabs>
      <w:spacing w:before="240" w:after="0" w:lineRule="auto" w:line="240"/>
    </w:pPr>
    <w:rPr>
      <w:rFonts w:cs="Times New Roman"/>
      <w:b/>
      <w:bCs/>
      <w:noProof/>
      <w:sz w:val="22"/>
    </w:rPr>
  </w:style>
  <w:style w:type="paragraph" w:styleId="style20">
    <w:name w:val="toc 2"/>
    <w:basedOn w:val="style0"/>
    <w:next w:val="style0"/>
    <w:uiPriority w:val="39"/>
    <w:pPr>
      <w:tabs>
        <w:tab w:val="left" w:leader="none" w:pos="1260"/>
        <w:tab w:val="left" w:leader="none" w:pos="1710"/>
        <w:tab w:val="right" w:leader="dot" w:pos="8261"/>
      </w:tabs>
      <w:spacing w:after="0" w:lineRule="auto" w:line="240"/>
      <w:ind w:left="810"/>
      <w:jc w:val="both"/>
    </w:pPr>
    <w:rPr/>
  </w:style>
  <w:style w:type="paragraph" w:styleId="style21">
    <w:name w:val="toc 3"/>
    <w:basedOn w:val="style0"/>
    <w:next w:val="style0"/>
    <w:uiPriority w:val="39"/>
    <w:pPr>
      <w:tabs>
        <w:tab w:val="left" w:leader="none" w:pos="1890"/>
        <w:tab w:val="right" w:leader="dot" w:pos="8261"/>
      </w:tabs>
      <w:spacing w:after="0" w:lineRule="auto" w:line="240"/>
      <w:ind w:left="1260"/>
    </w:pPr>
    <w:rPr/>
  </w:style>
  <w:style w:type="character" w:styleId="style40">
    <w:name w:val="line number"/>
    <w:basedOn w:val="style65"/>
    <w:next w:val="style40"/>
    <w:uiPriority w:val="99"/>
  </w:style>
  <w:style w:type="paragraph" w:styleId="style35">
    <w:name w:val="table of figures"/>
    <w:basedOn w:val="style0"/>
    <w:next w:val="style0"/>
    <w:uiPriority w:val="99"/>
    <w:pPr>
      <w:spacing w:after="0"/>
    </w:pPr>
    <w:rPr/>
  </w:style>
  <w:style w:type="character" w:styleId="style86">
    <w:name w:val="FollowedHyperlink"/>
    <w:basedOn w:val="style65"/>
    <w:next w:val="style86"/>
    <w:uiPriority w:val="99"/>
    <w:rPr>
      <w:color w:val="954f72"/>
      <w:u w:val="single"/>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14"/>
    <w:uiPriority w:val="99"/>
    <w:pPr>
      <w:spacing w:lineRule="auto" w:line="240"/>
    </w:pPr>
    <w:rPr>
      <w:sz w:val="20"/>
      <w:szCs w:val="20"/>
    </w:rPr>
  </w:style>
  <w:style w:type="character" w:customStyle="1" w:styleId="style4114">
    <w:name w:val="Comment Text Char"/>
    <w:basedOn w:val="style65"/>
    <w:next w:val="style4114"/>
    <w:link w:val="style30"/>
    <w:uiPriority w:val="99"/>
    <w:rPr>
      <w:rFonts w:ascii="Times New Roman" w:hAnsi="Times New Roman"/>
      <w:sz w:val="20"/>
      <w:szCs w:val="20"/>
    </w:rPr>
  </w:style>
  <w:style w:type="paragraph" w:styleId="style106">
    <w:name w:val="annotation subject"/>
    <w:basedOn w:val="style30"/>
    <w:next w:val="style30"/>
    <w:link w:val="style4115"/>
    <w:uiPriority w:val="99"/>
    <w:pPr/>
    <w:rPr>
      <w:b/>
      <w:bCs/>
    </w:rPr>
  </w:style>
  <w:style w:type="character" w:customStyle="1" w:styleId="style4115">
    <w:name w:val="Comment Subject Char"/>
    <w:basedOn w:val="style4114"/>
    <w:next w:val="style4115"/>
    <w:link w:val="style106"/>
    <w:uiPriority w:val="99"/>
    <w:rPr>
      <w:rFonts w:ascii="Times New Roman" w:hAnsi="Times New Roman"/>
      <w:b/>
      <w:bCs/>
      <w:sz w:val="20"/>
      <w:szCs w:val="20"/>
    </w:rPr>
  </w:style>
  <w:style w:type="paragraph" w:customStyle="1" w:styleId="style4116">
    <w:name w:val="msonormal"/>
    <w:basedOn w:val="style0"/>
    <w:next w:val="style4116"/>
    <w:pPr>
      <w:spacing w:before="100" w:beforeAutospacing="true" w:after="100" w:afterAutospacing="true" w:lineRule="auto" w:line="240"/>
    </w:pPr>
    <w:rPr>
      <w:rFonts w:cs="Times New Roman" w:eastAsia="Times New Roman"/>
      <w:kern w:val="0"/>
      <w:szCs w:val="24"/>
      <w14:ligatures xmlns:w14="http://schemas.microsoft.com/office/word/2010/wordml" w14:val="none"/>
    </w:rPr>
  </w:style>
  <w:style w:type="paragraph" w:customStyle="1" w:styleId="style4117">
    <w:name w:val="xl65"/>
    <w:basedOn w:val="style0"/>
    <w:next w:val="style4117"/>
    <w:pPr>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18">
    <w:name w:val="xl66"/>
    <w:basedOn w:val="style0"/>
    <w:next w:val="style4118"/>
    <w:pPr>
      <w:pBdr>
        <w:bottom w:val="single" w:sz="4" w:space="0" w:color="auto"/>
      </w:pBdr>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19">
    <w:name w:val="xl67"/>
    <w:basedOn w:val="style0"/>
    <w:next w:val="style4119"/>
    <w:pPr>
      <w:spacing w:before="100" w:beforeAutospacing="true" w:after="100" w:afterAutospacing="true" w:lineRule="auto" w:line="240"/>
      <w:jc w:val="center"/>
    </w:pPr>
    <w:rPr>
      <w:rFonts w:cs="Times New Roman" w:eastAsia="Times New Roman"/>
      <w:b/>
      <w:bCs/>
      <w:kern w:val="0"/>
      <w:szCs w:val="24"/>
      <w14:ligatures xmlns:w14="http://schemas.microsoft.com/office/word/2010/wordml" w14:val="none"/>
    </w:rPr>
  </w:style>
  <w:style w:type="paragraph" w:customStyle="1" w:styleId="style4120">
    <w:name w:val="xl68"/>
    <w:basedOn w:val="style0"/>
    <w:next w:val="style4120"/>
    <w:pPr>
      <w:spacing w:before="100" w:beforeAutospacing="true" w:after="100" w:afterAutospacing="true" w:lineRule="auto" w:line="240"/>
      <w:jc w:val="center"/>
    </w:pPr>
    <w:rPr>
      <w:rFonts w:cs="Times New Roman" w:eastAsia="Times New Roman"/>
      <w:b/>
      <w:bCs/>
      <w:kern w:val="0"/>
      <w:szCs w:val="24"/>
      <w14:ligatures xmlns:w14="http://schemas.microsoft.com/office/word/2010/wordml" w14:val="none"/>
    </w:rPr>
  </w:style>
  <w:style w:type="paragraph" w:customStyle="1" w:styleId="style4121">
    <w:name w:val="xl69"/>
    <w:basedOn w:val="style0"/>
    <w:next w:val="style4121"/>
    <w:pPr>
      <w:spacing w:before="100" w:beforeAutospacing="true" w:after="100" w:afterAutospacing="true" w:lineRule="auto" w:line="240"/>
      <w:jc w:val="center"/>
    </w:pPr>
    <w:rPr>
      <w:rFonts w:cs="Times New Roman" w:eastAsia="Times New Roman"/>
      <w:b/>
      <w:bCs/>
      <w:kern w:val="0"/>
      <w:szCs w:val="24"/>
      <w14:ligatures xmlns:w14="http://schemas.microsoft.com/office/word/2010/wordml" w14:val="none"/>
    </w:rPr>
  </w:style>
  <w:style w:type="paragraph" w:customStyle="1" w:styleId="style4122">
    <w:name w:val="xl70"/>
    <w:basedOn w:val="style0"/>
    <w:next w:val="style4122"/>
    <w:pPr>
      <w:spacing w:before="100" w:beforeAutospacing="true" w:after="100" w:afterAutospacing="true" w:lineRule="auto" w:line="240"/>
      <w:jc w:val="center"/>
    </w:pPr>
    <w:rPr>
      <w:rFonts w:cs="Times New Roman" w:eastAsia="Times New Roman"/>
      <w:b/>
      <w:bCs/>
      <w:kern w:val="0"/>
      <w:szCs w:val="24"/>
      <w14:ligatures xmlns:w14="http://schemas.microsoft.com/office/word/2010/wordml" w14:val="none"/>
    </w:rPr>
  </w:style>
  <w:style w:type="paragraph" w:customStyle="1" w:styleId="style4123">
    <w:name w:val="xl71"/>
    <w:basedOn w:val="style0"/>
    <w:next w:val="style4123"/>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cs="Times New Roman" w:eastAsia="Times New Roman"/>
      <w:kern w:val="0"/>
      <w:sz w:val="20"/>
      <w:szCs w:val="20"/>
      <w14:ligatures xmlns:w14="http://schemas.microsoft.com/office/word/2010/wordml" w14:val="none"/>
    </w:rPr>
  </w:style>
  <w:style w:type="paragraph" w:customStyle="1" w:styleId="style4124">
    <w:name w:val="xl72"/>
    <w:basedOn w:val="style0"/>
    <w:next w:val="style4124"/>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cs="Times New Roman" w:eastAsia="Times New Roman"/>
      <w:kern w:val="0"/>
      <w:sz w:val="20"/>
      <w:szCs w:val="20"/>
      <w14:ligatures xmlns:w14="http://schemas.microsoft.com/office/word/2010/wordml" w14:val="none"/>
    </w:rPr>
  </w:style>
  <w:style w:type="paragraph" w:customStyle="1" w:styleId="style4125">
    <w:name w:val="xl73"/>
    <w:basedOn w:val="style0"/>
    <w:next w:val="style4125"/>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cs="Times New Roman" w:eastAsia="Times New Roman"/>
      <w:kern w:val="0"/>
      <w:sz w:val="20"/>
      <w:szCs w:val="20"/>
      <w14:ligatures xmlns:w14="http://schemas.microsoft.com/office/word/2010/wordml" w14:val="none"/>
    </w:rPr>
  </w:style>
  <w:style w:type="paragraph" w:customStyle="1" w:styleId="style4126">
    <w:name w:val="xl74"/>
    <w:basedOn w:val="style0"/>
    <w:next w:val="style4126"/>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textAlignment w:val="center"/>
    </w:pPr>
    <w:rPr>
      <w:rFonts w:cs="Times New Roman" w:eastAsia="Times New Roman"/>
      <w:b/>
      <w:bCs/>
      <w:kern w:val="0"/>
      <w:sz w:val="20"/>
      <w:szCs w:val="20"/>
      <w14:ligatures xmlns:w14="http://schemas.microsoft.com/office/word/2010/wordml" w14:val="none"/>
    </w:rPr>
  </w:style>
  <w:style w:type="paragraph" w:customStyle="1" w:styleId="style4127">
    <w:name w:val="xl75"/>
    <w:basedOn w:val="style0"/>
    <w:next w:val="style4127"/>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textAlignment w:val="center"/>
    </w:pPr>
    <w:rPr>
      <w:rFonts w:cs="Times New Roman" w:eastAsia="Times New Roman"/>
      <w:b/>
      <w:bCs/>
      <w:kern w:val="0"/>
      <w:sz w:val="20"/>
      <w:szCs w:val="20"/>
      <w14:ligatures xmlns:w14="http://schemas.microsoft.com/office/word/2010/wordml" w14:val="none"/>
    </w:rPr>
  </w:style>
  <w:style w:type="paragraph" w:customStyle="1" w:styleId="style4128">
    <w:name w:val="xl76"/>
    <w:basedOn w:val="style0"/>
    <w:next w:val="style4128"/>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textAlignment w:val="center"/>
    </w:pPr>
    <w:rPr>
      <w:rFonts w:cs="Times New Roman" w:eastAsia="Times New Roman"/>
      <w:b/>
      <w:bCs/>
      <w:kern w:val="0"/>
      <w:sz w:val="20"/>
      <w:szCs w:val="20"/>
      <w14:ligatures xmlns:w14="http://schemas.microsoft.com/office/word/2010/wordml" w14:val="none"/>
    </w:rPr>
  </w:style>
  <w:style w:type="paragraph" w:customStyle="1" w:styleId="style4129">
    <w:name w:val="xl77"/>
    <w:basedOn w:val="style0"/>
    <w:next w:val="style4129"/>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textAlignment w:val="center"/>
    </w:pPr>
    <w:rPr>
      <w:rFonts w:cs="Times New Roman" w:eastAsia="Times New Roman"/>
      <w:b/>
      <w:bCs/>
      <w:kern w:val="0"/>
      <w:sz w:val="20"/>
      <w:szCs w:val="20"/>
      <w14:ligatures xmlns:w14="http://schemas.microsoft.com/office/word/2010/wordml" w14:val="none"/>
    </w:rPr>
  </w:style>
  <w:style w:type="paragraph" w:customStyle="1" w:styleId="style4130">
    <w:name w:val="xl78"/>
    <w:basedOn w:val="style0"/>
    <w:next w:val="style4130"/>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cs="Times New Roman" w:eastAsia="Times New Roman"/>
      <w:kern w:val="0"/>
      <w:sz w:val="20"/>
      <w:szCs w:val="20"/>
      <w14:ligatures xmlns:w14="http://schemas.microsoft.com/office/word/2010/wordml" w14:val="none"/>
    </w:rPr>
  </w:style>
  <w:style w:type="paragraph" w:customStyle="1" w:styleId="style4131">
    <w:name w:val="xl79"/>
    <w:basedOn w:val="style0"/>
    <w:next w:val="style4131"/>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cs="Times New Roman" w:eastAsia="Times New Roman"/>
      <w:kern w:val="0"/>
      <w:sz w:val="20"/>
      <w:szCs w:val="20"/>
      <w14:ligatures xmlns:w14="http://schemas.microsoft.com/office/word/2010/wordml" w14:val="none"/>
    </w:rPr>
  </w:style>
  <w:style w:type="paragraph" w:customStyle="1" w:styleId="style4132">
    <w:name w:val="xl80"/>
    <w:basedOn w:val="style0"/>
    <w:next w:val="style4132"/>
    <w:pPr>
      <w:spacing w:before="100" w:beforeAutospacing="true" w:after="100" w:afterAutospacing="true" w:lineRule="auto" w:line="240"/>
    </w:pPr>
    <w:rPr>
      <w:rFonts w:cs="Times New Roman" w:eastAsia="Times New Roman"/>
      <w:kern w:val="0"/>
      <w:sz w:val="20"/>
      <w:szCs w:val="20"/>
      <w14:ligatures xmlns:w14="http://schemas.microsoft.com/office/word/2010/wordml" w14:val="none"/>
    </w:rPr>
  </w:style>
  <w:style w:type="paragraph" w:customStyle="1" w:styleId="style4133">
    <w:name w:val="xl81"/>
    <w:basedOn w:val="style0"/>
    <w:next w:val="style4133"/>
    <w:pPr>
      <w:spacing w:before="100" w:beforeAutospacing="true" w:after="100" w:afterAutospacing="true" w:lineRule="auto" w:line="240"/>
    </w:pPr>
    <w:rPr>
      <w:rFonts w:cs="Times New Roman" w:eastAsia="Times New Roman"/>
      <w:kern w:val="0"/>
      <w:sz w:val="20"/>
      <w:szCs w:val="20"/>
      <w14:ligatures xmlns:w14="http://schemas.microsoft.com/office/word/2010/wordml" w14:val="none"/>
    </w:rPr>
  </w:style>
  <w:style w:type="paragraph" w:customStyle="1" w:styleId="style4134">
    <w:name w:val="xl82"/>
    <w:basedOn w:val="style0"/>
    <w:next w:val="style4134"/>
    <w:pPr>
      <w:pBdr>
        <w:left w:val="single" w:sz="4" w:space="0" w:color="auto"/>
        <w:right w:val="single" w:sz="4" w:space="0" w:color="auto"/>
        <w:top w:val="single" w:sz="4" w:space="0" w:color="auto"/>
      </w:pBdr>
      <w:shd w:val="clear" w:color="000000" w:fill="ff0000"/>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35">
    <w:name w:val="xl83"/>
    <w:basedOn w:val="style0"/>
    <w:next w:val="style4135"/>
    <w:pPr>
      <w:pBdr>
        <w:left w:val="single" w:sz="4" w:space="0" w:color="auto"/>
        <w:top w:val="single" w:sz="4" w:space="0" w:color="auto"/>
        <w:bottom w:val="single" w:sz="4" w:space="0" w:color="auto"/>
      </w:pBdr>
      <w:shd w:val="clear" w:color="000000" w:fill="ffc000"/>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36">
    <w:name w:val="xl84"/>
    <w:basedOn w:val="style0"/>
    <w:next w:val="style4136"/>
    <w:pPr>
      <w:pBdr>
        <w:left w:val="single" w:sz="4" w:space="0" w:color="auto"/>
        <w:right w:val="single" w:sz="4" w:space="0" w:color="auto"/>
        <w:bottom w:val="single" w:sz="4" w:space="0" w:color="auto"/>
      </w:pBdr>
      <w:shd w:val="clear" w:color="000000" w:fill="ff0000"/>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37">
    <w:name w:val="xl85"/>
    <w:basedOn w:val="style0"/>
    <w:next w:val="style4137"/>
    <w:pPr>
      <w:pBdr>
        <w:right w:val="single" w:sz="4" w:space="0" w:color="auto"/>
        <w:top w:val="single" w:sz="4" w:space="0" w:color="auto"/>
        <w:bottom w:val="single" w:sz="4" w:space="0" w:color="auto"/>
      </w:pBdr>
      <w:shd w:val="clear" w:color="000000" w:fill="ff0000"/>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38">
    <w:name w:val="xl86"/>
    <w:basedOn w:val="style0"/>
    <w:next w:val="style4138"/>
    <w:pPr>
      <w:pBdr>
        <w:left w:val="single" w:sz="4" w:space="0" w:color="auto"/>
        <w:right w:val="single" w:sz="4" w:space="0" w:color="auto"/>
        <w:bottom w:val="single" w:sz="4" w:space="0" w:color="auto"/>
      </w:pBdr>
      <w:shd w:val="clear" w:color="000000" w:fill="ffff00"/>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39">
    <w:name w:val="xl87"/>
    <w:basedOn w:val="style0"/>
    <w:next w:val="style4139"/>
    <w:pPr>
      <w:shd w:val="clear" w:color="000000" w:fill="ffc000"/>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40">
    <w:name w:val="xl88"/>
    <w:basedOn w:val="style0"/>
    <w:next w:val="style4140"/>
    <w:pPr>
      <w:shd w:val="clear" w:color="000000" w:fill="ffff00"/>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41">
    <w:name w:val="xl89"/>
    <w:basedOn w:val="style0"/>
    <w:next w:val="style4141"/>
    <w:pPr>
      <w:shd w:val="clear" w:color="000000" w:fill="ff0000"/>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42">
    <w:name w:val="xl90"/>
    <w:basedOn w:val="style0"/>
    <w:next w:val="style4142"/>
    <w:pPr>
      <w:shd w:val="clear" w:color="000000" w:fill="92d050"/>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43">
    <w:name w:val="xl91"/>
    <w:basedOn w:val="style0"/>
    <w:next w:val="style4143"/>
    <w:pPr>
      <w:shd w:val="clear" w:color="000000" w:fill="5b9bd5"/>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44">
    <w:name w:val="xl94"/>
    <w:basedOn w:val="style0"/>
    <w:next w:val="style4144"/>
    <w:pPr>
      <w:pBdr>
        <w:left w:val="single" w:sz="4" w:space="0" w:color="auto"/>
        <w:right w:val="single" w:sz="4" w:space="0" w:color="auto"/>
        <w:top w:val="single" w:sz="4" w:space="0" w:color="auto"/>
        <w:bottom w:val="single" w:sz="4" w:space="0" w:color="auto"/>
      </w:pBdr>
      <w:shd w:val="clear" w:color="000000" w:fill="5b9bd5"/>
      <w:spacing w:before="100" w:beforeAutospacing="true" w:after="100" w:afterAutospacing="true" w:lineRule="auto" w:line="240"/>
      <w:jc w:val="center"/>
      <w:textAlignment w:val="center"/>
    </w:pPr>
    <w:rPr>
      <w:rFonts w:cs="Times New Roman" w:eastAsia="Times New Roman"/>
      <w:b/>
      <w:bCs/>
      <w:kern w:val="0"/>
      <w:sz w:val="12"/>
      <w:szCs w:val="12"/>
      <w14:ligatures xmlns:w14="http://schemas.microsoft.com/office/word/2010/wordml" w14:val="none"/>
    </w:rPr>
  </w:style>
  <w:style w:type="paragraph" w:customStyle="1" w:styleId="style4145">
    <w:name w:val="xl95"/>
    <w:basedOn w:val="style0"/>
    <w:next w:val="style4145"/>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46">
    <w:name w:val="xl96"/>
    <w:basedOn w:val="style0"/>
    <w:next w:val="style4146"/>
    <w:pPr>
      <w:pBdr>
        <w:left w:val="single" w:sz="4" w:space="0" w:color="auto"/>
        <w:top w:val="single" w:sz="4" w:space="0" w:color="auto"/>
        <w:bottom w:val="single" w:sz="4" w:space="0" w:color="auto"/>
      </w:pBdr>
      <w:spacing w:before="100" w:beforeAutospacing="true" w:after="100" w:afterAutospacing="true" w:lineRule="auto" w:line="240"/>
      <w:jc w:val="center"/>
    </w:pPr>
    <w:rPr>
      <w:rFonts w:cs="Times New Roman" w:eastAsia="Times New Roman"/>
      <w:kern w:val="0"/>
      <w:szCs w:val="24"/>
      <w14:ligatures xmlns:w14="http://schemas.microsoft.com/office/word/2010/wordml" w14:val="none"/>
    </w:rPr>
  </w:style>
  <w:style w:type="paragraph" w:customStyle="1" w:styleId="style4147">
    <w:name w:val="xl97"/>
    <w:basedOn w:val="style0"/>
    <w:next w:val="style4147"/>
    <w:pPr>
      <w:pBdr>
        <w:left w:val="single" w:sz="4" w:space="0" w:color="auto"/>
        <w:right w:val="single" w:sz="4" w:space="0" w:color="auto"/>
        <w:top w:val="single" w:sz="4" w:space="0" w:color="auto"/>
        <w:bottom w:val="single" w:sz="4" w:space="0" w:color="auto"/>
      </w:pBdr>
      <w:shd w:val="clear" w:color="000000" w:fill="ffc000"/>
      <w:spacing w:before="100" w:beforeAutospacing="true" w:after="100" w:afterAutospacing="true" w:lineRule="auto" w:line="240"/>
      <w:jc w:val="center"/>
    </w:pPr>
    <w:rPr>
      <w:rFonts w:cs="Times New Roman" w:eastAsia="Times New Roman"/>
      <w:b/>
      <w:bCs/>
      <w:kern w:val="0"/>
      <w:sz w:val="12"/>
      <w:szCs w:val="12"/>
      <w14:ligatures xmlns:w14="http://schemas.microsoft.com/office/word/2010/wordml" w14:val="none"/>
    </w:rPr>
  </w:style>
  <w:style w:type="paragraph" w:customStyle="1" w:styleId="style4148">
    <w:name w:val="xl98"/>
    <w:basedOn w:val="style0"/>
    <w:next w:val="style4148"/>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lineRule="auto" w:line="240"/>
      <w:jc w:val="center"/>
    </w:pPr>
    <w:rPr>
      <w:rFonts w:cs="Times New Roman" w:eastAsia="Times New Roman"/>
      <w:b/>
      <w:bCs/>
      <w:kern w:val="0"/>
      <w:sz w:val="12"/>
      <w:szCs w:val="12"/>
      <w14:ligatures xmlns:w14="http://schemas.microsoft.com/office/word/2010/wordml" w14:val="none"/>
    </w:rPr>
  </w:style>
  <w:style w:type="paragraph" w:customStyle="1" w:styleId="style4149">
    <w:name w:val="xl99"/>
    <w:basedOn w:val="style0"/>
    <w:next w:val="style4149"/>
    <w:pPr>
      <w:pBdr>
        <w:left w:val="single" w:sz="4" w:space="0" w:color="auto"/>
        <w:right w:val="single" w:sz="4" w:space="0" w:color="auto"/>
        <w:top w:val="single" w:sz="4" w:space="0" w:color="auto"/>
        <w:bottom w:val="single" w:sz="4" w:space="0" w:color="auto"/>
      </w:pBdr>
      <w:shd w:val="clear" w:color="000000" w:fill="ff0000"/>
      <w:spacing w:before="100" w:beforeAutospacing="true" w:after="100" w:afterAutospacing="true" w:lineRule="auto" w:line="240"/>
      <w:jc w:val="center"/>
    </w:pPr>
    <w:rPr>
      <w:rFonts w:cs="Times New Roman" w:eastAsia="Times New Roman"/>
      <w:b/>
      <w:bCs/>
      <w:kern w:val="0"/>
      <w:sz w:val="12"/>
      <w:szCs w:val="12"/>
      <w14:ligatures xmlns:w14="http://schemas.microsoft.com/office/word/2010/wordml" w14:val="none"/>
    </w:rPr>
  </w:style>
  <w:style w:type="paragraph" w:customStyle="1" w:styleId="style4150">
    <w:name w:val="xl100"/>
    <w:basedOn w:val="style0"/>
    <w:next w:val="style4150"/>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lineRule="auto" w:line="240"/>
      <w:jc w:val="center"/>
    </w:pPr>
    <w:rPr>
      <w:rFonts w:cs="Times New Roman" w:eastAsia="Times New Roman"/>
      <w:b/>
      <w:bCs/>
      <w:kern w:val="0"/>
      <w:sz w:val="12"/>
      <w:szCs w:val="12"/>
      <w14:ligatures xmlns:w14="http://schemas.microsoft.com/office/word/2010/wordml" w14:val="none"/>
    </w:rPr>
  </w:style>
  <w:style w:type="paragraph" w:customStyle="1" w:styleId="style4151">
    <w:name w:val="Table Paragraph"/>
    <w:basedOn w:val="style0"/>
    <w:next w:val="style4151"/>
    <w:qFormat/>
    <w:uiPriority w:val="1"/>
    <w:pPr>
      <w:widowControl w:val="false"/>
      <w:autoSpaceDE w:val="false"/>
      <w:autoSpaceDN w:val="false"/>
      <w:spacing w:before="26" w:after="0" w:lineRule="auto" w:line="240"/>
      <w:ind w:left="18"/>
    </w:pPr>
    <w:rPr>
      <w:rFonts w:cs="Times New Roman" w:eastAsia="Times New Roman"/>
      <w:kern w:val="0"/>
      <w:sz w:val="22"/>
      <w14:ligatures xmlns:w14="http://schemas.microsoft.com/office/word/2010/wordml" w14:val="none"/>
    </w:rPr>
  </w:style>
  <w:style w:type="paragraph" w:customStyle="1" w:styleId="style4152">
    <w:name w:val="Style1"/>
    <w:basedOn w:val="style34"/>
    <w:next w:val="style4152"/>
    <w:link w:val="style4154"/>
    <w:qFormat/>
    <w:pPr>
      <w:keepNext/>
      <w:spacing w:before="360" w:after="320"/>
    </w:pPr>
    <w:rPr>
      <w:b w:val="false"/>
      <w:bCs/>
      <w:i/>
      <w:iCs w:val="false"/>
      <w:szCs w:val="24"/>
    </w:rPr>
  </w:style>
  <w:style w:type="character" w:customStyle="1" w:styleId="style4153">
    <w:name w:val="Caption Char"/>
    <w:basedOn w:val="style65"/>
    <w:next w:val="style4153"/>
    <w:link w:val="style34"/>
    <w:uiPriority w:val="35"/>
    <w:rPr>
      <w:rFonts w:ascii="Times New Roman" w:hAnsi="Times New Roman"/>
      <w:b/>
      <w:iCs/>
      <w:color w:val="000000"/>
      <w:sz w:val="24"/>
      <w:szCs w:val="18"/>
    </w:rPr>
  </w:style>
  <w:style w:type="character" w:customStyle="1" w:styleId="style4154">
    <w:name w:val="Style1 Char"/>
    <w:basedOn w:val="style4153"/>
    <w:next w:val="style4154"/>
    <w:link w:val="style4152"/>
    <w:rPr>
      <w:rFonts w:ascii="Times New Roman" w:hAnsi="Times New Roman"/>
      <w:b w:val="false"/>
      <w:bCs/>
      <w:i/>
      <w:iCs w:val="false"/>
      <w:color w:val="000000"/>
      <w:sz w:val="24"/>
      <w:szCs w:val="24"/>
    </w:rPr>
  </w:style>
  <w:style w:type="paragraph" w:styleId="style94">
    <w:name w:val="Normal (Web)"/>
    <w:basedOn w:val="style0"/>
    <w:next w:val="style94"/>
    <w:uiPriority w:val="99"/>
    <w:pPr/>
    <w:rPr>
      <w:rFonts w:cs="Times New Roman"/>
      <w:szCs w:val="24"/>
    </w:rPr>
  </w:style>
</w:styles>
</file>

<file path=word/_rels/document.xml.rels><?xml version="1.0" encoding="UTF-8"?>
<Relationships xmlns="http://schemas.openxmlformats.org/package/2006/relationships"><Relationship Id="rId11" Type="http://schemas.openxmlformats.org/officeDocument/2006/relationships/header" Target="header7.xml"/><Relationship Id="rId10" Type="http://schemas.openxmlformats.org/officeDocument/2006/relationships/image" Target="media/image3.png"/><Relationship Id="rId13" Type="http://schemas.openxmlformats.org/officeDocument/2006/relationships/footer" Target="footer9.xml"/><Relationship Id="rId12" Type="http://schemas.openxmlformats.org/officeDocument/2006/relationships/footer" Target="footer8.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9" Type="http://schemas.openxmlformats.org/officeDocument/2006/relationships/image" Target="media/image2.pn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footer" Target="footer3.xml"/><Relationship Id="rId6" Type="http://schemas.openxmlformats.org/officeDocument/2006/relationships/footer" Target="footer4.xml"/><Relationship Id="rId18" Type="http://schemas.openxmlformats.org/officeDocument/2006/relationships/customXml" Target="../customXml/item1.xml"/><Relationship Id="rId7" Type="http://schemas.openxmlformats.org/officeDocument/2006/relationships/header" Target="header5.xml"/><Relationship Id="rId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354C7-C9A6-48EE-B89F-1EF7E416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20326</Words>
  <Pages>104</Pages>
  <Characters>136413</Characters>
  <Application>WPS Office</Application>
  <DocSecurity>0</DocSecurity>
  <Paragraphs>11021</Paragraphs>
  <ScaleCrop>false</ScaleCrop>
  <LinksUpToDate>false</LinksUpToDate>
  <CharactersWithSpaces>150188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2026-03-11T05:24:52Z</dcterms:created>
  <dc:creator>Nur Fadhilah Syafa</dc:creator>
  <lastModifiedBy>Redmi Note 9 Pro</lastModifiedBy>
  <lastPrinted>2026-03-10T18:18:00Z</lastPrinted>
  <dcterms:modified xsi:type="dcterms:W3CDTF">2026-03-11T05:24:53Z</dcterms:modified>
  <revision>23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0e9917dc98904cef9eb71da21dc52def</vt:lpwstr>
  </property>
</Properties>
</file>